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6"/>
          <w:szCs w:val="6"/>
        </w:rPr>
      </w:pPr>
    </w:p>
    <w:p>
      <w:pPr>
        <w:spacing w:line="368"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19.25pt;height:18.45pt;mso-position-horizontal-relative:char;mso-position-vertical-relative:line" coordorigin="0,0" coordsize="8385,369">
            <v:group style="position:absolute;left:7;top:361;width:8371;height:2" coordorigin="7,361" coordsize="8371,2">
              <v:shape style="position:absolute;left:7;top:361;width:8371;height:2" coordorigin="7,361" coordsize="8371,0" path="m7,361l8377,361e" filled="false" stroked="true" strokeweight=".72pt" strokecolor="#000000">
                <v:path arrowok="t"/>
              </v:shape>
              <v:shape style="position:absolute;left:41;top:0;width:360;height:315" type="#_x0000_t75" stroked="false">
                <v:imagedata r:id="rId5" o:title=""/>
              </v:shape>
              <v:shapetype id="_x0000_t202" o:spt="202" coordsize="21600,21600" path="m,l,21600r21600,l21600,xe">
                <v:stroke joinstyle="miter"/>
                <v:path gradientshapeok="t" o:connecttype="rect"/>
              </v:shapetype>
              <v:shape style="position:absolute;left:0;top:0;width:8385;height:369" type="#_x0000_t202" filled="false" stroked="false">
                <v:textbox inset="0,0,0,0">
                  <w:txbxContent>
                    <w:p>
                      <w:pPr>
                        <w:spacing w:before="71"/>
                        <w:ind w:left="0" w:right="67" w:firstLine="0"/>
                        <w:jc w:val="righ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11"/>
        <w:rPr>
          <w:rFonts w:ascii="Times New Roman" w:hAnsi="Times New Roman" w:cs="Times New Roman" w:eastAsia="Times New Roman" w:hint="default"/>
          <w:sz w:val="12"/>
          <w:szCs w:val="12"/>
        </w:rPr>
      </w:pPr>
    </w:p>
    <w:p>
      <w:pPr>
        <w:tabs>
          <w:tab w:pos="5602" w:val="left" w:leader="none"/>
        </w:tabs>
        <w:spacing w:before="14"/>
        <w:ind w:left="0" w:right="1843" w:firstLine="0"/>
        <w:jc w:val="center"/>
        <w:rPr>
          <w:rFonts w:ascii="宋体" w:hAnsi="宋体" w:cs="宋体" w:eastAsia="宋体" w:hint="default"/>
          <w:sz w:val="28"/>
          <w:szCs w:val="28"/>
        </w:rPr>
      </w:pPr>
      <w:r>
        <w:rPr>
          <w:rFonts w:ascii="宋体" w:hAnsi="宋体" w:cs="宋体" w:eastAsia="宋体" w:hint="default"/>
          <w:spacing w:val="-1"/>
          <w:sz w:val="28"/>
          <w:szCs w:val="28"/>
        </w:rPr>
        <w:t>股票代码：</w:t>
      </w:r>
      <w:r>
        <w:rPr>
          <w:rFonts w:ascii="宋体" w:hAnsi="宋体" w:cs="宋体" w:eastAsia="宋体" w:hint="default"/>
          <w:spacing w:val="-1"/>
          <w:sz w:val="28"/>
          <w:szCs w:val="28"/>
        </w:rPr>
        <w:t>002117</w:t>
        <w:tab/>
      </w:r>
      <w:r>
        <w:rPr>
          <w:rFonts w:ascii="宋体" w:hAnsi="宋体" w:cs="宋体" w:eastAsia="宋体" w:hint="default"/>
          <w:spacing w:val="-1"/>
          <w:sz w:val="28"/>
          <w:szCs w:val="28"/>
        </w:rPr>
        <w:t>股票简称：东港股份</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33"/>
          <w:szCs w:val="33"/>
        </w:rPr>
      </w:pPr>
    </w:p>
    <w:p>
      <w:pPr>
        <w:spacing w:line="897" w:lineRule="exact" w:before="0"/>
        <w:ind w:left="0" w:right="1661"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东港安全印刷股份有限公司</w:t>
      </w:r>
      <w:r>
        <w:rPr>
          <w:rFonts w:ascii="Microsoft JhengHei" w:hAnsi="Microsoft JhengHei" w:cs="Microsoft JhengHei" w:eastAsia="Microsoft JhengHei" w:hint="default"/>
          <w:sz w:val="52"/>
          <w:szCs w:val="52"/>
        </w:rPr>
      </w:r>
    </w:p>
    <w:p>
      <w:pPr>
        <w:pStyle w:val="BodyText"/>
        <w:tabs>
          <w:tab w:pos="1199" w:val="left" w:leader="none"/>
          <w:tab w:pos="2400" w:val="left" w:leader="none"/>
          <w:tab w:pos="3600" w:val="left" w:leader="none"/>
        </w:tabs>
        <w:spacing w:line="306" w:lineRule="exact" w:before="0"/>
        <w:ind w:left="0" w:right="1659"/>
        <w:jc w:val="center"/>
        <w:rPr>
          <w:rFonts w:ascii="宋体" w:hAnsi="宋体" w:cs="宋体" w:eastAsia="宋体" w:hint="default"/>
        </w:rPr>
      </w:pPr>
      <w:r>
        <w:rPr>
          <w:rFonts w:ascii="宋体"/>
        </w:rPr>
        <w:t>TUNGKONG</w:t>
        <w:tab/>
        <w:t>SECURITY</w:t>
        <w:tab/>
        <w:t>PRINTING</w:t>
        <w:tab/>
        <w:t>CO.,LTD</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0"/>
          <w:szCs w:val="30"/>
        </w:rPr>
      </w:pPr>
    </w:p>
    <w:p>
      <w:pPr>
        <w:spacing w:before="0"/>
        <w:ind w:left="0" w:right="1658"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二○一一年度报告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8"/>
          <w:szCs w:val="28"/>
        </w:rPr>
      </w:pPr>
    </w:p>
    <w:p>
      <w:pPr>
        <w:spacing w:line="2017" w:lineRule="exact"/>
        <w:ind w:left="3109"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9"/>
          <w:sz w:val="20"/>
          <w:szCs w:val="20"/>
        </w:rPr>
        <w:drawing>
          <wp:inline distT="0" distB="0" distL="0" distR="0">
            <wp:extent cx="1505658" cy="128130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05658" cy="1281302"/>
                    </a:xfrm>
                    <a:prstGeom prst="rect">
                      <a:avLst/>
                    </a:prstGeom>
                  </pic:spPr>
                </pic:pic>
              </a:graphicData>
            </a:graphic>
          </wp:inline>
        </w:drawing>
      </w:r>
      <w:r>
        <w:rPr>
          <w:rFonts w:ascii="Microsoft JhengHei" w:hAnsi="Microsoft JhengHei" w:cs="Microsoft JhengHei" w:eastAsia="Microsoft JhengHei" w:hint="default"/>
          <w:position w:val="-39"/>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p>
      <w:pPr>
        <w:spacing w:line="460" w:lineRule="exact" w:before="0"/>
        <w:ind w:left="2310" w:right="1869" w:firstLine="0"/>
        <w:jc w:val="left"/>
        <w:rPr>
          <w:rFonts w:ascii="宋体" w:hAnsi="宋体" w:cs="宋体" w:eastAsia="宋体" w:hint="default"/>
          <w:sz w:val="36"/>
          <w:szCs w:val="36"/>
        </w:rPr>
      </w:pPr>
      <w:r>
        <w:rPr>
          <w:rFonts w:ascii="宋体" w:hAnsi="宋体" w:cs="宋体" w:eastAsia="宋体" w:hint="default"/>
          <w:sz w:val="36"/>
          <w:szCs w:val="36"/>
        </w:rPr>
        <w:t>二</w:t>
      </w:r>
      <w:r>
        <w:rPr>
          <w:rFonts w:ascii="Microsoft JhengHei" w:hAnsi="Microsoft JhengHei" w:cs="Microsoft JhengHei" w:eastAsia="Microsoft JhengHei" w:hint="default"/>
          <w:b/>
          <w:bCs/>
          <w:sz w:val="36"/>
          <w:szCs w:val="36"/>
        </w:rPr>
        <w:t>○一二</w:t>
      </w:r>
      <w:r>
        <w:rPr>
          <w:rFonts w:ascii="宋体" w:hAnsi="宋体" w:cs="宋体" w:eastAsia="宋体" w:hint="default"/>
          <w:sz w:val="36"/>
          <w:szCs w:val="36"/>
        </w:rPr>
        <w:t>年二月二十八日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0" w:right="1659" w:firstLine="0"/>
        <w:jc w:val="center"/>
        <w:rPr>
          <w:rFonts w:ascii="Times New Roman" w:hAnsi="Times New Roman" w:cs="Times New Roman" w:eastAsia="Times New Roman" w:hint="default"/>
          <w:sz w:val="18"/>
          <w:szCs w:val="18"/>
        </w:rPr>
      </w:pPr>
      <w:r>
        <w:rPr/>
        <w:pict>
          <v:shape style="position:absolute;margin-left:494.049988pt;margin-top:2.326092pt;width:101.25pt;height:57.75pt;mso-position-horizontal-relative:page;mso-position-vertical-relative:paragraph;z-index:1072" type="#_x0000_t75" stroked="false">
            <v:imagedata r:id="rId6" o:title=""/>
          </v:shape>
        </w:pict>
      </w:r>
      <w:r>
        <w:rPr>
          <w:rFonts w:ascii="Times New Roman"/>
          <w:sz w:val="18"/>
        </w:rPr>
        <w:t>0</w:t>
      </w:r>
    </w:p>
    <w:p>
      <w:pPr>
        <w:spacing w:after="0"/>
        <w:jc w:val="center"/>
        <w:rPr>
          <w:rFonts w:ascii="Times New Roman" w:hAnsi="Times New Roman" w:cs="Times New Roman" w:eastAsia="Times New Roman" w:hint="default"/>
          <w:sz w:val="18"/>
          <w:szCs w:val="18"/>
        </w:rPr>
        <w:sectPr>
          <w:type w:val="continuous"/>
          <w:pgSz w:w="11910" w:h="16840"/>
          <w:pgMar w:top="700" w:bottom="0" w:left="1660" w:right="0"/>
        </w:sectPr>
      </w:pPr>
    </w:p>
    <w:p>
      <w:pPr>
        <w:spacing w:line="240" w:lineRule="auto" w:before="2"/>
        <w:rPr>
          <w:rFonts w:ascii="Times New Roman" w:hAnsi="Times New Roman" w:cs="Times New Roman" w:eastAsia="Times New Roman" w:hint="default"/>
          <w:sz w:val="28"/>
          <w:szCs w:val="28"/>
        </w:rPr>
      </w:pPr>
    </w:p>
    <w:p>
      <w:pPr>
        <w:spacing w:line="460" w:lineRule="exact" w:before="0"/>
        <w:ind w:left="0" w:right="1162"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8"/>
          <w:szCs w:val="48"/>
        </w:rPr>
      </w:pPr>
    </w:p>
    <w:p>
      <w:pPr>
        <w:pStyle w:val="BodyText"/>
        <w:spacing w:line="357" w:lineRule="auto" w:before="0"/>
        <w:ind w:right="1292" w:firstLine="479"/>
        <w:jc w:val="both"/>
        <w:rPr>
          <w:rFonts w:ascii="宋体" w:hAnsi="宋体" w:cs="宋体" w:eastAsia="宋体" w:hint="default"/>
        </w:rPr>
      </w:pPr>
      <w:r>
        <w:rPr>
          <w:rFonts w:ascii="宋体" w:hAnsi="宋体" w:cs="宋体" w:eastAsia="宋体" w:hint="default"/>
          <w:spacing w:val="2"/>
        </w:rPr>
        <w:t>本公司董事会、监事会及董事、监事、高级管理人员保证本报告所载资料不存在</w:t>
      </w:r>
      <w:r>
        <w:rPr>
          <w:rFonts w:ascii="宋体" w:hAnsi="宋体" w:cs="宋体" w:eastAsia="宋体" w:hint="default"/>
        </w:rPr>
        <w:t> </w:t>
      </w:r>
      <w:r>
        <w:rPr>
          <w:rFonts w:ascii="宋体" w:hAnsi="宋体" w:cs="宋体" w:eastAsia="宋体" w:hint="default"/>
          <w:spacing w:val="2"/>
        </w:rPr>
        <w:t>任何虚假记载、误导性陈述或者重大遗漏，并对其内容的真实性、准确性和完整性承</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担个别及连带责任。</w:t>
      </w:r>
    </w:p>
    <w:p>
      <w:pPr>
        <w:spacing w:line="240" w:lineRule="auto" w:before="0"/>
        <w:rPr>
          <w:rFonts w:ascii="宋体" w:hAnsi="宋体" w:cs="宋体" w:eastAsia="宋体" w:hint="default"/>
          <w:sz w:val="24"/>
          <w:szCs w:val="24"/>
        </w:rPr>
      </w:pPr>
    </w:p>
    <w:p>
      <w:pPr>
        <w:pStyle w:val="BodyText"/>
        <w:spacing w:line="355" w:lineRule="auto" w:before="188"/>
        <w:ind w:right="1289" w:firstLine="479"/>
        <w:jc w:val="both"/>
        <w:rPr>
          <w:rFonts w:ascii="宋体" w:hAnsi="宋体" w:cs="宋体" w:eastAsia="宋体" w:hint="default"/>
        </w:rPr>
      </w:pPr>
      <w:r>
        <w:rPr>
          <w:rFonts w:ascii="宋体" w:hAnsi="宋体" w:cs="宋体" w:eastAsia="宋体" w:hint="default"/>
          <w:spacing w:val="2"/>
        </w:rPr>
        <w:t>没有董事、监事、高级管理人员对本报告内容的真实性、准确性、完整性无法保</w:t>
      </w:r>
      <w:r>
        <w:rPr>
          <w:rFonts w:ascii="宋体" w:hAnsi="宋体" w:cs="宋体" w:eastAsia="宋体" w:hint="default"/>
        </w:rPr>
        <w:t> 证或存在异议。</w:t>
      </w:r>
    </w:p>
    <w:p>
      <w:pPr>
        <w:spacing w:line="240" w:lineRule="auto" w:before="0"/>
        <w:rPr>
          <w:rFonts w:ascii="宋体" w:hAnsi="宋体" w:cs="宋体" w:eastAsia="宋体" w:hint="default"/>
          <w:sz w:val="24"/>
          <w:szCs w:val="24"/>
        </w:rPr>
      </w:pPr>
    </w:p>
    <w:p>
      <w:pPr>
        <w:pStyle w:val="BodyText"/>
        <w:spacing w:line="357" w:lineRule="auto" w:before="190"/>
        <w:ind w:right="1283" w:firstLine="479"/>
        <w:jc w:val="both"/>
        <w:rPr>
          <w:rFonts w:ascii="宋体" w:hAnsi="宋体" w:cs="宋体" w:eastAsia="宋体" w:hint="default"/>
        </w:rPr>
      </w:pPr>
      <w:r>
        <w:rPr>
          <w:rFonts w:ascii="宋体" w:hAnsi="宋体" w:cs="宋体" w:eastAsia="宋体" w:hint="default"/>
        </w:rPr>
        <w:t>本公司</w:t>
      </w:r>
      <w:r>
        <w:rPr>
          <w:rFonts w:ascii="宋体" w:hAnsi="宋体" w:cs="宋体" w:eastAsia="宋体" w:hint="default"/>
          <w:spacing w:val="-63"/>
        </w:rPr>
        <w:t> </w:t>
      </w:r>
      <w:r>
        <w:rPr>
          <w:rFonts w:ascii="宋体" w:hAnsi="宋体" w:cs="宋体" w:eastAsia="宋体" w:hint="default"/>
        </w:rPr>
        <w:t>2011</w:t>
      </w:r>
      <w:r>
        <w:rPr>
          <w:rFonts w:ascii="宋体" w:hAnsi="宋体" w:cs="宋体" w:eastAsia="宋体" w:hint="default"/>
          <w:spacing w:val="-63"/>
        </w:rPr>
        <w:t> </w:t>
      </w:r>
      <w:r>
        <w:rPr>
          <w:rFonts w:ascii="宋体" w:hAnsi="宋体" w:cs="宋体" w:eastAsia="宋体" w:hint="default"/>
        </w:rPr>
        <w:t>年度财务报告已经中瑞岳华会计师事务所有限公司审计并出具了标准 无保留意见的审计报告。</w:t>
      </w:r>
    </w:p>
    <w:p>
      <w:pPr>
        <w:spacing w:line="240" w:lineRule="auto" w:before="0"/>
        <w:rPr>
          <w:rFonts w:ascii="宋体" w:hAnsi="宋体" w:cs="宋体" w:eastAsia="宋体" w:hint="default"/>
          <w:sz w:val="24"/>
          <w:szCs w:val="24"/>
        </w:rPr>
      </w:pPr>
    </w:p>
    <w:p>
      <w:pPr>
        <w:pStyle w:val="BodyText"/>
        <w:spacing w:line="355" w:lineRule="auto" w:before="188"/>
        <w:ind w:right="1287" w:firstLine="479"/>
        <w:jc w:val="both"/>
        <w:rPr>
          <w:rFonts w:ascii="宋体" w:hAnsi="宋体" w:cs="宋体" w:eastAsia="宋体" w:hint="default"/>
        </w:rPr>
      </w:pPr>
      <w:r>
        <w:rPr>
          <w:rFonts w:ascii="宋体" w:hAnsi="宋体" w:cs="宋体" w:eastAsia="宋体" w:hint="default"/>
          <w:spacing w:val="2"/>
        </w:rPr>
        <w:t>本公司董事长谷望江女士、总经理及会计机构负责人史建中先生、财务负责人郑</w:t>
      </w:r>
      <w:r>
        <w:rPr>
          <w:rFonts w:ascii="宋体" w:hAnsi="宋体" w:cs="宋体" w:eastAsia="宋体" w:hint="default"/>
        </w:rPr>
        <w:t> 理女士声明：保证</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年度报告中财务报告的真实、准确、完整。</w:t>
      </w:r>
    </w:p>
    <w:p>
      <w:pPr>
        <w:spacing w:after="0" w:line="355" w:lineRule="auto"/>
        <w:jc w:val="both"/>
        <w:rPr>
          <w:rFonts w:ascii="宋体" w:hAnsi="宋体" w:cs="宋体" w:eastAsia="宋体" w:hint="default"/>
        </w:rPr>
        <w:sectPr>
          <w:headerReference w:type="default" r:id="rId7"/>
          <w:footerReference w:type="default" r:id="rId8"/>
          <w:pgSz w:w="11910" w:h="16840"/>
          <w:pgMar w:header="737" w:footer="1153" w:top="1060" w:bottom="1340" w:left="1500" w:right="0"/>
          <w:pgNumType w:start="1"/>
        </w:sectPr>
      </w:pPr>
    </w:p>
    <w:p>
      <w:pPr>
        <w:spacing w:line="240" w:lineRule="auto" w:before="6"/>
        <w:rPr>
          <w:rFonts w:ascii="宋体" w:hAnsi="宋体" w:cs="宋体" w:eastAsia="宋体" w:hint="default"/>
          <w:sz w:val="24"/>
          <w:szCs w:val="24"/>
        </w:rPr>
      </w:pPr>
    </w:p>
    <w:p>
      <w:pPr>
        <w:tabs>
          <w:tab w:pos="965" w:val="left" w:leader="none"/>
        </w:tabs>
        <w:spacing w:line="456" w:lineRule="exact" w:before="0"/>
        <w:ind w:left="0" w:right="1025"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目</w:t>
        <w:tab/>
      </w:r>
      <w:r>
        <w:rPr>
          <w:rFonts w:ascii="Microsoft JhengHei" w:hAnsi="Microsoft JhengHei" w:cs="Microsoft JhengHei" w:eastAsia="Microsoft JhengHei" w:hint="default"/>
          <w:b/>
          <w:bCs/>
          <w:sz w:val="32"/>
          <w:szCs w:val="32"/>
        </w:rPr>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1531" w:val="left" w:leader="none"/>
              <w:tab w:pos="8427" w:val="right" w:leader="dot"/>
            </w:tabs>
            <w:spacing w:line="240" w:lineRule="auto" w:before="758"/>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公司基本情况简介</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531" w:val="left" w:leader="none"/>
              <w:tab w:pos="8427"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w w:val="95"/>
              </w:rPr>
              <w:t>第二节</w:t>
              <w:tab/>
            </w:r>
            <w:r>
              <w:rPr/>
              <w:t>会计数据和业务数据摘要</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531" w:val="left" w:leader="none"/>
              <w:tab w:pos="8427" w:val="right" w:leader="dot"/>
            </w:tabs>
            <w:spacing w:line="240" w:lineRule="auto" w:before="339"/>
            <w:ind w:right="0"/>
            <w:jc w:val="left"/>
            <w:rPr>
              <w:rFonts w:ascii="Times New Roman" w:hAnsi="Times New Roman" w:cs="Times New Roman" w:eastAsia="Times New Roman" w:hint="default"/>
              <w:b w:val="0"/>
              <w:bCs w:val="0"/>
            </w:rPr>
          </w:pPr>
          <w:hyperlink w:history="true" w:anchor="_TOC_250009">
            <w:r>
              <w:rPr>
                <w:w w:val="95"/>
              </w:rPr>
              <w:t>第三节</w:t>
              <w:tab/>
            </w:r>
            <w:r>
              <w:rPr/>
              <w:t>股本变动及股东情况</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531" w:val="left" w:leader="none"/>
              <w:tab w:pos="841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1531" w:val="left" w:leader="none"/>
              <w:tab w:pos="8428" w:val="right" w:leader="dot"/>
            </w:tabs>
            <w:spacing w:line="240" w:lineRule="auto" w:before="340"/>
            <w:ind w:right="0"/>
            <w:jc w:val="left"/>
            <w:rPr>
              <w:rFonts w:ascii="Times New Roman" w:hAnsi="Times New Roman" w:cs="Times New Roman" w:eastAsia="Times New Roman" w:hint="default"/>
              <w:b w:val="0"/>
              <w:bCs w:val="0"/>
            </w:rPr>
          </w:pPr>
          <w:hyperlink w:history="true" w:anchor="_TOC_250007">
            <w:r>
              <w:rPr>
                <w:w w:val="95"/>
              </w:rPr>
              <w:t>第五节</w:t>
              <w:tab/>
            </w:r>
            <w:r>
              <w:rPr/>
              <w:t>公司治理</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1531" w:val="left" w:leader="none"/>
              <w:tab w:pos="8428" w:val="right" w:leader="dot"/>
            </w:tabs>
            <w:spacing w:line="240" w:lineRule="auto" w:before="339"/>
            <w:ind w:right="0"/>
            <w:jc w:val="left"/>
            <w:rPr>
              <w:rFonts w:ascii="Times New Roman" w:hAnsi="Times New Roman" w:cs="Times New Roman" w:eastAsia="Times New Roman" w:hint="default"/>
              <w:b w:val="0"/>
              <w:bCs w:val="0"/>
            </w:rPr>
          </w:pPr>
          <w:hyperlink w:history="true" w:anchor="_TOC_250006">
            <w:r>
              <w:rPr>
                <w:w w:val="95"/>
              </w:rPr>
              <w:t>第六节</w:t>
              <w:tab/>
            </w:r>
            <w:r>
              <w:rPr/>
              <w:t>内部控制</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531" w:val="left" w:leader="none"/>
              <w:tab w:pos="8428"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第七节</w:t>
              <w:tab/>
            </w:r>
            <w:r>
              <w:rPr/>
              <w:t>股东大会情况简介</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531" w:val="left" w:leader="none"/>
              <w:tab w:pos="8428" w:val="right" w:leader="dot"/>
            </w:tabs>
            <w:spacing w:line="240" w:lineRule="auto" w:before="339"/>
            <w:ind w:right="0"/>
            <w:jc w:val="left"/>
            <w:rPr>
              <w:rFonts w:ascii="Times New Roman" w:hAnsi="Times New Roman" w:cs="Times New Roman" w:eastAsia="Times New Roman" w:hint="default"/>
              <w:b w:val="0"/>
              <w:bCs w:val="0"/>
            </w:rPr>
          </w:pPr>
          <w:hyperlink w:history="true" w:anchor="_TOC_250004">
            <w:r>
              <w:rPr>
                <w:w w:val="95"/>
              </w:rPr>
              <w:t>第八节</w:t>
              <w:tab/>
            </w:r>
            <w:r>
              <w:rPr/>
              <w:t>董事会报告</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531" w:val="left" w:leader="none"/>
              <w:tab w:pos="8428"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第九节</w:t>
              <w:tab/>
            </w:r>
            <w:r>
              <w:rPr/>
              <w:t>监事会报告</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531" w:val="left" w:leader="none"/>
              <w:tab w:pos="8428" w:val="right" w:leader="dot"/>
            </w:tabs>
            <w:spacing w:line="240" w:lineRule="auto" w:before="340"/>
            <w:ind w:right="0"/>
            <w:jc w:val="left"/>
            <w:rPr>
              <w:rFonts w:ascii="Times New Roman" w:hAnsi="Times New Roman" w:cs="Times New Roman" w:eastAsia="Times New Roman" w:hint="default"/>
              <w:b w:val="0"/>
              <w:bCs w:val="0"/>
            </w:rPr>
          </w:pPr>
          <w:hyperlink w:history="true" w:anchor="_TOC_250002">
            <w:r>
              <w:rPr>
                <w:w w:val="95"/>
              </w:rPr>
              <w:t>第十节</w:t>
              <w:tab/>
            </w:r>
            <w:r>
              <w:rPr/>
              <w:t>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531" w:val="left" w:leader="none"/>
              <w:tab w:pos="8428" w:val="right" w:leader="dot"/>
            </w:tabs>
            <w:spacing w:line="240" w:lineRule="auto" w:before="33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531" w:val="left" w:leader="none"/>
              <w:tab w:pos="8426"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123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37" w:footer="1153" w:top="1060" w:bottom="1340" w:left="1500" w:right="0"/>
        </w:sect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pStyle w:val="Heading1"/>
        <w:tabs>
          <w:tab w:pos="4195" w:val="left" w:leader="none"/>
        </w:tabs>
        <w:spacing w:line="240" w:lineRule="auto" w:before="211"/>
        <w:ind w:left="2839" w:right="1276"/>
        <w:jc w:val="left"/>
        <w:rPr>
          <w:b w:val="0"/>
          <w:bCs w:val="0"/>
        </w:rPr>
      </w:pPr>
      <w:bookmarkStart w:name="_TOC_250011" w:id="1"/>
      <w:r>
        <w:rPr>
          <w:w w:val="95"/>
        </w:rPr>
        <w:t>第一节</w:t>
        <w:tab/>
      </w:r>
      <w:r>
        <w:rPr/>
        <w:t>公司基本情况简介</w:t>
      </w:r>
      <w:bookmarkEnd w:id="1"/>
      <w:r>
        <w:rPr>
          <w:b w:val="0"/>
          <w:bCs w:val="0"/>
        </w:rPr>
      </w:r>
    </w:p>
    <w:p>
      <w:pPr>
        <w:spacing w:line="355" w:lineRule="auto" w:before="209"/>
        <w:ind w:left="222" w:right="6517" w:firstLine="0"/>
        <w:jc w:val="left"/>
        <w:rPr>
          <w:rFonts w:ascii="宋体" w:hAnsi="宋体" w:cs="宋体" w:eastAsia="宋体" w:hint="default"/>
          <w:sz w:val="21"/>
          <w:szCs w:val="21"/>
        </w:rPr>
      </w:pPr>
      <w:r>
        <w:rPr>
          <w:rFonts w:ascii="宋体" w:hAnsi="宋体" w:cs="宋体" w:eastAsia="宋体" w:hint="default"/>
          <w:b/>
          <w:bCs/>
          <w:sz w:val="21"/>
          <w:szCs w:val="21"/>
        </w:rPr>
        <w:t>一、公司名称</w:t>
      </w:r>
      <w:r>
        <w:rPr>
          <w:rFonts w:ascii="宋体" w:hAnsi="宋体" w:cs="宋体" w:eastAsia="宋体" w:hint="default"/>
          <w:b/>
          <w:bCs/>
          <w:spacing w:val="-104"/>
          <w:sz w:val="21"/>
          <w:szCs w:val="21"/>
        </w:rPr>
        <w:t> </w:t>
      </w:r>
      <w:r>
        <w:rPr>
          <w:rFonts w:ascii="宋体" w:hAnsi="宋体" w:cs="宋体" w:eastAsia="宋体" w:hint="default"/>
          <w:b/>
          <w:bCs/>
          <w:spacing w:val="-2"/>
          <w:sz w:val="21"/>
          <w:szCs w:val="21"/>
        </w:rPr>
        <w:t>中文名称</w:t>
      </w:r>
      <w:r>
        <w:rPr>
          <w:rFonts w:ascii="宋体" w:hAnsi="宋体" w:cs="宋体" w:eastAsia="宋体" w:hint="default"/>
          <w:spacing w:val="-2"/>
          <w:sz w:val="21"/>
          <w:szCs w:val="21"/>
        </w:rPr>
        <w:t>：东港安全印刷股份有限公司</w:t>
      </w:r>
    </w:p>
    <w:p>
      <w:pPr>
        <w:tabs>
          <w:tab w:pos="2327" w:val="left" w:leader="none"/>
          <w:tab w:pos="3379" w:val="left" w:leader="none"/>
          <w:tab w:pos="4430" w:val="left" w:leader="none"/>
        </w:tabs>
        <w:spacing w:before="32"/>
        <w:ind w:left="222" w:right="1276" w:firstLine="0"/>
        <w:jc w:val="left"/>
        <w:rPr>
          <w:rFonts w:ascii="宋体" w:hAnsi="宋体" w:cs="宋体" w:eastAsia="宋体" w:hint="default"/>
          <w:sz w:val="21"/>
          <w:szCs w:val="21"/>
        </w:rPr>
      </w:pPr>
      <w:r>
        <w:rPr>
          <w:rFonts w:ascii="宋体" w:hAnsi="宋体" w:cs="宋体" w:eastAsia="宋体" w:hint="default"/>
          <w:b/>
          <w:bCs/>
          <w:spacing w:val="-1"/>
          <w:sz w:val="21"/>
          <w:szCs w:val="21"/>
        </w:rPr>
        <w:t>英文名称</w:t>
      </w:r>
      <w:r>
        <w:rPr>
          <w:rFonts w:ascii="宋体" w:hAnsi="宋体" w:cs="宋体" w:eastAsia="宋体" w:hint="default"/>
          <w:spacing w:val="-1"/>
          <w:sz w:val="21"/>
          <w:szCs w:val="21"/>
        </w:rPr>
        <w:t>：</w:t>
      </w:r>
      <w:r>
        <w:rPr>
          <w:rFonts w:ascii="宋体" w:hAnsi="宋体" w:cs="宋体" w:eastAsia="宋体" w:hint="default"/>
          <w:spacing w:val="-1"/>
          <w:sz w:val="21"/>
          <w:szCs w:val="21"/>
        </w:rPr>
        <w:t>TUNGKONG</w:t>
        <w:tab/>
        <w:t>SECURITY</w:t>
        <w:tab/>
        <w:t>PRINTING</w:t>
        <w:tab/>
      </w:r>
      <w:r>
        <w:rPr>
          <w:rFonts w:ascii="宋体" w:hAnsi="宋体" w:cs="宋体" w:eastAsia="宋体" w:hint="default"/>
          <w:spacing w:val="-2"/>
          <w:sz w:val="21"/>
          <w:szCs w:val="21"/>
        </w:rPr>
        <w:t>CO.,LTD</w:t>
      </w:r>
    </w:p>
    <w:p>
      <w:pPr>
        <w:spacing w:line="357" w:lineRule="auto" w:before="133"/>
        <w:ind w:left="222" w:right="6517" w:firstLine="0"/>
        <w:jc w:val="left"/>
        <w:rPr>
          <w:rFonts w:ascii="宋体" w:hAnsi="宋体" w:cs="宋体" w:eastAsia="宋体" w:hint="default"/>
          <w:sz w:val="21"/>
          <w:szCs w:val="21"/>
        </w:rPr>
      </w:pPr>
      <w:r>
        <w:rPr>
          <w:rFonts w:ascii="宋体" w:hAnsi="宋体" w:cs="宋体" w:eastAsia="宋体" w:hint="default"/>
          <w:b/>
          <w:bCs/>
          <w:sz w:val="21"/>
          <w:szCs w:val="21"/>
        </w:rPr>
        <w:t>中文简称</w:t>
      </w:r>
      <w:r>
        <w:rPr>
          <w:rFonts w:ascii="宋体" w:hAnsi="宋体" w:cs="宋体" w:eastAsia="宋体" w:hint="default"/>
          <w:sz w:val="21"/>
          <w:szCs w:val="21"/>
        </w:rPr>
        <w:t>：东港股份</w:t>
      </w:r>
      <w:r>
        <w:rPr>
          <w:rFonts w:ascii="宋体" w:hAnsi="宋体" w:cs="宋体" w:eastAsia="宋体" w:hint="default"/>
          <w:w w:val="100"/>
          <w:sz w:val="21"/>
          <w:szCs w:val="21"/>
        </w:rPr>
        <w:t> </w:t>
      </w:r>
      <w:r>
        <w:rPr>
          <w:rFonts w:ascii="宋体" w:hAnsi="宋体" w:cs="宋体" w:eastAsia="宋体" w:hint="default"/>
          <w:b/>
          <w:bCs/>
          <w:sz w:val="21"/>
          <w:szCs w:val="21"/>
        </w:rPr>
        <w:t>英文简称</w:t>
      </w:r>
      <w:r>
        <w:rPr>
          <w:rFonts w:ascii="宋体" w:hAnsi="宋体" w:cs="宋体" w:eastAsia="宋体" w:hint="default"/>
          <w:sz w:val="21"/>
          <w:szCs w:val="21"/>
        </w:rPr>
        <w:t>：</w:t>
      </w:r>
      <w:r>
        <w:rPr>
          <w:rFonts w:ascii="宋体" w:hAnsi="宋体" w:cs="宋体" w:eastAsia="宋体" w:hint="default"/>
          <w:sz w:val="21"/>
          <w:szCs w:val="21"/>
        </w:rPr>
        <w:t>TUNGKONG</w:t>
      </w:r>
    </w:p>
    <w:p>
      <w:pPr>
        <w:spacing w:line="240" w:lineRule="auto" w:before="0"/>
        <w:rPr>
          <w:rFonts w:ascii="宋体" w:hAnsi="宋体" w:cs="宋体" w:eastAsia="宋体" w:hint="default"/>
          <w:sz w:val="20"/>
          <w:szCs w:val="20"/>
        </w:rPr>
      </w:pPr>
    </w:p>
    <w:p>
      <w:pPr>
        <w:spacing w:line="715" w:lineRule="auto" w:before="176"/>
        <w:ind w:left="222" w:right="6517" w:firstLine="0"/>
        <w:jc w:val="left"/>
        <w:rPr>
          <w:rFonts w:ascii="宋体" w:hAnsi="宋体" w:cs="宋体" w:eastAsia="宋体" w:hint="default"/>
          <w:sz w:val="21"/>
          <w:szCs w:val="21"/>
        </w:rPr>
      </w:pPr>
      <w:r>
        <w:rPr/>
        <w:pict>
          <v:shape style="position:absolute;margin-left:75.503998pt;margin-top:71.853683pt;width:444.2pt;height:169.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9"/>
                    <w:gridCol w:w="3474"/>
                    <w:gridCol w:w="3817"/>
                  </w:tblGrid>
                  <w:tr>
                    <w:trPr>
                      <w:trHeight w:val="564" w:hRule="exact"/>
                    </w:trPr>
                    <w:tc>
                      <w:tcPr>
                        <w:tcW w:w="1579"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34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8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566" w:hRule="exact"/>
                    </w:trPr>
                    <w:tc>
                      <w:tcPr>
                        <w:tcW w:w="15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3" w:val="left" w:leader="none"/>
                          </w:tabs>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齐利国</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阮永城</w:t>
                        </w:r>
                      </w:p>
                    </w:tc>
                  </w:tr>
                  <w:tr>
                    <w:trPr>
                      <w:trHeight w:val="564" w:hRule="exact"/>
                    </w:trPr>
                    <w:tc>
                      <w:tcPr>
                        <w:tcW w:w="15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564" w:hRule="exact"/>
                    </w:trPr>
                    <w:tc>
                      <w:tcPr>
                        <w:tcW w:w="15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3" w:val="left" w:leader="none"/>
                          </w:tabs>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电</w:t>
                          <w:tab/>
                          <w:t>话</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0531-88904590</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0531-88904590</w:t>
                        </w:r>
                      </w:p>
                    </w:tc>
                  </w:tr>
                  <w:tr>
                    <w:trPr>
                      <w:trHeight w:val="567" w:hRule="exact"/>
                    </w:trPr>
                    <w:tc>
                      <w:tcPr>
                        <w:tcW w:w="15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3" w:val="left" w:leader="none"/>
                          </w:tabs>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0531-82672202</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0531-82672202</w:t>
                        </w:r>
                      </w:p>
                    </w:tc>
                  </w:tr>
                  <w:tr>
                    <w:trPr>
                      <w:trHeight w:val="564" w:hRule="exact"/>
                    </w:trPr>
                    <w:tc>
                      <w:tcPr>
                        <w:tcW w:w="15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电子邮箱</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hyperlink r:id="rId9">
                          <w:r>
                            <w:rPr>
                              <w:rFonts w:ascii="宋体"/>
                              <w:sz w:val="21"/>
                            </w:rPr>
                            <w:t>Qi-liguo@tungkong.com.cn</w:t>
                          </w:r>
                        </w:hyperlink>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color w:val="0000FF"/>
                            <w:sz w:val="24"/>
                          </w:rPr>
                        </w:r>
                        <w:hyperlink r:id="rId10">
                          <w:r>
                            <w:rPr>
                              <w:rFonts w:ascii="宋体"/>
                              <w:color w:val="0000FF"/>
                              <w:sz w:val="24"/>
                              <w:u w:val="single" w:color="0000FF"/>
                            </w:rPr>
                            <w:t>Ruan-yongcheng@tungkong.com.cn</w:t>
                          </w:r>
                          <w:r>
                            <w:rPr>
                              <w:rFonts w:ascii="宋体"/>
                              <w:color w:val="0000FF"/>
                              <w:sz w:val="24"/>
                            </w:rPr>
                          </w:r>
                          <w:r>
                            <w:rPr>
                              <w:rFonts w:ascii="宋体"/>
                              <w:sz w:val="24"/>
                            </w:rPr>
                          </w:r>
                        </w:hyperlink>
                      </w:p>
                    </w:tc>
                  </w:tr>
                </w:tbl>
                <w:p>
                  <w:pPr/>
                </w:p>
              </w:txbxContent>
            </v:textbox>
            <w10:wrap type="none"/>
          </v:shape>
        </w:pict>
      </w:r>
      <w:r>
        <w:rPr>
          <w:rFonts w:ascii="宋体" w:hAnsi="宋体" w:cs="宋体" w:eastAsia="宋体" w:hint="default"/>
          <w:b/>
          <w:bCs/>
          <w:sz w:val="21"/>
          <w:szCs w:val="21"/>
        </w:rPr>
        <w:t>二、公司法定代表人：谷望江</w:t>
      </w:r>
      <w:r>
        <w:rPr>
          <w:rFonts w:ascii="宋体" w:hAnsi="宋体" w:cs="宋体" w:eastAsia="宋体" w:hint="default"/>
          <w:b/>
          <w:bCs/>
          <w:w w:val="100"/>
          <w:sz w:val="21"/>
          <w:szCs w:val="21"/>
        </w:rPr>
        <w:t> </w:t>
      </w:r>
      <w:r>
        <w:rPr>
          <w:rFonts w:ascii="宋体" w:hAnsi="宋体" w:cs="宋体" w:eastAsia="宋体" w:hint="default"/>
          <w:b/>
          <w:bCs/>
          <w:spacing w:val="-1"/>
          <w:sz w:val="21"/>
          <w:szCs w:val="21"/>
        </w:rPr>
        <w:t>三、公司董事会秘书、证券事务代表</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before="36"/>
        <w:ind w:left="222" w:right="1276" w:firstLine="0"/>
        <w:jc w:val="left"/>
        <w:rPr>
          <w:rFonts w:ascii="宋体" w:hAnsi="宋体" w:cs="宋体" w:eastAsia="宋体" w:hint="default"/>
          <w:sz w:val="21"/>
          <w:szCs w:val="21"/>
        </w:rPr>
      </w:pPr>
      <w:r>
        <w:rPr>
          <w:rFonts w:ascii="宋体" w:hAnsi="宋体" w:cs="宋体" w:eastAsia="宋体" w:hint="default"/>
          <w:b/>
          <w:bCs/>
          <w:sz w:val="21"/>
          <w:szCs w:val="21"/>
        </w:rPr>
        <w:t>四、公司注册地址</w:t>
      </w:r>
      <w:r>
        <w:rPr>
          <w:rFonts w:ascii="宋体" w:hAnsi="宋体" w:cs="宋体" w:eastAsia="宋体" w:hint="default"/>
          <w:sz w:val="21"/>
          <w:szCs w:val="21"/>
        </w:rPr>
        <w:t>：山东省济南市山大北路</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w:t>
      </w:r>
    </w:p>
    <w:p>
      <w:pPr>
        <w:spacing w:line="357" w:lineRule="auto" w:before="133"/>
        <w:ind w:left="645" w:right="5741" w:firstLine="0"/>
        <w:jc w:val="left"/>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sz w:val="21"/>
          <w:szCs w:val="21"/>
        </w:rPr>
        <w:t>：山东省济南市山大北路</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b/>
          <w:bCs/>
          <w:sz w:val="21"/>
          <w:szCs w:val="21"/>
        </w:rPr>
        <w:t>邮政编码</w:t>
      </w:r>
      <w:r>
        <w:rPr>
          <w:rFonts w:ascii="宋体" w:hAnsi="宋体" w:cs="宋体" w:eastAsia="宋体" w:hint="default"/>
          <w:sz w:val="21"/>
          <w:szCs w:val="21"/>
        </w:rPr>
        <w:t>：</w:t>
      </w:r>
      <w:r>
        <w:rPr>
          <w:rFonts w:ascii="宋体" w:hAnsi="宋体" w:cs="宋体" w:eastAsia="宋体" w:hint="default"/>
          <w:sz w:val="21"/>
          <w:szCs w:val="21"/>
        </w:rPr>
        <w:t>250100</w:t>
      </w:r>
      <w:r>
        <w:rPr>
          <w:rFonts w:ascii="宋体" w:hAnsi="宋体" w:cs="宋体" w:eastAsia="宋体" w:hint="default"/>
          <w:w w:val="100"/>
          <w:sz w:val="21"/>
          <w:szCs w:val="21"/>
        </w:rPr>
        <w:t> </w:t>
      </w:r>
      <w:r>
        <w:rPr>
          <w:rFonts w:ascii="宋体" w:hAnsi="宋体" w:cs="宋体" w:eastAsia="宋体" w:hint="default"/>
          <w:b/>
          <w:bCs/>
          <w:sz w:val="21"/>
          <w:szCs w:val="21"/>
        </w:rPr>
        <w:t>公司</w:t>
      </w:r>
      <w:r>
        <w:rPr>
          <w:rFonts w:ascii="宋体" w:hAnsi="宋体" w:cs="宋体" w:eastAsia="宋体" w:hint="default"/>
          <w:b/>
          <w:bCs/>
          <w:sz w:val="24"/>
          <w:szCs w:val="24"/>
        </w:rPr>
        <w:t>网址</w:t>
      </w:r>
      <w:r>
        <w:rPr>
          <w:rFonts w:ascii="宋体" w:hAnsi="宋体" w:cs="宋体" w:eastAsia="宋体" w:hint="default"/>
          <w:sz w:val="21"/>
          <w:szCs w:val="21"/>
        </w:rPr>
        <w:t>：</w:t>
      </w:r>
      <w:hyperlink r:id="rId11">
        <w:r>
          <w:rPr>
            <w:rFonts w:ascii="宋体" w:hAnsi="宋体" w:cs="宋体" w:eastAsia="宋体" w:hint="default"/>
            <w:sz w:val="21"/>
            <w:szCs w:val="21"/>
          </w:rPr>
          <w:t>http://www.tungkong.com</w:t>
        </w:r>
      </w:hyperlink>
      <w:r>
        <w:rPr>
          <w:rFonts w:ascii="宋体" w:hAnsi="宋体" w:cs="宋体" w:eastAsia="宋体" w:hint="default"/>
          <w:sz w:val="21"/>
          <w:szCs w:val="21"/>
        </w:rPr>
        <w:t>.cn</w:t>
      </w:r>
      <w:r>
        <w:rPr>
          <w:rFonts w:ascii="宋体" w:hAnsi="宋体" w:cs="宋体" w:eastAsia="宋体" w:hint="default"/>
          <w:w w:val="100"/>
          <w:sz w:val="21"/>
          <w:szCs w:val="21"/>
        </w:rPr>
        <w:t> </w:t>
      </w:r>
      <w:r>
        <w:rPr>
          <w:rFonts w:ascii="宋体" w:hAnsi="宋体" w:cs="宋体" w:eastAsia="宋体" w:hint="default"/>
          <w:b/>
          <w:bCs/>
          <w:sz w:val="21"/>
          <w:szCs w:val="21"/>
        </w:rPr>
        <w:t>电子信箱</w:t>
      </w:r>
      <w:r>
        <w:rPr>
          <w:rFonts w:ascii="宋体" w:hAnsi="宋体" w:cs="宋体" w:eastAsia="宋体" w:hint="default"/>
          <w:sz w:val="21"/>
          <w:szCs w:val="21"/>
        </w:rPr>
        <w:t>：</w:t>
      </w:r>
      <w:hyperlink r:id="rId12">
        <w:r>
          <w:rPr>
            <w:rFonts w:ascii="宋体" w:hAnsi="宋体" w:cs="宋体" w:eastAsia="宋体" w:hint="default"/>
            <w:sz w:val="21"/>
            <w:szCs w:val="21"/>
          </w:rPr>
          <w:t>dggf@tungkong.com.cn</w:t>
        </w:r>
      </w:hyperlink>
    </w:p>
    <w:p>
      <w:pPr>
        <w:spacing w:line="240" w:lineRule="auto" w:before="0"/>
        <w:rPr>
          <w:rFonts w:ascii="宋体" w:hAnsi="宋体" w:cs="宋体" w:eastAsia="宋体" w:hint="default"/>
          <w:sz w:val="20"/>
          <w:szCs w:val="20"/>
        </w:rPr>
      </w:pPr>
    </w:p>
    <w:p>
      <w:pPr>
        <w:spacing w:line="357" w:lineRule="auto" w:before="177"/>
        <w:ind w:left="635" w:right="1276" w:hanging="413"/>
        <w:jc w:val="left"/>
        <w:rPr>
          <w:rFonts w:ascii="宋体" w:hAnsi="宋体" w:cs="宋体" w:eastAsia="宋体" w:hint="default"/>
          <w:sz w:val="21"/>
          <w:szCs w:val="21"/>
        </w:rPr>
      </w:pPr>
      <w:r>
        <w:rPr>
          <w:rFonts w:ascii="宋体" w:hAnsi="宋体" w:cs="宋体" w:eastAsia="宋体" w:hint="default"/>
          <w:b/>
          <w:bCs/>
          <w:spacing w:val="-6"/>
          <w:w w:val="100"/>
          <w:sz w:val="21"/>
          <w:szCs w:val="21"/>
        </w:rPr>
        <w:t>五、公司选定的信息披露报纸</w:t>
      </w:r>
      <w:r>
        <w:rPr>
          <w:rFonts w:ascii="宋体" w:hAnsi="宋体" w:cs="宋体" w:eastAsia="宋体" w:hint="default"/>
          <w:spacing w:val="-6"/>
          <w:w w:val="100"/>
          <w:sz w:val="21"/>
          <w:szCs w:val="21"/>
        </w:rPr>
        <w:t>：《证券时报》</w:t>
      </w:r>
      <w:r>
        <w:rPr>
          <w:rFonts w:ascii="宋体" w:hAnsi="宋体" w:cs="宋体" w:eastAsia="宋体" w:hint="default"/>
          <w:w w:val="100"/>
          <w:sz w:val="21"/>
          <w:szCs w:val="21"/>
        </w:rPr>
        <w:t> </w:t>
      </w:r>
      <w:r>
        <w:rPr>
          <w:rFonts w:ascii="宋体" w:hAnsi="宋体" w:cs="宋体" w:eastAsia="宋体" w:hint="default"/>
          <w:b/>
          <w:bCs/>
          <w:spacing w:val="-1"/>
          <w:sz w:val="21"/>
          <w:szCs w:val="21"/>
        </w:rPr>
        <w:t>登载年度报告网站的网址</w:t>
      </w:r>
      <w:r>
        <w:rPr>
          <w:rFonts w:ascii="宋体" w:hAnsi="宋体" w:cs="宋体" w:eastAsia="宋体" w:hint="default"/>
          <w:spacing w:val="-1"/>
          <w:sz w:val="21"/>
          <w:szCs w:val="21"/>
        </w:rPr>
        <w:t>：</w:t>
      </w:r>
      <w:hyperlink r:id="rId13">
        <w:r>
          <w:rPr>
            <w:rFonts w:ascii="宋体" w:hAnsi="宋体" w:cs="宋体" w:eastAsia="宋体" w:hint="default"/>
            <w:spacing w:val="-1"/>
            <w:sz w:val="21"/>
            <w:szCs w:val="21"/>
          </w:rPr>
          <w:t>http://www.cninfo.com.cn</w:t>
        </w:r>
      </w:hyperlink>
      <w:r>
        <w:rPr>
          <w:rFonts w:ascii="宋体" w:hAnsi="宋体" w:cs="宋体" w:eastAsia="宋体" w:hint="default"/>
          <w:w w:val="100"/>
          <w:sz w:val="21"/>
          <w:szCs w:val="21"/>
        </w:rPr>
        <w:t> </w:t>
      </w:r>
      <w:r>
        <w:rPr>
          <w:rFonts w:ascii="宋体" w:hAnsi="宋体" w:cs="宋体" w:eastAsia="宋体" w:hint="default"/>
          <w:b/>
          <w:bCs/>
          <w:sz w:val="21"/>
          <w:szCs w:val="21"/>
        </w:rPr>
        <w:t>公司年度报告备置地点</w:t>
      </w:r>
      <w:r>
        <w:rPr>
          <w:rFonts w:ascii="宋体" w:hAnsi="宋体" w:cs="宋体" w:eastAsia="宋体" w:hint="default"/>
          <w:sz w:val="21"/>
          <w:szCs w:val="21"/>
        </w:rPr>
        <w:t>：公司证券办公室</w:t>
      </w:r>
    </w:p>
    <w:p>
      <w:pPr>
        <w:spacing w:after="0" w:line="357" w:lineRule="auto"/>
        <w:jc w:val="left"/>
        <w:rPr>
          <w:rFonts w:ascii="宋体" w:hAnsi="宋体" w:cs="宋体" w:eastAsia="宋体" w:hint="default"/>
          <w:sz w:val="21"/>
          <w:szCs w:val="21"/>
        </w:rPr>
        <w:sectPr>
          <w:pgSz w:w="11910" w:h="16840"/>
          <w:pgMar w:header="737" w:footer="1153" w:top="1060" w:bottom="1340" w:left="1400" w:right="0"/>
        </w:sectPr>
      </w:pPr>
    </w:p>
    <w:p>
      <w:pPr>
        <w:spacing w:line="240" w:lineRule="auto" w:before="2"/>
        <w:rPr>
          <w:rFonts w:ascii="宋体" w:hAnsi="宋体" w:cs="宋体" w:eastAsia="宋体" w:hint="default"/>
          <w:sz w:val="23"/>
          <w:szCs w:val="23"/>
        </w:rPr>
      </w:pPr>
    </w:p>
    <w:p>
      <w:pPr>
        <w:spacing w:line="357" w:lineRule="auto" w:before="36"/>
        <w:ind w:left="545" w:right="6628" w:hanging="423"/>
        <w:jc w:val="left"/>
        <w:rPr>
          <w:rFonts w:ascii="宋体" w:hAnsi="宋体" w:cs="宋体" w:eastAsia="宋体" w:hint="default"/>
          <w:sz w:val="21"/>
          <w:szCs w:val="21"/>
        </w:rPr>
      </w:pPr>
      <w:r>
        <w:rPr>
          <w:rFonts w:ascii="宋体" w:hAnsi="宋体" w:cs="宋体" w:eastAsia="宋体" w:hint="default"/>
          <w:b/>
          <w:bCs/>
          <w:spacing w:val="-1"/>
          <w:sz w:val="21"/>
          <w:szCs w:val="21"/>
        </w:rPr>
        <w:t>六、股票上市交易所</w:t>
      </w:r>
      <w:r>
        <w:rPr>
          <w:rFonts w:ascii="宋体" w:hAnsi="宋体" w:cs="宋体" w:eastAsia="宋体" w:hint="default"/>
          <w:spacing w:val="-1"/>
          <w:sz w:val="21"/>
          <w:szCs w:val="21"/>
        </w:rPr>
        <w:t>：深圳证券交易所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b/>
          <w:bCs/>
          <w:sz w:val="21"/>
          <w:szCs w:val="21"/>
        </w:rPr>
        <w:t>股票简称</w:t>
      </w:r>
      <w:r>
        <w:rPr>
          <w:rFonts w:ascii="宋体" w:hAnsi="宋体" w:cs="宋体" w:eastAsia="宋体" w:hint="default"/>
          <w:sz w:val="21"/>
          <w:szCs w:val="21"/>
        </w:rPr>
        <w:t>：东港股份</w:t>
      </w:r>
      <w:r>
        <w:rPr>
          <w:rFonts w:ascii="宋体" w:hAnsi="宋体" w:cs="宋体" w:eastAsia="宋体" w:hint="default"/>
          <w:w w:val="100"/>
          <w:sz w:val="21"/>
          <w:szCs w:val="21"/>
        </w:rPr>
        <w:t> </w:t>
      </w:r>
      <w:r>
        <w:rPr>
          <w:rFonts w:ascii="宋体" w:hAnsi="宋体" w:cs="宋体" w:eastAsia="宋体" w:hint="default"/>
          <w:b/>
          <w:bCs/>
          <w:sz w:val="21"/>
          <w:szCs w:val="21"/>
        </w:rPr>
        <w:t>股票代码</w:t>
      </w:r>
      <w:r>
        <w:rPr>
          <w:rFonts w:ascii="宋体" w:hAnsi="宋体" w:cs="宋体" w:eastAsia="宋体" w:hint="default"/>
          <w:sz w:val="21"/>
          <w:szCs w:val="21"/>
        </w:rPr>
        <w:t>：</w:t>
      </w:r>
      <w:r>
        <w:rPr>
          <w:rFonts w:ascii="宋体" w:hAnsi="宋体" w:cs="宋体" w:eastAsia="宋体" w:hint="default"/>
          <w:sz w:val="21"/>
          <w:szCs w:val="21"/>
        </w:rPr>
        <w:t>002117</w:t>
      </w:r>
    </w:p>
    <w:p>
      <w:pPr>
        <w:spacing w:line="240" w:lineRule="auto" w:before="0"/>
        <w:rPr>
          <w:rFonts w:ascii="宋体" w:hAnsi="宋体" w:cs="宋体" w:eastAsia="宋体" w:hint="default"/>
          <w:sz w:val="20"/>
          <w:szCs w:val="20"/>
        </w:rPr>
      </w:pPr>
    </w:p>
    <w:p>
      <w:pPr>
        <w:spacing w:before="179"/>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sz w:val="21"/>
          <w:szCs w:val="21"/>
        </w:rPr>
      </w:r>
    </w:p>
    <w:p>
      <w:pPr>
        <w:spacing w:before="133"/>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公司首次登记注册日期</w:t>
      </w:r>
      <w:r>
        <w:rPr>
          <w:rFonts w:ascii="宋体" w:hAnsi="宋体" w:cs="宋体" w:eastAsia="宋体" w:hint="default"/>
          <w:sz w:val="21"/>
          <w:szCs w:val="21"/>
        </w:rPr>
        <w:t>：</w:t>
      </w:r>
      <w:r>
        <w:rPr>
          <w:rFonts w:ascii="宋体" w:hAnsi="宋体" w:cs="宋体" w:eastAsia="宋体" w:hint="default"/>
          <w:sz w:val="21"/>
          <w:szCs w:val="21"/>
        </w:rPr>
        <w:t>1996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line="357" w:lineRule="auto" w:before="133"/>
        <w:ind w:left="122" w:right="4808" w:firstLine="0"/>
        <w:jc w:val="left"/>
        <w:rPr>
          <w:rFonts w:ascii="宋体" w:hAnsi="宋体" w:cs="宋体" w:eastAsia="宋体" w:hint="default"/>
          <w:sz w:val="21"/>
          <w:szCs w:val="21"/>
        </w:rPr>
      </w:pPr>
      <w:r>
        <w:rPr>
          <w:rFonts w:ascii="宋体" w:hAnsi="宋体" w:cs="宋体" w:eastAsia="宋体" w:hint="default"/>
          <w:b/>
          <w:bCs/>
          <w:sz w:val="21"/>
          <w:szCs w:val="21"/>
        </w:rPr>
        <w:t>公司最近一次变更注册登记日期</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b/>
          <w:bCs/>
          <w:sz w:val="21"/>
          <w:szCs w:val="21"/>
        </w:rPr>
        <w:t>公司企业法人营业执照注册号</w:t>
      </w:r>
      <w:r>
        <w:rPr>
          <w:rFonts w:ascii="宋体" w:hAnsi="宋体" w:cs="宋体" w:eastAsia="宋体" w:hint="default"/>
          <w:sz w:val="21"/>
          <w:szCs w:val="21"/>
        </w:rPr>
        <w:t>：</w:t>
      </w:r>
      <w:r>
        <w:rPr>
          <w:rFonts w:ascii="宋体" w:hAnsi="宋体" w:cs="宋体" w:eastAsia="宋体" w:hint="default"/>
          <w:sz w:val="21"/>
          <w:szCs w:val="21"/>
        </w:rPr>
        <w:t>370000400000101</w:t>
      </w:r>
      <w:r>
        <w:rPr>
          <w:rFonts w:ascii="宋体" w:hAnsi="宋体" w:cs="宋体" w:eastAsia="宋体" w:hint="default"/>
          <w:w w:val="100"/>
          <w:sz w:val="21"/>
          <w:szCs w:val="21"/>
        </w:rPr>
        <w:t> </w:t>
      </w:r>
      <w:r>
        <w:rPr>
          <w:rFonts w:ascii="宋体" w:hAnsi="宋体" w:cs="宋体" w:eastAsia="宋体" w:hint="default"/>
          <w:b/>
          <w:bCs/>
          <w:sz w:val="21"/>
          <w:szCs w:val="21"/>
        </w:rPr>
        <w:t>公司税务登记号码</w:t>
      </w:r>
      <w:r>
        <w:rPr>
          <w:rFonts w:ascii="宋体" w:hAnsi="宋体" w:cs="宋体" w:eastAsia="宋体" w:hint="default"/>
          <w:sz w:val="21"/>
          <w:szCs w:val="21"/>
        </w:rPr>
        <w:t>：</w:t>
      </w:r>
      <w:r>
        <w:rPr>
          <w:rFonts w:ascii="宋体" w:hAnsi="宋体" w:cs="宋体" w:eastAsia="宋体" w:hint="default"/>
          <w:sz w:val="21"/>
          <w:szCs w:val="21"/>
        </w:rPr>
        <w:t>370112613207311</w:t>
      </w:r>
      <w:r>
        <w:rPr>
          <w:rFonts w:ascii="宋体" w:hAnsi="宋体" w:cs="宋体" w:eastAsia="宋体" w:hint="default"/>
          <w:w w:val="100"/>
          <w:sz w:val="21"/>
          <w:szCs w:val="21"/>
        </w:rPr>
        <w:t> </w:t>
      </w:r>
      <w:r>
        <w:rPr>
          <w:rFonts w:ascii="宋体" w:hAnsi="宋体" w:cs="宋体" w:eastAsia="宋体" w:hint="default"/>
          <w:b/>
          <w:bCs/>
          <w:sz w:val="21"/>
          <w:szCs w:val="21"/>
        </w:rPr>
        <w:t>公司组织机构代码</w:t>
      </w:r>
      <w:r>
        <w:rPr>
          <w:rFonts w:ascii="宋体" w:hAnsi="宋体" w:cs="宋体" w:eastAsia="宋体" w:hint="default"/>
          <w:sz w:val="21"/>
          <w:szCs w:val="21"/>
        </w:rPr>
        <w:t>：</w:t>
      </w:r>
      <w:r>
        <w:rPr>
          <w:rFonts w:ascii="宋体" w:hAnsi="宋体" w:cs="宋体" w:eastAsia="宋体" w:hint="default"/>
          <w:sz w:val="21"/>
          <w:szCs w:val="21"/>
        </w:rPr>
        <w:t>6130731-12</w:t>
      </w:r>
      <w:r>
        <w:rPr>
          <w:rFonts w:ascii="宋体" w:hAnsi="宋体" w:cs="宋体" w:eastAsia="宋体" w:hint="default"/>
          <w:w w:val="100"/>
          <w:sz w:val="21"/>
          <w:szCs w:val="21"/>
        </w:rPr>
        <w:t> </w:t>
      </w:r>
      <w:r>
        <w:rPr>
          <w:rFonts w:ascii="宋体" w:hAnsi="宋体" w:cs="宋体" w:eastAsia="宋体" w:hint="default"/>
          <w:b/>
          <w:bCs/>
          <w:spacing w:val="-1"/>
          <w:sz w:val="21"/>
          <w:szCs w:val="21"/>
        </w:rPr>
        <w:t>公司聘请的会计师事务所</w:t>
      </w:r>
      <w:r>
        <w:rPr>
          <w:rFonts w:ascii="宋体" w:hAnsi="宋体" w:cs="宋体" w:eastAsia="宋体" w:hint="default"/>
          <w:spacing w:val="-1"/>
          <w:sz w:val="21"/>
          <w:szCs w:val="21"/>
        </w:rPr>
        <w:t>：中瑞岳华会计师事务所有限公司</w:t>
      </w:r>
    </w:p>
    <w:p>
      <w:pPr>
        <w:spacing w:line="357" w:lineRule="auto" w:before="30"/>
        <w:ind w:left="122" w:right="3000" w:firstLine="0"/>
        <w:jc w:val="left"/>
        <w:rPr>
          <w:rFonts w:ascii="宋体" w:hAnsi="宋体" w:cs="宋体" w:eastAsia="宋体" w:hint="default"/>
          <w:sz w:val="21"/>
          <w:szCs w:val="21"/>
        </w:rPr>
      </w:pPr>
      <w:r>
        <w:rPr>
          <w:rFonts w:ascii="宋体" w:hAnsi="宋体" w:cs="宋体" w:eastAsia="宋体" w:hint="default"/>
          <w:b/>
          <w:bCs/>
          <w:sz w:val="21"/>
          <w:szCs w:val="21"/>
        </w:rPr>
        <w:t>会计师事务所的办公地址</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pacing w:val="-5"/>
          <w:sz w:val="21"/>
          <w:szCs w:val="21"/>
        </w:rPr>
        <w:t>北京市西城区金融大街</w:t>
      </w:r>
      <w:r>
        <w:rPr>
          <w:rFonts w:ascii="宋体" w:hAnsi="宋体" w:cs="宋体" w:eastAsia="宋体" w:hint="default"/>
          <w:spacing w:val="-58"/>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pacing w:val="-5"/>
          <w:sz w:val="21"/>
          <w:szCs w:val="21"/>
        </w:rPr>
        <w:t>号国际企业大厦</w:t>
      </w:r>
      <w:r>
        <w:rPr>
          <w:rFonts w:ascii="宋体" w:hAnsi="宋体" w:cs="宋体" w:eastAsia="宋体" w:hint="default"/>
          <w:spacing w:val="-57"/>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座</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b/>
          <w:bCs/>
          <w:sz w:val="21"/>
          <w:szCs w:val="21"/>
        </w:rPr>
        <w:t>本次年度审计签字会计师：</w:t>
      </w:r>
      <w:r>
        <w:rPr>
          <w:rFonts w:ascii="宋体" w:hAnsi="宋体" w:cs="宋体" w:eastAsia="宋体" w:hint="default"/>
          <w:sz w:val="21"/>
          <w:szCs w:val="21"/>
        </w:rPr>
        <w:t>张富根</w:t>
      </w:r>
      <w:r>
        <w:rPr>
          <w:rFonts w:ascii="宋体" w:hAnsi="宋体" w:cs="宋体" w:eastAsia="宋体" w:hint="default"/>
          <w:spacing w:val="84"/>
          <w:sz w:val="21"/>
          <w:szCs w:val="21"/>
        </w:rPr>
        <w:t> </w:t>
      </w:r>
      <w:r>
        <w:rPr>
          <w:rFonts w:ascii="宋体" w:hAnsi="宋体" w:cs="宋体" w:eastAsia="宋体" w:hint="default"/>
          <w:spacing w:val="-5"/>
          <w:sz w:val="21"/>
          <w:szCs w:val="21"/>
        </w:rPr>
        <w:t>崔迎</w:t>
      </w:r>
      <w:r>
        <w:rPr>
          <w:rFonts w:ascii="宋体" w:hAnsi="宋体" w:cs="宋体" w:eastAsia="宋体" w:hint="default"/>
          <w:sz w:val="21"/>
          <w:szCs w:val="21"/>
        </w:rPr>
      </w:r>
    </w:p>
    <w:p>
      <w:pPr>
        <w:spacing w:before="3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34"/>
          <w:sz w:val="21"/>
          <w:szCs w:val="21"/>
        </w:rPr>
        <w:t> </w:t>
      </w:r>
      <w:r>
        <w:rPr>
          <w:rFonts w:ascii="宋体" w:hAnsi="宋体" w:cs="宋体" w:eastAsia="宋体" w:hint="default"/>
          <w:b/>
          <w:bCs/>
          <w:spacing w:val="-2"/>
          <w:sz w:val="21"/>
          <w:szCs w:val="21"/>
        </w:rPr>
        <w:t>年度公司履行持续督导职责的保荐机构：</w:t>
      </w:r>
      <w:r>
        <w:rPr>
          <w:rFonts w:ascii="宋体" w:hAnsi="宋体" w:cs="宋体" w:eastAsia="宋体" w:hint="default"/>
          <w:spacing w:val="-2"/>
          <w:sz w:val="21"/>
          <w:szCs w:val="21"/>
        </w:rPr>
        <w:t>东方证券股份有限公司</w:t>
      </w:r>
    </w:p>
    <w:p>
      <w:pPr>
        <w:spacing w:line="355" w:lineRule="auto" w:before="133"/>
        <w:ind w:left="122" w:right="4664" w:firstLine="0"/>
        <w:jc w:val="left"/>
        <w:rPr>
          <w:rFonts w:ascii="宋体" w:hAnsi="宋体" w:cs="宋体" w:eastAsia="宋体" w:hint="default"/>
          <w:sz w:val="21"/>
          <w:szCs w:val="21"/>
        </w:rPr>
      </w:pPr>
      <w:r>
        <w:rPr>
          <w:rFonts w:ascii="宋体" w:hAnsi="宋体" w:cs="宋体" w:eastAsia="宋体" w:hint="default"/>
          <w:b/>
          <w:bCs/>
          <w:spacing w:val="-3"/>
          <w:sz w:val="21"/>
          <w:szCs w:val="21"/>
        </w:rPr>
        <w:t>保荐机构办公地址：</w:t>
      </w:r>
      <w:r>
        <w:rPr>
          <w:rFonts w:ascii="宋体" w:hAnsi="宋体" w:cs="宋体" w:eastAsia="宋体" w:hint="default"/>
          <w:spacing w:val="-3"/>
          <w:sz w:val="21"/>
          <w:szCs w:val="21"/>
        </w:rPr>
        <w:t>上海市中山南路</w:t>
      </w:r>
      <w:r>
        <w:rPr>
          <w:rFonts w:ascii="宋体" w:hAnsi="宋体" w:cs="宋体" w:eastAsia="宋体" w:hint="default"/>
          <w:spacing w:val="-46"/>
          <w:sz w:val="21"/>
          <w:szCs w:val="21"/>
        </w:rPr>
        <w:t> </w:t>
      </w:r>
      <w:r>
        <w:rPr>
          <w:rFonts w:ascii="宋体" w:hAnsi="宋体" w:cs="宋体" w:eastAsia="宋体" w:hint="default"/>
          <w:sz w:val="21"/>
          <w:szCs w:val="21"/>
        </w:rPr>
        <w:t>318</w:t>
      </w:r>
      <w:r>
        <w:rPr>
          <w:rFonts w:ascii="宋体" w:hAnsi="宋体" w:cs="宋体" w:eastAsia="宋体" w:hint="default"/>
          <w:spacing w:val="-43"/>
          <w:sz w:val="21"/>
          <w:szCs w:val="21"/>
        </w:rPr>
        <w:t> </w:t>
      </w:r>
      <w:r>
        <w:rPr>
          <w:rFonts w:ascii="宋体" w:hAnsi="宋体" w:cs="宋体" w:eastAsia="宋体" w:hint="default"/>
          <w:spacing w:val="-5"/>
          <w:sz w:val="21"/>
          <w:szCs w:val="21"/>
        </w:rPr>
        <w:t>号东方国际金融广场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履行持续督导职责的保荐代表人</w:t>
      </w:r>
      <w:r>
        <w:rPr>
          <w:rFonts w:ascii="宋体" w:hAnsi="宋体" w:cs="宋体" w:eastAsia="宋体" w:hint="default"/>
          <w:sz w:val="21"/>
          <w:szCs w:val="21"/>
        </w:rPr>
        <w:t>：李旭巍</w:t>
      </w:r>
      <w:r>
        <w:rPr>
          <w:rFonts w:ascii="宋体" w:hAnsi="宋体" w:cs="宋体" w:eastAsia="宋体" w:hint="default"/>
          <w:spacing w:val="82"/>
          <w:sz w:val="21"/>
          <w:szCs w:val="21"/>
        </w:rPr>
        <w:t> </w:t>
      </w:r>
      <w:r>
        <w:rPr>
          <w:rFonts w:ascii="宋体" w:hAnsi="宋体" w:cs="宋体" w:eastAsia="宋体" w:hint="default"/>
          <w:spacing w:val="-5"/>
          <w:sz w:val="21"/>
          <w:szCs w:val="21"/>
        </w:rPr>
        <w:t>许劲</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八、公司历史沿革</w:t>
      </w:r>
      <w:r>
        <w:rPr>
          <w:rFonts w:ascii="宋体" w:hAnsi="宋体" w:cs="宋体" w:eastAsia="宋体" w:hint="default"/>
          <w:sz w:val="21"/>
          <w:szCs w:val="21"/>
        </w:rPr>
      </w:r>
    </w:p>
    <w:p>
      <w:pPr>
        <w:spacing w:line="357" w:lineRule="auto" w:before="133"/>
        <w:ind w:left="122" w:right="1173" w:firstLine="515"/>
        <w:jc w:val="both"/>
        <w:rPr>
          <w:rFonts w:ascii="宋体" w:hAnsi="宋体" w:cs="宋体" w:eastAsia="宋体" w:hint="default"/>
          <w:sz w:val="21"/>
          <w:szCs w:val="21"/>
        </w:rPr>
      </w:pPr>
      <w:r>
        <w:rPr>
          <w:rFonts w:ascii="宋体" w:hAnsi="宋体" w:cs="宋体" w:eastAsia="宋体" w:hint="default"/>
          <w:spacing w:val="-8"/>
          <w:w w:val="100"/>
          <w:sz w:val="21"/>
          <w:szCs w:val="21"/>
        </w:rPr>
        <w:t>东港安全印刷股份有限公司（以下简称“本公司”或“公司”）是由香港喜多来集团有限公司、</w:t>
      </w:r>
      <w:r>
        <w:rPr>
          <w:rFonts w:ascii="宋体" w:hAnsi="宋体" w:cs="宋体" w:eastAsia="宋体" w:hint="default"/>
          <w:spacing w:val="-5"/>
          <w:w w:val="100"/>
          <w:sz w:val="21"/>
          <w:szCs w:val="21"/>
        </w:rPr>
        <w:t> </w:t>
      </w:r>
      <w:r>
        <w:rPr>
          <w:rFonts w:ascii="宋体" w:hAnsi="宋体" w:cs="宋体" w:eastAsia="宋体" w:hint="default"/>
          <w:spacing w:val="-7"/>
          <w:sz w:val="21"/>
          <w:szCs w:val="21"/>
        </w:rPr>
        <w:t>浪潮电子信息产业股份有限公司、北京中嘉华信息技术有限公司、济南发展国有工业资产经营有限公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sz w:val="21"/>
          <w:szCs w:val="21"/>
        </w:rPr>
        <w:t>司、英属维尔京群岛</w:t>
      </w:r>
      <w:r>
        <w:rPr>
          <w:rFonts w:ascii="宋体" w:hAnsi="宋体" w:cs="宋体" w:eastAsia="宋体" w:hint="default"/>
          <w:spacing w:val="-37"/>
          <w:sz w:val="21"/>
          <w:szCs w:val="21"/>
        </w:rPr>
        <w:t> </w:t>
      </w:r>
      <w:r>
        <w:rPr>
          <w:rFonts w:ascii="宋体" w:hAnsi="宋体" w:cs="宋体" w:eastAsia="宋体" w:hint="default"/>
          <w:spacing w:val="-3"/>
          <w:sz w:val="21"/>
          <w:szCs w:val="21"/>
        </w:rPr>
        <w:t>RICH</w:t>
      </w:r>
      <w:r>
        <w:rPr>
          <w:rFonts w:ascii="宋体" w:hAnsi="宋体" w:cs="宋体" w:eastAsia="宋体" w:hint="default"/>
          <w:spacing w:val="14"/>
          <w:sz w:val="21"/>
          <w:szCs w:val="21"/>
        </w:rPr>
        <w:t> </w:t>
      </w:r>
      <w:r>
        <w:rPr>
          <w:rFonts w:ascii="宋体" w:hAnsi="宋体" w:cs="宋体" w:eastAsia="宋体" w:hint="default"/>
          <w:spacing w:val="-3"/>
          <w:sz w:val="21"/>
          <w:szCs w:val="21"/>
        </w:rPr>
        <w:t>RIVER</w:t>
      </w:r>
      <w:r>
        <w:rPr>
          <w:rFonts w:ascii="宋体" w:hAnsi="宋体" w:cs="宋体" w:eastAsia="宋体" w:hint="default"/>
          <w:spacing w:val="18"/>
          <w:sz w:val="21"/>
          <w:szCs w:val="21"/>
        </w:rPr>
        <w:t> </w:t>
      </w:r>
      <w:r>
        <w:rPr>
          <w:rFonts w:ascii="宋体" w:hAnsi="宋体" w:cs="宋体" w:eastAsia="宋体" w:hint="default"/>
          <w:spacing w:val="-3"/>
          <w:sz w:val="21"/>
          <w:szCs w:val="21"/>
        </w:rPr>
        <w:t>INVESTMENTS</w:t>
      </w:r>
      <w:r>
        <w:rPr>
          <w:rFonts w:ascii="宋体" w:hAnsi="宋体" w:cs="宋体" w:eastAsia="宋体" w:hint="default"/>
          <w:spacing w:val="5"/>
          <w:sz w:val="21"/>
          <w:szCs w:val="21"/>
        </w:rPr>
        <w:t> </w:t>
      </w:r>
      <w:r>
        <w:rPr>
          <w:rFonts w:ascii="宋体" w:hAnsi="宋体" w:cs="宋体" w:eastAsia="宋体" w:hint="default"/>
          <w:spacing w:val="-3"/>
          <w:sz w:val="21"/>
          <w:szCs w:val="21"/>
        </w:rPr>
        <w:t>LIMITED</w:t>
      </w:r>
      <w:r>
        <w:rPr>
          <w:rFonts w:ascii="宋体" w:hAnsi="宋体" w:cs="宋体" w:eastAsia="宋体" w:hint="default"/>
          <w:spacing w:val="-33"/>
          <w:sz w:val="21"/>
          <w:szCs w:val="21"/>
        </w:rPr>
        <w:t> </w:t>
      </w:r>
      <w:r>
        <w:rPr>
          <w:rFonts w:ascii="宋体" w:hAnsi="宋体" w:cs="宋体" w:eastAsia="宋体" w:hint="default"/>
          <w:spacing w:val="-6"/>
          <w:sz w:val="21"/>
          <w:szCs w:val="21"/>
        </w:rPr>
        <w:t>等公司共同发起设立的股份有限公司，注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册地为中华人民共和国山东省济南市。公司于 </w:t>
      </w:r>
      <w:r>
        <w:rPr>
          <w:rFonts w:ascii="宋体" w:hAnsi="宋体" w:cs="宋体" w:eastAsia="宋体" w:hint="default"/>
          <w:spacing w:val="-3"/>
          <w:sz w:val="21"/>
          <w:szCs w:val="21"/>
        </w:rPr>
        <w:t>1996 </w:t>
      </w:r>
      <w:r>
        <w:rPr>
          <w:rFonts w:ascii="宋体" w:hAnsi="宋体" w:cs="宋体" w:eastAsia="宋体" w:hint="default"/>
          <w:spacing w:val="-6"/>
          <w:sz w:val="21"/>
          <w:szCs w:val="21"/>
        </w:rPr>
        <w:t>年经山东省工商行政管理局核准登记，企业法人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6"/>
          <w:sz w:val="21"/>
          <w:szCs w:val="21"/>
        </w:rPr>
        <w:t>营业执照注册号：</w:t>
      </w:r>
      <w:r>
        <w:rPr>
          <w:rFonts w:ascii="宋体" w:hAnsi="宋体" w:cs="宋体" w:eastAsia="宋体" w:hint="default"/>
          <w:spacing w:val="-6"/>
          <w:sz w:val="21"/>
          <w:szCs w:val="21"/>
        </w:rPr>
        <w:t>370000400000101</w:t>
      </w:r>
      <w:r>
        <w:rPr>
          <w:rFonts w:ascii="宋体" w:hAnsi="宋体" w:cs="宋体" w:eastAsia="宋体" w:hint="default"/>
          <w:spacing w:val="-6"/>
          <w:sz w:val="21"/>
          <w:szCs w:val="21"/>
        </w:rPr>
        <w:t>。本公司总部位于山东省济南市山大北路</w:t>
      </w:r>
      <w:r>
        <w:rPr>
          <w:rFonts w:ascii="宋体" w:hAnsi="宋体" w:cs="宋体" w:eastAsia="宋体" w:hint="default"/>
          <w:spacing w:val="-43"/>
          <w:sz w:val="21"/>
          <w:szCs w:val="21"/>
        </w:rPr>
        <w:t> </w:t>
      </w:r>
      <w:r>
        <w:rPr>
          <w:rFonts w:ascii="宋体" w:hAnsi="宋体" w:cs="宋体" w:eastAsia="宋体" w:hint="default"/>
          <w:sz w:val="21"/>
          <w:szCs w:val="21"/>
        </w:rPr>
        <w:t>23</w:t>
      </w:r>
      <w:r>
        <w:rPr>
          <w:rFonts w:ascii="宋体" w:hAnsi="宋体" w:cs="宋体" w:eastAsia="宋体" w:hint="default"/>
          <w:spacing w:val="-44"/>
          <w:sz w:val="21"/>
          <w:szCs w:val="21"/>
        </w:rPr>
        <w:t> </w:t>
      </w:r>
      <w:r>
        <w:rPr>
          <w:rFonts w:ascii="宋体" w:hAnsi="宋体" w:cs="宋体" w:eastAsia="宋体" w:hint="default"/>
          <w:spacing w:val="-8"/>
          <w:sz w:val="21"/>
          <w:szCs w:val="21"/>
        </w:rPr>
        <w:t>号。本公司及子公司</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主要从事出版物、包装装潢印刷品、其它类印刷品印刷</w:t>
      </w:r>
      <w:r>
        <w:rPr>
          <w:rFonts w:ascii="宋体" w:hAnsi="宋体" w:cs="宋体" w:eastAsia="宋体" w:hint="default"/>
          <w:spacing w:val="-7"/>
          <w:sz w:val="21"/>
          <w:szCs w:val="21"/>
        </w:rPr>
        <w:t>;</w:t>
      </w:r>
      <w:r>
        <w:rPr>
          <w:rFonts w:ascii="宋体" w:hAnsi="宋体" w:cs="宋体" w:eastAsia="宋体" w:hint="default"/>
          <w:spacing w:val="-7"/>
          <w:sz w:val="21"/>
          <w:szCs w:val="21"/>
        </w:rPr>
        <w:t>纸制品的生产、销售；高档纸张的防伪处理、</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6"/>
          <w:sz w:val="21"/>
          <w:szCs w:val="21"/>
        </w:rPr>
        <w:t>销售；数据打印系统的开发、生产；科技信息咨询服务、</w:t>
      </w:r>
      <w:r>
        <w:rPr>
          <w:rFonts w:ascii="宋体" w:hAnsi="宋体" w:cs="宋体" w:eastAsia="宋体" w:hint="default"/>
          <w:spacing w:val="-6"/>
          <w:sz w:val="21"/>
          <w:szCs w:val="21"/>
        </w:rPr>
        <w:t>IC</w:t>
      </w:r>
      <w:r>
        <w:rPr>
          <w:rFonts w:ascii="宋体" w:hAnsi="宋体" w:cs="宋体" w:eastAsia="宋体" w:hint="default"/>
          <w:spacing w:val="32"/>
          <w:sz w:val="21"/>
          <w:szCs w:val="21"/>
        </w:rPr>
        <w:t> </w:t>
      </w:r>
      <w:r>
        <w:rPr>
          <w:rFonts w:ascii="宋体" w:hAnsi="宋体" w:cs="宋体" w:eastAsia="宋体" w:hint="default"/>
          <w:spacing w:val="-6"/>
          <w:sz w:val="21"/>
          <w:szCs w:val="21"/>
        </w:rPr>
        <w:t>卡产品和智能标签产品的生产、销售。</w:t>
      </w:r>
    </w:p>
    <w:p>
      <w:pPr>
        <w:spacing w:before="30"/>
        <w:ind w:left="638" w:right="0" w:firstLine="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、公司自上市以来注册资料变更情况如下：</w:t>
      </w:r>
      <w:r>
        <w:rPr>
          <w:rFonts w:ascii="宋体" w:hAnsi="宋体" w:cs="宋体" w:eastAsia="宋体" w:hint="default"/>
          <w:sz w:val="21"/>
          <w:szCs w:val="21"/>
        </w:rPr>
      </w:r>
    </w:p>
    <w:p>
      <w:pPr>
        <w:spacing w:line="357" w:lineRule="auto" w:before="135"/>
        <w:ind w:left="122" w:right="1275" w:firstLine="412"/>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
          <w:sz w:val="21"/>
          <w:szCs w:val="21"/>
        </w:rPr>
        <w:t> </w:t>
      </w:r>
      <w:r>
        <w:rPr>
          <w:rFonts w:ascii="宋体" w:hAnsi="宋体" w:cs="宋体" w:eastAsia="宋体" w:hint="default"/>
          <w:spacing w:val="-3"/>
          <w:sz w:val="21"/>
          <w:szCs w:val="21"/>
        </w:rPr>
        <w:t>2007</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36"/>
          <w:sz w:val="21"/>
          <w:szCs w:val="21"/>
        </w:rPr>
        <w:t> </w:t>
      </w:r>
      <w:r>
        <w:rPr>
          <w:rFonts w:ascii="宋体" w:hAnsi="宋体" w:cs="宋体" w:eastAsia="宋体" w:hint="default"/>
          <w:spacing w:val="-6"/>
          <w:sz w:val="21"/>
          <w:szCs w:val="21"/>
        </w:rPr>
        <w:t>月，公司在深圳证券交易所上市交易，注册资本由</w:t>
      </w:r>
      <w:r>
        <w:rPr>
          <w:rFonts w:ascii="宋体" w:hAnsi="宋体" w:cs="宋体" w:eastAsia="宋体" w:hint="default"/>
          <w:spacing w:val="-38"/>
          <w:sz w:val="21"/>
          <w:szCs w:val="21"/>
        </w:rPr>
        <w:t> </w:t>
      </w:r>
      <w:r>
        <w:rPr>
          <w:rFonts w:ascii="宋体" w:hAnsi="宋体" w:cs="宋体" w:eastAsia="宋体" w:hint="default"/>
          <w:spacing w:val="-3"/>
          <w:sz w:val="21"/>
          <w:szCs w:val="21"/>
        </w:rPr>
        <w:t>8,200</w:t>
      </w:r>
      <w:r>
        <w:rPr>
          <w:rFonts w:ascii="宋体" w:hAnsi="宋体" w:cs="宋体" w:eastAsia="宋体" w:hint="default"/>
          <w:spacing w:val="-36"/>
          <w:sz w:val="21"/>
          <w:szCs w:val="21"/>
        </w:rPr>
        <w:t> </w:t>
      </w:r>
      <w:r>
        <w:rPr>
          <w:rFonts w:ascii="宋体" w:hAnsi="宋体" w:cs="宋体" w:eastAsia="宋体" w:hint="default"/>
          <w:spacing w:val="-5"/>
          <w:sz w:val="21"/>
          <w:szCs w:val="21"/>
        </w:rPr>
        <w:t>万元，增加至</w:t>
      </w:r>
      <w:r>
        <w:rPr>
          <w:rFonts w:ascii="宋体" w:hAnsi="宋体" w:cs="宋体" w:eastAsia="宋体" w:hint="default"/>
          <w:spacing w:val="-38"/>
          <w:sz w:val="21"/>
          <w:szCs w:val="21"/>
        </w:rPr>
        <w:t> </w:t>
      </w:r>
      <w:r>
        <w:rPr>
          <w:rFonts w:ascii="宋体" w:hAnsi="宋体" w:cs="宋体" w:eastAsia="宋体" w:hint="default"/>
          <w:spacing w:val="-3"/>
          <w:sz w:val="21"/>
          <w:szCs w:val="21"/>
        </w:rPr>
        <w:t>11,000</w:t>
      </w:r>
      <w:r>
        <w:rPr>
          <w:rFonts w:ascii="宋体" w:hAnsi="宋体" w:cs="宋体" w:eastAsia="宋体" w:hint="default"/>
          <w:spacing w:val="-36"/>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3"/>
          <w:sz w:val="21"/>
          <w:szCs w:val="21"/>
        </w:rPr>
        <w:t>元。</w:t>
      </w:r>
    </w:p>
    <w:p>
      <w:pPr>
        <w:spacing w:line="350" w:lineRule="auto" w:before="116"/>
        <w:ind w:left="122" w:right="1275" w:firstLine="412"/>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7"/>
          <w:sz w:val="21"/>
          <w:szCs w:val="21"/>
        </w:rPr>
        <w:t> </w:t>
      </w:r>
      <w:r>
        <w:rPr>
          <w:rFonts w:ascii="宋体" w:hAnsi="宋体" w:cs="宋体" w:eastAsia="宋体" w:hint="default"/>
          <w:spacing w:val="-6"/>
          <w:sz w:val="21"/>
          <w:szCs w:val="21"/>
        </w:rPr>
        <w:t>2010</w:t>
      </w:r>
      <w:r>
        <w:rPr>
          <w:rFonts w:ascii="宋体" w:hAnsi="宋体" w:cs="宋体" w:eastAsia="宋体" w:hint="default"/>
          <w:spacing w:val="-6"/>
          <w:sz w:val="21"/>
          <w:szCs w:val="21"/>
        </w:rPr>
        <w:t>年</w:t>
      </w:r>
      <w:r>
        <w:rPr>
          <w:rFonts w:ascii="宋体" w:hAnsi="宋体" w:cs="宋体" w:eastAsia="宋体" w:hint="default"/>
          <w:spacing w:val="-6"/>
          <w:sz w:val="21"/>
          <w:szCs w:val="21"/>
        </w:rPr>
        <w:t>9</w:t>
      </w:r>
      <w:r>
        <w:rPr>
          <w:rFonts w:ascii="宋体" w:hAnsi="宋体" w:cs="宋体" w:eastAsia="宋体" w:hint="default"/>
          <w:spacing w:val="-6"/>
          <w:sz w:val="21"/>
          <w:szCs w:val="21"/>
        </w:rPr>
        <w:t>月，经中国证监会证监许可【</w:t>
      </w:r>
      <w:r>
        <w:rPr>
          <w:rFonts w:ascii="宋体" w:hAnsi="宋体" w:cs="宋体" w:eastAsia="宋体" w:hint="default"/>
          <w:spacing w:val="-6"/>
          <w:sz w:val="21"/>
          <w:szCs w:val="21"/>
        </w:rPr>
        <w:t>2010</w:t>
      </w:r>
      <w:r>
        <w:rPr>
          <w:rFonts w:ascii="宋体" w:hAnsi="宋体" w:cs="宋体" w:eastAsia="宋体" w:hint="default"/>
          <w:spacing w:val="-6"/>
          <w:sz w:val="21"/>
          <w:szCs w:val="21"/>
        </w:rPr>
        <w:t>】</w:t>
      </w:r>
      <w:r>
        <w:rPr>
          <w:rFonts w:ascii="宋体" w:hAnsi="宋体" w:cs="宋体" w:eastAsia="宋体" w:hint="default"/>
          <w:spacing w:val="-6"/>
          <w:sz w:val="21"/>
          <w:szCs w:val="21"/>
        </w:rPr>
        <w:t>1210</w:t>
      </w:r>
      <w:r>
        <w:rPr>
          <w:rFonts w:ascii="宋体" w:hAnsi="宋体" w:cs="宋体" w:eastAsia="宋体" w:hint="default"/>
          <w:spacing w:val="-6"/>
          <w:sz w:val="21"/>
          <w:szCs w:val="21"/>
        </w:rPr>
        <w:t>号文核准，增发新股</w:t>
      </w:r>
      <w:r>
        <w:rPr>
          <w:rFonts w:ascii="宋体" w:hAnsi="宋体" w:cs="宋体" w:eastAsia="宋体" w:hint="default"/>
          <w:spacing w:val="-6"/>
          <w:sz w:val="21"/>
          <w:szCs w:val="21"/>
        </w:rPr>
        <w:t>14,124,172</w:t>
      </w:r>
      <w:r>
        <w:rPr>
          <w:rFonts w:ascii="宋体" w:hAnsi="宋体" w:cs="宋体" w:eastAsia="宋体" w:hint="default"/>
          <w:spacing w:val="-6"/>
          <w:sz w:val="21"/>
          <w:szCs w:val="21"/>
        </w:rPr>
        <w:t>股，经本次</w:t>
      </w:r>
      <w:r>
        <w:rPr>
          <w:rFonts w:ascii="宋体" w:hAnsi="宋体" w:cs="宋体" w:eastAsia="宋体" w:hint="default"/>
          <w:w w:val="100"/>
          <w:sz w:val="21"/>
          <w:szCs w:val="21"/>
        </w:rPr>
        <w:t> </w:t>
      </w:r>
      <w:r>
        <w:rPr>
          <w:rFonts w:ascii="宋体" w:hAnsi="宋体" w:cs="宋体" w:eastAsia="宋体" w:hint="default"/>
          <w:spacing w:val="-5"/>
          <w:sz w:val="21"/>
          <w:szCs w:val="21"/>
        </w:rPr>
        <w:t>增发后，公司注册资本增加至</w:t>
      </w:r>
      <w:r>
        <w:rPr>
          <w:rFonts w:ascii="宋体" w:hAnsi="宋体" w:cs="宋体" w:eastAsia="宋体" w:hint="default"/>
          <w:spacing w:val="-5"/>
          <w:sz w:val="21"/>
          <w:szCs w:val="21"/>
        </w:rPr>
        <w:t>124,124,172</w:t>
      </w:r>
      <w:r>
        <w:rPr>
          <w:rFonts w:ascii="宋体" w:hAnsi="宋体" w:cs="宋体" w:eastAsia="宋体" w:hint="default"/>
          <w:spacing w:val="-5"/>
          <w:sz w:val="21"/>
          <w:szCs w:val="21"/>
        </w:rPr>
        <w:t>元。</w:t>
      </w:r>
      <w:r>
        <w:rPr>
          <w:rFonts w:ascii="宋体" w:hAnsi="宋体" w:cs="宋体" w:eastAsia="宋体" w:hint="default"/>
          <w:sz w:val="21"/>
          <w:szCs w:val="21"/>
        </w:rPr>
      </w:r>
    </w:p>
    <w:p>
      <w:pPr>
        <w:spacing w:line="350" w:lineRule="auto" w:before="27"/>
        <w:ind w:left="122" w:right="1277" w:firstLine="412"/>
        <w:jc w:val="both"/>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64"/>
          <w:sz w:val="21"/>
          <w:szCs w:val="21"/>
        </w:rPr>
        <w:t> </w:t>
      </w:r>
      <w:r>
        <w:rPr>
          <w:rFonts w:ascii="宋体" w:hAnsi="宋体" w:cs="宋体" w:eastAsia="宋体" w:hint="default"/>
          <w:spacing w:val="-5"/>
          <w:sz w:val="21"/>
          <w:szCs w:val="21"/>
        </w:rPr>
        <w:t>2011</w:t>
      </w:r>
      <w:r>
        <w:rPr>
          <w:rFonts w:ascii="宋体" w:hAnsi="宋体" w:cs="宋体" w:eastAsia="宋体" w:hint="default"/>
          <w:spacing w:val="-5"/>
          <w:sz w:val="21"/>
          <w:szCs w:val="21"/>
        </w:rPr>
        <w:t>年</w:t>
      </w:r>
      <w:r>
        <w:rPr>
          <w:rFonts w:ascii="宋体" w:hAnsi="宋体" w:cs="宋体" w:eastAsia="宋体" w:hint="default"/>
          <w:spacing w:val="-5"/>
          <w:sz w:val="21"/>
          <w:szCs w:val="21"/>
        </w:rPr>
        <w:t>10</w:t>
      </w:r>
      <w:r>
        <w:rPr>
          <w:rFonts w:ascii="宋体" w:hAnsi="宋体" w:cs="宋体" w:eastAsia="宋体" w:hint="default"/>
          <w:spacing w:val="-5"/>
          <w:sz w:val="21"/>
          <w:szCs w:val="21"/>
        </w:rPr>
        <w:t>月，经中国证监会备案无异议，公司</w:t>
      </w:r>
      <w:r>
        <w:rPr>
          <w:rFonts w:ascii="宋体" w:hAnsi="宋体" w:cs="宋体" w:eastAsia="宋体" w:hint="default"/>
          <w:spacing w:val="-5"/>
          <w:sz w:val="21"/>
          <w:szCs w:val="21"/>
        </w:rPr>
        <w:t>2011</w:t>
      </w:r>
      <w:r>
        <w:rPr>
          <w:rFonts w:ascii="宋体" w:hAnsi="宋体" w:cs="宋体" w:eastAsia="宋体" w:hint="default"/>
          <w:spacing w:val="-5"/>
          <w:sz w:val="21"/>
          <w:szCs w:val="21"/>
        </w:rPr>
        <w:t>年第二次临时股东大会批准，公司实施限</w:t>
      </w:r>
      <w:r>
        <w:rPr>
          <w:rFonts w:ascii="宋体" w:hAnsi="宋体" w:cs="宋体" w:eastAsia="宋体" w:hint="default"/>
          <w:w w:val="100"/>
          <w:sz w:val="21"/>
          <w:szCs w:val="21"/>
        </w:rPr>
        <w:t> </w:t>
      </w:r>
      <w:r>
        <w:rPr>
          <w:rFonts w:ascii="宋体" w:hAnsi="宋体" w:cs="宋体" w:eastAsia="宋体" w:hint="default"/>
          <w:spacing w:val="-8"/>
          <w:w w:val="100"/>
          <w:sz w:val="21"/>
          <w:szCs w:val="21"/>
        </w:rPr>
        <w:t>制性股票激励计划，向</w:t>
      </w:r>
      <w:r>
        <w:rPr>
          <w:rFonts w:ascii="宋体" w:hAnsi="宋体" w:cs="宋体" w:eastAsia="宋体" w:hint="default"/>
          <w:spacing w:val="-8"/>
          <w:w w:val="100"/>
          <w:sz w:val="21"/>
          <w:szCs w:val="21"/>
        </w:rPr>
        <w:t>123</w:t>
      </w:r>
      <w:r>
        <w:rPr>
          <w:rFonts w:ascii="宋体" w:hAnsi="宋体" w:cs="宋体" w:eastAsia="宋体" w:hint="default"/>
          <w:spacing w:val="-8"/>
          <w:w w:val="100"/>
          <w:sz w:val="21"/>
          <w:szCs w:val="21"/>
        </w:rPr>
        <w:t>名激励对象授予</w:t>
      </w:r>
      <w:r>
        <w:rPr>
          <w:rFonts w:ascii="宋体" w:hAnsi="宋体" w:cs="宋体" w:eastAsia="宋体" w:hint="default"/>
          <w:spacing w:val="-8"/>
          <w:w w:val="100"/>
          <w:sz w:val="21"/>
          <w:szCs w:val="21"/>
        </w:rPr>
        <w:t>2,290,000</w:t>
      </w:r>
      <w:r>
        <w:rPr>
          <w:rFonts w:ascii="宋体" w:hAnsi="宋体" w:cs="宋体" w:eastAsia="宋体" w:hint="default"/>
          <w:spacing w:val="-8"/>
          <w:w w:val="100"/>
          <w:sz w:val="21"/>
          <w:szCs w:val="21"/>
        </w:rPr>
        <w:t>股限制性股票，公司注册资本增加至</w:t>
      </w:r>
      <w:r>
        <w:rPr>
          <w:rFonts w:ascii="宋体" w:hAnsi="宋体" w:cs="宋体" w:eastAsia="宋体" w:hint="default"/>
          <w:spacing w:val="-8"/>
          <w:w w:val="100"/>
          <w:sz w:val="21"/>
          <w:szCs w:val="21"/>
        </w:rPr>
        <w:t>126,414,172</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pacing w:val="-3"/>
          <w:sz w:val="21"/>
          <w:szCs w:val="21"/>
        </w:rPr>
        <w:t>元。</w:t>
      </w:r>
    </w:p>
    <w:p>
      <w:pPr>
        <w:spacing w:after="0" w:line="350"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638" w:right="0" w:firstLine="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、公司的登记注册地点为：济南市山大北路</w:t>
      </w:r>
      <w:r>
        <w:rPr>
          <w:rFonts w:ascii="宋体" w:hAnsi="宋体" w:cs="宋体" w:eastAsia="宋体" w:hint="default"/>
          <w:spacing w:val="-47"/>
          <w:sz w:val="21"/>
          <w:szCs w:val="21"/>
        </w:rPr>
        <w:t> </w:t>
      </w:r>
      <w:r>
        <w:rPr>
          <w:rFonts w:ascii="宋体" w:hAnsi="宋体" w:cs="宋体" w:eastAsia="宋体" w:hint="default"/>
          <w:sz w:val="21"/>
          <w:szCs w:val="21"/>
        </w:rPr>
        <w:t>23</w:t>
      </w:r>
      <w:r>
        <w:rPr>
          <w:rFonts w:ascii="宋体" w:hAnsi="宋体" w:cs="宋体" w:eastAsia="宋体" w:hint="default"/>
          <w:spacing w:val="-45"/>
          <w:sz w:val="21"/>
          <w:szCs w:val="21"/>
        </w:rPr>
        <w:t> </w:t>
      </w:r>
      <w:r>
        <w:rPr>
          <w:rFonts w:ascii="宋体" w:hAnsi="宋体" w:cs="宋体" w:eastAsia="宋体" w:hint="default"/>
          <w:sz w:val="21"/>
          <w:szCs w:val="21"/>
        </w:rPr>
        <w:t>号</w:t>
      </w:r>
      <w:r>
        <w:rPr>
          <w:rFonts w:ascii="宋体" w:hAnsi="宋体" w:cs="宋体" w:eastAsia="宋体" w:hint="default"/>
          <w:spacing w:val="12"/>
          <w:sz w:val="21"/>
          <w:szCs w:val="21"/>
        </w:rPr>
        <w:t> </w:t>
      </w:r>
      <w:r>
        <w:rPr>
          <w:rFonts w:ascii="宋体" w:hAnsi="宋体" w:cs="宋体" w:eastAsia="宋体" w:hint="default"/>
          <w:spacing w:val="-6"/>
          <w:sz w:val="21"/>
          <w:szCs w:val="21"/>
        </w:rPr>
        <w:t>，自上市以来未曾变更过。</w:t>
      </w:r>
    </w:p>
    <w:p>
      <w:pPr>
        <w:spacing w:before="133"/>
        <w:ind w:left="638" w:right="0" w:firstLine="0"/>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、公司的营业执照号为：</w:t>
      </w:r>
      <w:r>
        <w:rPr>
          <w:rFonts w:ascii="宋体" w:hAnsi="宋体" w:cs="宋体" w:eastAsia="宋体" w:hint="default"/>
          <w:spacing w:val="-4"/>
          <w:sz w:val="21"/>
          <w:szCs w:val="21"/>
        </w:rPr>
        <w:t>370000400000101</w:t>
      </w:r>
      <w:r>
        <w:rPr>
          <w:rFonts w:ascii="宋体" w:hAnsi="宋体" w:cs="宋体" w:eastAsia="宋体" w:hint="default"/>
          <w:spacing w:val="-4"/>
          <w:sz w:val="21"/>
          <w:szCs w:val="21"/>
        </w:rPr>
        <w:t>，自上市以来未曾变更过。</w:t>
      </w:r>
    </w:p>
    <w:p>
      <w:pPr>
        <w:spacing w:before="133"/>
        <w:ind w:left="638" w:right="0" w:firstLine="0"/>
        <w:jc w:val="left"/>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、公司的税务登记证号码为：</w:t>
      </w:r>
      <w:r>
        <w:rPr>
          <w:rFonts w:ascii="宋体" w:hAnsi="宋体" w:cs="宋体" w:eastAsia="宋体" w:hint="default"/>
          <w:spacing w:val="-4"/>
          <w:sz w:val="21"/>
          <w:szCs w:val="21"/>
        </w:rPr>
        <w:t>370112613207311</w:t>
      </w:r>
      <w:r>
        <w:rPr>
          <w:rFonts w:ascii="宋体" w:hAnsi="宋体" w:cs="宋体" w:eastAsia="宋体" w:hint="default"/>
          <w:spacing w:val="-4"/>
          <w:sz w:val="21"/>
          <w:szCs w:val="21"/>
        </w:rPr>
        <w:t>，自上市以来未曾变更过。</w:t>
      </w:r>
    </w:p>
    <w:p>
      <w:pPr>
        <w:spacing w:before="135"/>
        <w:ind w:left="638" w:right="0" w:firstLine="0"/>
        <w:jc w:val="left"/>
        <w:rPr>
          <w:rFonts w:ascii="宋体" w:hAnsi="宋体" w:cs="宋体" w:eastAsia="宋体" w:hint="default"/>
          <w:sz w:val="21"/>
          <w:szCs w:val="21"/>
        </w:rPr>
      </w:pPr>
      <w:r>
        <w:rPr>
          <w:rFonts w:ascii="宋体" w:hAnsi="宋体" w:cs="宋体" w:eastAsia="宋体" w:hint="default"/>
          <w:spacing w:val="-4"/>
          <w:sz w:val="21"/>
          <w:szCs w:val="21"/>
        </w:rPr>
        <w:t>5</w:t>
      </w:r>
      <w:r>
        <w:rPr>
          <w:rFonts w:ascii="宋体" w:hAnsi="宋体" w:cs="宋体" w:eastAsia="宋体" w:hint="default"/>
          <w:spacing w:val="-4"/>
          <w:sz w:val="21"/>
          <w:szCs w:val="21"/>
        </w:rPr>
        <w:t>、公司的组织机构代码为：</w:t>
      </w:r>
      <w:r>
        <w:rPr>
          <w:rFonts w:ascii="宋体" w:hAnsi="宋体" w:cs="宋体" w:eastAsia="宋体" w:hint="default"/>
          <w:spacing w:val="-4"/>
          <w:sz w:val="21"/>
          <w:szCs w:val="21"/>
        </w:rPr>
        <w:t>6130731-12</w:t>
      </w:r>
      <w:r>
        <w:rPr>
          <w:rFonts w:ascii="宋体" w:hAnsi="宋体" w:cs="宋体" w:eastAsia="宋体" w:hint="default"/>
          <w:spacing w:val="-4"/>
          <w:sz w:val="21"/>
          <w:szCs w:val="21"/>
        </w:rPr>
        <w:t>，自上市以来未曾变更过。</w:t>
      </w:r>
    </w:p>
    <w:p>
      <w:pPr>
        <w:spacing w:before="133"/>
        <w:ind w:left="638" w:right="0" w:firstLine="0"/>
        <w:jc w:val="left"/>
        <w:rPr>
          <w:rFonts w:ascii="宋体" w:hAnsi="宋体" w:cs="宋体" w:eastAsia="宋体" w:hint="default"/>
          <w:sz w:val="21"/>
          <w:szCs w:val="21"/>
        </w:rPr>
      </w:pPr>
      <w:r>
        <w:rPr>
          <w:rFonts w:ascii="宋体" w:hAnsi="宋体" w:cs="宋体" w:eastAsia="宋体" w:hint="default"/>
          <w:spacing w:val="-6"/>
          <w:sz w:val="21"/>
          <w:szCs w:val="21"/>
        </w:rPr>
        <w:t>6</w:t>
      </w:r>
      <w:r>
        <w:rPr>
          <w:rFonts w:ascii="宋体" w:hAnsi="宋体" w:cs="宋体" w:eastAsia="宋体" w:hint="default"/>
          <w:spacing w:val="-6"/>
          <w:sz w:val="21"/>
          <w:szCs w:val="21"/>
        </w:rPr>
        <w:t>、公司主要分支机构的设立、变更情况：</w:t>
      </w:r>
      <w:r>
        <w:rPr>
          <w:rFonts w:ascii="宋体" w:hAnsi="宋体" w:cs="宋体" w:eastAsia="宋体" w:hint="default"/>
          <w:sz w:val="21"/>
          <w:szCs w:val="21"/>
        </w:rPr>
      </w:r>
    </w:p>
    <w:p>
      <w:pPr>
        <w:spacing w:line="357" w:lineRule="auto" w:before="133"/>
        <w:ind w:left="638" w:right="3528" w:firstLine="0"/>
        <w:jc w:val="left"/>
        <w:rPr>
          <w:rFonts w:ascii="宋体" w:hAnsi="宋体" w:cs="宋体" w:eastAsia="宋体" w:hint="default"/>
          <w:sz w:val="21"/>
          <w:szCs w:val="21"/>
        </w:rPr>
      </w:pPr>
      <w:r>
        <w:rPr>
          <w:rFonts w:ascii="宋体" w:hAnsi="宋体" w:cs="宋体" w:eastAsia="宋体" w:hint="default"/>
          <w:spacing w:val="-5"/>
          <w:sz w:val="21"/>
          <w:szCs w:val="21"/>
        </w:rPr>
        <w:t>北京销售分公司：</w:t>
      </w:r>
      <w:r>
        <w:rPr>
          <w:rFonts w:ascii="宋体" w:hAnsi="宋体" w:cs="宋体" w:eastAsia="宋体" w:hint="default"/>
          <w:spacing w:val="-5"/>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6"/>
          <w:sz w:val="21"/>
          <w:szCs w:val="21"/>
        </w:rPr>
        <w:t>月设立，自成立至今未发生变更。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济南临港开发区分公司：</w:t>
      </w:r>
      <w:r>
        <w:rPr>
          <w:rFonts w:ascii="宋体" w:hAnsi="宋体" w:cs="宋体" w:eastAsia="宋体" w:hint="default"/>
          <w:spacing w:val="-5"/>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pacing w:val="-5"/>
          <w:sz w:val="21"/>
          <w:szCs w:val="21"/>
        </w:rPr>
        <w:t>月设立，自成立至今未发生变更。</w:t>
      </w:r>
      <w:r>
        <w:rPr>
          <w:rFonts w:ascii="宋体" w:hAnsi="宋体" w:cs="宋体" w:eastAsia="宋体" w:hint="default"/>
          <w:spacing w:val="-101"/>
          <w:sz w:val="21"/>
          <w:szCs w:val="21"/>
        </w:rPr>
        <w:t> </w:t>
      </w:r>
      <w:r>
        <w:rPr>
          <w:rFonts w:ascii="宋体" w:hAnsi="宋体" w:cs="宋体" w:eastAsia="宋体" w:hint="default"/>
          <w:spacing w:val="-5"/>
          <w:sz w:val="21"/>
          <w:szCs w:val="21"/>
        </w:rPr>
        <w:t>上海办事处：</w:t>
      </w:r>
      <w:r>
        <w:rPr>
          <w:rFonts w:ascii="宋体" w:hAnsi="宋体" w:cs="宋体" w:eastAsia="宋体" w:hint="default"/>
          <w:spacing w:val="-5"/>
          <w:sz w:val="21"/>
          <w:szCs w:val="21"/>
        </w:rPr>
        <w:t>200</w:t>
      </w:r>
      <w:r>
        <w:rPr>
          <w:rFonts w:ascii="宋体" w:hAnsi="宋体" w:cs="宋体" w:eastAsia="宋体" w:hint="default"/>
          <w:spacing w:val="-5"/>
          <w:sz w:val="21"/>
          <w:szCs w:val="21"/>
        </w:rPr>
        <w:t>４年８月设立，</w:t>
      </w:r>
      <w:r>
        <w:rPr>
          <w:rFonts w:ascii="宋体" w:hAnsi="宋体" w:cs="宋体" w:eastAsia="宋体" w:hint="default"/>
          <w:spacing w:val="-5"/>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pacing w:val="-5"/>
          <w:sz w:val="21"/>
          <w:szCs w:val="21"/>
        </w:rPr>
        <w:t>月已注销。</w:t>
      </w:r>
      <w:r>
        <w:rPr>
          <w:rFonts w:ascii="宋体" w:hAnsi="宋体" w:cs="宋体" w:eastAsia="宋体" w:hint="default"/>
          <w:sz w:val="21"/>
          <w:szCs w:val="21"/>
        </w:rPr>
      </w:r>
    </w:p>
    <w:p>
      <w:pPr>
        <w:spacing w:after="0" w:line="357"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tabs>
          <w:tab w:pos="3644" w:val="left" w:leader="none"/>
        </w:tabs>
        <w:spacing w:line="240" w:lineRule="auto"/>
        <w:ind w:left="2288" w:right="0"/>
        <w:jc w:val="left"/>
        <w:rPr>
          <w:b w:val="0"/>
          <w:bCs w:val="0"/>
        </w:rPr>
      </w:pPr>
      <w:bookmarkStart w:name="_TOC_250010" w:id="2"/>
      <w:r>
        <w:rPr>
          <w:w w:val="95"/>
        </w:rPr>
        <w:t>第二节</w:t>
        <w:tab/>
      </w:r>
      <w:r>
        <w:rPr/>
        <w:t>会计数据和业务数据摘要</w:t>
      </w:r>
      <w:bookmarkEnd w:id="2"/>
      <w:r>
        <w:rPr>
          <w:b w:val="0"/>
          <w:bCs w:val="0"/>
        </w:rPr>
      </w:r>
    </w:p>
    <w:p>
      <w:pPr>
        <w:spacing w:line="240" w:lineRule="auto" w:before="9"/>
        <w:rPr>
          <w:rFonts w:ascii="宋体" w:hAnsi="宋体" w:cs="宋体" w:eastAsia="宋体" w:hint="default"/>
          <w:b/>
          <w:bCs/>
          <w:sz w:val="36"/>
          <w:szCs w:val="36"/>
        </w:rPr>
      </w:pPr>
    </w:p>
    <w:p>
      <w:pPr>
        <w:spacing w:before="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一、主要财务数据和指标（单位：人民币元）</w:t>
      </w:r>
      <w:r>
        <w:rPr>
          <w:rFonts w:ascii="宋体" w:hAnsi="宋体" w:cs="宋体" w:eastAsia="宋体" w:hint="default"/>
          <w:sz w:val="21"/>
          <w:szCs w:val="21"/>
        </w:rPr>
      </w:r>
    </w:p>
    <w:p>
      <w:pPr>
        <w:spacing w:before="133"/>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主要会计数据（单位：人民币元）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541" w:type="dxa"/>
        <w:tblLayout w:type="fixed"/>
        <w:tblCellMar>
          <w:top w:w="0" w:type="dxa"/>
          <w:left w:w="0" w:type="dxa"/>
          <w:bottom w:w="0" w:type="dxa"/>
          <w:right w:w="0" w:type="dxa"/>
        </w:tblCellMar>
        <w:tblLook w:val="01E0"/>
      </w:tblPr>
      <w:tblGrid>
        <w:gridCol w:w="1693"/>
        <w:gridCol w:w="1508"/>
        <w:gridCol w:w="1496"/>
        <w:gridCol w:w="2105"/>
        <w:gridCol w:w="178"/>
        <w:gridCol w:w="1182"/>
      </w:tblGrid>
      <w:tr>
        <w:trPr>
          <w:trHeight w:val="24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left="14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36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781,765,641.17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712,233,094.92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9.76%</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1" w:right="0"/>
              <w:jc w:val="left"/>
              <w:rPr>
                <w:rFonts w:ascii="Times New Roman" w:hAnsi="Times New Roman" w:cs="Times New Roman" w:eastAsia="Times New Roman" w:hint="default"/>
                <w:sz w:val="18"/>
                <w:szCs w:val="18"/>
              </w:rPr>
            </w:pPr>
            <w:r>
              <w:rPr>
                <w:rFonts w:ascii="Times New Roman"/>
                <w:sz w:val="18"/>
              </w:rPr>
              <w:t>550,874,357.75</w:t>
            </w:r>
          </w:p>
        </w:tc>
      </w:tr>
      <w:tr>
        <w:trPr>
          <w:trHeight w:val="24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2"/>
                <w:sz w:val="18"/>
              </w:rPr>
              <w:t>110,989,211.18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102,514,798.10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8.27%</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2" w:right="0"/>
              <w:jc w:val="left"/>
              <w:rPr>
                <w:rFonts w:ascii="Times New Roman" w:hAnsi="Times New Roman" w:cs="Times New Roman" w:eastAsia="Times New Roman" w:hint="default"/>
                <w:sz w:val="18"/>
                <w:szCs w:val="18"/>
              </w:rPr>
            </w:pPr>
            <w:r>
              <w:rPr>
                <w:rFonts w:ascii="Times New Roman"/>
                <w:sz w:val="18"/>
              </w:rPr>
              <w:t>88,065,323.10</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113,237,249.89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104,116,173.40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8.76%</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92" w:right="0"/>
              <w:jc w:val="left"/>
              <w:rPr>
                <w:rFonts w:ascii="Times New Roman" w:hAnsi="Times New Roman" w:cs="Times New Roman" w:eastAsia="Times New Roman" w:hint="default"/>
                <w:sz w:val="18"/>
                <w:szCs w:val="18"/>
              </w:rPr>
            </w:pPr>
            <w:r>
              <w:rPr>
                <w:rFonts w:ascii="Times New Roman"/>
                <w:sz w:val="18"/>
              </w:rPr>
              <w:t>90,856,919.37</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86,964,360.30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79,194,442.06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9.81%</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92" w:right="0"/>
              <w:jc w:val="left"/>
              <w:rPr>
                <w:rFonts w:ascii="Times New Roman" w:hAnsi="Times New Roman" w:cs="Times New Roman" w:eastAsia="Times New Roman" w:hint="default"/>
                <w:sz w:val="18"/>
                <w:szCs w:val="18"/>
              </w:rPr>
            </w:pPr>
            <w:r>
              <w:rPr>
                <w:rFonts w:ascii="Times New Roman"/>
                <w:sz w:val="18"/>
              </w:rPr>
              <w:t>74,026,819.95</w:t>
            </w:r>
          </w:p>
        </w:tc>
      </w:tr>
      <w:tr>
        <w:trPr>
          <w:trHeight w:val="71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ind w:left="210" w:right="31" w:hanging="180"/>
              <w:jc w:val="left"/>
              <w:rPr>
                <w:rFonts w:ascii="宋体" w:hAnsi="宋体" w:cs="宋体" w:eastAsia="宋体" w:hint="default"/>
                <w:sz w:val="18"/>
                <w:szCs w:val="18"/>
              </w:rPr>
            </w:pPr>
            <w:r>
              <w:rPr>
                <w:rFonts w:ascii="宋体" w:hAnsi="宋体" w:cs="宋体" w:eastAsia="宋体" w:hint="default"/>
                <w:sz w:val="18"/>
                <w:szCs w:val="18"/>
              </w:rPr>
              <w:t>的扣除非经常性损益 的净利润（元）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85,178,243.78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77,934,107.98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9.30%</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71,699,861.85</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流量净额（元）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177,821,817.48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179,535,678.40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-0.95%</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5" w:right="0"/>
              <w:jc w:val="left"/>
              <w:rPr>
                <w:rFonts w:ascii="Times New Roman" w:hAnsi="Times New Roman" w:cs="Times New Roman" w:eastAsia="Times New Roman" w:hint="default"/>
                <w:sz w:val="18"/>
                <w:szCs w:val="18"/>
              </w:rPr>
            </w:pPr>
            <w:r>
              <w:rPr>
                <w:rFonts w:ascii="Times New Roman"/>
                <w:sz w:val="18"/>
              </w:rPr>
              <w:t>111,617,008.83</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8" w:type="dxa"/>
            <w:tcBorders>
              <w:top w:val="single" w:sz="4" w:space="0" w:color="000000"/>
              <w:left w:val="single" w:sz="4" w:space="0" w:color="000000"/>
              <w:bottom w:val="single" w:sz="4" w:space="0" w:color="000000"/>
              <w:right w:val="nil" w:sz="6" w:space="0" w:color="auto"/>
            </w:tcBorders>
            <w:shd w:val="clear" w:color="auto" w:fill="DCDCDC"/>
          </w:tcPr>
          <w:p>
            <w:pPr/>
          </w:p>
        </w:tc>
        <w:tc>
          <w:tcPr>
            <w:tcW w:w="118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1,350,120,870.59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1,337,336,997.69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0.96%</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1" w:right="0"/>
              <w:jc w:val="left"/>
              <w:rPr>
                <w:rFonts w:ascii="Times New Roman" w:hAnsi="Times New Roman" w:cs="Times New Roman" w:eastAsia="Times New Roman" w:hint="default"/>
                <w:sz w:val="18"/>
                <w:szCs w:val="18"/>
              </w:rPr>
            </w:pPr>
            <w:r>
              <w:rPr>
                <w:rFonts w:ascii="Times New Roman"/>
                <w:sz w:val="18"/>
              </w:rPr>
              <w:t>993,016,822.76</w:t>
            </w:r>
          </w:p>
        </w:tc>
      </w:tr>
      <w:tr>
        <w:trPr>
          <w:trHeight w:val="245"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252,183,840.21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326,705,187.39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-22.81%</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1" w:right="0"/>
              <w:jc w:val="left"/>
              <w:rPr>
                <w:rFonts w:ascii="Times New Roman" w:hAnsi="Times New Roman" w:cs="Times New Roman" w:eastAsia="Times New Roman" w:hint="default"/>
                <w:sz w:val="18"/>
                <w:szCs w:val="18"/>
              </w:rPr>
            </w:pPr>
            <w:r>
              <w:rPr>
                <w:rFonts w:ascii="Times New Roman"/>
                <w:sz w:val="18"/>
              </w:rPr>
              <w:t>380,953,477.21</w:t>
            </w:r>
          </w:p>
        </w:tc>
      </w:tr>
      <w:tr>
        <w:trPr>
          <w:trHeight w:val="47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30"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1,049,541,852.54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964,284,418.30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8.84%</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1" w:right="0"/>
              <w:jc w:val="left"/>
              <w:rPr>
                <w:rFonts w:ascii="Times New Roman" w:hAnsi="Times New Roman" w:cs="Times New Roman" w:eastAsia="Times New Roman" w:hint="default"/>
                <w:sz w:val="18"/>
                <w:szCs w:val="18"/>
              </w:rPr>
            </w:pPr>
            <w:r>
              <w:rPr>
                <w:rFonts w:ascii="Times New Roman"/>
                <w:sz w:val="18"/>
              </w:rPr>
              <w:t>572,981,361.71</w:t>
            </w:r>
          </w:p>
        </w:tc>
      </w:tr>
      <w:tr>
        <w:trPr>
          <w:trHeight w:val="2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126,414,172.00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124,124,172.00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1.84%</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8" w:right="0"/>
              <w:jc w:val="left"/>
              <w:rPr>
                <w:rFonts w:ascii="Times New Roman" w:hAnsi="Times New Roman" w:cs="Times New Roman" w:eastAsia="Times New Roman" w:hint="default"/>
                <w:sz w:val="18"/>
                <w:szCs w:val="18"/>
              </w:rPr>
            </w:pPr>
            <w:r>
              <w:rPr>
                <w:rFonts w:ascii="Times New Roman"/>
                <w:sz w:val="18"/>
              </w:rPr>
              <w:t>110,000,000.00</w:t>
            </w:r>
          </w:p>
        </w:tc>
      </w:tr>
    </w:tbl>
    <w:p>
      <w:pPr>
        <w:spacing w:line="240" w:lineRule="auto" w:before="2"/>
        <w:rPr>
          <w:rFonts w:ascii="宋体" w:hAnsi="宋体" w:cs="宋体" w:eastAsia="宋体" w:hint="default"/>
          <w:b/>
          <w:bCs/>
          <w:sz w:val="26"/>
          <w:szCs w:val="26"/>
        </w:rPr>
      </w:pPr>
    </w:p>
    <w:p>
      <w:pPr>
        <w:spacing w:before="36"/>
        <w:ind w:left="122" w:right="0" w:firstLine="0"/>
        <w:jc w:val="left"/>
        <w:rPr>
          <w:rFonts w:ascii="宋体" w:hAnsi="宋体" w:cs="宋体" w:eastAsia="宋体" w:hint="default"/>
          <w:sz w:val="21"/>
          <w:szCs w:val="21"/>
        </w:rPr>
      </w:pPr>
      <w:r>
        <w:rPr/>
        <w:pict>
          <v:shape style="position:absolute;margin-left:418.51001pt;margin-top:-89.616333pt;width:90.55pt;height:11.65pt;mso-position-horizontal-relative:page;mso-position-vertical-relative:paragraph;z-index:-74807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b/>
          <w:bCs/>
          <w:sz w:val="21"/>
          <w:szCs w:val="21"/>
        </w:rPr>
        <w:t>（二）主要财务指标（单位：人民币元）</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896" w:type="dxa"/>
        <w:tblLayout w:type="fixed"/>
        <w:tblCellMar>
          <w:top w:w="0" w:type="dxa"/>
          <w:left w:w="0" w:type="dxa"/>
          <w:bottom w:w="0" w:type="dxa"/>
          <w:right w:w="0" w:type="dxa"/>
        </w:tblCellMar>
        <w:tblLook w:val="01E0"/>
      </w:tblPr>
      <w:tblGrid>
        <w:gridCol w:w="2266"/>
        <w:gridCol w:w="293"/>
        <w:gridCol w:w="714"/>
        <w:gridCol w:w="1001"/>
        <w:gridCol w:w="2175"/>
        <w:gridCol w:w="1001"/>
      </w:tblGrid>
      <w:tr>
        <w:trPr>
          <w:trHeight w:val="24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0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0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left="652" w:right="0"/>
              <w:jc w:val="left"/>
              <w:rPr>
                <w:rFonts w:ascii="Times New Roman" w:hAnsi="Times New Roman" w:cs="Times New Roman" w:eastAsia="Times New Roman" w:hint="default"/>
                <w:sz w:val="18"/>
                <w:szCs w:val="18"/>
              </w:rPr>
            </w:pPr>
            <w:r>
              <w:rPr>
                <w:rFonts w:ascii="Times New Roman"/>
                <w:sz w:val="18"/>
              </w:rPr>
              <w:t>0.70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0.70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0.67</w:t>
            </w:r>
          </w:p>
        </w:tc>
      </w:tr>
      <w:tr>
        <w:trPr>
          <w:trHeight w:val="2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0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left="652" w:right="0"/>
              <w:jc w:val="left"/>
              <w:rPr>
                <w:rFonts w:ascii="Times New Roman" w:hAnsi="Times New Roman" w:cs="Times New Roman" w:eastAsia="Times New Roman" w:hint="default"/>
                <w:sz w:val="18"/>
                <w:szCs w:val="18"/>
              </w:rPr>
            </w:pPr>
            <w:r>
              <w:rPr>
                <w:rFonts w:ascii="Times New Roman"/>
                <w:sz w:val="18"/>
              </w:rPr>
              <w:t>0.70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0.70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0.67</w:t>
            </w:r>
          </w:p>
        </w:tc>
      </w:tr>
      <w:tr>
        <w:trPr>
          <w:trHeight w:val="478"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48" w:lineRule="exact"/>
              <w:ind w:left="10"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0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7"/>
              <w:ind w:left="652" w:right="0"/>
              <w:jc w:val="left"/>
              <w:rPr>
                <w:rFonts w:ascii="Times New Roman" w:hAnsi="Times New Roman" w:cs="Times New Roman" w:eastAsia="Times New Roman" w:hint="default"/>
                <w:sz w:val="18"/>
                <w:szCs w:val="18"/>
              </w:rPr>
            </w:pPr>
            <w:r>
              <w:rPr>
                <w:rFonts w:ascii="Times New Roman"/>
                <w:sz w:val="18"/>
              </w:rPr>
              <w:t>0.68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0.69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93" w:type="dxa"/>
            <w:tcBorders>
              <w:top w:val="single" w:sz="4" w:space="0" w:color="000000"/>
              <w:left w:val="single" w:sz="9" w:space="0" w:color="DCDCDC"/>
              <w:bottom w:val="single" w:sz="4" w:space="0" w:color="000000"/>
              <w:right w:val="nil" w:sz="6" w:space="0" w:color="auto"/>
            </w:tcBorders>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19" w:right="0"/>
              <w:jc w:val="left"/>
              <w:rPr>
                <w:rFonts w:ascii="Times New Roman" w:hAnsi="Times New Roman" w:cs="Times New Roman" w:eastAsia="Times New Roman" w:hint="default"/>
                <w:sz w:val="18"/>
                <w:szCs w:val="18"/>
              </w:rPr>
            </w:pPr>
            <w:r>
              <w:rPr>
                <w:rFonts w:ascii="Times New Roman"/>
                <w:sz w:val="18"/>
              </w:rPr>
              <w:t>8.74%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11.80%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-3.06%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13.56%</w:t>
            </w:r>
          </w:p>
        </w:tc>
      </w:tr>
      <w:tr>
        <w:trPr>
          <w:trHeight w:val="47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平均净资产收益率（％）</w:t>
            </w:r>
          </w:p>
        </w:tc>
        <w:tc>
          <w:tcPr>
            <w:tcW w:w="100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4"/>
              <w:ind w:left="501" w:right="0"/>
              <w:jc w:val="left"/>
              <w:rPr>
                <w:rFonts w:ascii="Times New Roman" w:hAnsi="Times New Roman" w:cs="Times New Roman" w:eastAsia="Times New Roman" w:hint="default"/>
                <w:sz w:val="18"/>
                <w:szCs w:val="18"/>
              </w:rPr>
            </w:pPr>
            <w:r>
              <w:rPr>
                <w:rFonts w:ascii="Times New Roman"/>
                <w:sz w:val="18"/>
              </w:rPr>
              <w:t>8.56%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11.61%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-3.05%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13.14%</w:t>
            </w:r>
          </w:p>
        </w:tc>
      </w:tr>
      <w:tr>
        <w:trPr>
          <w:trHeight w:val="478"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0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7"/>
              <w:ind w:left="652" w:right="0"/>
              <w:jc w:val="left"/>
              <w:rPr>
                <w:rFonts w:ascii="Times New Roman" w:hAnsi="Times New Roman" w:cs="Times New Roman" w:eastAsia="Times New Roman" w:hint="default"/>
                <w:sz w:val="18"/>
                <w:szCs w:val="18"/>
              </w:rPr>
            </w:pPr>
            <w:r>
              <w:rPr>
                <w:rFonts w:ascii="Times New Roman"/>
                <w:sz w:val="18"/>
              </w:rPr>
              <w:t>1.41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1.45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-2.76%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1.01</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0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78"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w:t>
            </w:r>
          </w:p>
          <w:p>
            <w:pPr>
              <w:pStyle w:val="TableParagraph"/>
              <w:spacing w:line="248" w:lineRule="exact"/>
              <w:ind w:left="10" w:right="0"/>
              <w:jc w:val="left"/>
              <w:rPr>
                <w:rFonts w:ascii="宋体" w:hAnsi="宋体" w:cs="宋体" w:eastAsia="宋体" w:hint="default"/>
                <w:sz w:val="18"/>
                <w:szCs w:val="18"/>
              </w:rPr>
            </w:pPr>
            <w:r>
              <w:rPr>
                <w:rFonts w:ascii="宋体" w:hAnsi="宋体" w:cs="宋体" w:eastAsia="宋体" w:hint="default"/>
                <w:sz w:val="18"/>
                <w:szCs w:val="18"/>
              </w:rPr>
              <w:t>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0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27"/>
              <w:ind w:left="652" w:right="0"/>
              <w:jc w:val="left"/>
              <w:rPr>
                <w:rFonts w:ascii="Times New Roman" w:hAnsi="Times New Roman" w:cs="Times New Roman" w:eastAsia="Times New Roman" w:hint="default"/>
                <w:sz w:val="18"/>
                <w:szCs w:val="18"/>
              </w:rPr>
            </w:pPr>
            <w:r>
              <w:rPr>
                <w:rFonts w:ascii="Times New Roman"/>
                <w:sz w:val="18"/>
              </w:rPr>
              <w:t>8.30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7.77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6.82%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5.21</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00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left="412" w:right="0"/>
              <w:jc w:val="left"/>
              <w:rPr>
                <w:rFonts w:ascii="Times New Roman" w:hAnsi="Times New Roman" w:cs="Times New Roman" w:eastAsia="Times New Roman" w:hint="default"/>
                <w:sz w:val="18"/>
                <w:szCs w:val="18"/>
              </w:rPr>
            </w:pPr>
            <w:r>
              <w:rPr>
                <w:rFonts w:ascii="Times New Roman"/>
                <w:sz w:val="18"/>
              </w:rPr>
              <w:t>18.68%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24.43%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-5.75%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38.36%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（三）非经常性损益项目：（单位：人民币元）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446" w:type="dxa"/>
        <w:tblLayout w:type="fixed"/>
        <w:tblCellMar>
          <w:top w:w="0" w:type="dxa"/>
          <w:left w:w="0" w:type="dxa"/>
          <w:bottom w:w="0" w:type="dxa"/>
          <w:right w:w="0" w:type="dxa"/>
        </w:tblCellMar>
        <w:tblLook w:val="01E0"/>
      </w:tblPr>
      <w:tblGrid>
        <w:gridCol w:w="3699"/>
        <w:gridCol w:w="1548"/>
        <w:gridCol w:w="1546"/>
        <w:gridCol w:w="1549"/>
      </w:tblGrid>
      <w:tr>
        <w:trPr>
          <w:trHeight w:val="242" w:hRule="exact"/>
        </w:trPr>
        <w:tc>
          <w:tcPr>
            <w:tcW w:w="3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23"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24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-455,159.53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-323,504.89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-127,263.77</w:t>
            </w:r>
          </w:p>
        </w:tc>
      </w:tr>
      <w:tr>
        <w:trPr>
          <w:trHeight w:val="708"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w:t>
            </w:r>
          </w:p>
          <w:p>
            <w:pPr>
              <w:pStyle w:val="TableParagraph"/>
              <w:spacing w:line="232" w:lineRule="exact" w:before="23"/>
              <w:ind w:left="21" w:right="20"/>
              <w:jc w:val="left"/>
              <w:rPr>
                <w:rFonts w:ascii="宋体" w:hAnsi="宋体" w:cs="宋体" w:eastAsia="宋体" w:hint="default"/>
                <w:sz w:val="18"/>
                <w:szCs w:val="18"/>
              </w:rPr>
            </w:pPr>
            <w:r>
              <w:rPr>
                <w:rFonts w:ascii="宋体" w:hAnsi="宋体" w:cs="宋体" w:eastAsia="宋体" w:hint="default"/>
                <w:sz w:val="18"/>
                <w:szCs w:val="18"/>
              </w:rPr>
              <w:t>业务密切相关，符合国家政策规定、按照一定</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标准定额或定量持续享受的政府补助除外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2,030,186.94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1,356,370.00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2,873,674.52</w:t>
            </w:r>
          </w:p>
        </w:tc>
      </w:tr>
      <w:tr>
        <w:trPr>
          <w:trHeight w:val="24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673,011.30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568,510.19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45,185.52</w:t>
            </w:r>
          </w:p>
        </w:tc>
      </w:tr>
      <w:tr>
        <w:trPr>
          <w:trHeight w:val="24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-333,489.84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-259,546.29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-413,361.46</w:t>
            </w:r>
          </w:p>
        </w:tc>
      </w:tr>
      <w:tr>
        <w:trPr>
          <w:trHeight w:val="24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-128,432.35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-81,494.93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-51,276.71</w:t>
            </w:r>
          </w:p>
        </w:tc>
      </w:tr>
      <w:tr>
        <w:trPr>
          <w:trHeight w:val="242" w:hRule="exact"/>
        </w:trPr>
        <w:tc>
          <w:tcPr>
            <w:tcW w:w="3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1,786,116.52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1,260,334.08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2,326,958.10</w:t>
            </w:r>
          </w:p>
        </w:tc>
      </w:tr>
    </w:tbl>
    <w:p>
      <w:pPr>
        <w:spacing w:after="0" w:line="240" w:lineRule="auto"/>
        <w:jc w:val="right"/>
        <w:rPr>
          <w:rFonts w:ascii="Times New Roman" w:hAnsi="Times New Roman" w:cs="Times New Roman" w:eastAsia="Times New Roman" w:hint="default"/>
          <w:sz w:val="18"/>
          <w:szCs w:val="18"/>
        </w:rPr>
        <w:sectPr>
          <w:pgSz w:w="11910" w:h="16840"/>
          <w:pgMar w:header="737" w:footer="1153" w:top="1060" w:bottom="1340" w:left="150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1"/>
        <w:tabs>
          <w:tab w:pos="4064" w:val="left" w:leader="none"/>
        </w:tabs>
        <w:spacing w:line="240" w:lineRule="auto"/>
        <w:ind w:left="2708" w:right="0"/>
        <w:jc w:val="left"/>
        <w:rPr>
          <w:b w:val="0"/>
          <w:bCs w:val="0"/>
        </w:rPr>
      </w:pPr>
      <w:bookmarkStart w:name="_TOC_250009"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30"/>
          <w:szCs w:val="30"/>
        </w:rPr>
      </w:pPr>
    </w:p>
    <w:p>
      <w:pPr>
        <w:spacing w:before="224"/>
        <w:ind w:left="242" w:right="0" w:firstLine="0"/>
        <w:jc w:val="left"/>
        <w:rPr>
          <w:rFonts w:ascii="宋体" w:hAnsi="宋体" w:cs="宋体" w:eastAsia="宋体" w:hint="default"/>
          <w:sz w:val="21"/>
          <w:szCs w:val="21"/>
        </w:rPr>
      </w:pPr>
      <w:r>
        <w:rPr>
          <w:rFonts w:ascii="宋体" w:hAnsi="宋体" w:cs="宋体" w:eastAsia="宋体" w:hint="default"/>
          <w:b/>
          <w:bCs/>
          <w:spacing w:val="9"/>
          <w:sz w:val="21"/>
          <w:szCs w:val="21"/>
        </w:rPr>
        <w:t>一、</w:t>
      </w:r>
      <w:r>
        <w:rPr>
          <w:rFonts w:ascii="宋体" w:hAnsi="宋体" w:cs="宋体" w:eastAsia="宋体" w:hint="default"/>
          <w:b/>
          <w:bCs/>
          <w:spacing w:val="-76"/>
          <w:sz w:val="21"/>
          <w:szCs w:val="21"/>
        </w:rPr>
        <w:t> </w:t>
      </w:r>
      <w:r>
        <w:rPr>
          <w:rFonts w:ascii="宋体" w:hAnsi="宋体" w:cs="宋体" w:eastAsia="宋体" w:hint="default"/>
          <w:b/>
          <w:bCs/>
          <w:spacing w:val="15"/>
          <w:sz w:val="21"/>
          <w:szCs w:val="21"/>
        </w:rPr>
        <w:t>股份变动情况表</w:t>
      </w:r>
      <w:r>
        <w:rPr>
          <w:rFonts w:ascii="宋体" w:hAnsi="宋体" w:cs="宋体" w:eastAsia="宋体" w:hint="default"/>
          <w:b/>
          <w:bCs/>
          <w:spacing w:val="-73"/>
          <w:sz w:val="21"/>
          <w:szCs w:val="21"/>
        </w:rPr>
        <w:t> </w:t>
      </w:r>
      <w:r>
        <w:rPr>
          <w:rFonts w:ascii="宋体" w:hAnsi="宋体" w:cs="宋体" w:eastAsia="宋体" w:hint="default"/>
          <w:spacing w:val="9"/>
          <w:sz w:val="21"/>
          <w:szCs w:val="21"/>
        </w:rPr>
        <w:t>(</w:t>
      </w:r>
      <w:r>
        <w:rPr>
          <w:rFonts w:ascii="宋体" w:hAnsi="宋体" w:cs="宋体" w:eastAsia="宋体" w:hint="default"/>
          <w:spacing w:val="9"/>
          <w:sz w:val="21"/>
          <w:szCs w:val="21"/>
        </w:rPr>
        <w:t>单位：</w:t>
      </w:r>
      <w:r>
        <w:rPr>
          <w:rFonts w:ascii="宋体" w:hAnsi="宋体" w:cs="宋体" w:eastAsia="宋体" w:hint="default"/>
          <w:spacing w:val="-78"/>
          <w:sz w:val="21"/>
          <w:szCs w:val="21"/>
        </w:rPr>
        <w:t> </w:t>
      </w:r>
      <w:r>
        <w:rPr>
          <w:rFonts w:ascii="宋体" w:hAnsi="宋体" w:cs="宋体" w:eastAsia="宋体" w:hint="default"/>
          <w:spacing w:val="9"/>
          <w:sz w:val="21"/>
          <w:szCs w:val="21"/>
        </w:rPr>
        <w:t>股</w:t>
      </w:r>
      <w:r>
        <w:rPr>
          <w:rFonts w:ascii="宋体" w:hAnsi="宋体" w:cs="宋体" w:eastAsia="宋体" w:hint="default"/>
          <w:spacing w:val="9"/>
          <w:sz w:val="21"/>
          <w:szCs w:val="21"/>
        </w:rPr>
        <w:t>)</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68"/>
        <w:gridCol w:w="1030"/>
        <w:gridCol w:w="790"/>
        <w:gridCol w:w="910"/>
        <w:gridCol w:w="644"/>
        <w:gridCol w:w="674"/>
        <w:gridCol w:w="665"/>
        <w:gridCol w:w="913"/>
        <w:gridCol w:w="986"/>
        <w:gridCol w:w="787"/>
      </w:tblGrid>
      <w:tr>
        <w:trPr>
          <w:trHeight w:val="248" w:hRule="exact"/>
        </w:trPr>
        <w:tc>
          <w:tcPr>
            <w:tcW w:w="18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0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100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4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9" w:hRule="exact"/>
        </w:trPr>
        <w:tc>
          <w:tcPr>
            <w:tcW w:w="1868" w:type="dxa"/>
            <w:vMerge w:val="restart"/>
            <w:tcBorders>
              <w:top w:val="nil" w:sz="6" w:space="0" w:color="auto"/>
              <w:left w:val="single" w:sz="4" w:space="0" w:color="000000"/>
              <w:right w:val="single" w:sz="4" w:space="0" w:color="000000"/>
            </w:tcBorders>
            <w:shd w:val="clear" w:color="auto" w:fill="DCDCDC"/>
          </w:tcPr>
          <w:p>
            <w:pPr/>
          </w:p>
        </w:tc>
        <w:tc>
          <w:tcPr>
            <w:tcW w:w="1030" w:type="dxa"/>
            <w:tcBorders>
              <w:top w:val="single" w:sz="4" w:space="0" w:color="000000"/>
              <w:left w:val="single" w:sz="4" w:space="0" w:color="000000"/>
              <w:bottom w:val="nil" w:sz="6" w:space="0" w:color="auto"/>
              <w:right w:val="single" w:sz="4" w:space="0" w:color="000000"/>
            </w:tcBorders>
            <w:shd w:val="clear" w:color="auto" w:fill="DCDCDC"/>
          </w:tcPr>
          <w:p>
            <w:pPr/>
          </w:p>
        </w:tc>
        <w:tc>
          <w:tcPr>
            <w:tcW w:w="79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644" w:type="dxa"/>
            <w:tcBorders>
              <w:top w:val="single" w:sz="4" w:space="0" w:color="000000"/>
              <w:left w:val="single" w:sz="4" w:space="0" w:color="000000"/>
              <w:bottom w:val="nil" w:sz="6" w:space="0" w:color="auto"/>
              <w:right w:val="single" w:sz="4" w:space="0" w:color="000000"/>
            </w:tcBorders>
            <w:shd w:val="clear" w:color="auto" w:fill="DCDCDC"/>
          </w:tcPr>
          <w:p>
            <w:pPr/>
          </w:p>
        </w:tc>
        <w:tc>
          <w:tcPr>
            <w:tcW w:w="674" w:type="dxa"/>
            <w:vMerge w:val="restart"/>
            <w:tcBorders>
              <w:top w:val="single" w:sz="4" w:space="0" w:color="000000"/>
              <w:left w:val="single" w:sz="4" w:space="0" w:color="000000"/>
              <w:right w:val="single" w:sz="4" w:space="0" w:color="000000"/>
            </w:tcBorders>
            <w:shd w:val="clear" w:color="auto" w:fill="DCDCDC"/>
          </w:tcPr>
          <w:p>
            <w:pPr>
              <w:pStyle w:val="TableParagraph"/>
              <w:spacing w:line="200" w:lineRule="exact"/>
              <w:ind w:left="151" w:right="0" w:hanging="92"/>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665" w:type="dxa"/>
            <w:tcBorders>
              <w:top w:val="single" w:sz="4" w:space="0" w:color="000000"/>
              <w:left w:val="single" w:sz="4" w:space="0" w:color="000000"/>
              <w:bottom w:val="nil" w:sz="6" w:space="0" w:color="auto"/>
              <w:right w:val="single" w:sz="4" w:space="0" w:color="000000"/>
            </w:tcBorders>
            <w:shd w:val="clear" w:color="auto" w:fill="DCDCDC"/>
          </w:tcPr>
          <w:p>
            <w:pPr/>
          </w:p>
        </w:tc>
        <w:tc>
          <w:tcPr>
            <w:tcW w:w="913" w:type="dxa"/>
            <w:tcBorders>
              <w:top w:val="single" w:sz="4" w:space="0" w:color="000000"/>
              <w:left w:val="single" w:sz="4" w:space="0" w:color="000000"/>
              <w:bottom w:val="nil" w:sz="6" w:space="0" w:color="auto"/>
              <w:right w:val="single" w:sz="4" w:space="0" w:color="000000"/>
            </w:tcBorders>
            <w:shd w:val="clear" w:color="auto" w:fill="DCDCDC"/>
          </w:tcPr>
          <w:p>
            <w:pPr/>
          </w:p>
        </w:tc>
        <w:tc>
          <w:tcPr>
            <w:tcW w:w="986" w:type="dxa"/>
            <w:tcBorders>
              <w:top w:val="single" w:sz="4" w:space="0" w:color="000000"/>
              <w:left w:val="single" w:sz="4" w:space="0" w:color="000000"/>
              <w:bottom w:val="nil" w:sz="6" w:space="0" w:color="auto"/>
              <w:right w:val="single" w:sz="4" w:space="0" w:color="000000"/>
            </w:tcBorders>
            <w:shd w:val="clear" w:color="auto" w:fill="DCDCDC"/>
          </w:tcPr>
          <w:p>
            <w:pPr/>
          </w:p>
        </w:tc>
        <w:tc>
          <w:tcPr>
            <w:tcW w:w="78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98" w:hRule="exact"/>
        </w:trPr>
        <w:tc>
          <w:tcPr>
            <w:tcW w:w="1868" w:type="dxa"/>
            <w:vMerge/>
            <w:tcBorders>
              <w:left w:val="single" w:sz="4" w:space="0" w:color="000000"/>
              <w:bottom w:val="nil" w:sz="6" w:space="0" w:color="auto"/>
              <w:right w:val="single" w:sz="4" w:space="0" w:color="000000"/>
            </w:tcBorders>
            <w:shd w:val="clear" w:color="auto" w:fill="DCDCDC"/>
          </w:tcPr>
          <w:p>
            <w:pPr/>
          </w:p>
        </w:tc>
        <w:tc>
          <w:tcPr>
            <w:tcW w:w="103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4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4" w:type="dxa"/>
            <w:vMerge/>
            <w:tcBorders>
              <w:left w:val="single" w:sz="4" w:space="0" w:color="000000"/>
              <w:right w:val="single" w:sz="4" w:space="0" w:color="000000"/>
            </w:tcBorders>
            <w:shd w:val="clear" w:color="auto" w:fill="DCDCDC"/>
          </w:tcPr>
          <w:p>
            <w:pPr/>
          </w:p>
        </w:tc>
        <w:tc>
          <w:tcPr>
            <w:tcW w:w="66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3"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7"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8" w:hRule="exact"/>
        </w:trPr>
        <w:tc>
          <w:tcPr>
            <w:tcW w:w="18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0" w:type="dxa"/>
            <w:vMerge/>
            <w:tcBorders>
              <w:left w:val="single" w:sz="4" w:space="0" w:color="000000"/>
              <w:bottom w:val="single" w:sz="4" w:space="0" w:color="000000"/>
              <w:right w:val="single" w:sz="4" w:space="0" w:color="000000"/>
            </w:tcBorders>
            <w:shd w:val="clear" w:color="auto" w:fill="DCDCDC"/>
          </w:tcPr>
          <w:p>
            <w:pPr/>
          </w:p>
        </w:tc>
        <w:tc>
          <w:tcPr>
            <w:tcW w:w="79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644" w:type="dxa"/>
            <w:vMerge/>
            <w:tcBorders>
              <w:left w:val="single" w:sz="4" w:space="0" w:color="000000"/>
              <w:bottom w:val="single" w:sz="4" w:space="0" w:color="000000"/>
              <w:right w:val="single" w:sz="4" w:space="0" w:color="000000"/>
            </w:tcBorders>
            <w:shd w:val="clear" w:color="auto" w:fill="DCDCDC"/>
          </w:tcPr>
          <w:p>
            <w:pPr/>
          </w:p>
        </w:tc>
        <w:tc>
          <w:tcPr>
            <w:tcW w:w="674" w:type="dxa"/>
            <w:vMerge/>
            <w:tcBorders>
              <w:left w:val="single" w:sz="4" w:space="0" w:color="000000"/>
              <w:bottom w:val="single" w:sz="4" w:space="0" w:color="000000"/>
              <w:right w:val="single" w:sz="4" w:space="0" w:color="000000"/>
            </w:tcBorders>
            <w:shd w:val="clear" w:color="auto" w:fill="DCDCDC"/>
          </w:tcPr>
          <w:p>
            <w:pPr/>
          </w:p>
        </w:tc>
        <w:tc>
          <w:tcPr>
            <w:tcW w:w="665" w:type="dxa"/>
            <w:vMerge/>
            <w:tcBorders>
              <w:left w:val="single" w:sz="4" w:space="0" w:color="000000"/>
              <w:bottom w:val="single" w:sz="4" w:space="0" w:color="000000"/>
              <w:right w:val="single" w:sz="4" w:space="0" w:color="000000"/>
            </w:tcBorders>
            <w:shd w:val="clear" w:color="auto" w:fill="DCDCDC"/>
          </w:tcPr>
          <w:p>
            <w:pPr/>
          </w:p>
        </w:tc>
        <w:tc>
          <w:tcPr>
            <w:tcW w:w="913" w:type="dxa"/>
            <w:vMerge/>
            <w:tcBorders>
              <w:left w:val="single" w:sz="4" w:space="0" w:color="000000"/>
              <w:bottom w:val="single" w:sz="4" w:space="0" w:color="000000"/>
              <w:right w:val="single" w:sz="4" w:space="0" w:color="000000"/>
            </w:tcBorders>
            <w:shd w:val="clear" w:color="auto" w:fill="DCDCDC"/>
          </w:tcPr>
          <w:p>
            <w:pPr/>
          </w:p>
        </w:tc>
        <w:tc>
          <w:tcPr>
            <w:tcW w:w="986" w:type="dxa"/>
            <w:vMerge/>
            <w:tcBorders>
              <w:left w:val="single" w:sz="4" w:space="0" w:color="000000"/>
              <w:bottom w:val="single" w:sz="4" w:space="0" w:color="000000"/>
              <w:right w:val="single" w:sz="4" w:space="0" w:color="000000"/>
            </w:tcBorders>
            <w:shd w:val="clear" w:color="auto" w:fill="DCDCDC"/>
          </w:tcPr>
          <w:p>
            <w:pPr/>
          </w:p>
        </w:tc>
        <w:tc>
          <w:tcPr>
            <w:tcW w:w="787" w:type="dxa"/>
            <w:vMerge/>
            <w:tcBorders>
              <w:left w:val="single" w:sz="4" w:space="0" w:color="000000"/>
              <w:bottom w:val="single" w:sz="4" w:space="0" w:color="000000"/>
              <w:right w:val="single" w:sz="4" w:space="0" w:color="000000"/>
            </w:tcBorders>
            <w:shd w:val="clear" w:color="auto" w:fill="DCDCDC"/>
          </w:tcPr>
          <w:p>
            <w:pPr/>
          </w:p>
        </w:tc>
      </w:tr>
      <w:tr>
        <w:trPr>
          <w:trHeight w:val="3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0"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644" w:type="dxa"/>
            <w:tcBorders>
              <w:top w:val="single" w:sz="47" w:space="0" w:color="DCDCDC"/>
              <w:left w:val="single" w:sz="4" w:space="0" w:color="000000"/>
              <w:bottom w:val="single" w:sz="4" w:space="0" w:color="000000"/>
              <w:right w:val="single" w:sz="9" w:space="0" w:color="DCDCDC"/>
            </w:tcBorders>
          </w:tcPr>
          <w:p>
            <w:pPr/>
          </w:p>
        </w:tc>
        <w:tc>
          <w:tcPr>
            <w:tcW w:w="674" w:type="dxa"/>
            <w:tcBorders>
              <w:top w:val="single" w:sz="4" w:space="0" w:color="000000"/>
              <w:left w:val="single" w:sz="9" w:space="0" w:color="DCDCDC"/>
              <w:bottom w:val="single" w:sz="4" w:space="0" w:color="000000"/>
              <w:right w:val="single" w:sz="13" w:space="0" w:color="DCDCDC"/>
            </w:tcBorders>
          </w:tcPr>
          <w:p>
            <w:pPr/>
          </w:p>
        </w:tc>
        <w:tc>
          <w:tcPr>
            <w:tcW w:w="665" w:type="dxa"/>
            <w:tcBorders>
              <w:top w:val="single" w:sz="47" w:space="0" w:color="DCDCDC"/>
              <w:left w:val="single" w:sz="13" w:space="0" w:color="DCDCDC"/>
              <w:bottom w:val="single" w:sz="4" w:space="0" w:color="000000"/>
              <w:right w:val="single" w:sz="4" w:space="0" w:color="000000"/>
            </w:tcBorders>
          </w:tcPr>
          <w:p>
            <w:pPr/>
          </w:p>
        </w:tc>
        <w:tc>
          <w:tcPr>
            <w:tcW w:w="913"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pacing w:val="-1"/>
                <w:sz w:val="18"/>
              </w:rPr>
              <w:t>2,290,000</w:t>
            </w:r>
          </w:p>
        </w:tc>
        <w:tc>
          <w:tcPr>
            <w:tcW w:w="986"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787"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1.81%</w:t>
            </w: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2,290,000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1.81%</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其中：境内非国有法人</w:t>
            </w: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13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2,290,000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1.81%</w:t>
            </w:r>
          </w:p>
        </w:tc>
      </w:tr>
      <w:tr>
        <w:trPr>
          <w:trHeight w:val="2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34"/>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3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124,124,172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124,124,172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98.19%</w:t>
            </w: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124,124,172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124,124,172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98.19%</w:t>
            </w: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0" w:type="dxa"/>
            <w:tcBorders>
              <w:top w:val="single" w:sz="4" w:space="0" w:color="000000"/>
              <w:left w:val="single" w:sz="13" w:space="0" w:color="DCDCDC"/>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124,124,172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2,290,000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126,414,172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1"/>
        <w:rPr>
          <w:rFonts w:ascii="宋体" w:hAnsi="宋体" w:cs="宋体" w:eastAsia="宋体" w:hint="default"/>
          <w:sz w:val="25"/>
          <w:szCs w:val="25"/>
        </w:rPr>
      </w:pPr>
    </w:p>
    <w:p>
      <w:pPr>
        <w:spacing w:before="36"/>
        <w:ind w:left="242" w:right="0" w:firstLine="0"/>
        <w:jc w:val="left"/>
        <w:rPr>
          <w:rFonts w:ascii="宋体" w:hAnsi="宋体" w:cs="宋体" w:eastAsia="宋体" w:hint="default"/>
          <w:sz w:val="21"/>
          <w:szCs w:val="21"/>
        </w:rPr>
      </w:pPr>
      <w:r>
        <w:rPr>
          <w:rFonts w:ascii="宋体" w:hAnsi="宋体" w:cs="宋体" w:eastAsia="宋体" w:hint="default"/>
          <w:b/>
          <w:bCs/>
          <w:spacing w:val="9"/>
          <w:sz w:val="21"/>
          <w:szCs w:val="21"/>
        </w:rPr>
        <w:t>二、</w:t>
      </w:r>
      <w:r>
        <w:rPr>
          <w:rFonts w:ascii="宋体" w:hAnsi="宋体" w:cs="宋体" w:eastAsia="宋体" w:hint="default"/>
          <w:b/>
          <w:bCs/>
          <w:spacing w:val="-71"/>
          <w:sz w:val="21"/>
          <w:szCs w:val="21"/>
        </w:rPr>
        <w:t> </w:t>
      </w:r>
      <w:r>
        <w:rPr>
          <w:rFonts w:ascii="宋体" w:hAnsi="宋体" w:cs="宋体" w:eastAsia="宋体" w:hint="default"/>
          <w:b/>
          <w:bCs/>
          <w:spacing w:val="16"/>
          <w:sz w:val="21"/>
          <w:szCs w:val="21"/>
        </w:rPr>
        <w:t>限售股份变动情况表</w:t>
      </w:r>
      <w:r>
        <w:rPr>
          <w:rFonts w:ascii="宋体" w:hAnsi="宋体" w:cs="宋体" w:eastAsia="宋体" w:hint="default"/>
          <w:b/>
          <w:bCs/>
          <w:spacing w:val="-66"/>
          <w:sz w:val="21"/>
          <w:szCs w:val="21"/>
        </w:rPr>
        <w:t> </w:t>
      </w:r>
      <w:r>
        <w:rPr>
          <w:rFonts w:ascii="宋体" w:hAnsi="宋体" w:cs="宋体" w:eastAsia="宋体" w:hint="default"/>
          <w:spacing w:val="12"/>
          <w:sz w:val="21"/>
          <w:szCs w:val="21"/>
        </w:rPr>
        <w:t>(</w:t>
      </w:r>
      <w:r>
        <w:rPr>
          <w:rFonts w:ascii="宋体" w:hAnsi="宋体" w:cs="宋体" w:eastAsia="宋体" w:hint="default"/>
          <w:spacing w:val="12"/>
          <w:sz w:val="21"/>
          <w:szCs w:val="21"/>
        </w:rPr>
        <w:t>单位：股</w:t>
      </w:r>
      <w:r>
        <w:rPr>
          <w:rFonts w:ascii="宋体" w:hAnsi="宋体" w:cs="宋体" w:eastAsia="宋体" w:hint="default"/>
          <w:spacing w:val="12"/>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0" w:right="1284" w:firstLine="0"/>
        <w:jc w:val="right"/>
        <w:rPr>
          <w:rFonts w:ascii="宋体" w:hAnsi="宋体" w:cs="宋体" w:eastAsia="宋体" w:hint="default"/>
          <w:sz w:val="18"/>
          <w:szCs w:val="18"/>
        </w:rPr>
      </w:pPr>
      <w:r>
        <w:rPr/>
        <w:pict>
          <v:shape style="position:absolute;margin-left:80.903999pt;margin-top:-67.290291pt;width:447.35pt;height:95.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4"/>
                    <w:gridCol w:w="1006"/>
                    <w:gridCol w:w="1135"/>
                    <w:gridCol w:w="1133"/>
                    <w:gridCol w:w="1135"/>
                    <w:gridCol w:w="1133"/>
                    <w:gridCol w:w="1985"/>
                  </w:tblGrid>
                  <w:tr>
                    <w:trPr>
                      <w:trHeight w:val="47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1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123 </w:t>
                        </w:r>
                        <w:r>
                          <w:rPr>
                            <w:rFonts w:ascii="宋体" w:hAnsi="宋体" w:cs="宋体" w:eastAsia="宋体" w:hint="default"/>
                            <w:sz w:val="18"/>
                            <w:szCs w:val="18"/>
                          </w:rPr>
                          <w:t>名限制性股 票激励对象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1" w:right="199"/>
                          <w:jc w:val="both"/>
                          <w:rPr>
                            <w:rFonts w:ascii="宋体" w:hAnsi="宋体" w:cs="宋体" w:eastAsia="宋体" w:hint="default"/>
                            <w:sz w:val="18"/>
                            <w:szCs w:val="18"/>
                          </w:rPr>
                        </w:pPr>
                        <w:r>
                          <w:rPr>
                            <w:rFonts w:ascii="宋体" w:hAnsi="宋体" w:cs="宋体" w:eastAsia="宋体" w:hint="default"/>
                            <w:sz w:val="18"/>
                            <w:szCs w:val="18"/>
                          </w:rPr>
                          <w:t>实施限制性 股票激励计 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both"/>
                          <w:rPr>
                            <w:rFonts w:ascii="宋体" w:hAnsi="宋体" w:cs="宋体" w:eastAsia="宋体" w:hint="default"/>
                            <w:sz w:val="18"/>
                            <w:szCs w:val="18"/>
                          </w:rPr>
                        </w:pPr>
                        <w:r>
                          <w:rPr>
                            <w:rFonts w:ascii="宋体" w:hAnsi="宋体" w:cs="宋体" w:eastAsia="宋体" w:hint="default"/>
                            <w:sz w:val="18"/>
                            <w:szCs w:val="18"/>
                          </w:rPr>
                          <w:t>自授予日起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p>
                        <w:pPr>
                          <w:pStyle w:val="TableParagraph"/>
                          <w:spacing w:line="234"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个月后及</w:t>
                        </w:r>
                      </w:p>
                      <w:p>
                        <w:pPr>
                          <w:pStyle w:val="TableParagraph"/>
                          <w:spacing w:line="232" w:lineRule="exact" w:before="17"/>
                          <w:ind w:left="23" w:right="10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个月后分别申请解锁 所获授限制性股票总量 的</w:t>
                        </w:r>
                        <w:r>
                          <w:rPr>
                            <w:rFonts w:ascii="宋体" w:hAnsi="宋体" w:cs="宋体" w:eastAsia="宋体" w:hint="default"/>
                            <w:spacing w:val="-36"/>
                            <w:sz w:val="18"/>
                            <w:szCs w:val="18"/>
                          </w:rPr>
                          <w:t> </w:t>
                        </w:r>
                        <w:r>
                          <w:rPr>
                            <w:rFonts w:ascii="Times New Roman" w:hAnsi="Times New Roman" w:cs="Times New Roman" w:eastAsia="Times New Roman" w:hint="default"/>
                            <w:spacing w:val="-17"/>
                            <w:sz w:val="18"/>
                            <w:szCs w:val="18"/>
                          </w:rPr>
                          <w:t>25%</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25%</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25%</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25%</w:t>
                        </w:r>
                        <w:r>
                          <w:rPr>
                            <w:rFonts w:ascii="Times New Roman" w:hAnsi="Times New Roman" w:cs="Times New Roman" w:eastAsia="Times New Roman" w:hint="default"/>
                            <w:sz w:val="18"/>
                            <w:szCs w:val="18"/>
                          </w:rPr>
                        </w:r>
                      </w:p>
                    </w:tc>
                  </w:tr>
                  <w:tr>
                    <w:trPr>
                      <w:trHeight w:val="24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2,290,000</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36"/>
        <w:ind w:left="242" w:right="0" w:firstLine="0"/>
        <w:jc w:val="left"/>
        <w:rPr>
          <w:rFonts w:ascii="宋体" w:hAnsi="宋体" w:cs="宋体" w:eastAsia="宋体" w:hint="default"/>
          <w:sz w:val="21"/>
          <w:szCs w:val="21"/>
        </w:rPr>
      </w:pPr>
      <w:r>
        <w:rPr>
          <w:rFonts w:ascii="宋体" w:hAnsi="宋体" w:cs="宋体" w:eastAsia="宋体" w:hint="default"/>
          <w:b/>
          <w:bCs/>
          <w:sz w:val="21"/>
          <w:szCs w:val="21"/>
        </w:rPr>
        <w:t>三、股票发行与上市情况</w:t>
      </w:r>
      <w:r>
        <w:rPr>
          <w:rFonts w:ascii="宋体" w:hAnsi="宋体" w:cs="宋体" w:eastAsia="宋体" w:hint="default"/>
          <w:sz w:val="21"/>
          <w:szCs w:val="21"/>
        </w:rPr>
      </w:r>
    </w:p>
    <w:p>
      <w:pPr>
        <w:spacing w:before="135"/>
        <w:ind w:left="662" w:right="0" w:firstLine="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、经中国证监会证监发行字【</w:t>
      </w:r>
      <w:r>
        <w:rPr>
          <w:rFonts w:ascii="宋体" w:hAnsi="宋体" w:cs="宋体" w:eastAsia="宋体" w:hint="default"/>
          <w:spacing w:val="-5"/>
          <w:sz w:val="21"/>
          <w:szCs w:val="21"/>
        </w:rPr>
        <w:t>2007</w:t>
      </w:r>
      <w:r>
        <w:rPr>
          <w:rFonts w:ascii="宋体" w:hAnsi="宋体" w:cs="宋体" w:eastAsia="宋体" w:hint="default"/>
          <w:spacing w:val="-5"/>
          <w:sz w:val="21"/>
          <w:szCs w:val="21"/>
        </w:rPr>
        <w:t>】</w:t>
      </w:r>
      <w:r>
        <w:rPr>
          <w:rFonts w:ascii="宋体" w:hAnsi="宋体" w:cs="宋体" w:eastAsia="宋体" w:hint="default"/>
          <w:spacing w:val="-5"/>
          <w:sz w:val="21"/>
          <w:szCs w:val="21"/>
        </w:rPr>
        <w:t>24</w:t>
      </w:r>
      <w:r>
        <w:rPr>
          <w:rFonts w:ascii="宋体" w:hAnsi="宋体" w:cs="宋体" w:eastAsia="宋体" w:hint="default"/>
          <w:spacing w:val="-46"/>
          <w:sz w:val="21"/>
          <w:szCs w:val="21"/>
        </w:rPr>
        <w:t> </w:t>
      </w:r>
      <w:r>
        <w:rPr>
          <w:rFonts w:ascii="宋体" w:hAnsi="宋体" w:cs="宋体" w:eastAsia="宋体" w:hint="default"/>
          <w:spacing w:val="-5"/>
          <w:sz w:val="21"/>
          <w:szCs w:val="21"/>
        </w:rPr>
        <w:t>号文核准，公司于</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日发行人民币普通股</w:t>
      </w:r>
    </w:p>
    <w:p>
      <w:pPr>
        <w:spacing w:line="357" w:lineRule="auto" w:before="133"/>
        <w:ind w:left="2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pacing w:val="-50"/>
          <w:sz w:val="21"/>
          <w:szCs w:val="21"/>
        </w:rPr>
        <w:t> </w:t>
      </w:r>
      <w:r>
        <w:rPr>
          <w:rFonts w:ascii="宋体" w:hAnsi="宋体" w:cs="宋体" w:eastAsia="宋体" w:hint="default"/>
          <w:spacing w:val="-3"/>
          <w:sz w:val="21"/>
          <w:szCs w:val="21"/>
        </w:rPr>
        <w:t>股）</w:t>
      </w:r>
      <w:r>
        <w:rPr>
          <w:rFonts w:ascii="宋体" w:hAnsi="宋体" w:cs="宋体" w:eastAsia="宋体" w:hint="default"/>
          <w:spacing w:val="-3"/>
          <w:sz w:val="21"/>
          <w:szCs w:val="21"/>
        </w:rPr>
        <w:t>2800</w:t>
      </w:r>
      <w:r>
        <w:rPr>
          <w:rFonts w:ascii="宋体" w:hAnsi="宋体" w:cs="宋体" w:eastAsia="宋体" w:hint="default"/>
          <w:spacing w:val="-52"/>
          <w:sz w:val="21"/>
          <w:szCs w:val="21"/>
        </w:rPr>
        <w:t> </w:t>
      </w:r>
      <w:r>
        <w:rPr>
          <w:rFonts w:ascii="宋体" w:hAnsi="宋体" w:cs="宋体" w:eastAsia="宋体" w:hint="default"/>
          <w:spacing w:val="-3"/>
          <w:sz w:val="21"/>
          <w:szCs w:val="21"/>
        </w:rPr>
        <w:t>万股，每股面值</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pacing w:val="-3"/>
          <w:sz w:val="21"/>
          <w:szCs w:val="21"/>
        </w:rPr>
        <w:t>元，每股发行价为</w:t>
      </w:r>
      <w:r>
        <w:rPr>
          <w:rFonts w:ascii="宋体" w:hAnsi="宋体" w:cs="宋体" w:eastAsia="宋体" w:hint="default"/>
          <w:spacing w:val="-50"/>
          <w:sz w:val="21"/>
          <w:szCs w:val="21"/>
        </w:rPr>
        <w:t> </w:t>
      </w:r>
      <w:r>
        <w:rPr>
          <w:rFonts w:ascii="宋体" w:hAnsi="宋体" w:cs="宋体" w:eastAsia="宋体" w:hint="default"/>
          <w:sz w:val="21"/>
          <w:szCs w:val="21"/>
        </w:rPr>
        <w:t>10.28</w:t>
      </w:r>
      <w:r>
        <w:rPr>
          <w:rFonts w:ascii="宋体" w:hAnsi="宋体" w:cs="宋体" w:eastAsia="宋体" w:hint="default"/>
          <w:spacing w:val="-50"/>
          <w:sz w:val="21"/>
          <w:szCs w:val="21"/>
        </w:rPr>
        <w:t> </w:t>
      </w:r>
      <w:r>
        <w:rPr>
          <w:rFonts w:ascii="宋体" w:hAnsi="宋体" w:cs="宋体" w:eastAsia="宋体" w:hint="default"/>
          <w:spacing w:val="-5"/>
          <w:sz w:val="21"/>
          <w:szCs w:val="21"/>
        </w:rPr>
        <w:t>元，于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日在深圳证券交</w:t>
      </w:r>
      <w:r>
        <w:rPr>
          <w:rFonts w:ascii="宋体" w:hAnsi="宋体" w:cs="宋体" w:eastAsia="宋体" w:hint="default"/>
          <w:w w:val="100"/>
          <w:sz w:val="21"/>
          <w:szCs w:val="21"/>
        </w:rPr>
        <w:t> </w:t>
      </w:r>
      <w:r>
        <w:rPr>
          <w:rFonts w:ascii="宋体" w:hAnsi="宋体" w:cs="宋体" w:eastAsia="宋体" w:hint="default"/>
          <w:sz w:val="21"/>
          <w:szCs w:val="21"/>
        </w:rPr>
        <w:t>易所上市交易。</w:t>
      </w:r>
    </w:p>
    <w:p>
      <w:pPr>
        <w:spacing w:before="30"/>
        <w:ind w:left="66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、经中国证监会证监许可【</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1210</w:t>
      </w:r>
      <w:r>
        <w:rPr>
          <w:rFonts w:ascii="宋体" w:hAnsi="宋体" w:cs="宋体" w:eastAsia="宋体" w:hint="default"/>
          <w:spacing w:val="-50"/>
          <w:sz w:val="21"/>
          <w:szCs w:val="21"/>
        </w:rPr>
        <w:t> </w:t>
      </w:r>
      <w:r>
        <w:rPr>
          <w:rFonts w:ascii="宋体" w:hAnsi="宋体" w:cs="宋体" w:eastAsia="宋体" w:hint="default"/>
          <w:sz w:val="21"/>
          <w:szCs w:val="21"/>
        </w:rPr>
        <w:t>号文核准，公司于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日增发人民币普通</w:t>
      </w:r>
    </w:p>
    <w:p>
      <w:pPr>
        <w:spacing w:line="357" w:lineRule="auto" w:before="133"/>
        <w:ind w:left="242" w:right="12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sz w:val="21"/>
          <w:szCs w:val="21"/>
        </w:rPr>
        <w:t>14,124,172</w:t>
      </w:r>
      <w:r>
        <w:rPr>
          <w:rFonts w:ascii="宋体" w:hAnsi="宋体" w:cs="宋体" w:eastAsia="宋体" w:hint="default"/>
          <w:spacing w:val="-47"/>
          <w:sz w:val="21"/>
          <w:szCs w:val="21"/>
        </w:rPr>
        <w:t> </w:t>
      </w:r>
      <w:r>
        <w:rPr>
          <w:rFonts w:ascii="宋体" w:hAnsi="宋体" w:cs="宋体" w:eastAsia="宋体" w:hint="default"/>
          <w:sz w:val="21"/>
          <w:szCs w:val="21"/>
        </w:rPr>
        <w:t>股，每股面值</w:t>
      </w:r>
      <w:r>
        <w:rPr>
          <w:rFonts w:ascii="宋体" w:hAnsi="宋体" w:cs="宋体" w:eastAsia="宋体" w:hint="default"/>
          <w:spacing w:val="-47"/>
          <w:sz w:val="21"/>
          <w:szCs w:val="21"/>
        </w:rPr>
        <w:t> </w:t>
      </w:r>
      <w:r>
        <w:rPr>
          <w:rFonts w:ascii="宋体" w:hAnsi="宋体" w:cs="宋体" w:eastAsia="宋体" w:hint="default"/>
          <w:sz w:val="21"/>
          <w:szCs w:val="21"/>
        </w:rPr>
        <w:t>1.00</w:t>
      </w:r>
      <w:r>
        <w:rPr>
          <w:rFonts w:ascii="宋体" w:hAnsi="宋体" w:cs="宋体" w:eastAsia="宋体" w:hint="default"/>
          <w:spacing w:val="-49"/>
          <w:sz w:val="21"/>
          <w:szCs w:val="21"/>
        </w:rPr>
        <w:t> </w:t>
      </w:r>
      <w:r>
        <w:rPr>
          <w:rFonts w:ascii="宋体" w:hAnsi="宋体" w:cs="宋体" w:eastAsia="宋体" w:hint="default"/>
          <w:sz w:val="21"/>
          <w:szCs w:val="21"/>
        </w:rPr>
        <w:t>元，每股发行价为</w:t>
      </w:r>
      <w:r>
        <w:rPr>
          <w:rFonts w:ascii="宋体" w:hAnsi="宋体" w:cs="宋体" w:eastAsia="宋体" w:hint="default"/>
          <w:spacing w:val="-47"/>
          <w:sz w:val="21"/>
          <w:szCs w:val="21"/>
        </w:rPr>
        <w:t> </w:t>
      </w:r>
      <w:r>
        <w:rPr>
          <w:rFonts w:ascii="宋体" w:hAnsi="宋体" w:cs="宋体" w:eastAsia="宋体" w:hint="default"/>
          <w:sz w:val="21"/>
          <w:szCs w:val="21"/>
        </w:rPr>
        <w:t>25.69</w:t>
      </w:r>
      <w:r>
        <w:rPr>
          <w:rFonts w:ascii="宋体" w:hAnsi="宋体" w:cs="宋体" w:eastAsia="宋体" w:hint="default"/>
          <w:spacing w:val="-47"/>
          <w:sz w:val="21"/>
          <w:szCs w:val="21"/>
        </w:rPr>
        <w:t> </w:t>
      </w:r>
      <w:r>
        <w:rPr>
          <w:rFonts w:ascii="宋体" w:hAnsi="宋体" w:cs="宋体" w:eastAsia="宋体" w:hint="default"/>
          <w:sz w:val="21"/>
          <w:szCs w:val="21"/>
        </w:rPr>
        <w:t>元，于</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7"/>
          <w:sz w:val="21"/>
          <w:szCs w:val="21"/>
        </w:rPr>
        <w:t> </w:t>
      </w:r>
      <w:r>
        <w:rPr>
          <w:rFonts w:ascii="宋体" w:hAnsi="宋体" w:cs="宋体" w:eastAsia="宋体" w:hint="default"/>
          <w:sz w:val="21"/>
          <w:szCs w:val="21"/>
        </w:rPr>
        <w:t>日在深圳</w:t>
      </w:r>
      <w:r>
        <w:rPr>
          <w:rFonts w:ascii="宋体" w:hAnsi="宋体" w:cs="宋体" w:eastAsia="宋体" w:hint="default"/>
          <w:w w:val="100"/>
          <w:sz w:val="21"/>
          <w:szCs w:val="21"/>
        </w:rPr>
        <w:t> </w:t>
      </w:r>
      <w:r>
        <w:rPr>
          <w:rFonts w:ascii="宋体" w:hAnsi="宋体" w:cs="宋体" w:eastAsia="宋体" w:hint="default"/>
          <w:sz w:val="21"/>
          <w:szCs w:val="21"/>
        </w:rPr>
        <w:t>证券交易所上市交易。</w:t>
      </w:r>
    </w:p>
    <w:p>
      <w:pPr>
        <w:spacing w:before="30"/>
        <w:ind w:left="662" w:right="0" w:firstLine="0"/>
        <w:jc w:val="left"/>
        <w:rPr>
          <w:rFonts w:ascii="宋体" w:hAnsi="宋体" w:cs="宋体" w:eastAsia="宋体" w:hint="default"/>
          <w:sz w:val="21"/>
          <w:szCs w:val="21"/>
        </w:rPr>
      </w:pPr>
      <w:r>
        <w:rPr>
          <w:rFonts w:ascii="宋体" w:hAnsi="宋体" w:cs="宋体" w:eastAsia="宋体" w:hint="default"/>
          <w:spacing w:val="-3"/>
          <w:sz w:val="21"/>
          <w:szCs w:val="21"/>
        </w:rPr>
        <w:t>３、经中国证监会备案无异议，公司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年第二次临时股东大会审议并授权，公司于</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p>
      <w:pPr>
        <w:spacing w:before="133"/>
        <w:ind w:left="242" w:right="0" w:firstLine="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月向 </w:t>
      </w:r>
      <w:r>
        <w:rPr>
          <w:rFonts w:ascii="宋体" w:hAnsi="宋体" w:cs="宋体" w:eastAsia="宋体" w:hint="default"/>
          <w:sz w:val="21"/>
          <w:szCs w:val="21"/>
        </w:rPr>
        <w:t>123 </w:t>
      </w:r>
      <w:r>
        <w:rPr>
          <w:rFonts w:ascii="宋体" w:hAnsi="宋体" w:cs="宋体" w:eastAsia="宋体" w:hint="default"/>
          <w:sz w:val="21"/>
          <w:szCs w:val="21"/>
        </w:rPr>
        <w:t>名激励对象授予了 </w:t>
      </w:r>
      <w:r>
        <w:rPr>
          <w:rFonts w:ascii="宋体" w:hAnsi="宋体" w:cs="宋体" w:eastAsia="宋体" w:hint="default"/>
          <w:sz w:val="21"/>
          <w:szCs w:val="21"/>
        </w:rPr>
        <w:t>229</w:t>
      </w:r>
      <w:r>
        <w:rPr>
          <w:rFonts w:ascii="宋体" w:hAnsi="宋体" w:cs="宋体" w:eastAsia="宋体" w:hint="default"/>
          <w:spacing w:val="67"/>
          <w:sz w:val="21"/>
          <w:szCs w:val="21"/>
        </w:rPr>
        <w:t> </w:t>
      </w:r>
      <w:r>
        <w:rPr>
          <w:rFonts w:ascii="宋体" w:hAnsi="宋体" w:cs="宋体" w:eastAsia="宋体" w:hint="default"/>
          <w:sz w:val="21"/>
          <w:szCs w:val="21"/>
        </w:rPr>
        <w:t>万股限制性股票，股权激励计划实施后，公司总股份增加至</w:t>
      </w:r>
    </w:p>
    <w:p>
      <w:pPr>
        <w:spacing w:before="133"/>
        <w:ind w:left="242" w:right="0" w:firstLine="0"/>
        <w:jc w:val="left"/>
        <w:rPr>
          <w:rFonts w:ascii="宋体" w:hAnsi="宋体" w:cs="宋体" w:eastAsia="宋体" w:hint="default"/>
          <w:sz w:val="21"/>
          <w:szCs w:val="21"/>
        </w:rPr>
      </w:pPr>
      <w:r>
        <w:rPr>
          <w:rFonts w:ascii="宋体" w:hAnsi="宋体" w:cs="宋体" w:eastAsia="宋体" w:hint="default"/>
          <w:sz w:val="21"/>
          <w:szCs w:val="21"/>
        </w:rPr>
        <w:t>126,414,172</w:t>
      </w:r>
      <w:r>
        <w:rPr>
          <w:rFonts w:ascii="宋体" w:hAnsi="宋体" w:cs="宋体" w:eastAsia="宋体" w:hint="default"/>
          <w:spacing w:val="-50"/>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37" w:footer="1153" w:top="1060" w:bottom="1340" w:left="13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四、股东情况</w:t>
      </w:r>
      <w:r>
        <w:rPr>
          <w:rFonts w:ascii="宋体" w:hAnsi="宋体" w:cs="宋体" w:eastAsia="宋体" w:hint="default"/>
          <w:sz w:val="21"/>
          <w:szCs w:val="21"/>
        </w:rPr>
      </w:r>
    </w:p>
    <w:p>
      <w:pPr>
        <w:spacing w:before="133"/>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（一）股东数量和持股情况</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341"/>
        <w:gridCol w:w="1301"/>
        <w:gridCol w:w="1051"/>
        <w:gridCol w:w="247"/>
        <w:gridCol w:w="1301"/>
        <w:gridCol w:w="521"/>
        <w:gridCol w:w="885"/>
        <w:gridCol w:w="152"/>
        <w:gridCol w:w="1416"/>
      </w:tblGrid>
      <w:tr>
        <w:trPr>
          <w:trHeight w:val="120" w:hRule="exact"/>
        </w:trPr>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2" w:type="dxa"/>
            <w:gridSpan w:val="2"/>
            <w:vMerge w:val="restart"/>
            <w:tcBorders>
              <w:top w:val="single" w:sz="4" w:space="0" w:color="000000"/>
              <w:left w:val="single" w:sz="13" w:space="0" w:color="DCDCDC"/>
              <w:right w:val="single" w:sz="10" w:space="0" w:color="DCDCDC"/>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2"/>
                <w:sz w:val="18"/>
              </w:rPr>
              <w:t>11,757</w:t>
            </w:r>
          </w:p>
        </w:tc>
        <w:tc>
          <w:tcPr>
            <w:tcW w:w="2954"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本年度报告公布日前一个月末股东总</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568" w:type="dxa"/>
            <w:gridSpan w:val="2"/>
            <w:vMerge w:val="restart"/>
            <w:tcBorders>
              <w:top w:val="single" w:sz="4" w:space="0" w:color="000000"/>
              <w:left w:val="single" w:sz="12"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2"/>
                <w:sz w:val="18"/>
              </w:rPr>
              <w:t>11,705</w:t>
            </w:r>
          </w:p>
        </w:tc>
      </w:tr>
      <w:tr>
        <w:trPr>
          <w:trHeight w:val="362" w:hRule="exact"/>
        </w:trPr>
        <w:tc>
          <w:tcPr>
            <w:tcW w:w="234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9" w:lineRule="exact"/>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52" w:type="dxa"/>
            <w:gridSpan w:val="2"/>
            <w:vMerge/>
            <w:tcBorders>
              <w:left w:val="single" w:sz="13" w:space="0" w:color="DCDCDC"/>
              <w:bottom w:val="single" w:sz="4" w:space="0" w:color="000000"/>
              <w:right w:val="single" w:sz="10" w:space="0" w:color="DCDCDC"/>
            </w:tcBorders>
          </w:tcPr>
          <w:p>
            <w:pPr/>
          </w:p>
        </w:tc>
        <w:tc>
          <w:tcPr>
            <w:tcW w:w="2954" w:type="dxa"/>
            <w:gridSpan w:val="4"/>
            <w:vMerge/>
            <w:tcBorders>
              <w:left w:val="single" w:sz="4" w:space="0" w:color="000000"/>
              <w:bottom w:val="single" w:sz="4" w:space="0" w:color="000000"/>
              <w:right w:val="single" w:sz="4" w:space="0" w:color="000000"/>
            </w:tcBorders>
            <w:shd w:val="clear" w:color="auto" w:fill="DCDCDC"/>
          </w:tcPr>
          <w:p>
            <w:pPr/>
          </w:p>
        </w:tc>
        <w:tc>
          <w:tcPr>
            <w:tcW w:w="1568" w:type="dxa"/>
            <w:gridSpan w:val="2"/>
            <w:vMerge/>
            <w:tcBorders>
              <w:left w:val="single" w:sz="12" w:space="0" w:color="DCDCDC"/>
              <w:bottom w:val="single" w:sz="4" w:space="0" w:color="000000"/>
              <w:right w:val="single" w:sz="4" w:space="0" w:color="000000"/>
            </w:tcBorders>
          </w:tcPr>
          <w:p>
            <w:pPr/>
          </w:p>
        </w:tc>
      </w:tr>
      <w:tr>
        <w:trPr>
          <w:trHeight w:val="296" w:hRule="exact"/>
        </w:trPr>
        <w:tc>
          <w:tcPr>
            <w:tcW w:w="9215"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59"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55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302" w:hRule="exact"/>
        </w:trPr>
        <w:tc>
          <w:tcPr>
            <w:tcW w:w="2341" w:type="dxa"/>
            <w:tcBorders>
              <w:top w:val="single" w:sz="50" w:space="0" w:color="DCDCDC"/>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1301" w:type="dxa"/>
            <w:tcBorders>
              <w:top w:val="single" w:sz="50" w:space="0" w:color="DCDCDC"/>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299" w:type="dxa"/>
            <w:gridSpan w:val="2"/>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left="710" w:right="0"/>
              <w:jc w:val="left"/>
              <w:rPr>
                <w:rFonts w:ascii="Times New Roman" w:hAnsi="Times New Roman" w:cs="Times New Roman" w:eastAsia="Times New Roman" w:hint="default"/>
                <w:sz w:val="18"/>
                <w:szCs w:val="18"/>
              </w:rPr>
            </w:pPr>
            <w:r>
              <w:rPr>
                <w:rFonts w:ascii="Times New Roman"/>
                <w:sz w:val="18"/>
              </w:rPr>
              <w:t>29.92%</w:t>
            </w:r>
          </w:p>
        </w:tc>
        <w:tc>
          <w:tcPr>
            <w:tcW w:w="1301" w:type="dxa"/>
            <w:tcBorders>
              <w:top w:val="single" w:sz="50" w:space="0" w:color="DCDCDC"/>
              <w:left w:val="single" w:sz="4" w:space="0" w:color="000000"/>
              <w:bottom w:val="single" w:sz="4" w:space="0" w:color="000000"/>
              <w:right w:val="single" w:sz="10" w:space="0" w:color="DCDCDC"/>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pacing w:val="-1"/>
                <w:sz w:val="18"/>
              </w:rPr>
              <w:t>37,827,385</w:t>
            </w:r>
          </w:p>
        </w:tc>
        <w:tc>
          <w:tcPr>
            <w:tcW w:w="1558" w:type="dxa"/>
            <w:gridSpan w:val="3"/>
            <w:tcBorders>
              <w:top w:val="single" w:sz="4" w:space="0" w:color="000000"/>
              <w:left w:val="single" w:sz="10" w:space="0" w:color="DCDCDC"/>
              <w:bottom w:val="single" w:sz="4" w:space="0" w:color="000000"/>
              <w:right w:val="single" w:sz="10" w:space="0" w:color="DCDCDC"/>
            </w:tcBorders>
          </w:tcPr>
          <w:p>
            <w:pPr/>
          </w:p>
        </w:tc>
        <w:tc>
          <w:tcPr>
            <w:tcW w:w="1416" w:type="dxa"/>
            <w:tcBorders>
              <w:top w:val="single" w:sz="4" w:space="0" w:color="000000"/>
              <w:left w:val="single" w:sz="10" w:space="0" w:color="DCDCDC"/>
              <w:bottom w:val="single" w:sz="4" w:space="0" w:color="000000"/>
              <w:right w:val="single" w:sz="10" w:space="0" w:color="DCDCDC"/>
            </w:tcBorders>
          </w:tcPr>
          <w:p>
            <w:pPr/>
          </w:p>
        </w:tc>
      </w:tr>
      <w:tr>
        <w:trPr>
          <w:trHeight w:val="47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10" w:right="0"/>
              <w:jc w:val="left"/>
              <w:rPr>
                <w:rFonts w:ascii="Times New Roman" w:hAnsi="Times New Roman" w:cs="Times New Roman" w:eastAsia="Times New Roman" w:hint="default"/>
                <w:sz w:val="18"/>
                <w:szCs w:val="18"/>
              </w:rPr>
            </w:pPr>
            <w:r>
              <w:rPr>
                <w:rFonts w:ascii="Times New Roman"/>
                <w:sz w:val="18"/>
              </w:rPr>
              <w:t>12.34%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15,600,000</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1,647,059</w:t>
            </w: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17" w:right="0"/>
              <w:jc w:val="left"/>
              <w:rPr>
                <w:rFonts w:ascii="Times New Roman" w:hAnsi="Times New Roman" w:cs="Times New Roman" w:eastAsia="Times New Roman" w:hint="default"/>
                <w:sz w:val="18"/>
                <w:szCs w:val="18"/>
              </w:rPr>
            </w:pPr>
            <w:r>
              <w:rPr>
                <w:rFonts w:ascii="Times New Roman"/>
                <w:sz w:val="18"/>
              </w:rPr>
              <w:t>11.03%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13,940,000</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99" w:right="0"/>
              <w:jc w:val="left"/>
              <w:rPr>
                <w:rFonts w:ascii="Times New Roman" w:hAnsi="Times New Roman" w:cs="Times New Roman" w:eastAsia="Times New Roman" w:hint="default"/>
                <w:sz w:val="18"/>
                <w:szCs w:val="18"/>
              </w:rPr>
            </w:pPr>
            <w:r>
              <w:rPr>
                <w:rFonts w:ascii="Times New Roman"/>
                <w:sz w:val="18"/>
              </w:rPr>
              <w:t>9.08%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11,480,000</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1,152,941</w:t>
            </w:r>
          </w:p>
        </w:tc>
      </w:tr>
      <w:tr>
        <w:trPr>
          <w:trHeight w:val="47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中国建设银行－工银瑞信稳</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健成长股票型证券投资基金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基金、理财产品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99" w:right="0"/>
              <w:jc w:val="left"/>
              <w:rPr>
                <w:rFonts w:ascii="Times New Roman" w:hAnsi="Times New Roman" w:cs="Times New Roman" w:eastAsia="Times New Roman" w:hint="default"/>
                <w:sz w:val="18"/>
                <w:szCs w:val="18"/>
              </w:rPr>
            </w:pPr>
            <w:r>
              <w:rPr>
                <w:rFonts w:ascii="Times New Roman"/>
                <w:sz w:val="18"/>
              </w:rPr>
              <w:t>3.17%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4,007,727</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p>
            <w:pPr>
              <w:pStyle w:val="TableParagraph"/>
              <w:spacing w:line="232" w:lineRule="exact" w:before="23"/>
              <w:ind w:left="23" w:right="146"/>
              <w:jc w:val="left"/>
              <w:rPr>
                <w:rFonts w:ascii="宋体" w:hAnsi="宋体" w:cs="宋体" w:eastAsia="宋体" w:hint="default"/>
                <w:sz w:val="18"/>
                <w:szCs w:val="18"/>
              </w:rPr>
            </w:pPr>
            <w:r>
              <w:rPr>
                <w:rFonts w:ascii="宋体" w:hAnsi="宋体" w:cs="宋体" w:eastAsia="宋体" w:hint="default"/>
                <w:sz w:val="18"/>
                <w:szCs w:val="18"/>
              </w:rPr>
              <w:t>－华商领先企业混合型证券 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21"/>
              <w:jc w:val="left"/>
              <w:rPr>
                <w:rFonts w:ascii="宋体" w:hAnsi="宋体" w:cs="宋体" w:eastAsia="宋体" w:hint="default"/>
                <w:sz w:val="18"/>
                <w:szCs w:val="18"/>
              </w:rPr>
            </w:pPr>
            <w:r>
              <w:rPr>
                <w:rFonts w:ascii="宋体" w:hAnsi="宋体" w:cs="宋体" w:eastAsia="宋体" w:hint="default"/>
                <w:spacing w:val="-3"/>
                <w:sz w:val="18"/>
                <w:szCs w:val="18"/>
              </w:rPr>
              <w:t>基金、理财产品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1,764,039</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交通银行－华安宝利配置证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基金、理财产品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99" w:right="0"/>
              <w:jc w:val="left"/>
              <w:rPr>
                <w:rFonts w:ascii="Times New Roman" w:hAnsi="Times New Roman" w:cs="Times New Roman" w:eastAsia="Times New Roman" w:hint="default"/>
                <w:sz w:val="18"/>
                <w:szCs w:val="18"/>
              </w:rPr>
            </w:pPr>
            <w:r>
              <w:rPr>
                <w:rFonts w:ascii="Times New Roman"/>
                <w:sz w:val="18"/>
              </w:rPr>
              <w:t>0.55%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
              <w:ind w:left="23" w:right="273"/>
              <w:jc w:val="left"/>
              <w:rPr>
                <w:rFonts w:ascii="Times New Roman" w:hAnsi="Times New Roman" w:cs="Times New Roman" w:eastAsia="Times New Roman" w:hint="default"/>
                <w:sz w:val="18"/>
                <w:szCs w:val="18"/>
              </w:rPr>
            </w:pPr>
            <w:r>
              <w:rPr>
                <w:rFonts w:ascii="Times New Roman"/>
                <w:sz w:val="18"/>
              </w:rPr>
              <w:t>RICH RIVER</w:t>
            </w:r>
            <w:r>
              <w:rPr>
                <w:rFonts w:ascii="Times New Roman"/>
                <w:w w:val="99"/>
                <w:sz w:val="18"/>
              </w:rPr>
              <w:t> </w:t>
            </w:r>
            <w:r>
              <w:rPr>
                <w:rFonts w:ascii="Times New Roman"/>
                <w:sz w:val="18"/>
              </w:rPr>
              <w:t>INVESTMENTS</w:t>
            </w:r>
            <w:r>
              <w:rPr>
                <w:rFonts w:ascii="Times New Roman"/>
                <w:spacing w:val="-8"/>
                <w:sz w:val="18"/>
              </w:rPr>
              <w:t> </w:t>
            </w:r>
            <w:r>
              <w:rPr>
                <w:rFonts w:ascii="Times New Roman"/>
                <w:sz w:val="18"/>
              </w:rPr>
              <w:t>LIMITED</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9" w:right="0"/>
              <w:jc w:val="left"/>
              <w:rPr>
                <w:rFonts w:ascii="Times New Roman" w:hAnsi="Times New Roman" w:cs="Times New Roman" w:eastAsia="Times New Roman" w:hint="default"/>
                <w:sz w:val="18"/>
                <w:szCs w:val="18"/>
              </w:rPr>
            </w:pPr>
            <w:r>
              <w:rPr>
                <w:rFonts w:ascii="Times New Roman"/>
                <w:sz w:val="18"/>
              </w:rPr>
              <w:t>0.55%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699,400</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申银万国证券股份有限公司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基金、理财产品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99" w:right="0"/>
              <w:jc w:val="left"/>
              <w:rPr>
                <w:rFonts w:ascii="Times New Roman" w:hAnsi="Times New Roman" w:cs="Times New Roman" w:eastAsia="Times New Roman" w:hint="default"/>
                <w:sz w:val="18"/>
                <w:szCs w:val="18"/>
              </w:rPr>
            </w:pPr>
            <w:r>
              <w:rPr>
                <w:rFonts w:ascii="Times New Roman"/>
                <w:sz w:val="18"/>
              </w:rPr>
              <w:t>0.47%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594,597</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陈伊伟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99" w:right="0"/>
              <w:jc w:val="left"/>
              <w:rPr>
                <w:rFonts w:ascii="Times New Roman" w:hAnsi="Times New Roman" w:cs="Times New Roman" w:eastAsia="Times New Roman" w:hint="default"/>
                <w:sz w:val="18"/>
                <w:szCs w:val="18"/>
              </w:rPr>
            </w:pPr>
            <w:r>
              <w:rPr>
                <w:rFonts w:ascii="Times New Roman"/>
                <w:sz w:val="18"/>
              </w:rPr>
              <w:t>0.42%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533,379</w:t>
            </w:r>
          </w:p>
        </w:tc>
        <w:tc>
          <w:tcPr>
            <w:tcW w:w="1558" w:type="dxa"/>
            <w:gridSpan w:val="3"/>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215"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2"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5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pacing w:val="-1"/>
                <w:sz w:val="18"/>
              </w:rPr>
              <w:t>37,827,385</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15,600,000</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13,940,000</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11,480,000</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5"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中国建设银行－工银瑞信稳健成长股票型证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4,007,727</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中国民生银行股份有限公司－华商领先企业</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混合型证券投资基金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1,764,039</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交通银行－华安宝利配置证券投资基金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Times New Roman"/>
                <w:sz w:val="18"/>
              </w:rPr>
              <w:t>RICH RIVER INVESTMENTS</w:t>
            </w:r>
            <w:r>
              <w:rPr>
                <w:rFonts w:ascii="Times New Roman"/>
                <w:spacing w:val="-12"/>
                <w:sz w:val="18"/>
              </w:rPr>
              <w:t> </w:t>
            </w:r>
            <w:r>
              <w:rPr>
                <w:rFonts w:ascii="Times New Roman"/>
                <w:sz w:val="18"/>
              </w:rPr>
              <w:t>LIMITED</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699,400</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申银万国证券股份有限公司客户信用交易担</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保证券账户</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594,597</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陈伊伟</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533,379</w:t>
            </w:r>
          </w:p>
        </w:tc>
        <w:tc>
          <w:tcPr>
            <w:tcW w:w="24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4" w:lineRule="exact"/>
              <w:ind w:left="806" w:right="82"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8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pacing w:val="-1"/>
                <w:sz w:val="18"/>
                <w:szCs w:val="18"/>
              </w:rPr>
              <w:t>香港喜多来集团有限公司、北京中嘉华信息技术有限公司之间不存在股权上的关系，但</w:t>
            </w:r>
          </w:p>
          <w:p>
            <w:pPr>
              <w:pStyle w:val="TableParagraph"/>
              <w:spacing w:line="237" w:lineRule="auto" w:before="2"/>
              <w:ind w:left="24" w:right="19"/>
              <w:jc w:val="both"/>
              <w:rPr>
                <w:rFonts w:ascii="宋体" w:hAnsi="宋体" w:cs="宋体" w:eastAsia="宋体" w:hint="default"/>
                <w:sz w:val="18"/>
                <w:szCs w:val="18"/>
              </w:rPr>
            </w:pPr>
            <w:r>
              <w:rPr>
                <w:rFonts w:ascii="宋体" w:hAnsi="宋体" w:cs="宋体" w:eastAsia="宋体" w:hint="default"/>
                <w:spacing w:val="-1"/>
                <w:sz w:val="18"/>
                <w:szCs w:val="18"/>
              </w:rPr>
              <w:t>存在如下的人事安排上的关联关系：喜多来集团董事石林之子楚伦巴特尔为北京中嘉华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信息技术有限公司的第二大股东；公司实际控制人谷望江女士之胞妹谷望宁女士为北京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中嘉华信息技术有限公司并列第三大股东。</w:t>
            </w:r>
          </w:p>
        </w:tc>
      </w:tr>
    </w:tbl>
    <w:p>
      <w:pPr>
        <w:spacing w:line="241" w:lineRule="exact" w:before="0"/>
        <w:ind w:left="122" w:right="0" w:firstLine="419"/>
        <w:jc w:val="left"/>
        <w:rPr>
          <w:rFonts w:ascii="宋体" w:hAnsi="宋体" w:cs="宋体" w:eastAsia="宋体" w:hint="default"/>
          <w:sz w:val="21"/>
          <w:szCs w:val="21"/>
        </w:rPr>
      </w:pPr>
      <w:r>
        <w:rPr>
          <w:rFonts w:ascii="宋体" w:hAnsi="宋体" w:cs="宋体" w:eastAsia="宋体" w:hint="default"/>
          <w:spacing w:val="2"/>
          <w:w w:val="100"/>
          <w:sz w:val="21"/>
          <w:szCs w:val="21"/>
        </w:rPr>
        <w:t>注</w:t>
      </w:r>
      <w:r>
        <w:rPr>
          <w:rFonts w:ascii="宋体" w:hAnsi="宋体" w:cs="宋体" w:eastAsia="宋体" w:hint="default"/>
          <w:w w:val="100"/>
          <w:sz w:val="21"/>
          <w:szCs w:val="21"/>
        </w:rPr>
        <w:t>释：</w:t>
      </w:r>
      <w:r>
        <w:rPr>
          <w:rFonts w:ascii="宋体" w:hAnsi="宋体" w:cs="宋体" w:eastAsia="宋体" w:hint="default"/>
          <w:spacing w:val="2"/>
          <w:w w:val="100"/>
          <w:sz w:val="21"/>
          <w:szCs w:val="21"/>
        </w:rPr>
        <w:t>根</w:t>
      </w:r>
      <w:r>
        <w:rPr>
          <w:rFonts w:ascii="宋体" w:hAnsi="宋体" w:cs="宋体" w:eastAsia="宋体" w:hint="default"/>
          <w:w w:val="100"/>
          <w:sz w:val="21"/>
          <w:szCs w:val="21"/>
        </w:rPr>
        <w:t>据《</w:t>
      </w:r>
      <w:r>
        <w:rPr>
          <w:rFonts w:ascii="宋体" w:hAnsi="宋体" w:cs="宋体" w:eastAsia="宋体" w:hint="default"/>
          <w:spacing w:val="2"/>
          <w:w w:val="100"/>
          <w:sz w:val="21"/>
          <w:szCs w:val="21"/>
        </w:rPr>
        <w:t>境</w:t>
      </w:r>
      <w:r>
        <w:rPr>
          <w:rFonts w:ascii="宋体" w:hAnsi="宋体" w:cs="宋体" w:eastAsia="宋体" w:hint="default"/>
          <w:w w:val="100"/>
          <w:sz w:val="21"/>
          <w:szCs w:val="21"/>
        </w:rPr>
        <w:t>内证</w:t>
      </w:r>
      <w:r>
        <w:rPr>
          <w:rFonts w:ascii="宋体" w:hAnsi="宋体" w:cs="宋体" w:eastAsia="宋体" w:hint="default"/>
          <w:spacing w:val="2"/>
          <w:w w:val="100"/>
          <w:sz w:val="21"/>
          <w:szCs w:val="21"/>
        </w:rPr>
        <w:t>券</w:t>
      </w:r>
      <w:r>
        <w:rPr>
          <w:rFonts w:ascii="宋体" w:hAnsi="宋体" w:cs="宋体" w:eastAsia="宋体" w:hint="default"/>
          <w:w w:val="100"/>
          <w:sz w:val="21"/>
          <w:szCs w:val="21"/>
        </w:rPr>
        <w:t>市</w:t>
      </w:r>
      <w:r>
        <w:rPr>
          <w:rFonts w:ascii="宋体" w:hAnsi="宋体" w:cs="宋体" w:eastAsia="宋体" w:hint="default"/>
          <w:spacing w:val="2"/>
          <w:w w:val="100"/>
          <w:sz w:val="21"/>
          <w:szCs w:val="21"/>
        </w:rPr>
        <w:t>场</w:t>
      </w:r>
      <w:r>
        <w:rPr>
          <w:rFonts w:ascii="宋体" w:hAnsi="宋体" w:cs="宋体" w:eastAsia="宋体" w:hint="default"/>
          <w:w w:val="100"/>
          <w:sz w:val="21"/>
          <w:szCs w:val="21"/>
        </w:rPr>
        <w:t>转持</w:t>
      </w:r>
      <w:r>
        <w:rPr>
          <w:rFonts w:ascii="宋体" w:hAnsi="宋体" w:cs="宋体" w:eastAsia="宋体" w:hint="default"/>
          <w:spacing w:val="2"/>
          <w:w w:val="100"/>
          <w:sz w:val="21"/>
          <w:szCs w:val="21"/>
        </w:rPr>
        <w:t>部</w:t>
      </w:r>
      <w:r>
        <w:rPr>
          <w:rFonts w:ascii="宋体" w:hAnsi="宋体" w:cs="宋体" w:eastAsia="宋体" w:hint="default"/>
          <w:w w:val="100"/>
          <w:sz w:val="21"/>
          <w:szCs w:val="21"/>
        </w:rPr>
        <w:t>分国</w:t>
      </w:r>
      <w:r>
        <w:rPr>
          <w:rFonts w:ascii="宋体" w:hAnsi="宋体" w:cs="宋体" w:eastAsia="宋体" w:hint="default"/>
          <w:spacing w:val="2"/>
          <w:w w:val="100"/>
          <w:sz w:val="21"/>
          <w:szCs w:val="21"/>
        </w:rPr>
        <w:t>有</w:t>
      </w:r>
      <w:r>
        <w:rPr>
          <w:rFonts w:ascii="宋体" w:hAnsi="宋体" w:cs="宋体" w:eastAsia="宋体" w:hint="default"/>
          <w:w w:val="100"/>
          <w:sz w:val="21"/>
          <w:szCs w:val="21"/>
        </w:rPr>
        <w:t>股充</w:t>
      </w:r>
      <w:r>
        <w:rPr>
          <w:rFonts w:ascii="宋体" w:hAnsi="宋体" w:cs="宋体" w:eastAsia="宋体" w:hint="default"/>
          <w:spacing w:val="2"/>
          <w:w w:val="100"/>
          <w:sz w:val="21"/>
          <w:szCs w:val="21"/>
        </w:rPr>
        <w:t>实</w:t>
      </w:r>
      <w:r>
        <w:rPr>
          <w:rFonts w:ascii="宋体" w:hAnsi="宋体" w:cs="宋体" w:eastAsia="宋体" w:hint="default"/>
          <w:w w:val="100"/>
          <w:sz w:val="21"/>
          <w:szCs w:val="21"/>
        </w:rPr>
        <w:t>全</w:t>
      </w:r>
      <w:r>
        <w:rPr>
          <w:rFonts w:ascii="宋体" w:hAnsi="宋体" w:cs="宋体" w:eastAsia="宋体" w:hint="default"/>
          <w:spacing w:val="2"/>
          <w:w w:val="100"/>
          <w:sz w:val="21"/>
          <w:szCs w:val="21"/>
        </w:rPr>
        <w:t>国</w:t>
      </w:r>
      <w:r>
        <w:rPr>
          <w:rFonts w:ascii="宋体" w:hAnsi="宋体" w:cs="宋体" w:eastAsia="宋体" w:hint="default"/>
          <w:w w:val="100"/>
          <w:sz w:val="21"/>
          <w:szCs w:val="21"/>
        </w:rPr>
        <w:t>社会</w:t>
      </w:r>
      <w:r>
        <w:rPr>
          <w:rFonts w:ascii="宋体" w:hAnsi="宋体" w:cs="宋体" w:eastAsia="宋体" w:hint="default"/>
          <w:spacing w:val="2"/>
          <w:w w:val="100"/>
          <w:sz w:val="21"/>
          <w:szCs w:val="21"/>
        </w:rPr>
        <w:t>保</w:t>
      </w:r>
      <w:r>
        <w:rPr>
          <w:rFonts w:ascii="宋体" w:hAnsi="宋体" w:cs="宋体" w:eastAsia="宋体" w:hint="default"/>
          <w:w w:val="100"/>
          <w:sz w:val="21"/>
          <w:szCs w:val="21"/>
        </w:rPr>
        <w:t>障基</w:t>
      </w:r>
      <w:r>
        <w:rPr>
          <w:rFonts w:ascii="宋体" w:hAnsi="宋体" w:cs="宋体" w:eastAsia="宋体" w:hint="default"/>
          <w:spacing w:val="2"/>
          <w:w w:val="100"/>
          <w:sz w:val="21"/>
          <w:szCs w:val="21"/>
        </w:rPr>
        <w:t>金</w:t>
      </w:r>
      <w:r>
        <w:rPr>
          <w:rFonts w:ascii="宋体" w:hAnsi="宋体" w:cs="宋体" w:eastAsia="宋体" w:hint="default"/>
          <w:w w:val="100"/>
          <w:sz w:val="21"/>
          <w:szCs w:val="21"/>
        </w:rPr>
        <w:t>实施办</w:t>
      </w:r>
      <w:r>
        <w:rPr>
          <w:rFonts w:ascii="宋体" w:hAnsi="宋体" w:cs="宋体" w:eastAsia="宋体" w:hint="default"/>
          <w:spacing w:val="2"/>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财</w:t>
      </w:r>
      <w:r>
        <w:rPr>
          <w:rFonts w:ascii="宋体" w:hAnsi="宋体" w:cs="宋体" w:eastAsia="宋体" w:hint="default"/>
          <w:spacing w:val="7"/>
          <w:w w:val="100"/>
          <w:sz w:val="21"/>
          <w:szCs w:val="21"/>
        </w:rPr>
        <w:t>企</w:t>
      </w:r>
      <w:r>
        <w:rPr>
          <w:rFonts w:ascii="宋体" w:hAnsi="宋体" w:cs="宋体" w:eastAsia="宋体" w:hint="default"/>
          <w:spacing w:val="-3"/>
          <w:w w:val="100"/>
          <w:sz w:val="21"/>
          <w:szCs w:val="21"/>
        </w:rPr>
        <w:t>[</w:t>
      </w:r>
      <w:r>
        <w:rPr>
          <w:rFonts w:ascii="宋体" w:hAnsi="宋体" w:cs="宋体" w:eastAsia="宋体" w:hint="default"/>
          <w:w w:val="100"/>
          <w:sz w:val="21"/>
          <w:szCs w:val="21"/>
        </w:rPr>
        <w:t>200</w:t>
      </w:r>
      <w:r>
        <w:rPr>
          <w:rFonts w:ascii="宋体" w:hAnsi="宋体" w:cs="宋体" w:eastAsia="宋体" w:hint="default"/>
          <w:spacing w:val="-3"/>
          <w:w w:val="100"/>
          <w:sz w:val="21"/>
          <w:szCs w:val="21"/>
        </w:rPr>
        <w:t>9</w:t>
      </w:r>
      <w:r>
        <w:rPr>
          <w:rFonts w:ascii="宋体" w:hAnsi="宋体" w:cs="宋体" w:eastAsia="宋体" w:hint="default"/>
          <w:w w:val="100"/>
          <w:sz w:val="21"/>
          <w:szCs w:val="21"/>
        </w:rPr>
        <w:t>]94</w:t>
      </w:r>
    </w:p>
    <w:p>
      <w:pPr>
        <w:spacing w:line="297" w:lineRule="auto" w:before="63"/>
        <w:ind w:left="122" w:right="0" w:firstLine="0"/>
        <w:jc w:val="left"/>
        <w:rPr>
          <w:rFonts w:ascii="宋体" w:hAnsi="宋体" w:cs="宋体" w:eastAsia="宋体" w:hint="default"/>
          <w:sz w:val="21"/>
          <w:szCs w:val="21"/>
        </w:rPr>
      </w:pPr>
      <w:r>
        <w:rPr>
          <w:rFonts w:ascii="宋体" w:hAnsi="宋体" w:cs="宋体" w:eastAsia="宋体" w:hint="default"/>
          <w:sz w:val="21"/>
          <w:szCs w:val="21"/>
        </w:rPr>
        <w:t>号）规定</w:t>
      </w:r>
      <w:r>
        <w:rPr>
          <w:rFonts w:ascii="宋体" w:hAnsi="宋体" w:cs="宋体" w:eastAsia="宋体" w:hint="default"/>
          <w:sz w:val="21"/>
          <w:szCs w:val="21"/>
        </w:rPr>
        <w:t>,</w:t>
      </w:r>
      <w:r>
        <w:rPr>
          <w:rFonts w:ascii="宋体" w:hAnsi="宋体" w:cs="宋体" w:eastAsia="宋体" w:hint="default"/>
          <w:sz w:val="21"/>
          <w:szCs w:val="21"/>
        </w:rPr>
        <w:t>我公司第二大股东浪潮电子信息产业股份有限公司和第四大股东济南发展国有工业资产</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经营有限公司</w:t>
      </w:r>
      <w:r>
        <w:rPr>
          <w:rFonts w:ascii="宋体" w:hAnsi="宋体" w:cs="宋体" w:eastAsia="宋体" w:hint="default"/>
          <w:sz w:val="21"/>
          <w:szCs w:val="21"/>
        </w:rPr>
        <w:t>,</w:t>
      </w:r>
      <w:r>
        <w:rPr>
          <w:rFonts w:ascii="宋体" w:hAnsi="宋体" w:cs="宋体" w:eastAsia="宋体" w:hint="default"/>
          <w:sz w:val="21"/>
          <w:szCs w:val="21"/>
        </w:rPr>
        <w:t>分别被冻结</w:t>
      </w:r>
      <w:r>
        <w:rPr>
          <w:rFonts w:ascii="宋体" w:hAnsi="宋体" w:cs="宋体" w:eastAsia="宋体" w:hint="default"/>
          <w:spacing w:val="-55"/>
          <w:sz w:val="21"/>
          <w:szCs w:val="21"/>
        </w:rPr>
        <w:t> </w:t>
      </w:r>
      <w:r>
        <w:rPr>
          <w:rFonts w:ascii="宋体" w:hAnsi="宋体" w:cs="宋体" w:eastAsia="宋体" w:hint="default"/>
          <w:sz w:val="21"/>
          <w:szCs w:val="21"/>
        </w:rPr>
        <w:t>1,647,059</w:t>
      </w:r>
      <w:r>
        <w:rPr>
          <w:rFonts w:ascii="宋体" w:hAnsi="宋体" w:cs="宋体" w:eastAsia="宋体" w:hint="default"/>
          <w:spacing w:val="-55"/>
          <w:sz w:val="21"/>
          <w:szCs w:val="21"/>
        </w:rPr>
        <w:t> </w:t>
      </w:r>
      <w:r>
        <w:rPr>
          <w:rFonts w:ascii="宋体" w:hAnsi="宋体" w:cs="宋体" w:eastAsia="宋体" w:hint="default"/>
          <w:sz w:val="21"/>
          <w:szCs w:val="21"/>
        </w:rPr>
        <w:t>股和</w:t>
      </w:r>
      <w:r>
        <w:rPr>
          <w:rFonts w:ascii="宋体" w:hAnsi="宋体" w:cs="宋体" w:eastAsia="宋体" w:hint="default"/>
          <w:spacing w:val="-55"/>
          <w:sz w:val="21"/>
          <w:szCs w:val="21"/>
        </w:rPr>
        <w:t> </w:t>
      </w:r>
      <w:r>
        <w:rPr>
          <w:rFonts w:ascii="宋体" w:hAnsi="宋体" w:cs="宋体" w:eastAsia="宋体" w:hint="default"/>
          <w:sz w:val="21"/>
          <w:szCs w:val="21"/>
        </w:rPr>
        <w:t>1,152,941</w:t>
      </w:r>
      <w:r>
        <w:rPr>
          <w:rFonts w:ascii="宋体" w:hAnsi="宋体" w:cs="宋体" w:eastAsia="宋体" w:hint="default"/>
          <w:spacing w:val="-55"/>
          <w:sz w:val="21"/>
          <w:szCs w:val="21"/>
        </w:rPr>
        <w:t> </w:t>
      </w:r>
      <w:r>
        <w:rPr>
          <w:rFonts w:ascii="宋体" w:hAnsi="宋体" w:cs="宋体" w:eastAsia="宋体" w:hint="default"/>
          <w:sz w:val="21"/>
          <w:szCs w:val="21"/>
        </w:rPr>
        <w:t>股股份。</w:t>
      </w:r>
    </w:p>
    <w:p>
      <w:pPr>
        <w:spacing w:line="240" w:lineRule="auto" w:before="0"/>
        <w:rPr>
          <w:rFonts w:ascii="宋体" w:hAnsi="宋体" w:cs="宋体" w:eastAsia="宋体" w:hint="default"/>
          <w:sz w:val="20"/>
          <w:szCs w:val="20"/>
        </w:rPr>
      </w:pPr>
    </w:p>
    <w:p>
      <w:pPr>
        <w:spacing w:line="355" w:lineRule="auto" w:before="162"/>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（二）公司控股股东情况</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报告期内，公司控股股东未发生变化，仍为香港喜多来集团有限公司，其所持有的公司股份无</w:t>
      </w:r>
    </w:p>
    <w:p>
      <w:pPr>
        <w:spacing w:after="0" w:line="355"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602" w:right="5380" w:hanging="480"/>
        <w:jc w:val="left"/>
        <w:rPr>
          <w:rFonts w:ascii="宋体" w:hAnsi="宋体" w:cs="宋体" w:eastAsia="宋体" w:hint="default"/>
          <w:sz w:val="21"/>
          <w:szCs w:val="21"/>
        </w:rPr>
      </w:pPr>
      <w:r>
        <w:rPr>
          <w:rFonts w:ascii="宋体" w:hAnsi="宋体" w:cs="宋体" w:eastAsia="宋体" w:hint="default"/>
          <w:sz w:val="21"/>
          <w:szCs w:val="21"/>
        </w:rPr>
        <w:t>质押、冻结或托管等情况。</w:t>
      </w:r>
      <w:r>
        <w:rPr>
          <w:rFonts w:ascii="宋体" w:hAnsi="宋体" w:cs="宋体" w:eastAsia="宋体" w:hint="default"/>
          <w:w w:val="100"/>
          <w:sz w:val="21"/>
          <w:szCs w:val="21"/>
        </w:rPr>
        <w:t> </w:t>
      </w:r>
      <w:r>
        <w:rPr>
          <w:rFonts w:ascii="宋体" w:hAnsi="宋体" w:cs="宋体" w:eastAsia="宋体" w:hint="default"/>
          <w:sz w:val="21"/>
          <w:szCs w:val="21"/>
        </w:rPr>
        <w:t>香港喜多来集团有限公司基本情况：</w:t>
      </w:r>
      <w:r>
        <w:rPr>
          <w:rFonts w:ascii="宋体" w:hAnsi="宋体" w:cs="宋体" w:eastAsia="宋体" w:hint="default"/>
          <w:w w:val="100"/>
          <w:sz w:val="21"/>
          <w:szCs w:val="21"/>
        </w:rPr>
        <w:t> </w:t>
      </w:r>
      <w:r>
        <w:rPr>
          <w:rFonts w:ascii="宋体" w:hAnsi="宋体" w:cs="宋体" w:eastAsia="宋体" w:hint="default"/>
          <w:sz w:val="21"/>
          <w:szCs w:val="21"/>
        </w:rPr>
        <w:t>英文名称：</w:t>
      </w:r>
      <w:r>
        <w:rPr>
          <w:rFonts w:ascii="宋体" w:hAnsi="宋体" w:cs="宋体" w:eastAsia="宋体" w:hint="default"/>
          <w:sz w:val="21"/>
          <w:szCs w:val="21"/>
        </w:rPr>
        <w:t>HONGKONG HITORO HOLDINGS</w:t>
      </w:r>
      <w:r>
        <w:rPr>
          <w:rFonts w:ascii="宋体" w:hAnsi="宋体" w:cs="宋体" w:eastAsia="宋体" w:hint="default"/>
          <w:spacing w:val="-6"/>
          <w:sz w:val="21"/>
          <w:szCs w:val="21"/>
        </w:rPr>
        <w:t> </w:t>
      </w:r>
      <w:r>
        <w:rPr>
          <w:rFonts w:ascii="宋体" w:hAnsi="宋体" w:cs="宋体" w:eastAsia="宋体" w:hint="default"/>
          <w:sz w:val="21"/>
          <w:szCs w:val="21"/>
        </w:rPr>
        <w:t>LIMITED</w:t>
      </w:r>
    </w:p>
    <w:p>
      <w:pPr>
        <w:spacing w:line="355" w:lineRule="auto" w:before="32"/>
        <w:ind w:left="602" w:right="5380" w:firstLine="0"/>
        <w:jc w:val="left"/>
        <w:rPr>
          <w:rFonts w:ascii="宋体" w:hAnsi="宋体" w:cs="宋体" w:eastAsia="宋体" w:hint="default"/>
          <w:sz w:val="21"/>
          <w:szCs w:val="21"/>
        </w:rPr>
      </w:pPr>
      <w:r>
        <w:rPr>
          <w:rFonts w:ascii="宋体" w:hAnsi="宋体" w:cs="宋体" w:eastAsia="宋体" w:hint="default"/>
          <w:spacing w:val="-2"/>
          <w:sz w:val="21"/>
          <w:szCs w:val="21"/>
        </w:rPr>
        <w:t>公司董事会成员：陈新、谷望江、石林</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设立日期：</w:t>
      </w:r>
      <w:r>
        <w:rPr>
          <w:rFonts w:ascii="宋体" w:hAnsi="宋体" w:cs="宋体" w:eastAsia="宋体" w:hint="default"/>
          <w:sz w:val="21"/>
          <w:szCs w:val="21"/>
        </w:rPr>
        <w:t>1991</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宋体" w:hAnsi="宋体" w:cs="宋体" w:eastAsia="宋体" w:hint="default"/>
          <w:sz w:val="21"/>
          <w:szCs w:val="21"/>
        </w:rPr>
        <w:t>400</w:t>
      </w:r>
      <w:r>
        <w:rPr>
          <w:rFonts w:ascii="宋体" w:hAnsi="宋体" w:cs="宋体" w:eastAsia="宋体" w:hint="default"/>
          <w:sz w:val="21"/>
          <w:szCs w:val="21"/>
        </w:rPr>
        <w:t>万港元</w:t>
      </w:r>
    </w:p>
    <w:p>
      <w:pPr>
        <w:spacing w:line="357" w:lineRule="auto" w:before="32"/>
        <w:ind w:left="542" w:right="4808" w:firstLine="60"/>
        <w:jc w:val="left"/>
        <w:rPr>
          <w:rFonts w:ascii="宋体" w:hAnsi="宋体" w:cs="宋体" w:eastAsia="宋体" w:hint="default"/>
          <w:sz w:val="21"/>
          <w:szCs w:val="21"/>
        </w:rPr>
      </w:pPr>
      <w:r>
        <w:rPr>
          <w:rFonts w:ascii="宋体" w:hAnsi="宋体" w:cs="宋体" w:eastAsia="宋体" w:hint="default"/>
          <w:spacing w:val="-2"/>
          <w:sz w:val="21"/>
          <w:szCs w:val="21"/>
        </w:rPr>
        <w:t>办公地址：香港尖沙咀广东道</w:t>
      </w:r>
      <w:r>
        <w:rPr>
          <w:rFonts w:ascii="宋体" w:hAnsi="宋体" w:cs="宋体" w:eastAsia="宋体" w:hint="default"/>
          <w:spacing w:val="-2"/>
          <w:sz w:val="21"/>
          <w:szCs w:val="21"/>
        </w:rPr>
        <w:t>9</w:t>
      </w:r>
      <w:r>
        <w:rPr>
          <w:rFonts w:ascii="宋体" w:hAnsi="宋体" w:cs="宋体" w:eastAsia="宋体" w:hint="default"/>
          <w:spacing w:val="-2"/>
          <w:sz w:val="21"/>
          <w:szCs w:val="21"/>
        </w:rPr>
        <w:t>号港威中心第</w:t>
      </w:r>
      <w:r>
        <w:rPr>
          <w:rFonts w:ascii="宋体" w:hAnsi="宋体" w:cs="宋体" w:eastAsia="宋体" w:hint="default"/>
          <w:spacing w:val="-2"/>
          <w:sz w:val="21"/>
          <w:szCs w:val="21"/>
        </w:rPr>
        <w:t>6</w:t>
      </w:r>
      <w:r>
        <w:rPr>
          <w:rFonts w:ascii="宋体" w:hAnsi="宋体" w:cs="宋体" w:eastAsia="宋体" w:hint="default"/>
          <w:spacing w:val="-2"/>
          <w:sz w:val="21"/>
          <w:szCs w:val="21"/>
        </w:rPr>
        <w:t>座</w:t>
      </w:r>
      <w:r>
        <w:rPr>
          <w:rFonts w:ascii="宋体" w:hAnsi="宋体" w:cs="宋体" w:eastAsia="宋体" w:hint="default"/>
          <w:spacing w:val="-2"/>
          <w:sz w:val="21"/>
          <w:szCs w:val="21"/>
        </w:rPr>
        <w:t>37</w:t>
      </w:r>
      <w:r>
        <w:rPr>
          <w:rFonts w:ascii="宋体" w:hAnsi="宋体" w:cs="宋体" w:eastAsia="宋体" w:hint="default"/>
          <w:spacing w:val="-2"/>
          <w:sz w:val="21"/>
          <w:szCs w:val="21"/>
        </w:rPr>
        <w:t>搂</w:t>
      </w:r>
      <w:r>
        <w:rPr>
          <w:rFonts w:ascii="宋体" w:hAnsi="宋体" w:cs="宋体" w:eastAsia="宋体" w:hint="default"/>
          <w:w w:val="100"/>
          <w:sz w:val="21"/>
          <w:szCs w:val="21"/>
        </w:rPr>
        <w:t> </w:t>
      </w:r>
      <w:r>
        <w:rPr>
          <w:rFonts w:ascii="宋体" w:hAnsi="宋体" w:cs="宋体" w:eastAsia="宋体" w:hint="default"/>
          <w:sz w:val="21"/>
          <w:szCs w:val="21"/>
        </w:rPr>
        <w:t>公司目前主要从事国际原材料贸易和实业投资。</w:t>
      </w:r>
    </w:p>
    <w:p>
      <w:pPr>
        <w:spacing w:line="355" w:lineRule="auto" w:before="3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（二）公司实际控制人情况</w:t>
      </w:r>
      <w:r>
        <w:rPr>
          <w:rFonts w:ascii="宋体" w:hAnsi="宋体" w:cs="宋体" w:eastAsia="宋体" w:hint="default"/>
          <w:b/>
          <w:bCs/>
          <w:spacing w:val="-3"/>
          <w:w w:val="100"/>
          <w:sz w:val="21"/>
          <w:szCs w:val="21"/>
        </w:rPr>
        <w:t> </w:t>
      </w:r>
      <w:r>
        <w:rPr>
          <w:rFonts w:ascii="宋体" w:hAnsi="宋体" w:cs="宋体" w:eastAsia="宋体" w:hint="default"/>
          <w:spacing w:val="-3"/>
          <w:sz w:val="21"/>
          <w:szCs w:val="21"/>
        </w:rPr>
        <w:t>谷望江：女，中国香港籍，拥有永久香港居留权，香港喜多来集团有限公司董事，目前为本公</w:t>
      </w:r>
    </w:p>
    <w:p>
      <w:pPr>
        <w:spacing w:line="355" w:lineRule="auto" w:before="33"/>
        <w:ind w:left="542" w:right="5380" w:hanging="420"/>
        <w:jc w:val="left"/>
        <w:rPr>
          <w:rFonts w:ascii="宋体" w:hAnsi="宋体" w:cs="宋体" w:eastAsia="宋体" w:hint="default"/>
          <w:sz w:val="21"/>
          <w:szCs w:val="21"/>
        </w:rPr>
      </w:pPr>
      <w:r>
        <w:rPr>
          <w:rFonts w:ascii="宋体" w:hAnsi="宋体" w:cs="宋体" w:eastAsia="宋体" w:hint="default"/>
          <w:sz w:val="21"/>
          <w:szCs w:val="21"/>
        </w:rPr>
        <w:t>司的实际控制人。</w:t>
      </w:r>
      <w:r>
        <w:rPr>
          <w:rFonts w:ascii="宋体" w:hAnsi="宋体" w:cs="宋体" w:eastAsia="宋体" w:hint="default"/>
          <w:w w:val="100"/>
          <w:sz w:val="21"/>
          <w:szCs w:val="21"/>
        </w:rPr>
        <w:t> </w:t>
      </w:r>
      <w:r>
        <w:rPr>
          <w:rFonts w:ascii="宋体" w:hAnsi="宋体" w:cs="宋体" w:eastAsia="宋体" w:hint="default"/>
          <w:spacing w:val="-2"/>
          <w:sz w:val="21"/>
          <w:szCs w:val="21"/>
        </w:rPr>
        <w:t>谷望江女士与本公司产权控制关系如下：</w:t>
      </w:r>
    </w:p>
    <w:p>
      <w:pPr>
        <w:spacing w:line="240" w:lineRule="auto" w:before="1"/>
        <w:rPr>
          <w:rFonts w:ascii="宋体" w:hAnsi="宋体" w:cs="宋体" w:eastAsia="宋体" w:hint="default"/>
          <w:sz w:val="6"/>
          <w:szCs w:val="6"/>
        </w:rPr>
      </w:pPr>
    </w:p>
    <w:p>
      <w:pPr>
        <w:spacing w:line="468" w:lineRule="exact"/>
        <w:ind w:left="3275"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99.75pt;height:23.4pt;mso-position-horizontal-relative:char;mso-position-vertical-relative:line" type="#_x0000_t202" filled="false" stroked="true" strokeweight=".75pt" strokecolor="#000000">
            <w10:anchorlock/>
            <v:textbox inset="0,0,0,0">
              <w:txbxContent>
                <w:p>
                  <w:pPr>
                    <w:spacing w:before="46"/>
                    <w:ind w:left="5" w:right="0" w:firstLine="0"/>
                    <w:jc w:val="center"/>
                    <w:rPr>
                      <w:rFonts w:ascii="宋体" w:hAnsi="宋体" w:cs="宋体" w:eastAsia="宋体" w:hint="default"/>
                      <w:sz w:val="21"/>
                      <w:szCs w:val="21"/>
                    </w:rPr>
                  </w:pPr>
                  <w:r>
                    <w:rPr>
                      <w:rFonts w:ascii="宋体" w:hAnsi="宋体" w:cs="宋体" w:eastAsia="宋体" w:hint="default"/>
                      <w:sz w:val="21"/>
                      <w:szCs w:val="21"/>
                    </w:rPr>
                    <w:t>谷望江</w:t>
                  </w:r>
                </w:p>
              </w:txbxContent>
            </v:textbox>
          </v:shape>
        </w:pict>
      </w:r>
      <w:r>
        <w:rPr>
          <w:rFonts w:ascii="宋体" w:hAnsi="宋体" w:cs="宋体" w:eastAsia="宋体" w:hint="default"/>
          <w:position w:val="-8"/>
          <w:sz w:val="20"/>
          <w:szCs w:val="20"/>
        </w:rPr>
      </w:r>
    </w:p>
    <w:p>
      <w:pPr>
        <w:spacing w:before="42"/>
        <w:ind w:left="0" w:right="1523" w:firstLine="0"/>
        <w:jc w:val="center"/>
        <w:rPr>
          <w:rFonts w:ascii="Times New Roman" w:hAnsi="Times New Roman" w:cs="Times New Roman" w:eastAsia="Times New Roman" w:hint="default"/>
          <w:sz w:val="18"/>
          <w:szCs w:val="18"/>
        </w:rPr>
      </w:pPr>
      <w:r>
        <w:rPr>
          <w:position w:val="-13"/>
        </w:rPr>
        <w:drawing>
          <wp:inline distT="0" distB="0" distL="0" distR="0">
            <wp:extent cx="76200" cy="20447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76200" cy="204470"/>
                    </a:xfrm>
                    <a:prstGeom prst="rect">
                      <a:avLst/>
                    </a:prstGeom>
                  </pic:spPr>
                </pic:pic>
              </a:graphicData>
            </a:graphic>
          </wp:inline>
        </w:drawing>
      </w:r>
      <w:r>
        <w:rPr>
          <w:position w:val="-13"/>
        </w:rPr>
      </w:r>
      <w:r>
        <w:rPr>
          <w:rFonts w:ascii="Times New Roman"/>
          <w:sz w:val="18"/>
        </w:rPr>
        <w:t>100%</w:t>
      </w:r>
    </w:p>
    <w:p>
      <w:pPr>
        <w:spacing w:line="240" w:lineRule="auto" w:before="7"/>
        <w:rPr>
          <w:rFonts w:ascii="Times New Roman" w:hAnsi="Times New Roman" w:cs="Times New Roman" w:eastAsia="Times New Roman" w:hint="default"/>
          <w:sz w:val="4"/>
          <w:szCs w:val="4"/>
        </w:rPr>
      </w:pPr>
    </w:p>
    <w:p>
      <w:pPr>
        <w:spacing w:line="468" w:lineRule="exact"/>
        <w:ind w:left="24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75pt;height:23.4pt;mso-position-horizontal-relative:char;mso-position-vertical-relative:line" type="#_x0000_t202" filled="false" stroked="true" strokeweight=".75pt" strokecolor="#000000">
            <w10:anchorlock/>
            <v:textbox inset="0,0,0,0">
              <w:txbxContent>
                <w:p>
                  <w:pPr>
                    <w:spacing w:before="49"/>
                    <w:ind w:left="415" w:right="0" w:firstLine="0"/>
                    <w:jc w:val="left"/>
                    <w:rPr>
                      <w:rFonts w:ascii="宋体" w:hAnsi="宋体" w:cs="宋体" w:eastAsia="宋体" w:hint="default"/>
                      <w:sz w:val="21"/>
                      <w:szCs w:val="21"/>
                    </w:rPr>
                  </w:pPr>
                  <w:r>
                    <w:rPr>
                      <w:rFonts w:ascii="宋体"/>
                      <w:sz w:val="21"/>
                    </w:rPr>
                    <w:t>Infomatic Resources</w:t>
                  </w:r>
                  <w:r>
                    <w:rPr>
                      <w:rFonts w:ascii="宋体"/>
                      <w:spacing w:val="-2"/>
                      <w:sz w:val="21"/>
                    </w:rPr>
                    <w:t> </w:t>
                  </w:r>
                  <w:r>
                    <w:rPr>
                      <w:rFonts w:ascii="宋体"/>
                      <w:sz w:val="21"/>
                    </w:rPr>
                    <w:t>Limited</w:t>
                  </w:r>
                </w:p>
              </w:txbxContent>
            </v:textbox>
          </v:shape>
        </w:pict>
      </w:r>
      <w:r>
        <w:rPr>
          <w:rFonts w:ascii="Times New Roman" w:hAnsi="Times New Roman" w:cs="Times New Roman" w:eastAsia="Times New Roman" w:hint="default"/>
          <w:position w:val="-8"/>
          <w:sz w:val="20"/>
          <w:szCs w:val="20"/>
        </w:rPr>
      </w:r>
    </w:p>
    <w:p>
      <w:pPr>
        <w:spacing w:before="42"/>
        <w:ind w:left="0" w:right="1499" w:firstLine="0"/>
        <w:jc w:val="center"/>
        <w:rPr>
          <w:rFonts w:ascii="Times New Roman" w:hAnsi="Times New Roman" w:cs="Times New Roman" w:eastAsia="Times New Roman" w:hint="default"/>
          <w:sz w:val="18"/>
          <w:szCs w:val="18"/>
        </w:rPr>
      </w:pPr>
      <w:r>
        <w:rPr>
          <w:position w:val="-13"/>
        </w:rPr>
        <w:drawing>
          <wp:inline distT="0" distB="0" distL="0" distR="0">
            <wp:extent cx="76200" cy="20447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76200" cy="204470"/>
                    </a:xfrm>
                    <a:prstGeom prst="rect">
                      <a:avLst/>
                    </a:prstGeom>
                  </pic:spPr>
                </pic:pic>
              </a:graphicData>
            </a:graphic>
          </wp:inline>
        </w:drawing>
      </w:r>
      <w:r>
        <w:rPr>
          <w:position w:val="-13"/>
        </w:rPr>
      </w:r>
      <w:r>
        <w:rPr>
          <w:rFonts w:ascii="Times New Roman"/>
          <w:sz w:val="18"/>
        </w:rPr>
        <w:t>100%</w:t>
      </w:r>
    </w:p>
    <w:p>
      <w:pPr>
        <w:spacing w:line="468" w:lineRule="exact"/>
        <w:ind w:left="24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75pt;height:23.4pt;mso-position-horizontal-relative:char;mso-position-vertical-relative:line" type="#_x0000_t202" filled="false" stroked="true" strokeweight=".75pt" strokecolor="#000000">
            <w10:anchorlock/>
            <v:textbox inset="0,0,0,0">
              <w:txbxContent>
                <w:p>
                  <w:pPr>
                    <w:spacing w:before="50"/>
                    <w:ind w:left="676" w:right="0" w:firstLine="0"/>
                    <w:jc w:val="left"/>
                    <w:rPr>
                      <w:rFonts w:ascii="宋体" w:hAnsi="宋体" w:cs="宋体" w:eastAsia="宋体" w:hint="default"/>
                      <w:sz w:val="21"/>
                      <w:szCs w:val="21"/>
                    </w:rPr>
                  </w:pPr>
                  <w:r>
                    <w:rPr>
                      <w:rFonts w:ascii="宋体" w:hAnsi="宋体" w:cs="宋体" w:eastAsia="宋体" w:hint="default"/>
                      <w:sz w:val="21"/>
                      <w:szCs w:val="21"/>
                    </w:rPr>
                    <w:t>香港喜多来集团有限公司</w:t>
                  </w:r>
                </w:p>
              </w:txbxContent>
            </v:textbox>
          </v:shape>
        </w:pict>
      </w:r>
      <w:r>
        <w:rPr>
          <w:rFonts w:ascii="Times New Roman" w:hAnsi="Times New Roman" w:cs="Times New Roman" w:eastAsia="Times New Roman" w:hint="default"/>
          <w:position w:val="-8"/>
          <w:sz w:val="20"/>
          <w:szCs w:val="20"/>
        </w:rPr>
      </w:r>
    </w:p>
    <w:p>
      <w:pPr>
        <w:spacing w:before="93"/>
        <w:ind w:left="0" w:right="1214" w:firstLine="0"/>
        <w:jc w:val="center"/>
        <w:rPr>
          <w:rFonts w:ascii="Times New Roman" w:hAnsi="Times New Roman" w:cs="Times New Roman" w:eastAsia="Times New Roman" w:hint="default"/>
          <w:sz w:val="18"/>
          <w:szCs w:val="18"/>
        </w:rPr>
      </w:pPr>
      <w:r>
        <w:rPr/>
        <w:pict>
          <v:shape style="position:absolute;margin-left:282.850006pt;margin-top:4.762331pt;width:6pt;height:16.1pt;mso-position-horizontal-relative:page;mso-position-vertical-relative:paragraph;z-index:-747928" type="#_x0000_t75" stroked="false">
            <v:imagedata r:id="rId14" o:title=""/>
          </v:shape>
        </w:pict>
      </w:r>
      <w:r>
        <w:rPr>
          <w:rFonts w:ascii="Times New Roman"/>
          <w:sz w:val="18"/>
        </w:rPr>
        <w:t>29.92%</w:t>
      </w:r>
    </w:p>
    <w:p>
      <w:pPr>
        <w:spacing w:line="240" w:lineRule="auto" w:before="2"/>
        <w:rPr>
          <w:rFonts w:ascii="Times New Roman" w:hAnsi="Times New Roman" w:cs="Times New Roman" w:eastAsia="Times New Roman" w:hint="default"/>
          <w:sz w:val="10"/>
          <w:szCs w:val="10"/>
        </w:rPr>
      </w:pPr>
    </w:p>
    <w:p>
      <w:pPr>
        <w:spacing w:line="468" w:lineRule="exact"/>
        <w:ind w:left="24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75pt;height:23.4pt;mso-position-horizontal-relative:char;mso-position-vertical-relative:line" type="#_x0000_t202" filled="false" stroked="true" strokeweight=".75pt" strokecolor="#000000">
            <w10:anchorlock/>
            <v:textbox inset="0,0,0,0">
              <w:txbxContent>
                <w:p>
                  <w:pPr>
                    <w:spacing w:before="50"/>
                    <w:ind w:left="571" w:right="0" w:firstLine="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11"/>
        <w:rPr>
          <w:rFonts w:ascii="Times New Roman" w:hAnsi="Times New Roman" w:cs="Times New Roman" w:eastAsia="Times New Roman" w:hint="default"/>
          <w:sz w:val="9"/>
          <w:szCs w:val="9"/>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（四）持股在</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以上的法人股东情况</w:t>
      </w:r>
      <w:r>
        <w:rPr>
          <w:rFonts w:ascii="宋体" w:hAnsi="宋体" w:cs="宋体" w:eastAsia="宋体" w:hint="default"/>
          <w:sz w:val="21"/>
          <w:szCs w:val="21"/>
        </w:rPr>
      </w:r>
    </w:p>
    <w:p>
      <w:pPr>
        <w:spacing w:line="355" w:lineRule="auto" w:before="135"/>
        <w:ind w:left="122" w:right="1274" w:firstLine="479"/>
        <w:jc w:val="left"/>
        <w:rPr>
          <w:rFonts w:ascii="宋体" w:hAnsi="宋体" w:cs="宋体" w:eastAsia="宋体" w:hint="default"/>
          <w:sz w:val="21"/>
          <w:szCs w:val="21"/>
        </w:rPr>
      </w:pPr>
      <w:r>
        <w:rPr>
          <w:rFonts w:ascii="宋体" w:hAnsi="宋体" w:cs="宋体" w:eastAsia="宋体" w:hint="default"/>
          <w:sz w:val="21"/>
          <w:szCs w:val="21"/>
        </w:rPr>
        <w:t>报告期内，本公司持有</w:t>
      </w:r>
      <w:r>
        <w:rPr>
          <w:rFonts w:ascii="宋体" w:hAnsi="宋体" w:cs="宋体" w:eastAsia="宋体" w:hint="default"/>
          <w:spacing w:val="6"/>
          <w:sz w:val="21"/>
          <w:szCs w:val="21"/>
        </w:rPr>
        <w:t> </w:t>
      </w:r>
      <w:r>
        <w:rPr>
          <w:rFonts w:ascii="宋体" w:hAnsi="宋体" w:cs="宋体" w:eastAsia="宋体" w:hint="default"/>
          <w:sz w:val="21"/>
          <w:szCs w:val="21"/>
        </w:rPr>
        <w:t>5%</w:t>
      </w:r>
      <w:r>
        <w:rPr>
          <w:rFonts w:ascii="宋体" w:hAnsi="宋体" w:cs="宋体" w:eastAsia="宋体" w:hint="default"/>
          <w:sz w:val="21"/>
          <w:szCs w:val="21"/>
        </w:rPr>
        <w:t>以上的法人股东有：济南发展国有工业资产经营有限公司、浪潮电</w:t>
      </w:r>
      <w:r>
        <w:rPr>
          <w:rFonts w:ascii="宋体" w:hAnsi="宋体" w:cs="宋体" w:eastAsia="宋体" w:hint="default"/>
          <w:w w:val="100"/>
          <w:sz w:val="21"/>
          <w:szCs w:val="21"/>
        </w:rPr>
        <w:t> </w:t>
      </w:r>
      <w:r>
        <w:rPr>
          <w:rFonts w:ascii="宋体" w:hAnsi="宋体" w:cs="宋体" w:eastAsia="宋体" w:hint="default"/>
          <w:sz w:val="21"/>
          <w:szCs w:val="21"/>
        </w:rPr>
        <w:t>子信息产业股份有限公司、北京中嘉华信息技术有限公司，各股东基本情况如下：</w:t>
      </w:r>
    </w:p>
    <w:p>
      <w:pPr>
        <w:tabs>
          <w:tab w:pos="1925" w:val="left" w:leader="none"/>
        </w:tabs>
        <w:spacing w:line="355" w:lineRule="auto" w:before="32"/>
        <w:ind w:left="662" w:right="6076" w:hanging="6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济南发展国有工业资产经营有限公司</w:t>
      </w:r>
      <w:r>
        <w:rPr>
          <w:rFonts w:ascii="宋体" w:hAnsi="宋体" w:cs="宋体" w:eastAsia="宋体" w:hint="default"/>
          <w:w w:val="100"/>
          <w:sz w:val="21"/>
          <w:szCs w:val="21"/>
        </w:rPr>
        <w:t> </w:t>
      </w:r>
      <w:r>
        <w:rPr>
          <w:rFonts w:ascii="宋体" w:hAnsi="宋体" w:cs="宋体" w:eastAsia="宋体" w:hint="default"/>
          <w:spacing w:val="-1"/>
          <w:sz w:val="21"/>
          <w:szCs w:val="21"/>
        </w:rPr>
        <w:t>成立日期：</w:t>
        <w:tab/>
      </w:r>
      <w:r>
        <w:rPr>
          <w:rFonts w:ascii="宋体" w:hAnsi="宋体" w:cs="宋体" w:eastAsia="宋体" w:hint="default"/>
          <w:spacing w:val="-2"/>
          <w:sz w:val="21"/>
          <w:szCs w:val="21"/>
        </w:rPr>
        <w:t>1999</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2"/>
          <w:sz w:val="21"/>
          <w:szCs w:val="21"/>
        </w:rPr>
        <w:t>14</w:t>
      </w:r>
      <w:r>
        <w:rPr>
          <w:rFonts w:ascii="宋体" w:hAnsi="宋体" w:cs="宋体" w:eastAsia="宋体" w:hint="default"/>
          <w:spacing w:val="-2"/>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法定代表人：寇少杰</w:t>
      </w:r>
    </w:p>
    <w:p>
      <w:pPr>
        <w:tabs>
          <w:tab w:pos="1925" w:val="left" w:leader="none"/>
        </w:tabs>
        <w:spacing w:line="357" w:lineRule="auto" w:before="34"/>
        <w:ind w:left="662" w:right="7221" w:firstLine="0"/>
        <w:jc w:val="left"/>
        <w:rPr>
          <w:rFonts w:ascii="宋体" w:hAnsi="宋体" w:cs="宋体" w:eastAsia="宋体" w:hint="default"/>
          <w:sz w:val="21"/>
          <w:szCs w:val="21"/>
        </w:rPr>
      </w:pPr>
      <w:r>
        <w:rPr>
          <w:rFonts w:ascii="宋体" w:hAnsi="宋体" w:cs="宋体" w:eastAsia="宋体" w:hint="default"/>
          <w:spacing w:val="-1"/>
          <w:sz w:val="21"/>
          <w:szCs w:val="21"/>
        </w:rPr>
        <w:t>注册资本：</w:t>
        <w:tab/>
      </w:r>
      <w:r>
        <w:rPr>
          <w:rFonts w:ascii="宋体" w:hAnsi="宋体" w:cs="宋体" w:eastAsia="宋体" w:hint="default"/>
          <w:spacing w:val="-1"/>
          <w:sz w:val="21"/>
          <w:szCs w:val="21"/>
        </w:rPr>
        <w:t>2,680</w:t>
      </w:r>
      <w:r>
        <w:rPr>
          <w:rFonts w:ascii="宋体" w:hAnsi="宋体" w:cs="宋体" w:eastAsia="宋体" w:hint="default"/>
          <w:spacing w:val="-1"/>
          <w:sz w:val="21"/>
          <w:szCs w:val="21"/>
        </w:rPr>
        <w:t>万元</w:t>
      </w:r>
      <w:r>
        <w:rPr>
          <w:rFonts w:ascii="宋体" w:hAnsi="宋体" w:cs="宋体" w:eastAsia="宋体" w:hint="default"/>
          <w:spacing w:val="-98"/>
          <w:sz w:val="21"/>
          <w:szCs w:val="21"/>
        </w:rPr>
        <w:t> </w:t>
      </w:r>
      <w:r>
        <w:rPr>
          <w:rFonts w:ascii="宋体" w:hAnsi="宋体" w:cs="宋体" w:eastAsia="宋体" w:hint="default"/>
          <w:spacing w:val="-1"/>
          <w:sz w:val="21"/>
          <w:szCs w:val="21"/>
        </w:rPr>
        <w:t>组织机构代码：</w:t>
      </w:r>
      <w:r>
        <w:rPr>
          <w:rFonts w:ascii="宋体" w:hAnsi="宋体" w:cs="宋体" w:eastAsia="宋体" w:hint="default"/>
          <w:spacing w:val="-1"/>
          <w:sz w:val="21"/>
          <w:szCs w:val="21"/>
        </w:rPr>
        <w:t>86309373-2</w:t>
      </w:r>
    </w:p>
    <w:p>
      <w:pPr>
        <w:tabs>
          <w:tab w:pos="1925" w:val="left" w:leader="none"/>
        </w:tabs>
        <w:spacing w:line="355" w:lineRule="auto" w:before="30"/>
        <w:ind w:left="602" w:right="1753" w:firstLine="60"/>
        <w:jc w:val="left"/>
        <w:rPr>
          <w:rFonts w:ascii="宋体" w:hAnsi="宋体" w:cs="宋体" w:eastAsia="宋体" w:hint="default"/>
          <w:sz w:val="21"/>
          <w:szCs w:val="21"/>
        </w:rPr>
      </w:pPr>
      <w:r>
        <w:rPr>
          <w:rFonts w:ascii="宋体" w:hAnsi="宋体" w:cs="宋体" w:eastAsia="宋体" w:hint="default"/>
          <w:spacing w:val="-1"/>
          <w:sz w:val="21"/>
          <w:szCs w:val="21"/>
        </w:rPr>
        <w:t>经营范围：</w:t>
        <w:tab/>
      </w:r>
      <w:r>
        <w:rPr>
          <w:rFonts w:ascii="宋体" w:hAnsi="宋体" w:cs="宋体" w:eastAsia="宋体" w:hint="default"/>
          <w:spacing w:val="-2"/>
          <w:sz w:val="21"/>
          <w:szCs w:val="21"/>
        </w:rPr>
        <w:t>在济南市历城区人民政府授权范围内，依据产权关系经营国有工业资产。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、浪潮电子信息产业股份有限公司</w:t>
      </w:r>
    </w:p>
    <w:p>
      <w:pPr>
        <w:tabs>
          <w:tab w:pos="1805" w:val="left" w:leader="none"/>
        </w:tabs>
        <w:spacing w:line="357" w:lineRule="auto" w:before="32"/>
        <w:ind w:left="542" w:right="7129" w:firstLine="0"/>
        <w:jc w:val="left"/>
        <w:rPr>
          <w:rFonts w:ascii="宋体" w:hAnsi="宋体" w:cs="宋体" w:eastAsia="宋体" w:hint="default"/>
          <w:sz w:val="21"/>
          <w:szCs w:val="21"/>
        </w:rPr>
      </w:pPr>
      <w:r>
        <w:rPr>
          <w:rFonts w:ascii="宋体" w:hAnsi="宋体" w:cs="宋体" w:eastAsia="宋体" w:hint="default"/>
          <w:spacing w:val="-1"/>
          <w:sz w:val="21"/>
          <w:szCs w:val="21"/>
        </w:rPr>
        <w:t>成立日期：</w:t>
        <w:tab/>
      </w:r>
      <w:r>
        <w:rPr>
          <w:rFonts w:ascii="宋体" w:hAnsi="宋体" w:cs="宋体" w:eastAsia="宋体" w:hint="default"/>
          <w:spacing w:val="-2"/>
          <w:sz w:val="21"/>
          <w:szCs w:val="21"/>
        </w:rPr>
        <w:t>1998</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2"/>
          <w:sz w:val="21"/>
          <w:szCs w:val="21"/>
        </w:rPr>
        <w:t>28</w:t>
      </w:r>
      <w:r>
        <w:rPr>
          <w:rFonts w:ascii="宋体" w:hAnsi="宋体" w:cs="宋体" w:eastAsia="宋体" w:hint="default"/>
          <w:spacing w:val="-2"/>
          <w:sz w:val="21"/>
          <w:szCs w:val="21"/>
        </w:rPr>
        <w:t>日</w:t>
      </w:r>
      <w:r>
        <w:rPr>
          <w:rFonts w:ascii="宋体" w:hAnsi="宋体" w:cs="宋体" w:eastAsia="宋体" w:hint="default"/>
          <w:spacing w:val="-87"/>
          <w:sz w:val="21"/>
          <w:szCs w:val="21"/>
        </w:rPr>
        <w:t> </w:t>
      </w:r>
      <w:r>
        <w:rPr>
          <w:rFonts w:ascii="宋体" w:hAnsi="宋体" w:cs="宋体" w:eastAsia="宋体" w:hint="default"/>
          <w:sz w:val="21"/>
          <w:szCs w:val="21"/>
        </w:rPr>
        <w:t>法定代表人：</w:t>
      </w:r>
      <w:r>
        <w:rPr>
          <w:rFonts w:ascii="宋体" w:hAnsi="宋体" w:cs="宋体" w:eastAsia="宋体" w:hint="default"/>
          <w:spacing w:val="-2"/>
          <w:sz w:val="21"/>
          <w:szCs w:val="21"/>
        </w:rPr>
        <w:t> </w:t>
      </w:r>
      <w:r>
        <w:rPr>
          <w:rFonts w:ascii="宋体" w:hAnsi="宋体" w:cs="宋体" w:eastAsia="宋体" w:hint="default"/>
          <w:sz w:val="21"/>
          <w:szCs w:val="21"/>
        </w:rPr>
        <w:t>孙丕恕</w:t>
      </w:r>
      <w:r>
        <w:rPr>
          <w:rFonts w:ascii="宋体" w:hAnsi="宋体" w:cs="宋体" w:eastAsia="宋体" w:hint="default"/>
          <w:w w:val="100"/>
          <w:sz w:val="21"/>
          <w:szCs w:val="21"/>
        </w:rPr>
        <w:t> </w:t>
      </w:r>
      <w:r>
        <w:rPr>
          <w:rFonts w:ascii="宋体" w:hAnsi="宋体" w:cs="宋体" w:eastAsia="宋体" w:hint="default"/>
          <w:spacing w:val="-1"/>
          <w:sz w:val="21"/>
          <w:szCs w:val="21"/>
        </w:rPr>
        <w:t>注册资本：</w:t>
        <w:tab/>
      </w:r>
      <w:r>
        <w:rPr>
          <w:rFonts w:ascii="宋体" w:hAnsi="宋体" w:cs="宋体" w:eastAsia="宋体" w:hint="default"/>
          <w:spacing w:val="-2"/>
          <w:sz w:val="21"/>
          <w:szCs w:val="21"/>
        </w:rPr>
        <w:t>21,500</w:t>
      </w:r>
      <w:r>
        <w:rPr>
          <w:rFonts w:ascii="宋体" w:hAnsi="宋体" w:cs="宋体" w:eastAsia="宋体" w:hint="default"/>
          <w:spacing w:val="-2"/>
          <w:sz w:val="21"/>
          <w:szCs w:val="21"/>
        </w:rPr>
        <w:t>万元</w:t>
      </w:r>
      <w:r>
        <w:rPr>
          <w:rFonts w:ascii="宋体" w:hAnsi="宋体" w:cs="宋体" w:eastAsia="宋体" w:hint="default"/>
          <w:spacing w:val="-95"/>
          <w:sz w:val="21"/>
          <w:szCs w:val="21"/>
        </w:rPr>
        <w:t> </w:t>
      </w:r>
      <w:r>
        <w:rPr>
          <w:rFonts w:ascii="宋体" w:hAnsi="宋体" w:cs="宋体" w:eastAsia="宋体" w:hint="default"/>
          <w:sz w:val="21"/>
          <w:szCs w:val="21"/>
        </w:rPr>
        <w:t>组织机构代码：</w:t>
      </w:r>
      <w:r>
        <w:rPr>
          <w:rFonts w:ascii="宋体" w:hAnsi="宋体" w:cs="宋体" w:eastAsia="宋体" w:hint="default"/>
          <w:sz w:val="21"/>
          <w:szCs w:val="21"/>
        </w:rPr>
        <w:t>70626660-1</w:t>
      </w:r>
    </w:p>
    <w:p>
      <w:pPr>
        <w:spacing w:after="0" w:line="357"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122" w:right="1359" w:firstLine="419"/>
        <w:jc w:val="both"/>
        <w:rPr>
          <w:rFonts w:ascii="宋体" w:hAnsi="宋体" w:cs="宋体" w:eastAsia="宋体" w:hint="default"/>
          <w:sz w:val="21"/>
          <w:szCs w:val="21"/>
        </w:rPr>
      </w:pPr>
      <w:r>
        <w:rPr>
          <w:rFonts w:ascii="宋体" w:hAnsi="宋体" w:cs="宋体" w:eastAsia="宋体" w:hint="default"/>
          <w:spacing w:val="-5"/>
          <w:w w:val="100"/>
          <w:sz w:val="21"/>
          <w:szCs w:val="21"/>
        </w:rPr>
        <w:t>经营范围：计算机及软件、电子产品及其他通信设备（不含无线电发射设备）、商业机具、电</w:t>
      </w:r>
      <w:r>
        <w:rPr>
          <w:rFonts w:ascii="宋体" w:hAnsi="宋体" w:cs="宋体" w:eastAsia="宋体" w:hint="default"/>
          <w:w w:val="100"/>
          <w:sz w:val="21"/>
          <w:szCs w:val="21"/>
        </w:rPr>
        <w:t> </w:t>
      </w:r>
      <w:r>
        <w:rPr>
          <w:rFonts w:ascii="宋体" w:hAnsi="宋体" w:cs="宋体" w:eastAsia="宋体" w:hint="default"/>
          <w:sz w:val="21"/>
          <w:szCs w:val="21"/>
        </w:rPr>
        <w:t>子工业用控制设备、空调数控装置、电子计时器、电控玩具、教学用具的开发、生产、销售；技</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术信息服务、计算机租赁业务；电器设备的安装与维修及技术服务；批准范围内的自营进出口业</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务，房屋租赁。</w:t>
      </w:r>
    </w:p>
    <w:p>
      <w:pPr>
        <w:tabs>
          <w:tab w:pos="1925" w:val="left" w:leader="none"/>
        </w:tabs>
        <w:spacing w:line="355" w:lineRule="auto" w:before="30"/>
        <w:ind w:left="662" w:right="6753" w:hanging="6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、北京中嘉华信息技术有限公司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成立日期：</w:t>
        <w:tab/>
      </w:r>
      <w:r>
        <w:rPr>
          <w:rFonts w:ascii="宋体" w:hAnsi="宋体" w:cs="宋体" w:eastAsia="宋体" w:hint="default"/>
          <w:spacing w:val="-2"/>
          <w:sz w:val="21"/>
          <w:szCs w:val="21"/>
        </w:rPr>
        <w:t>2001</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28</w:t>
      </w:r>
      <w:r>
        <w:rPr>
          <w:rFonts w:ascii="宋体" w:hAnsi="宋体" w:cs="宋体" w:eastAsia="宋体" w:hint="default"/>
          <w:spacing w:val="-2"/>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法定代表人：李安龙</w:t>
      </w:r>
    </w:p>
    <w:p>
      <w:pPr>
        <w:tabs>
          <w:tab w:pos="1925" w:val="left" w:leader="none"/>
        </w:tabs>
        <w:spacing w:line="360" w:lineRule="auto" w:before="28"/>
        <w:ind w:left="662" w:right="7221" w:firstLine="0"/>
        <w:jc w:val="left"/>
        <w:rPr>
          <w:rFonts w:ascii="宋体" w:hAnsi="宋体" w:cs="宋体" w:eastAsia="宋体" w:hint="default"/>
          <w:sz w:val="21"/>
          <w:szCs w:val="21"/>
        </w:rPr>
      </w:pPr>
      <w:r>
        <w:rPr>
          <w:rFonts w:ascii="宋体" w:hAnsi="宋体" w:cs="宋体" w:eastAsia="宋体" w:hint="default"/>
          <w:spacing w:val="-1"/>
          <w:sz w:val="21"/>
          <w:szCs w:val="21"/>
        </w:rPr>
        <w:t>注册资本：</w:t>
        <w:tab/>
      </w:r>
      <w:r>
        <w:rPr>
          <w:rFonts w:ascii="宋体" w:hAnsi="宋体" w:cs="宋体" w:eastAsia="宋体" w:hint="default"/>
          <w:spacing w:val="-1"/>
          <w:sz w:val="24"/>
          <w:szCs w:val="24"/>
        </w:rPr>
        <w:t>1020</w:t>
      </w:r>
      <w:r>
        <w:rPr>
          <w:rFonts w:ascii="宋体" w:hAnsi="宋体" w:cs="宋体" w:eastAsia="宋体" w:hint="default"/>
          <w:spacing w:val="-1"/>
          <w:sz w:val="21"/>
          <w:szCs w:val="21"/>
        </w:rPr>
        <w:t>万元</w:t>
      </w:r>
      <w:r>
        <w:rPr>
          <w:rFonts w:ascii="宋体" w:hAnsi="宋体" w:cs="宋体" w:eastAsia="宋体" w:hint="default"/>
          <w:spacing w:val="-103"/>
          <w:sz w:val="21"/>
          <w:szCs w:val="21"/>
        </w:rPr>
        <w:t> </w:t>
      </w:r>
      <w:r>
        <w:rPr>
          <w:rFonts w:ascii="宋体" w:hAnsi="宋体" w:cs="宋体" w:eastAsia="宋体" w:hint="default"/>
          <w:spacing w:val="-1"/>
          <w:sz w:val="21"/>
          <w:szCs w:val="21"/>
        </w:rPr>
        <w:t>组织机构代码：</w:t>
      </w:r>
      <w:r>
        <w:rPr>
          <w:rFonts w:ascii="宋体" w:hAnsi="宋体" w:cs="宋体" w:eastAsia="宋体" w:hint="default"/>
          <w:spacing w:val="-1"/>
          <w:sz w:val="21"/>
          <w:szCs w:val="21"/>
        </w:rPr>
        <w:t>73347967-X</w:t>
      </w:r>
    </w:p>
    <w:p>
      <w:pPr>
        <w:spacing w:line="357" w:lineRule="auto" w:before="28"/>
        <w:ind w:left="122" w:right="1356" w:firstLine="539"/>
        <w:jc w:val="both"/>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pacing w:val="77"/>
          <w:sz w:val="21"/>
          <w:szCs w:val="21"/>
        </w:rPr>
        <w:t> </w:t>
      </w:r>
      <w:r>
        <w:rPr>
          <w:rFonts w:ascii="宋体" w:hAnsi="宋体" w:cs="宋体" w:eastAsia="宋体" w:hint="default"/>
          <w:sz w:val="21"/>
          <w:szCs w:val="21"/>
        </w:rPr>
        <w:t>软件开发、数据处理服务，经济贸易咨询，投资咨询、企业管理咨询；销售计</w:t>
      </w:r>
      <w:r>
        <w:rPr>
          <w:rFonts w:ascii="宋体" w:hAnsi="宋体" w:cs="宋体" w:eastAsia="宋体" w:hint="default"/>
          <w:w w:val="100"/>
          <w:sz w:val="21"/>
          <w:szCs w:val="21"/>
        </w:rPr>
        <w:t> </w:t>
      </w:r>
      <w:r>
        <w:rPr>
          <w:rFonts w:ascii="宋体" w:hAnsi="宋体" w:cs="宋体" w:eastAsia="宋体" w:hint="default"/>
          <w:spacing w:val="-4"/>
          <w:w w:val="100"/>
          <w:sz w:val="21"/>
          <w:szCs w:val="21"/>
        </w:rPr>
        <w:t>算机、软件及辅助设备（计算机信息系统安全专用产品除外）、电子产品、日用品、五金交电、机</w:t>
      </w:r>
      <w:r>
        <w:rPr>
          <w:rFonts w:ascii="宋体" w:hAnsi="宋体" w:cs="宋体" w:eastAsia="宋体" w:hint="default"/>
          <w:w w:val="100"/>
          <w:sz w:val="21"/>
          <w:szCs w:val="21"/>
        </w:rPr>
        <w:t> </w:t>
      </w:r>
      <w:r>
        <w:rPr>
          <w:rFonts w:ascii="宋体" w:hAnsi="宋体" w:cs="宋体" w:eastAsia="宋体" w:hint="default"/>
          <w:sz w:val="21"/>
          <w:szCs w:val="21"/>
        </w:rPr>
        <w:t>械设备、纸张。</w:t>
      </w:r>
    </w:p>
    <w:p>
      <w:pPr>
        <w:spacing w:after="0" w:line="357"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2819" w:val="left" w:leader="none"/>
        </w:tabs>
        <w:spacing w:line="240" w:lineRule="auto"/>
        <w:ind w:left="1462" w:right="1279"/>
        <w:jc w:val="left"/>
        <w:rPr>
          <w:b w:val="0"/>
          <w:bCs w:val="0"/>
        </w:rPr>
      </w:pPr>
      <w:bookmarkStart w:name="_TOC_250008"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0"/>
          <w:szCs w:val="30"/>
        </w:rPr>
      </w:pPr>
    </w:p>
    <w:p>
      <w:pPr>
        <w:spacing w:before="224"/>
        <w:ind w:left="202" w:right="1279" w:firstLine="0"/>
        <w:jc w:val="left"/>
        <w:rPr>
          <w:rFonts w:ascii="宋体" w:hAnsi="宋体" w:cs="宋体" w:eastAsia="宋体" w:hint="default"/>
          <w:sz w:val="21"/>
          <w:szCs w:val="21"/>
        </w:rPr>
      </w:pPr>
      <w:r>
        <w:rPr>
          <w:rFonts w:ascii="宋体" w:hAnsi="宋体" w:cs="宋体" w:eastAsia="宋体" w:hint="default"/>
          <w:b/>
          <w:bCs/>
          <w:sz w:val="21"/>
          <w:szCs w:val="21"/>
        </w:rPr>
        <w:t>一、董事、监事和高级管理人员情况</w:t>
      </w:r>
      <w:r>
        <w:rPr>
          <w:rFonts w:ascii="宋体" w:hAnsi="宋体" w:cs="宋体" w:eastAsia="宋体" w:hint="default"/>
          <w:sz w:val="21"/>
          <w:szCs w:val="21"/>
        </w:rPr>
      </w:r>
    </w:p>
    <w:p>
      <w:pPr>
        <w:spacing w:line="355" w:lineRule="auto" w:before="133"/>
        <w:ind w:left="622" w:right="3628" w:hanging="420"/>
        <w:jc w:val="left"/>
        <w:rPr>
          <w:rFonts w:ascii="宋体" w:hAnsi="宋体" w:cs="宋体" w:eastAsia="宋体" w:hint="default"/>
          <w:sz w:val="21"/>
          <w:szCs w:val="21"/>
        </w:rPr>
      </w:pPr>
      <w:r>
        <w:rPr>
          <w:rFonts w:ascii="宋体" w:hAnsi="宋体" w:cs="宋体" w:eastAsia="宋体" w:hint="default"/>
          <w:b/>
          <w:bCs/>
          <w:sz w:val="21"/>
          <w:szCs w:val="21"/>
        </w:rPr>
        <w:t>（一）基本情况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董事、监事和高级管理人员任职及持股情况（单位：股）</w:t>
      </w:r>
    </w:p>
    <w:p>
      <w:pPr>
        <w:spacing w:line="240" w:lineRule="auto" w:before="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780"/>
        <w:gridCol w:w="1205"/>
        <w:gridCol w:w="521"/>
        <w:gridCol w:w="518"/>
        <w:gridCol w:w="1524"/>
        <w:gridCol w:w="1476"/>
        <w:gridCol w:w="984"/>
        <w:gridCol w:w="987"/>
        <w:gridCol w:w="1195"/>
      </w:tblGrid>
      <w:tr>
        <w:trPr>
          <w:trHeight w:val="245"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04"/>
              <w:jc w:val="right"/>
              <w:rPr>
                <w:rFonts w:ascii="宋体" w:hAnsi="宋体" w:cs="宋体" w:eastAsia="宋体" w:hint="default"/>
                <w:sz w:val="18"/>
                <w:szCs w:val="18"/>
              </w:rPr>
            </w:pPr>
            <w:r>
              <w:rPr>
                <w:rFonts w:ascii="宋体" w:hAnsi="宋体" w:cs="宋体" w:eastAsia="宋体" w:hint="default"/>
                <w:sz w:val="18"/>
                <w:szCs w:val="18"/>
              </w:rPr>
              <w:t>姓名</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1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4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6"/>
              <w:jc w:val="right"/>
              <w:rPr>
                <w:rFonts w:ascii="宋体" w:hAnsi="宋体" w:cs="宋体" w:eastAsia="宋体" w:hint="default"/>
                <w:sz w:val="18"/>
                <w:szCs w:val="18"/>
              </w:rPr>
            </w:pPr>
            <w:r>
              <w:rPr>
                <w:rFonts w:ascii="宋体" w:hAnsi="宋体" w:cs="宋体" w:eastAsia="宋体" w:hint="default"/>
                <w:sz w:val="18"/>
                <w:szCs w:val="18"/>
              </w:rPr>
              <w:t>谷望江</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z w:val="18"/>
              </w:rPr>
              <w:t>64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81" w:right="0"/>
              <w:jc w:val="left"/>
              <w:rPr>
                <w:rFonts w:ascii="Times New Roman" w:hAnsi="Times New Roman" w:cs="Times New Roman" w:eastAsia="Times New Roman" w:hint="default"/>
                <w:sz w:val="18"/>
                <w:szCs w:val="18"/>
              </w:rPr>
            </w:pPr>
            <w:r>
              <w:rPr>
                <w:rFonts w:ascii="Times New Roman"/>
                <w:sz w:val="18"/>
              </w:rPr>
              <w:t>37,827,385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83" w:right="0"/>
              <w:jc w:val="left"/>
              <w:rPr>
                <w:rFonts w:ascii="Times New Roman" w:hAnsi="Times New Roman" w:cs="Times New Roman" w:eastAsia="Times New Roman" w:hint="default"/>
                <w:sz w:val="18"/>
                <w:szCs w:val="18"/>
              </w:rPr>
            </w:pPr>
            <w:r>
              <w:rPr>
                <w:rFonts w:ascii="Times New Roman"/>
                <w:sz w:val="18"/>
              </w:rPr>
              <w:t>37,827,385</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6"/>
              <w:jc w:val="right"/>
              <w:rPr>
                <w:rFonts w:ascii="宋体" w:hAnsi="宋体" w:cs="宋体" w:eastAsia="宋体" w:hint="default"/>
                <w:sz w:val="18"/>
                <w:szCs w:val="18"/>
              </w:rPr>
            </w:pPr>
            <w:r>
              <w:rPr>
                <w:rFonts w:ascii="宋体" w:hAnsi="宋体" w:cs="宋体" w:eastAsia="宋体" w:hint="default"/>
                <w:sz w:val="18"/>
                <w:szCs w:val="18"/>
              </w:rPr>
              <w:t>王爱先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z w:val="18"/>
              </w:rPr>
              <w:t>65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石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3"/>
              <w:ind w:left="194" w:right="0"/>
              <w:jc w:val="left"/>
              <w:rPr>
                <w:rFonts w:ascii="Times New Roman" w:hAnsi="Times New Roman" w:cs="Times New Roman" w:eastAsia="Times New Roman" w:hint="default"/>
                <w:sz w:val="18"/>
                <w:szCs w:val="18"/>
              </w:rPr>
            </w:pPr>
            <w:r>
              <w:rPr>
                <w:rFonts w:ascii="Times New Roman"/>
                <w:sz w:val="18"/>
              </w:rPr>
              <w:t>699,400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3"/>
              <w:ind w:left="196" w:right="0"/>
              <w:jc w:val="left"/>
              <w:rPr>
                <w:rFonts w:ascii="Times New Roman" w:hAnsi="Times New Roman" w:cs="Times New Roman" w:eastAsia="Times New Roman" w:hint="default"/>
                <w:sz w:val="18"/>
                <w:szCs w:val="18"/>
              </w:rPr>
            </w:pPr>
            <w:r>
              <w:rPr>
                <w:rFonts w:ascii="Times New Roman"/>
                <w:sz w:val="18"/>
              </w:rPr>
              <w:t>699,400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史建中</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7"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127" w:right="0"/>
              <w:jc w:val="left"/>
              <w:rPr>
                <w:rFonts w:ascii="Times New Roman" w:hAnsi="Times New Roman" w:cs="Times New Roman" w:eastAsia="Times New Roman" w:hint="default"/>
                <w:sz w:val="18"/>
                <w:szCs w:val="18"/>
              </w:rPr>
            </w:pPr>
            <w:r>
              <w:rPr>
                <w:rFonts w:ascii="Times New Roman"/>
                <w:sz w:val="18"/>
              </w:rPr>
              <w:t>3,280,000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9"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129" w:right="0"/>
              <w:jc w:val="left"/>
              <w:rPr>
                <w:rFonts w:ascii="Times New Roman" w:hAnsi="Times New Roman" w:cs="Times New Roman" w:eastAsia="Times New Roman" w:hint="default"/>
                <w:sz w:val="18"/>
                <w:szCs w:val="18"/>
              </w:rPr>
            </w:pPr>
            <w:r>
              <w:rPr>
                <w:rFonts w:ascii="Times New Roman"/>
                <w:sz w:val="18"/>
              </w:rPr>
              <w:t>3,280,000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赵福蕊</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54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汤云为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67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刘素英</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66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4"/>
              <w:jc w:val="righ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钢</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65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4"/>
              <w:jc w:val="right"/>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敬</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49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李保政</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36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宋体" w:hAnsi="宋体" w:cs="宋体" w:eastAsia="宋体" w:hint="default"/>
                <w:sz w:val="18"/>
                <w:szCs w:val="18"/>
              </w:rPr>
            </w:pPr>
            <w:r>
              <w:rPr>
                <w:rFonts w:ascii="宋体" w:hAnsi="宋体" w:cs="宋体" w:eastAsia="宋体" w:hint="default"/>
                <w:sz w:val="18"/>
                <w:szCs w:val="18"/>
              </w:rPr>
              <w:t>王景涛</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z w:val="18"/>
              </w:rPr>
              <w:t>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6"/>
              <w:jc w:val="right"/>
              <w:rPr>
                <w:rFonts w:ascii="宋体" w:hAnsi="宋体" w:cs="宋体" w:eastAsia="宋体" w:hint="default"/>
                <w:sz w:val="18"/>
                <w:szCs w:val="18"/>
              </w:rPr>
            </w:pPr>
            <w:r>
              <w:rPr>
                <w:rFonts w:ascii="宋体" w:hAnsi="宋体" w:cs="宋体" w:eastAsia="宋体" w:hint="default"/>
                <w:sz w:val="18"/>
                <w:szCs w:val="18"/>
              </w:rPr>
              <w:t>唐国奇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43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5"/>
              <w:ind w:left="194" w:right="0"/>
              <w:jc w:val="left"/>
              <w:rPr>
                <w:rFonts w:ascii="Times New Roman" w:hAnsi="Times New Roman" w:cs="Times New Roman" w:eastAsia="Times New Roman" w:hint="default"/>
                <w:sz w:val="18"/>
                <w:szCs w:val="18"/>
              </w:rPr>
            </w:pPr>
            <w:r>
              <w:rPr>
                <w:rFonts w:ascii="Times New Roman"/>
                <w:sz w:val="18"/>
              </w:rPr>
              <w:t>820,000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5"/>
              <w:ind w:left="196" w:right="0"/>
              <w:jc w:val="left"/>
              <w:rPr>
                <w:rFonts w:ascii="Times New Roman" w:hAnsi="Times New Roman" w:cs="Times New Roman" w:eastAsia="Times New Roman" w:hint="default"/>
                <w:sz w:val="18"/>
                <w:szCs w:val="18"/>
              </w:rPr>
            </w:pPr>
            <w:r>
              <w:rPr>
                <w:rFonts w:ascii="Times New Roman"/>
                <w:sz w:val="18"/>
              </w:rPr>
              <w:t>820,000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44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194" w:right="0"/>
              <w:jc w:val="left"/>
              <w:rPr>
                <w:rFonts w:ascii="Times New Roman" w:hAnsi="Times New Roman" w:cs="Times New Roman" w:eastAsia="Times New Roman" w:hint="default"/>
                <w:sz w:val="18"/>
                <w:szCs w:val="18"/>
              </w:rPr>
            </w:pPr>
            <w:r>
              <w:rPr>
                <w:rFonts w:ascii="Times New Roman"/>
                <w:sz w:val="18"/>
              </w:rPr>
              <w:t>820,000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196" w:right="0"/>
              <w:jc w:val="left"/>
              <w:rPr>
                <w:rFonts w:ascii="Times New Roman" w:hAnsi="Times New Roman" w:cs="Times New Roman" w:eastAsia="Times New Roman" w:hint="default"/>
                <w:sz w:val="18"/>
                <w:szCs w:val="18"/>
              </w:rPr>
            </w:pPr>
            <w:r>
              <w:rPr>
                <w:rFonts w:ascii="Times New Roman"/>
                <w:sz w:val="18"/>
              </w:rPr>
              <w:t>820,000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4"/>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z w:val="18"/>
              </w:rPr>
              <w:t>43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127" w:right="0"/>
              <w:jc w:val="left"/>
              <w:rPr>
                <w:rFonts w:ascii="Times New Roman" w:hAnsi="Times New Roman" w:cs="Times New Roman" w:eastAsia="Times New Roman" w:hint="default"/>
                <w:sz w:val="18"/>
                <w:szCs w:val="18"/>
              </w:rPr>
            </w:pPr>
            <w:r>
              <w:rPr>
                <w:rFonts w:ascii="Times New Roman"/>
                <w:sz w:val="18"/>
              </w:rPr>
              <w:t>1,230,000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22"/>
              <w:ind w:left="129" w:right="0"/>
              <w:jc w:val="left"/>
              <w:rPr>
                <w:rFonts w:ascii="Times New Roman" w:hAnsi="Times New Roman" w:cs="Times New Roman" w:eastAsia="Times New Roman" w:hint="default"/>
                <w:sz w:val="18"/>
                <w:szCs w:val="18"/>
              </w:rPr>
            </w:pPr>
            <w:r>
              <w:rPr>
                <w:rFonts w:ascii="Times New Roman"/>
                <w:sz w:val="18"/>
              </w:rPr>
              <w:t>1,230,000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4"/>
              <w:jc w:val="righ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43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齐利国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41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r>
      <w:tr>
        <w:trPr>
          <w:trHeight w:val="24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44,676,785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44,776,785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3"/>
        <w:rPr>
          <w:rFonts w:ascii="宋体" w:hAnsi="宋体" w:cs="宋体" w:eastAsia="宋体" w:hint="default"/>
          <w:sz w:val="25"/>
          <w:szCs w:val="25"/>
        </w:rPr>
      </w:pPr>
    </w:p>
    <w:p>
      <w:pPr>
        <w:spacing w:line="484" w:lineRule="auto" w:before="36"/>
        <w:ind w:left="414" w:right="2787" w:hanging="212"/>
        <w:jc w:val="left"/>
        <w:rPr>
          <w:rFonts w:ascii="宋体" w:hAnsi="宋体" w:cs="宋体" w:eastAsia="宋体" w:hint="default"/>
          <w:sz w:val="21"/>
          <w:szCs w:val="21"/>
        </w:rPr>
      </w:pPr>
      <w:r>
        <w:rPr>
          <w:rFonts w:ascii="宋体" w:hAnsi="宋体" w:cs="宋体" w:eastAsia="宋体" w:hint="default"/>
          <w:b/>
          <w:bCs/>
          <w:spacing w:val="-7"/>
          <w:w w:val="100"/>
          <w:sz w:val="21"/>
          <w:szCs w:val="21"/>
        </w:rPr>
        <w:t>（二）、董事、监事、高级管理人员最近</w:t>
      </w:r>
      <w:r>
        <w:rPr>
          <w:rFonts w:ascii="宋体" w:hAnsi="宋体" w:cs="宋体" w:eastAsia="宋体" w:hint="default"/>
          <w:b/>
          <w:bCs/>
          <w:spacing w:val="-45"/>
          <w:w w:val="100"/>
          <w:sz w:val="21"/>
          <w:szCs w:val="21"/>
        </w:rPr>
        <w:t> </w:t>
      </w:r>
      <w:r>
        <w:rPr>
          <w:rFonts w:ascii="宋体" w:hAnsi="宋体" w:cs="宋体" w:eastAsia="宋体" w:hint="default"/>
          <w:b/>
          <w:bCs/>
          <w:w w:val="99"/>
          <w:sz w:val="21"/>
          <w:szCs w:val="21"/>
        </w:rPr>
        <w:t>5</w:t>
      </w:r>
      <w:r>
        <w:rPr>
          <w:rFonts w:ascii="宋体" w:hAnsi="宋体" w:cs="宋体" w:eastAsia="宋体" w:hint="default"/>
          <w:b/>
          <w:bCs/>
          <w:spacing w:val="-44"/>
          <w:w w:val="99"/>
          <w:sz w:val="21"/>
          <w:szCs w:val="21"/>
        </w:rPr>
        <w:t> </w:t>
      </w:r>
      <w:r>
        <w:rPr>
          <w:rFonts w:ascii="宋体" w:hAnsi="宋体" w:cs="宋体" w:eastAsia="宋体" w:hint="default"/>
          <w:b/>
          <w:bCs/>
          <w:spacing w:val="-1"/>
          <w:w w:val="100"/>
          <w:sz w:val="21"/>
          <w:szCs w:val="21"/>
        </w:rPr>
        <w:t>年主要工作经历及在其他单位任职情况</w:t>
      </w:r>
      <w:r>
        <w:rPr>
          <w:rFonts w:ascii="宋体" w:hAnsi="宋体" w:cs="宋体" w:eastAsia="宋体" w:hint="default"/>
          <w:b/>
          <w:bCs/>
          <w:spacing w:val="-104"/>
          <w:w w:val="100"/>
          <w:sz w:val="21"/>
          <w:szCs w:val="21"/>
        </w:rPr>
        <w:t> </w:t>
      </w:r>
      <w:r>
        <w:rPr>
          <w:rFonts w:ascii="宋体" w:hAnsi="宋体" w:cs="宋体" w:eastAsia="宋体" w:hint="default"/>
          <w:b/>
          <w:bCs/>
          <w:spacing w:val="-104"/>
          <w:w w:val="10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、董事简介</w:t>
      </w:r>
      <w:r>
        <w:rPr>
          <w:rFonts w:ascii="宋体" w:hAnsi="宋体" w:cs="宋体" w:eastAsia="宋体" w:hint="default"/>
          <w:sz w:val="21"/>
          <w:szCs w:val="21"/>
        </w:rPr>
      </w:r>
    </w:p>
    <w:p>
      <w:pPr>
        <w:tabs>
          <w:tab w:pos="1361" w:val="left" w:leader="none"/>
        </w:tabs>
        <w:spacing w:line="355" w:lineRule="auto" w:before="63"/>
        <w:ind w:left="202" w:right="1279" w:firstLine="314"/>
        <w:jc w:val="left"/>
        <w:rPr>
          <w:rFonts w:ascii="宋体" w:hAnsi="宋体" w:cs="宋体" w:eastAsia="宋体" w:hint="default"/>
          <w:sz w:val="21"/>
          <w:szCs w:val="21"/>
        </w:rPr>
      </w:pPr>
      <w:r>
        <w:rPr>
          <w:rFonts w:ascii="宋体" w:hAnsi="宋体" w:cs="宋体" w:eastAsia="宋体" w:hint="default"/>
          <w:b/>
          <w:bCs/>
          <w:sz w:val="21"/>
          <w:szCs w:val="21"/>
        </w:rPr>
        <w:t>董事长</w:t>
        <w:tab/>
        <w:t>谷望江女士</w:t>
      </w:r>
      <w:r>
        <w:rPr>
          <w:rFonts w:ascii="宋体" w:hAnsi="宋体" w:cs="宋体" w:eastAsia="宋体" w:hint="default"/>
          <w:sz w:val="21"/>
          <w:szCs w:val="21"/>
        </w:rPr>
        <w:t>，</w:t>
      </w:r>
      <w:r>
        <w:rPr>
          <w:rFonts w:ascii="宋体" w:hAnsi="宋体" w:cs="宋体" w:eastAsia="宋体" w:hint="default"/>
          <w:sz w:val="21"/>
          <w:szCs w:val="21"/>
        </w:rPr>
        <w:t>1947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月生，曾用名汪江，中国香港籍，大学学历。</w:t>
      </w:r>
      <w:r>
        <w:rPr>
          <w:rFonts w:ascii="宋体" w:hAnsi="宋体" w:cs="宋体" w:eastAsia="宋体" w:hint="default"/>
          <w:sz w:val="21"/>
          <w:szCs w:val="21"/>
        </w:rPr>
        <w:t>2001</w:t>
      </w:r>
      <w:r>
        <w:rPr>
          <w:rFonts w:ascii="宋体" w:hAnsi="宋体" w:cs="宋体" w:eastAsia="宋体" w:hint="default"/>
          <w:spacing w:val="-37"/>
          <w:sz w:val="21"/>
          <w:szCs w:val="21"/>
        </w:rPr>
        <w:t> </w:t>
      </w:r>
      <w:r>
        <w:rPr>
          <w:rFonts w:ascii="宋体" w:hAnsi="宋体" w:cs="宋体" w:eastAsia="宋体" w:hint="default"/>
          <w:sz w:val="21"/>
          <w:szCs w:val="21"/>
        </w:rPr>
        <w:t>年至今，</w:t>
      </w:r>
      <w:r>
        <w:rPr>
          <w:rFonts w:ascii="宋体" w:hAnsi="宋体" w:cs="宋体" w:eastAsia="宋体" w:hint="default"/>
          <w:w w:val="100"/>
          <w:sz w:val="21"/>
          <w:szCs w:val="21"/>
        </w:rPr>
        <w:t> </w:t>
      </w:r>
      <w:r>
        <w:rPr>
          <w:rFonts w:ascii="宋体" w:hAnsi="宋体" w:cs="宋体" w:eastAsia="宋体" w:hint="default"/>
          <w:sz w:val="21"/>
          <w:szCs w:val="21"/>
        </w:rPr>
        <w:t>任香港喜多来集团有限公司董事。</w:t>
      </w: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月起任本公司董事长。本届董事任职期限为</w:t>
      </w:r>
      <w:r>
        <w:rPr>
          <w:rFonts w:ascii="宋体" w:hAnsi="宋体" w:cs="宋体" w:eastAsia="宋体" w:hint="default"/>
          <w:spacing w:val="-49"/>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p>
    <w:p>
      <w:pPr>
        <w:spacing w:line="355" w:lineRule="auto" w:before="32"/>
        <w:ind w:left="622" w:right="3628" w:hanging="42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pacing w:val="-96"/>
          <w:sz w:val="21"/>
          <w:szCs w:val="21"/>
        </w:rPr>
        <w:t> </w:t>
      </w:r>
      <w:r>
        <w:rPr>
          <w:rFonts w:ascii="宋体" w:hAnsi="宋体" w:cs="宋体" w:eastAsia="宋体" w:hint="default"/>
          <w:spacing w:val="-2"/>
          <w:sz w:val="21"/>
          <w:szCs w:val="21"/>
        </w:rPr>
        <w:t>在股东单位任职情况：香港喜多来集团有限公司董事</w:t>
      </w:r>
      <w:r>
        <w:rPr>
          <w:rFonts w:ascii="宋体" w:hAnsi="宋体" w:cs="宋体" w:eastAsia="宋体" w:hint="default"/>
          <w:sz w:val="21"/>
          <w:szCs w:val="21"/>
        </w:rPr>
      </w:r>
    </w:p>
    <w:p>
      <w:pPr>
        <w:spacing w:line="355" w:lineRule="auto" w:before="34"/>
        <w:ind w:left="202" w:right="1277" w:firstLine="419"/>
        <w:jc w:val="both"/>
        <w:rPr>
          <w:rFonts w:ascii="宋体" w:hAnsi="宋体" w:cs="宋体" w:eastAsia="宋体" w:hint="default"/>
          <w:sz w:val="21"/>
          <w:szCs w:val="21"/>
        </w:rPr>
      </w:pPr>
      <w:r>
        <w:rPr>
          <w:rFonts w:ascii="宋体" w:hAnsi="宋体" w:cs="宋体" w:eastAsia="宋体" w:hint="default"/>
          <w:sz w:val="21"/>
          <w:szCs w:val="21"/>
        </w:rPr>
        <w:t>其他单位任职情况： </w:t>
      </w:r>
      <w:r>
        <w:rPr>
          <w:rFonts w:ascii="宋体" w:hAnsi="宋体" w:cs="宋体" w:eastAsia="宋体" w:hint="default"/>
          <w:sz w:val="21"/>
          <w:szCs w:val="21"/>
        </w:rPr>
        <w:t>Infomatic Resoures Limited</w:t>
      </w:r>
      <w:r>
        <w:rPr>
          <w:rFonts w:ascii="宋体" w:hAnsi="宋体" w:cs="宋体" w:eastAsia="宋体" w:hint="default"/>
          <w:spacing w:val="-40"/>
          <w:sz w:val="21"/>
          <w:szCs w:val="21"/>
        </w:rPr>
        <w:t> </w:t>
      </w:r>
      <w:r>
        <w:rPr>
          <w:rFonts w:ascii="宋体" w:hAnsi="宋体" w:cs="宋体" w:eastAsia="宋体" w:hint="default"/>
          <w:sz w:val="21"/>
          <w:szCs w:val="21"/>
        </w:rPr>
        <w:t>董事、日照大地伊索新建材有限公司董事</w:t>
      </w:r>
      <w:r>
        <w:rPr>
          <w:rFonts w:ascii="宋体" w:hAnsi="宋体" w:cs="宋体" w:eastAsia="宋体" w:hint="default"/>
          <w:w w:val="100"/>
          <w:sz w:val="21"/>
          <w:szCs w:val="21"/>
        </w:rPr>
        <w:t> </w:t>
      </w:r>
      <w:r>
        <w:rPr>
          <w:rFonts w:ascii="宋体" w:hAnsi="宋体" w:cs="宋体" w:eastAsia="宋体" w:hint="default"/>
          <w:sz w:val="21"/>
          <w:szCs w:val="21"/>
        </w:rPr>
        <w:t>长、日照大地金属材料加工开发有限公司董事长、</w:t>
      </w:r>
      <w:r>
        <w:rPr>
          <w:rFonts w:ascii="宋体" w:hAnsi="宋体" w:cs="宋体" w:eastAsia="宋体" w:hint="default"/>
          <w:sz w:val="21"/>
          <w:szCs w:val="21"/>
        </w:rPr>
        <w:t>Joy</w:t>
      </w:r>
      <w:r>
        <w:rPr>
          <w:rFonts w:ascii="宋体" w:hAnsi="宋体" w:cs="宋体" w:eastAsia="宋体" w:hint="default"/>
          <w:spacing w:val="-45"/>
          <w:sz w:val="21"/>
          <w:szCs w:val="21"/>
        </w:rPr>
        <w:t> </w:t>
      </w:r>
      <w:r>
        <w:rPr>
          <w:rFonts w:ascii="宋体" w:hAnsi="宋体" w:cs="宋体" w:eastAsia="宋体" w:hint="default"/>
          <w:sz w:val="21"/>
          <w:szCs w:val="21"/>
        </w:rPr>
        <w:t>Spring</w:t>
      </w:r>
      <w:r>
        <w:rPr>
          <w:rFonts w:ascii="宋体" w:hAnsi="宋体" w:cs="宋体" w:eastAsia="宋体" w:hint="default"/>
          <w:spacing w:val="-45"/>
          <w:sz w:val="21"/>
          <w:szCs w:val="21"/>
        </w:rPr>
        <w:t> </w:t>
      </w:r>
      <w:r>
        <w:rPr>
          <w:rFonts w:ascii="宋体" w:hAnsi="宋体" w:cs="宋体" w:eastAsia="宋体" w:hint="default"/>
          <w:sz w:val="21"/>
          <w:szCs w:val="21"/>
        </w:rPr>
        <w:t>Limited</w:t>
      </w:r>
      <w:r>
        <w:rPr>
          <w:rFonts w:ascii="宋体" w:hAnsi="宋体" w:cs="宋体" w:eastAsia="宋体" w:hint="default"/>
          <w:spacing w:val="-54"/>
          <w:sz w:val="21"/>
          <w:szCs w:val="21"/>
        </w:rPr>
        <w:t> </w:t>
      </w:r>
      <w:r>
        <w:rPr>
          <w:rFonts w:ascii="宋体" w:hAnsi="宋体" w:cs="宋体" w:eastAsia="宋体" w:hint="default"/>
          <w:sz w:val="21"/>
          <w:szCs w:val="21"/>
        </w:rPr>
        <w:t>董事、北京东港安全印刷有</w:t>
      </w:r>
      <w:r>
        <w:rPr>
          <w:rFonts w:ascii="宋体" w:hAnsi="宋体" w:cs="宋体" w:eastAsia="宋体" w:hint="default"/>
          <w:w w:val="100"/>
          <w:sz w:val="21"/>
          <w:szCs w:val="21"/>
        </w:rPr>
        <w:t> </w:t>
      </w:r>
      <w:r>
        <w:rPr>
          <w:rFonts w:ascii="宋体" w:hAnsi="宋体" w:cs="宋体" w:eastAsia="宋体" w:hint="default"/>
          <w:spacing w:val="-3"/>
          <w:sz w:val="21"/>
          <w:szCs w:val="21"/>
        </w:rPr>
        <w:t>限公司董事、新疆东港安全印刷有限公司董事长、广州东港安全印刷有限公司副董事长、北京东港</w:t>
      </w:r>
    </w:p>
    <w:p>
      <w:pPr>
        <w:spacing w:after="0" w:line="355" w:lineRule="auto"/>
        <w:jc w:val="both"/>
        <w:rPr>
          <w:rFonts w:ascii="宋体" w:hAnsi="宋体" w:cs="宋体" w:eastAsia="宋体" w:hint="default"/>
          <w:sz w:val="21"/>
          <w:szCs w:val="21"/>
        </w:rPr>
        <w:sectPr>
          <w:pgSz w:w="11910" w:h="16840"/>
          <w:pgMar w:header="737" w:footer="1153" w:top="1060" w:bottom="1340" w:left="1420" w:right="0"/>
        </w:sectPr>
      </w:pPr>
    </w:p>
    <w:p>
      <w:pPr>
        <w:spacing w:line="240" w:lineRule="auto" w:before="2"/>
        <w:rPr>
          <w:rFonts w:ascii="宋体" w:hAnsi="宋体" w:cs="宋体" w:eastAsia="宋体" w:hint="default"/>
          <w:sz w:val="23"/>
          <w:szCs w:val="23"/>
        </w:rPr>
      </w:pPr>
    </w:p>
    <w:p>
      <w:pPr>
        <w:spacing w:before="36"/>
        <w:ind w:left="122" w:right="0" w:firstLine="0"/>
        <w:jc w:val="both"/>
        <w:rPr>
          <w:rFonts w:ascii="宋体" w:hAnsi="宋体" w:cs="宋体" w:eastAsia="宋体" w:hint="default"/>
          <w:sz w:val="21"/>
          <w:szCs w:val="21"/>
        </w:rPr>
      </w:pPr>
      <w:r>
        <w:rPr>
          <w:rFonts w:ascii="宋体" w:hAnsi="宋体" w:cs="宋体" w:eastAsia="宋体" w:hint="default"/>
          <w:sz w:val="21"/>
          <w:szCs w:val="21"/>
        </w:rPr>
        <w:t>嘉华信息技术有限公司董事长、成都东港安全印刷有限公司董事长。</w:t>
      </w:r>
    </w:p>
    <w:p>
      <w:pPr>
        <w:spacing w:line="357" w:lineRule="auto" w:before="133"/>
        <w:ind w:left="122" w:right="1277" w:firstLine="419"/>
        <w:jc w:val="both"/>
        <w:rPr>
          <w:rFonts w:ascii="宋体" w:hAnsi="宋体" w:cs="宋体" w:eastAsia="宋体" w:hint="default"/>
          <w:sz w:val="21"/>
          <w:szCs w:val="21"/>
        </w:rPr>
      </w:pPr>
      <w:r>
        <w:rPr>
          <w:rFonts w:ascii="宋体" w:hAnsi="宋体" w:cs="宋体" w:eastAsia="宋体" w:hint="default"/>
          <w:b/>
          <w:bCs/>
          <w:sz w:val="21"/>
          <w:szCs w:val="21"/>
        </w:rPr>
        <w:t>副董事长</w:t>
      </w:r>
      <w:r>
        <w:rPr>
          <w:rFonts w:ascii="宋体" w:hAnsi="宋体" w:cs="宋体" w:eastAsia="宋体" w:hint="default"/>
          <w:b/>
          <w:bCs/>
          <w:spacing w:val="58"/>
          <w:sz w:val="21"/>
          <w:szCs w:val="21"/>
        </w:rPr>
        <w:t> </w:t>
      </w:r>
      <w:r>
        <w:rPr>
          <w:rFonts w:ascii="宋体" w:hAnsi="宋体" w:cs="宋体" w:eastAsia="宋体" w:hint="default"/>
          <w:b/>
          <w:bCs/>
          <w:spacing w:val="-3"/>
          <w:sz w:val="21"/>
          <w:szCs w:val="21"/>
        </w:rPr>
        <w:t>王爱先先生</w:t>
      </w:r>
      <w:r>
        <w:rPr>
          <w:rFonts w:ascii="宋体" w:hAnsi="宋体" w:cs="宋体" w:eastAsia="宋体" w:hint="default"/>
          <w:spacing w:val="-3"/>
          <w:sz w:val="21"/>
          <w:szCs w:val="21"/>
        </w:rPr>
        <w:t>，</w:t>
      </w:r>
      <w:r>
        <w:rPr>
          <w:rFonts w:ascii="宋体" w:hAnsi="宋体" w:cs="宋体" w:eastAsia="宋体" w:hint="default"/>
          <w:spacing w:val="-3"/>
          <w:sz w:val="21"/>
          <w:szCs w:val="21"/>
        </w:rPr>
        <w:t>1946</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3"/>
          <w:sz w:val="21"/>
          <w:szCs w:val="21"/>
        </w:rPr>
        <w:t>月生，中国国籍，大学学历，中共党员。曾任浪潮电子信息产</w:t>
      </w:r>
      <w:r>
        <w:rPr>
          <w:rFonts w:ascii="宋体" w:hAnsi="宋体" w:cs="宋体" w:eastAsia="宋体" w:hint="default"/>
          <w:w w:val="100"/>
          <w:sz w:val="21"/>
          <w:szCs w:val="21"/>
        </w:rPr>
        <w:t> </w:t>
      </w:r>
      <w:r>
        <w:rPr>
          <w:rFonts w:ascii="宋体" w:hAnsi="宋体" w:cs="宋体" w:eastAsia="宋体" w:hint="default"/>
          <w:sz w:val="21"/>
          <w:szCs w:val="21"/>
        </w:rPr>
        <w:t>业集团公司董事长、党委书记。</w:t>
      </w:r>
      <w:r>
        <w:rPr>
          <w:rFonts w:ascii="宋体" w:hAnsi="宋体" w:cs="宋体" w:eastAsia="宋体" w:hint="default"/>
          <w:sz w:val="21"/>
          <w:szCs w:val="21"/>
        </w:rPr>
        <w:t>2002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月起任本公司副董事长。本届董事任职期限为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3"/>
          <w:sz w:val="21"/>
          <w:szCs w:val="21"/>
        </w:rPr>
        <w:t>其他单位任职情况：济南益东纸制品有限公司董事长、浪潮电子信息产业集团公司顾问、淄博</w:t>
      </w:r>
    </w:p>
    <w:p>
      <w:pPr>
        <w:spacing w:before="32"/>
        <w:ind w:left="122" w:right="0" w:firstLine="0"/>
        <w:jc w:val="both"/>
        <w:rPr>
          <w:rFonts w:ascii="宋体" w:hAnsi="宋体" w:cs="宋体" w:eastAsia="宋体" w:hint="default"/>
          <w:sz w:val="21"/>
          <w:szCs w:val="21"/>
        </w:rPr>
      </w:pPr>
      <w:r>
        <w:rPr>
          <w:rFonts w:ascii="宋体" w:hAnsi="宋体" w:cs="宋体" w:eastAsia="宋体" w:hint="default"/>
          <w:sz w:val="21"/>
          <w:szCs w:val="21"/>
        </w:rPr>
        <w:t>矿业集团董事，山东东港数据处理有限公司董事长、山东交通运输集团董事。</w:t>
      </w:r>
    </w:p>
    <w:p>
      <w:pPr>
        <w:spacing w:line="355" w:lineRule="auto" w:before="135"/>
        <w:ind w:left="122" w:right="1280" w:firstLine="424"/>
        <w:jc w:val="both"/>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spacing w:val="61"/>
          <w:sz w:val="21"/>
          <w:szCs w:val="21"/>
        </w:rPr>
        <w:t> </w:t>
      </w:r>
      <w:r>
        <w:rPr>
          <w:rFonts w:ascii="宋体" w:hAnsi="宋体" w:cs="宋体" w:eastAsia="宋体" w:hint="default"/>
          <w:b/>
          <w:bCs/>
          <w:spacing w:val="-3"/>
          <w:sz w:val="21"/>
          <w:szCs w:val="21"/>
        </w:rPr>
        <w:t>石林先生</w:t>
      </w:r>
      <w:r>
        <w:rPr>
          <w:rFonts w:ascii="宋体" w:hAnsi="宋体" w:cs="宋体" w:eastAsia="宋体" w:hint="default"/>
          <w:spacing w:val="-3"/>
          <w:sz w:val="21"/>
          <w:szCs w:val="21"/>
        </w:rPr>
        <w:t>，</w:t>
      </w:r>
      <w:r>
        <w:rPr>
          <w:rFonts w:ascii="宋体" w:hAnsi="宋体" w:cs="宋体" w:eastAsia="宋体" w:hint="default"/>
          <w:spacing w:val="-3"/>
          <w:sz w:val="21"/>
          <w:szCs w:val="21"/>
        </w:rPr>
        <w:t>1946</w:t>
      </w:r>
      <w:r>
        <w:rPr>
          <w:rFonts w:ascii="宋体" w:hAnsi="宋体" w:cs="宋体" w:eastAsia="宋体" w:hint="default"/>
          <w:spacing w:val="-3"/>
          <w:sz w:val="21"/>
          <w:szCs w:val="21"/>
        </w:rPr>
        <w:t>年</w:t>
      </w:r>
      <w:r>
        <w:rPr>
          <w:rFonts w:ascii="宋体" w:hAnsi="宋体" w:cs="宋体" w:eastAsia="宋体" w:hint="default"/>
          <w:spacing w:val="-3"/>
          <w:sz w:val="21"/>
          <w:szCs w:val="21"/>
        </w:rPr>
        <w:t>2</w:t>
      </w:r>
      <w:r>
        <w:rPr>
          <w:rFonts w:ascii="宋体" w:hAnsi="宋体" w:cs="宋体" w:eastAsia="宋体" w:hint="default"/>
          <w:spacing w:val="-3"/>
          <w:sz w:val="21"/>
          <w:szCs w:val="21"/>
        </w:rPr>
        <w:t>月生，中国香港籍，大学学历。</w:t>
      </w:r>
      <w:r>
        <w:rPr>
          <w:rFonts w:ascii="宋体" w:hAnsi="宋体" w:cs="宋体" w:eastAsia="宋体" w:hint="default"/>
          <w:spacing w:val="-3"/>
          <w:sz w:val="21"/>
          <w:szCs w:val="21"/>
        </w:rPr>
        <w:t>2001</w:t>
      </w:r>
      <w:r>
        <w:rPr>
          <w:rFonts w:ascii="宋体" w:hAnsi="宋体" w:cs="宋体" w:eastAsia="宋体" w:hint="default"/>
          <w:spacing w:val="-3"/>
          <w:sz w:val="21"/>
          <w:szCs w:val="21"/>
        </w:rPr>
        <w:t>年至今任香港喜多来集团有限公</w:t>
      </w:r>
      <w:r>
        <w:rPr>
          <w:rFonts w:ascii="宋体" w:hAnsi="宋体" w:cs="宋体" w:eastAsia="宋体" w:hint="default"/>
          <w:w w:val="100"/>
          <w:sz w:val="21"/>
          <w:szCs w:val="21"/>
        </w:rPr>
        <w:t> </w:t>
      </w:r>
      <w:r>
        <w:rPr>
          <w:rFonts w:ascii="宋体" w:hAnsi="宋体" w:cs="宋体" w:eastAsia="宋体" w:hint="default"/>
          <w:sz w:val="21"/>
          <w:szCs w:val="21"/>
        </w:rPr>
        <w:t>司董事。</w:t>
      </w:r>
      <w:r>
        <w:rPr>
          <w:rFonts w:ascii="宋体" w:hAnsi="宋体" w:cs="宋体" w:eastAsia="宋体" w:hint="default"/>
          <w:sz w:val="21"/>
          <w:szCs w:val="21"/>
        </w:rPr>
        <w:t>2002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月起任本公司董事。本届董事任职期限为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7" w:lineRule="auto"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w:t>
      </w:r>
      <w:r>
        <w:rPr>
          <w:rFonts w:ascii="宋体" w:hAnsi="宋体" w:cs="宋体" w:eastAsia="宋体" w:hint="default"/>
          <w:sz w:val="21"/>
          <w:szCs w:val="21"/>
        </w:rPr>
        <w:t>Rich</w:t>
      </w:r>
      <w:r>
        <w:rPr>
          <w:rFonts w:ascii="宋体" w:hAnsi="宋体" w:cs="宋体" w:eastAsia="宋体" w:hint="default"/>
          <w:spacing w:val="-5"/>
          <w:sz w:val="21"/>
          <w:szCs w:val="21"/>
        </w:rPr>
        <w:t> </w:t>
      </w:r>
      <w:r>
        <w:rPr>
          <w:rFonts w:ascii="宋体" w:hAnsi="宋体" w:cs="宋体" w:eastAsia="宋体" w:hint="default"/>
          <w:sz w:val="21"/>
          <w:szCs w:val="21"/>
        </w:rPr>
        <w:t>River</w:t>
      </w:r>
      <w:r>
        <w:rPr>
          <w:rFonts w:ascii="宋体" w:hAnsi="宋体" w:cs="宋体" w:eastAsia="宋体" w:hint="default"/>
          <w:spacing w:val="-2"/>
          <w:sz w:val="21"/>
          <w:szCs w:val="21"/>
        </w:rPr>
        <w:t> </w:t>
      </w:r>
      <w:r>
        <w:rPr>
          <w:rFonts w:ascii="宋体" w:hAnsi="宋体" w:cs="宋体" w:eastAsia="宋体" w:hint="default"/>
          <w:sz w:val="21"/>
          <w:szCs w:val="21"/>
        </w:rPr>
        <w:t>Investments</w:t>
      </w:r>
      <w:r>
        <w:rPr>
          <w:rFonts w:ascii="宋体" w:hAnsi="宋体" w:cs="宋体" w:eastAsia="宋体" w:hint="default"/>
          <w:spacing w:val="-2"/>
          <w:sz w:val="21"/>
          <w:szCs w:val="21"/>
        </w:rPr>
        <w:t> </w:t>
      </w:r>
      <w:r>
        <w:rPr>
          <w:rFonts w:ascii="宋体" w:hAnsi="宋体" w:cs="宋体" w:eastAsia="宋体" w:hint="default"/>
          <w:sz w:val="21"/>
          <w:szCs w:val="21"/>
        </w:rPr>
        <w:t>Ltd.</w:t>
      </w:r>
      <w:r>
        <w:rPr>
          <w:rFonts w:ascii="宋体" w:hAnsi="宋体" w:cs="宋体" w:eastAsia="宋体" w:hint="default"/>
          <w:sz w:val="21"/>
          <w:szCs w:val="21"/>
        </w:rPr>
        <w:t>董事。</w:t>
      </w:r>
      <w:r>
        <w:rPr>
          <w:rFonts w:ascii="宋体" w:hAnsi="宋体" w:cs="宋体" w:eastAsia="宋体" w:hint="default"/>
          <w:spacing w:val="-98"/>
          <w:sz w:val="21"/>
          <w:szCs w:val="21"/>
        </w:rPr>
        <w:t> </w:t>
      </w:r>
      <w:r>
        <w:rPr>
          <w:rFonts w:ascii="宋体" w:hAnsi="宋体" w:cs="宋体" w:eastAsia="宋体" w:hint="default"/>
          <w:spacing w:val="-3"/>
          <w:sz w:val="21"/>
          <w:szCs w:val="21"/>
        </w:rPr>
        <w:t>其他单位任职情况：日照大地伊索新建材有限公司副董事长、总经理，日照大地金属材料加工</w:t>
      </w:r>
    </w:p>
    <w:p>
      <w:pPr>
        <w:spacing w:before="30"/>
        <w:ind w:left="122" w:right="0" w:firstLine="0"/>
        <w:jc w:val="both"/>
        <w:rPr>
          <w:rFonts w:ascii="宋体" w:hAnsi="宋体" w:cs="宋体" w:eastAsia="宋体" w:hint="default"/>
          <w:sz w:val="21"/>
          <w:szCs w:val="21"/>
        </w:rPr>
      </w:pPr>
      <w:r>
        <w:rPr>
          <w:rFonts w:ascii="宋体" w:hAnsi="宋体" w:cs="宋体" w:eastAsia="宋体" w:hint="default"/>
          <w:sz w:val="21"/>
          <w:szCs w:val="21"/>
        </w:rPr>
        <w:t>开发有限公司副董事长。</w:t>
      </w:r>
    </w:p>
    <w:p>
      <w:pPr>
        <w:spacing w:line="355" w:lineRule="auto" w:before="135"/>
        <w:ind w:left="122" w:right="1232" w:firstLine="424"/>
        <w:jc w:val="both"/>
        <w:rPr>
          <w:rFonts w:ascii="宋体" w:hAnsi="宋体" w:cs="宋体" w:eastAsia="宋体" w:hint="default"/>
          <w:sz w:val="21"/>
          <w:szCs w:val="21"/>
        </w:rPr>
      </w:pPr>
      <w:r>
        <w:rPr>
          <w:rFonts w:ascii="宋体" w:hAnsi="宋体" w:cs="宋体" w:eastAsia="宋体" w:hint="default"/>
          <w:b/>
          <w:bCs/>
          <w:sz w:val="21"/>
          <w:szCs w:val="21"/>
        </w:rPr>
        <w:t>董事、总裁</w:t>
      </w:r>
      <w:r>
        <w:rPr>
          <w:rFonts w:ascii="宋体" w:hAnsi="宋体" w:cs="宋体" w:eastAsia="宋体" w:hint="default"/>
          <w:b/>
          <w:bCs/>
          <w:spacing w:val="-6"/>
          <w:sz w:val="21"/>
          <w:szCs w:val="21"/>
        </w:rPr>
        <w:t> </w:t>
      </w:r>
      <w:r>
        <w:rPr>
          <w:rFonts w:ascii="宋体" w:hAnsi="宋体" w:cs="宋体" w:eastAsia="宋体" w:hint="default"/>
          <w:b/>
          <w:bCs/>
          <w:sz w:val="21"/>
          <w:szCs w:val="21"/>
        </w:rPr>
        <w:t>史建中先生</w:t>
      </w:r>
      <w:r>
        <w:rPr>
          <w:rFonts w:ascii="宋体" w:hAnsi="宋体" w:cs="宋体" w:eastAsia="宋体" w:hint="default"/>
          <w:sz w:val="21"/>
          <w:szCs w:val="21"/>
        </w:rPr>
        <w:t>，</w:t>
      </w:r>
      <w:r>
        <w:rPr>
          <w:rFonts w:ascii="宋体" w:hAnsi="宋体" w:cs="宋体" w:eastAsia="宋体" w:hint="default"/>
          <w:sz w:val="21"/>
          <w:szCs w:val="21"/>
        </w:rPr>
        <w:t>1963</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月生，中国国籍，大专学历。</w:t>
      </w:r>
      <w:r>
        <w:rPr>
          <w:rFonts w:ascii="宋体" w:hAnsi="宋体" w:cs="宋体" w:eastAsia="宋体" w:hint="default"/>
          <w:sz w:val="21"/>
          <w:szCs w:val="21"/>
        </w:rPr>
        <w:t>2002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月起任本公司董事、</w:t>
      </w:r>
      <w:r>
        <w:rPr>
          <w:rFonts w:ascii="宋体" w:hAnsi="宋体" w:cs="宋体" w:eastAsia="宋体" w:hint="default"/>
          <w:w w:val="100"/>
          <w:sz w:val="21"/>
          <w:szCs w:val="21"/>
        </w:rPr>
        <w:t> </w:t>
      </w:r>
      <w:r>
        <w:rPr>
          <w:rFonts w:ascii="宋体" w:hAnsi="宋体" w:cs="宋体" w:eastAsia="宋体" w:hint="default"/>
          <w:sz w:val="21"/>
          <w:szCs w:val="21"/>
        </w:rPr>
        <w:t>总经理。本届董事、总经理任职期限为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股东单位任职情况：北京中嘉华信息技术有限公司董事。</w:t>
      </w:r>
      <w:r>
        <w:rPr>
          <w:rFonts w:ascii="宋体" w:hAnsi="宋体" w:cs="宋体" w:eastAsia="宋体" w:hint="default"/>
          <w:w w:val="100"/>
          <w:sz w:val="21"/>
          <w:szCs w:val="21"/>
        </w:rPr>
        <w:t> </w:t>
      </w:r>
      <w:r>
        <w:rPr>
          <w:rFonts w:ascii="宋体" w:hAnsi="宋体" w:cs="宋体" w:eastAsia="宋体" w:hint="default"/>
          <w:spacing w:val="-2"/>
          <w:sz w:val="21"/>
          <w:szCs w:val="21"/>
        </w:rPr>
        <w:t>其他单位任职情况：郑州东港安全印刷有限公司董事长，北京东港安全印刷有限公司董事长，</w:t>
      </w:r>
    </w:p>
    <w:p>
      <w:pPr>
        <w:spacing w:line="357" w:lineRule="auto" w:before="32"/>
        <w:ind w:left="122" w:right="1277" w:firstLine="0"/>
        <w:jc w:val="both"/>
        <w:rPr>
          <w:rFonts w:ascii="宋体" w:hAnsi="宋体" w:cs="宋体" w:eastAsia="宋体" w:hint="default"/>
          <w:sz w:val="21"/>
          <w:szCs w:val="21"/>
        </w:rPr>
      </w:pPr>
      <w:r>
        <w:rPr>
          <w:rFonts w:ascii="宋体" w:hAnsi="宋体" w:cs="宋体" w:eastAsia="宋体" w:hint="default"/>
          <w:spacing w:val="-3"/>
          <w:sz w:val="21"/>
          <w:szCs w:val="21"/>
        </w:rPr>
        <w:t>新疆东港安全印刷有限公司董事，上海东港安全印刷有限公司董事长、青海东港安全印刷有限公司</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董事长，北京东港嘉华安全信息技术有限公司董事，广州东港安全印刷有限公司董事长，上海东港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数据处理有限公司董事长，山东东港数据处理有限公司董事、总经理。</w:t>
      </w:r>
    </w:p>
    <w:p>
      <w:pPr>
        <w:spacing w:line="357" w:lineRule="auto" w:before="30"/>
        <w:ind w:left="122" w:right="1280" w:firstLine="424"/>
        <w:jc w:val="both"/>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spacing w:val="57"/>
          <w:sz w:val="21"/>
          <w:szCs w:val="21"/>
        </w:rPr>
        <w:t> </w:t>
      </w:r>
      <w:r>
        <w:rPr>
          <w:rFonts w:ascii="宋体" w:hAnsi="宋体" w:cs="宋体" w:eastAsia="宋体" w:hint="default"/>
          <w:b/>
          <w:bCs/>
          <w:spacing w:val="-3"/>
          <w:sz w:val="21"/>
          <w:szCs w:val="21"/>
        </w:rPr>
        <w:t>赵福蕊女士</w:t>
      </w:r>
      <w:r>
        <w:rPr>
          <w:rFonts w:ascii="宋体" w:hAnsi="宋体" w:cs="宋体" w:eastAsia="宋体" w:hint="default"/>
          <w:spacing w:val="-3"/>
          <w:sz w:val="21"/>
          <w:szCs w:val="21"/>
        </w:rPr>
        <w:t>，</w:t>
      </w:r>
      <w:r>
        <w:rPr>
          <w:rFonts w:ascii="宋体" w:hAnsi="宋体" w:cs="宋体" w:eastAsia="宋体" w:hint="default"/>
          <w:spacing w:val="-3"/>
          <w:sz w:val="21"/>
          <w:szCs w:val="21"/>
        </w:rPr>
        <w:t>1957</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3"/>
          <w:sz w:val="21"/>
          <w:szCs w:val="21"/>
        </w:rPr>
        <w:t>月生，中国国籍，高中学历，曾任济南市历城区物资局财务科副科</w:t>
      </w:r>
      <w:r>
        <w:rPr>
          <w:rFonts w:ascii="宋体" w:hAnsi="宋体" w:cs="宋体" w:eastAsia="宋体" w:hint="default"/>
          <w:w w:val="100"/>
          <w:sz w:val="21"/>
          <w:szCs w:val="21"/>
        </w:rPr>
        <w:t> </w:t>
      </w:r>
      <w:r>
        <w:rPr>
          <w:rFonts w:ascii="宋体" w:hAnsi="宋体" w:cs="宋体" w:eastAsia="宋体" w:hint="default"/>
          <w:spacing w:val="-3"/>
          <w:sz w:val="21"/>
          <w:szCs w:val="21"/>
        </w:rPr>
        <w:t>长、科长，分管副局长等职，现已离岗。</w:t>
      </w:r>
      <w:r>
        <w:rPr>
          <w:rFonts w:ascii="宋体" w:hAnsi="宋体" w:cs="宋体" w:eastAsia="宋体" w:hint="default"/>
          <w:spacing w:val="-3"/>
          <w:sz w:val="21"/>
          <w:szCs w:val="21"/>
        </w:rPr>
        <w:t>2009</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3"/>
          <w:sz w:val="21"/>
          <w:szCs w:val="21"/>
        </w:rPr>
        <w:t>月起任本公司董事，本届董事任职期限为</w:t>
      </w:r>
      <w:r>
        <w:rPr>
          <w:rFonts w:ascii="宋体" w:hAnsi="宋体" w:cs="宋体" w:eastAsia="宋体" w:hint="default"/>
          <w:spacing w:val="-3"/>
          <w:sz w:val="21"/>
          <w:szCs w:val="21"/>
        </w:rPr>
        <w:t>2009</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10"/>
          <w:sz w:val="21"/>
          <w:szCs w:val="21"/>
        </w:rPr>
        <w:t> </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0"/>
        <w:ind w:left="542" w:right="6628" w:firstLine="0"/>
        <w:jc w:val="left"/>
        <w:rPr>
          <w:rFonts w:ascii="宋体" w:hAnsi="宋体" w:cs="宋体" w:eastAsia="宋体" w:hint="default"/>
          <w:sz w:val="21"/>
          <w:szCs w:val="21"/>
        </w:rPr>
      </w:pPr>
      <w:r>
        <w:rPr>
          <w:rFonts w:ascii="宋体" w:hAnsi="宋体" w:cs="宋体" w:eastAsia="宋体" w:hint="default"/>
          <w:spacing w:val="-2"/>
          <w:sz w:val="21"/>
          <w:szCs w:val="21"/>
        </w:rPr>
        <w:t>股东单位任职情况：无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其他单位任职情况：无</w:t>
      </w:r>
    </w:p>
    <w:p>
      <w:pPr>
        <w:spacing w:line="355" w:lineRule="auto" w:before="32"/>
        <w:ind w:left="122" w:right="1277" w:firstLine="424"/>
        <w:jc w:val="both"/>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60"/>
          <w:sz w:val="21"/>
          <w:szCs w:val="21"/>
        </w:rPr>
        <w:t> </w:t>
      </w:r>
      <w:r>
        <w:rPr>
          <w:rFonts w:ascii="宋体" w:hAnsi="宋体" w:cs="宋体" w:eastAsia="宋体" w:hint="default"/>
          <w:b/>
          <w:bCs/>
          <w:spacing w:val="-3"/>
          <w:sz w:val="21"/>
          <w:szCs w:val="21"/>
        </w:rPr>
        <w:t>汤云为先生</w:t>
      </w:r>
      <w:r>
        <w:rPr>
          <w:rFonts w:ascii="宋体" w:hAnsi="宋体" w:cs="宋体" w:eastAsia="宋体" w:hint="default"/>
          <w:spacing w:val="-3"/>
          <w:sz w:val="21"/>
          <w:szCs w:val="21"/>
        </w:rPr>
        <w:t>，</w:t>
      </w:r>
      <w:r>
        <w:rPr>
          <w:rFonts w:ascii="宋体" w:hAnsi="宋体" w:cs="宋体" w:eastAsia="宋体" w:hint="default"/>
          <w:spacing w:val="-3"/>
          <w:sz w:val="21"/>
          <w:szCs w:val="21"/>
        </w:rPr>
        <w:t>1944</w:t>
      </w:r>
      <w:r>
        <w:rPr>
          <w:rFonts w:ascii="宋体" w:hAnsi="宋体" w:cs="宋体" w:eastAsia="宋体" w:hint="default"/>
          <w:spacing w:val="-3"/>
          <w:sz w:val="21"/>
          <w:szCs w:val="21"/>
        </w:rPr>
        <w:t>年</w:t>
      </w:r>
      <w:r>
        <w:rPr>
          <w:rFonts w:ascii="宋体" w:hAnsi="宋体" w:cs="宋体" w:eastAsia="宋体" w:hint="default"/>
          <w:spacing w:val="-3"/>
          <w:sz w:val="21"/>
          <w:szCs w:val="21"/>
        </w:rPr>
        <w:t>11</w:t>
      </w:r>
      <w:r>
        <w:rPr>
          <w:rFonts w:ascii="宋体" w:hAnsi="宋体" w:cs="宋体" w:eastAsia="宋体" w:hint="default"/>
          <w:spacing w:val="-3"/>
          <w:sz w:val="21"/>
          <w:szCs w:val="21"/>
        </w:rPr>
        <w:t>月生，中国国籍，博士学位，注册会计师，</w:t>
      </w:r>
      <w:r>
        <w:rPr>
          <w:rFonts w:ascii="宋体" w:hAnsi="宋体" w:cs="宋体" w:eastAsia="宋体" w:hint="default"/>
          <w:spacing w:val="-3"/>
          <w:sz w:val="21"/>
          <w:szCs w:val="21"/>
        </w:rPr>
        <w:t>2009</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3"/>
          <w:sz w:val="21"/>
          <w:szCs w:val="21"/>
        </w:rPr>
        <w:t>月起任本</w:t>
      </w:r>
      <w:r>
        <w:rPr>
          <w:rFonts w:ascii="宋体" w:hAnsi="宋体" w:cs="宋体" w:eastAsia="宋体" w:hint="default"/>
          <w:w w:val="100"/>
          <w:sz w:val="21"/>
          <w:szCs w:val="21"/>
        </w:rPr>
        <w:t> </w:t>
      </w:r>
      <w:r>
        <w:rPr>
          <w:rFonts w:ascii="宋体" w:hAnsi="宋体" w:cs="宋体" w:eastAsia="宋体" w:hint="default"/>
          <w:sz w:val="21"/>
          <w:szCs w:val="21"/>
        </w:rPr>
        <w:t>公司独立董事，本届独立董事任职期限为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7" w:lineRule="auto" w:before="34"/>
        <w:ind w:left="547"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3"/>
          <w:w w:val="100"/>
          <w:sz w:val="21"/>
          <w:szCs w:val="21"/>
        </w:rPr>
        <w:t> </w:t>
      </w:r>
      <w:r>
        <w:rPr>
          <w:rFonts w:ascii="宋体" w:hAnsi="宋体" w:cs="宋体" w:eastAsia="宋体" w:hint="default"/>
          <w:spacing w:val="-2"/>
          <w:sz w:val="21"/>
          <w:szCs w:val="21"/>
        </w:rPr>
        <w:t>其他单位任职情况：曾任上海财经大学校长、安永大华会计师事务所合伙人，高级顾问等职。</w:t>
      </w:r>
    </w:p>
    <w:p>
      <w:pPr>
        <w:spacing w:before="30"/>
        <w:ind w:left="122" w:right="0" w:firstLine="0"/>
        <w:jc w:val="both"/>
        <w:rPr>
          <w:rFonts w:ascii="宋体" w:hAnsi="宋体" w:cs="宋体" w:eastAsia="宋体" w:hint="default"/>
          <w:sz w:val="21"/>
          <w:szCs w:val="21"/>
        </w:rPr>
      </w:pPr>
      <w:r>
        <w:rPr>
          <w:rFonts w:ascii="宋体" w:hAnsi="宋体" w:cs="宋体" w:eastAsia="宋体" w:hint="default"/>
          <w:spacing w:val="-3"/>
          <w:sz w:val="21"/>
          <w:szCs w:val="21"/>
        </w:rPr>
        <w:t>现任上海市会计学会会长，中国会计标准委员会委员，财政部审计准则委员会委员，中国平安保险</w:t>
      </w:r>
    </w:p>
    <w:p>
      <w:pPr>
        <w:spacing w:before="133"/>
        <w:ind w:left="122" w:right="0" w:firstLine="0"/>
        <w:jc w:val="both"/>
        <w:rPr>
          <w:rFonts w:ascii="宋体" w:hAnsi="宋体" w:cs="宋体" w:eastAsia="宋体" w:hint="default"/>
          <w:sz w:val="21"/>
          <w:szCs w:val="21"/>
        </w:rPr>
      </w:pPr>
      <w:r>
        <w:rPr>
          <w:rFonts w:ascii="宋体" w:hAnsi="宋体" w:cs="宋体" w:eastAsia="宋体" w:hint="default"/>
          <w:sz w:val="21"/>
          <w:szCs w:val="21"/>
        </w:rPr>
        <w:t>（集团）股份有限公司独立董事，江苏中南建设集团股份有限公司独立董事。</w:t>
      </w:r>
    </w:p>
    <w:p>
      <w:pPr>
        <w:spacing w:line="357" w:lineRule="auto" w:before="133"/>
        <w:ind w:left="122" w:right="1277" w:firstLine="424"/>
        <w:jc w:val="both"/>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51"/>
          <w:sz w:val="21"/>
          <w:szCs w:val="21"/>
        </w:rPr>
        <w:t> </w:t>
      </w:r>
      <w:r>
        <w:rPr>
          <w:rFonts w:ascii="宋体" w:hAnsi="宋体" w:cs="宋体" w:eastAsia="宋体" w:hint="default"/>
          <w:b/>
          <w:bCs/>
          <w:sz w:val="21"/>
          <w:szCs w:val="21"/>
        </w:rPr>
        <w:t>刘素英女士</w:t>
      </w:r>
      <w:r>
        <w:rPr>
          <w:rFonts w:ascii="宋体" w:hAnsi="宋体" w:cs="宋体" w:eastAsia="宋体" w:hint="default"/>
          <w:sz w:val="21"/>
          <w:szCs w:val="21"/>
        </w:rPr>
        <w:t>，</w:t>
      </w:r>
      <w:r>
        <w:rPr>
          <w:rFonts w:ascii="宋体" w:hAnsi="宋体" w:cs="宋体" w:eastAsia="宋体" w:hint="default"/>
          <w:sz w:val="21"/>
          <w:szCs w:val="21"/>
        </w:rPr>
        <w:t>1945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月生，中国国籍，本科学历，注册会计师，曾任国家审计署</w:t>
      </w:r>
      <w:r>
        <w:rPr>
          <w:rFonts w:ascii="宋体" w:hAnsi="宋体" w:cs="宋体" w:eastAsia="宋体" w:hint="default"/>
          <w:w w:val="100"/>
          <w:sz w:val="21"/>
          <w:szCs w:val="21"/>
        </w:rPr>
        <w:t> </w:t>
      </w:r>
      <w:r>
        <w:rPr>
          <w:rFonts w:ascii="宋体" w:hAnsi="宋体" w:cs="宋体" w:eastAsia="宋体" w:hint="default"/>
          <w:spacing w:val="-3"/>
          <w:sz w:val="21"/>
          <w:szCs w:val="21"/>
        </w:rPr>
        <w:t>行政事业审计司副处长、处长、农林文教司处长、行政国防司处长、新闻通讯审计局局长助理、副</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局级审计员，</w:t>
      </w:r>
      <w:r>
        <w:rPr>
          <w:rFonts w:ascii="宋体" w:hAnsi="宋体" w:cs="宋体" w:eastAsia="宋体" w:hint="default"/>
          <w:sz w:val="21"/>
          <w:szCs w:val="21"/>
        </w:rPr>
        <w:t>2004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月退休。</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月起任本公司独立董事，本届独立董事任职期限为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after="0" w:line="357"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547" w:right="1274"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2"/>
          <w:sz w:val="21"/>
          <w:szCs w:val="21"/>
        </w:rPr>
        <w:t>其他单位任职情况：现任中视传媒股份有限公司独立董事，宁波银行监事。</w:t>
      </w:r>
    </w:p>
    <w:p>
      <w:pPr>
        <w:spacing w:line="357" w:lineRule="auto" w:before="30"/>
        <w:ind w:left="122" w:right="0" w:firstLine="424"/>
        <w:jc w:val="left"/>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35"/>
          <w:sz w:val="21"/>
          <w:szCs w:val="21"/>
        </w:rPr>
        <w:t> </w:t>
      </w:r>
      <w:r>
        <w:rPr>
          <w:rFonts w:ascii="宋体" w:hAnsi="宋体" w:cs="宋体" w:eastAsia="宋体" w:hint="default"/>
          <w:b/>
          <w:bCs/>
          <w:spacing w:val="-5"/>
          <w:sz w:val="21"/>
          <w:szCs w:val="21"/>
        </w:rPr>
        <w:t>郑钢先生</w:t>
      </w:r>
      <w:r>
        <w:rPr>
          <w:rFonts w:ascii="宋体" w:hAnsi="宋体" w:cs="宋体" w:eastAsia="宋体" w:hint="default"/>
          <w:spacing w:val="-5"/>
          <w:sz w:val="21"/>
          <w:szCs w:val="21"/>
        </w:rPr>
        <w:t>，</w:t>
      </w:r>
      <w:r>
        <w:rPr>
          <w:rFonts w:ascii="宋体" w:hAnsi="宋体" w:cs="宋体" w:eastAsia="宋体" w:hint="default"/>
          <w:spacing w:val="-5"/>
          <w:sz w:val="21"/>
          <w:szCs w:val="21"/>
        </w:rPr>
        <w:t>1946</w:t>
      </w:r>
      <w:r>
        <w:rPr>
          <w:rFonts w:ascii="宋体" w:hAnsi="宋体" w:cs="宋体" w:eastAsia="宋体" w:hint="default"/>
          <w:spacing w:val="-5"/>
          <w:sz w:val="21"/>
          <w:szCs w:val="21"/>
        </w:rPr>
        <w:t>年</w:t>
      </w:r>
      <w:r>
        <w:rPr>
          <w:rFonts w:ascii="宋体" w:hAnsi="宋体" w:cs="宋体" w:eastAsia="宋体" w:hint="default"/>
          <w:spacing w:val="-5"/>
          <w:sz w:val="21"/>
          <w:szCs w:val="21"/>
        </w:rPr>
        <w:t>7</w:t>
      </w:r>
      <w:r>
        <w:rPr>
          <w:rFonts w:ascii="宋体" w:hAnsi="宋体" w:cs="宋体" w:eastAsia="宋体" w:hint="default"/>
          <w:spacing w:val="-5"/>
          <w:sz w:val="21"/>
          <w:szCs w:val="21"/>
        </w:rPr>
        <w:t>月生，中国国籍，本科学历。曾任山东省检察院经济检察处处长、</w:t>
      </w:r>
      <w:r>
        <w:rPr>
          <w:rFonts w:ascii="宋体" w:hAnsi="宋体" w:cs="宋体" w:eastAsia="宋体" w:hint="default"/>
          <w:w w:val="100"/>
          <w:sz w:val="21"/>
          <w:szCs w:val="21"/>
        </w:rPr>
        <w:t> </w:t>
      </w:r>
      <w:r>
        <w:rPr>
          <w:rFonts w:ascii="宋体" w:hAnsi="宋体" w:cs="宋体" w:eastAsia="宋体" w:hint="default"/>
          <w:spacing w:val="-3"/>
          <w:sz w:val="21"/>
          <w:szCs w:val="21"/>
        </w:rPr>
        <w:t>反贪局局长、副检察长等职，</w:t>
      </w:r>
      <w:r>
        <w:rPr>
          <w:rFonts w:ascii="宋体" w:hAnsi="宋体" w:cs="宋体" w:eastAsia="宋体" w:hint="default"/>
          <w:spacing w:val="-3"/>
          <w:sz w:val="21"/>
          <w:szCs w:val="21"/>
        </w:rPr>
        <w:t>2005</w:t>
      </w:r>
      <w:r>
        <w:rPr>
          <w:rFonts w:ascii="宋体" w:hAnsi="宋体" w:cs="宋体" w:eastAsia="宋体" w:hint="default"/>
          <w:spacing w:val="-3"/>
          <w:sz w:val="21"/>
          <w:szCs w:val="21"/>
        </w:rPr>
        <w:t>年</w:t>
      </w:r>
      <w:r>
        <w:rPr>
          <w:rFonts w:ascii="宋体" w:hAnsi="宋体" w:cs="宋体" w:eastAsia="宋体" w:hint="default"/>
          <w:spacing w:val="-3"/>
          <w:sz w:val="21"/>
          <w:szCs w:val="21"/>
        </w:rPr>
        <w:t>2</w:t>
      </w:r>
      <w:r>
        <w:rPr>
          <w:rFonts w:ascii="宋体" w:hAnsi="宋体" w:cs="宋体" w:eastAsia="宋体" w:hint="default"/>
          <w:spacing w:val="-3"/>
          <w:sz w:val="21"/>
          <w:szCs w:val="21"/>
        </w:rPr>
        <w:t>月退休。</w:t>
      </w:r>
      <w:r>
        <w:rPr>
          <w:rFonts w:ascii="宋体" w:hAnsi="宋体" w:cs="宋体" w:eastAsia="宋体" w:hint="default"/>
          <w:spacing w:val="-3"/>
          <w:sz w:val="21"/>
          <w:szCs w:val="21"/>
        </w:rPr>
        <w:t>2009</w:t>
      </w:r>
      <w:r>
        <w:rPr>
          <w:rFonts w:ascii="宋体" w:hAnsi="宋体" w:cs="宋体" w:eastAsia="宋体" w:hint="default"/>
          <w:spacing w:val="-3"/>
          <w:sz w:val="21"/>
          <w:szCs w:val="21"/>
        </w:rPr>
        <w:t>年</w:t>
      </w:r>
      <w:r>
        <w:rPr>
          <w:rFonts w:ascii="宋体" w:hAnsi="宋体" w:cs="宋体" w:eastAsia="宋体" w:hint="default"/>
          <w:spacing w:val="-3"/>
          <w:sz w:val="21"/>
          <w:szCs w:val="21"/>
        </w:rPr>
        <w:t>8</w:t>
      </w:r>
      <w:r>
        <w:rPr>
          <w:rFonts w:ascii="宋体" w:hAnsi="宋体" w:cs="宋体" w:eastAsia="宋体" w:hint="default"/>
          <w:spacing w:val="-3"/>
          <w:sz w:val="21"/>
          <w:szCs w:val="21"/>
        </w:rPr>
        <w:t>月起任本公司独立董事，本届独立董事任职</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0"/>
        <w:ind w:left="547"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3"/>
          <w:sz w:val="21"/>
          <w:szCs w:val="21"/>
        </w:rPr>
        <w:t>其他单位任职情况：山东省防伪行业协会名誉理事长、山东省保护企业和企业家权益联合会名</w:t>
      </w:r>
    </w:p>
    <w:p>
      <w:pPr>
        <w:spacing w:line="484" w:lineRule="auto" w:before="34"/>
        <w:ind w:left="602" w:right="1144" w:hanging="480"/>
        <w:jc w:val="left"/>
        <w:rPr>
          <w:rFonts w:ascii="宋体" w:hAnsi="宋体" w:cs="宋体" w:eastAsia="宋体" w:hint="default"/>
          <w:sz w:val="21"/>
          <w:szCs w:val="21"/>
        </w:rPr>
      </w:pPr>
      <w:r>
        <w:rPr>
          <w:rFonts w:ascii="宋体" w:hAnsi="宋体" w:cs="宋体" w:eastAsia="宋体" w:hint="default"/>
          <w:spacing w:val="-5"/>
          <w:sz w:val="21"/>
          <w:szCs w:val="21"/>
        </w:rPr>
        <w:t>誉会长、山东省企业联合会常务理事、山东省企业家协会常务理事、山东省质量协会常务理事等职。</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监事简介</w:t>
      </w:r>
      <w:r>
        <w:rPr>
          <w:rFonts w:ascii="宋体" w:hAnsi="宋体" w:cs="宋体" w:eastAsia="宋体" w:hint="default"/>
          <w:sz w:val="21"/>
          <w:szCs w:val="21"/>
        </w:rPr>
      </w:r>
    </w:p>
    <w:p>
      <w:pPr>
        <w:spacing w:line="355" w:lineRule="auto" w:before="63"/>
        <w:ind w:left="122" w:right="0" w:firstLine="424"/>
        <w:jc w:val="left"/>
        <w:rPr>
          <w:rFonts w:ascii="宋体" w:hAnsi="宋体" w:cs="宋体" w:eastAsia="宋体" w:hint="default"/>
          <w:sz w:val="21"/>
          <w:szCs w:val="21"/>
        </w:rPr>
      </w:pPr>
      <w:r>
        <w:rPr>
          <w:rFonts w:ascii="宋体" w:hAnsi="宋体" w:cs="宋体" w:eastAsia="宋体" w:hint="default"/>
          <w:b/>
          <w:bCs/>
          <w:sz w:val="21"/>
          <w:szCs w:val="21"/>
        </w:rPr>
        <w:t>监事会主席</w:t>
      </w:r>
      <w:r>
        <w:rPr>
          <w:rFonts w:ascii="宋体" w:hAnsi="宋体" w:cs="宋体" w:eastAsia="宋体" w:hint="default"/>
          <w:b/>
          <w:bCs/>
          <w:spacing w:val="59"/>
          <w:sz w:val="21"/>
          <w:szCs w:val="21"/>
        </w:rPr>
        <w:t> </w:t>
      </w:r>
      <w:r>
        <w:rPr>
          <w:rFonts w:ascii="宋体" w:hAnsi="宋体" w:cs="宋体" w:eastAsia="宋体" w:hint="default"/>
          <w:b/>
          <w:bCs/>
          <w:spacing w:val="-3"/>
          <w:sz w:val="21"/>
          <w:szCs w:val="21"/>
        </w:rPr>
        <w:t>孙敬女士</w:t>
      </w:r>
      <w:r>
        <w:rPr>
          <w:rFonts w:ascii="宋体" w:hAnsi="宋体" w:cs="宋体" w:eastAsia="宋体" w:hint="default"/>
          <w:spacing w:val="-3"/>
          <w:sz w:val="21"/>
          <w:szCs w:val="21"/>
        </w:rPr>
        <w:t>，</w:t>
      </w:r>
      <w:r>
        <w:rPr>
          <w:rFonts w:ascii="宋体" w:hAnsi="宋体" w:cs="宋体" w:eastAsia="宋体" w:hint="default"/>
          <w:spacing w:val="-3"/>
          <w:sz w:val="21"/>
          <w:szCs w:val="21"/>
        </w:rPr>
        <w:t>1962</w:t>
      </w:r>
      <w:r>
        <w:rPr>
          <w:rFonts w:ascii="宋体" w:hAnsi="宋体" w:cs="宋体" w:eastAsia="宋体" w:hint="default"/>
          <w:spacing w:val="-3"/>
          <w:sz w:val="21"/>
          <w:szCs w:val="21"/>
        </w:rPr>
        <w:t>年</w:t>
      </w:r>
      <w:r>
        <w:rPr>
          <w:rFonts w:ascii="宋体" w:hAnsi="宋体" w:cs="宋体" w:eastAsia="宋体" w:hint="default"/>
          <w:spacing w:val="-3"/>
          <w:sz w:val="21"/>
          <w:szCs w:val="21"/>
        </w:rPr>
        <w:t>7</w:t>
      </w:r>
      <w:r>
        <w:rPr>
          <w:rFonts w:ascii="宋体" w:hAnsi="宋体" w:cs="宋体" w:eastAsia="宋体" w:hint="default"/>
          <w:spacing w:val="-3"/>
          <w:sz w:val="21"/>
          <w:szCs w:val="21"/>
        </w:rPr>
        <w:t>月生，中国国籍，大专学历，助理统计师。</w:t>
      </w:r>
      <w:r>
        <w:rPr>
          <w:rFonts w:ascii="宋体" w:hAnsi="宋体" w:cs="宋体" w:eastAsia="宋体" w:hint="default"/>
          <w:spacing w:val="-3"/>
          <w:sz w:val="21"/>
          <w:szCs w:val="21"/>
        </w:rPr>
        <w:t>2003</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月起任本</w:t>
      </w:r>
      <w:r>
        <w:rPr>
          <w:rFonts w:ascii="宋体" w:hAnsi="宋体" w:cs="宋体" w:eastAsia="宋体" w:hint="default"/>
          <w:w w:val="100"/>
          <w:sz w:val="21"/>
          <w:szCs w:val="21"/>
        </w:rPr>
        <w:t> </w:t>
      </w:r>
      <w:r>
        <w:rPr>
          <w:rFonts w:ascii="宋体" w:hAnsi="宋体" w:cs="宋体" w:eastAsia="宋体" w:hint="default"/>
          <w:sz w:val="21"/>
          <w:szCs w:val="21"/>
        </w:rPr>
        <w:t>公司监事，本届监事任职期限为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547" w:right="6628" w:hanging="5"/>
        <w:jc w:val="left"/>
        <w:rPr>
          <w:rFonts w:ascii="宋体" w:hAnsi="宋体" w:cs="宋体" w:eastAsia="宋体" w:hint="default"/>
          <w:sz w:val="21"/>
          <w:szCs w:val="21"/>
        </w:rPr>
      </w:pPr>
      <w:r>
        <w:rPr>
          <w:rFonts w:ascii="宋体" w:hAnsi="宋体" w:cs="宋体" w:eastAsia="宋体" w:hint="default"/>
          <w:spacing w:val="-2"/>
          <w:sz w:val="21"/>
          <w:szCs w:val="21"/>
        </w:rPr>
        <w:t>股东单位任职情况：无。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其他单位任职情况：无</w:t>
      </w:r>
    </w:p>
    <w:p>
      <w:pPr>
        <w:spacing w:line="355" w:lineRule="auto" w:before="34"/>
        <w:ind w:left="122" w:right="0" w:firstLine="424"/>
        <w:jc w:val="left"/>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68"/>
          <w:sz w:val="21"/>
          <w:szCs w:val="21"/>
        </w:rPr>
        <w:t> </w:t>
      </w:r>
      <w:r>
        <w:rPr>
          <w:rFonts w:ascii="宋体" w:hAnsi="宋体" w:cs="宋体" w:eastAsia="宋体" w:hint="default"/>
          <w:b/>
          <w:bCs/>
          <w:spacing w:val="-3"/>
          <w:sz w:val="21"/>
          <w:szCs w:val="21"/>
        </w:rPr>
        <w:t>李保政先生</w:t>
      </w:r>
      <w:r>
        <w:rPr>
          <w:rFonts w:ascii="宋体" w:hAnsi="宋体" w:cs="宋体" w:eastAsia="宋体" w:hint="default"/>
          <w:spacing w:val="-3"/>
          <w:sz w:val="21"/>
          <w:szCs w:val="21"/>
        </w:rPr>
        <w:t>，</w:t>
      </w:r>
      <w:r>
        <w:rPr>
          <w:rFonts w:ascii="宋体" w:hAnsi="宋体" w:cs="宋体" w:eastAsia="宋体" w:hint="default"/>
          <w:spacing w:val="-3"/>
          <w:sz w:val="21"/>
          <w:szCs w:val="21"/>
        </w:rPr>
        <w:t>1975</w:t>
      </w:r>
      <w:r>
        <w:rPr>
          <w:rFonts w:ascii="宋体" w:hAnsi="宋体" w:cs="宋体" w:eastAsia="宋体" w:hint="default"/>
          <w:spacing w:val="-3"/>
          <w:sz w:val="21"/>
          <w:szCs w:val="21"/>
        </w:rPr>
        <w:t>年</w:t>
      </w:r>
      <w:r>
        <w:rPr>
          <w:rFonts w:ascii="宋体" w:hAnsi="宋体" w:cs="宋体" w:eastAsia="宋体" w:hint="default"/>
          <w:spacing w:val="-3"/>
          <w:sz w:val="21"/>
          <w:szCs w:val="21"/>
        </w:rPr>
        <w:t>6</w:t>
      </w:r>
      <w:r>
        <w:rPr>
          <w:rFonts w:ascii="宋体" w:hAnsi="宋体" w:cs="宋体" w:eastAsia="宋体" w:hint="default"/>
          <w:spacing w:val="-3"/>
          <w:sz w:val="21"/>
          <w:szCs w:val="21"/>
        </w:rPr>
        <w:t>月生，中国国籍，大学学历，高级会计师。</w:t>
      </w:r>
      <w:r>
        <w:rPr>
          <w:rFonts w:ascii="宋体" w:hAnsi="宋体" w:cs="宋体" w:eastAsia="宋体" w:hint="default"/>
          <w:spacing w:val="-3"/>
          <w:sz w:val="21"/>
          <w:szCs w:val="21"/>
        </w:rPr>
        <w:t>2002</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月起任本公司</w:t>
      </w:r>
      <w:r>
        <w:rPr>
          <w:rFonts w:ascii="宋体" w:hAnsi="宋体" w:cs="宋体" w:eastAsia="宋体" w:hint="default"/>
          <w:w w:val="100"/>
          <w:sz w:val="21"/>
          <w:szCs w:val="21"/>
        </w:rPr>
        <w:t> </w:t>
      </w:r>
      <w:r>
        <w:rPr>
          <w:rFonts w:ascii="宋体" w:hAnsi="宋体" w:cs="宋体" w:eastAsia="宋体" w:hint="default"/>
          <w:sz w:val="21"/>
          <w:szCs w:val="21"/>
        </w:rPr>
        <w:t>监事。本届监事任职期限为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547" w:right="4808"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2"/>
          <w:sz w:val="21"/>
          <w:szCs w:val="21"/>
        </w:rPr>
        <w:t>其他单位任职情况：浪潮集团有限公司财金中心经理</w:t>
      </w:r>
    </w:p>
    <w:p>
      <w:pPr>
        <w:spacing w:line="357" w:lineRule="auto" w:before="32"/>
        <w:ind w:left="122" w:right="1276" w:firstLine="424"/>
        <w:jc w:val="left"/>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52"/>
          <w:sz w:val="21"/>
          <w:szCs w:val="21"/>
        </w:rPr>
        <w:t> </w:t>
      </w:r>
      <w:r>
        <w:rPr>
          <w:rFonts w:ascii="宋体" w:hAnsi="宋体" w:cs="宋体" w:eastAsia="宋体" w:hint="default"/>
          <w:b/>
          <w:bCs/>
          <w:sz w:val="21"/>
          <w:szCs w:val="21"/>
        </w:rPr>
        <w:t>王景涛先生</w:t>
      </w:r>
      <w:r>
        <w:rPr>
          <w:rFonts w:ascii="宋体" w:hAnsi="宋体" w:cs="宋体" w:eastAsia="宋体" w:hint="default"/>
          <w:sz w:val="21"/>
          <w:szCs w:val="21"/>
        </w:rPr>
        <w:t>，</w:t>
      </w:r>
      <w:r>
        <w:rPr>
          <w:rFonts w:ascii="宋体" w:hAnsi="宋体" w:cs="宋体" w:eastAsia="宋体" w:hint="default"/>
          <w:sz w:val="21"/>
          <w:szCs w:val="21"/>
        </w:rPr>
        <w:t>1963</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月生，中国国籍，大学学历。</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月起任本公司监事。本届监</w:t>
      </w:r>
      <w:r>
        <w:rPr>
          <w:rFonts w:ascii="宋体" w:hAnsi="宋体" w:cs="宋体" w:eastAsia="宋体" w:hint="default"/>
          <w:w w:val="100"/>
          <w:sz w:val="21"/>
          <w:szCs w:val="21"/>
        </w:rPr>
        <w:t> </w:t>
      </w:r>
      <w:r>
        <w:rPr>
          <w:rFonts w:ascii="宋体" w:hAnsi="宋体" w:cs="宋体" w:eastAsia="宋体" w:hint="default"/>
          <w:sz w:val="21"/>
          <w:szCs w:val="21"/>
        </w:rPr>
        <w:t>事任职期限为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0"/>
        <w:ind w:left="547"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3"/>
          <w:sz w:val="21"/>
          <w:szCs w:val="21"/>
        </w:rPr>
        <w:t>其他单位任职情况：曾任济南市历城区经济贸易局综合办公室主任科员、主任。现任济南市历</w:t>
      </w:r>
    </w:p>
    <w:p>
      <w:pPr>
        <w:spacing w:line="487" w:lineRule="auto" w:before="32"/>
        <w:ind w:left="602" w:right="6628" w:hanging="480"/>
        <w:jc w:val="left"/>
        <w:rPr>
          <w:rFonts w:ascii="宋体" w:hAnsi="宋体" w:cs="宋体" w:eastAsia="宋体" w:hint="default"/>
          <w:sz w:val="21"/>
          <w:szCs w:val="21"/>
        </w:rPr>
      </w:pPr>
      <w:r>
        <w:rPr>
          <w:rFonts w:ascii="宋体" w:hAnsi="宋体" w:cs="宋体" w:eastAsia="宋体" w:hint="default"/>
          <w:spacing w:val="-2"/>
          <w:sz w:val="21"/>
          <w:szCs w:val="21"/>
        </w:rPr>
        <w:t>城区</w:t>
      </w:r>
      <w:hyperlink r:id="rId15">
        <w:r>
          <w:rPr>
            <w:rFonts w:ascii="宋体" w:hAnsi="宋体" w:cs="宋体" w:eastAsia="宋体" w:hint="default"/>
            <w:spacing w:val="-2"/>
            <w:sz w:val="21"/>
            <w:szCs w:val="21"/>
          </w:rPr>
          <w:t>经济和信息化局</w:t>
        </w:r>
      </w:hyperlink>
      <w:r>
        <w:rPr>
          <w:rFonts w:ascii="宋体" w:hAnsi="宋体" w:cs="宋体" w:eastAsia="宋体" w:hint="default"/>
          <w:spacing w:val="-2"/>
          <w:sz w:val="21"/>
          <w:szCs w:val="21"/>
        </w:rPr>
        <w:t>科长（非公务员）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0"/>
          <w:sz w:val="21"/>
          <w:szCs w:val="21"/>
        </w:rPr>
        <w:t> </w:t>
      </w:r>
      <w:r>
        <w:rPr>
          <w:rFonts w:ascii="宋体" w:hAnsi="宋体" w:cs="宋体" w:eastAsia="宋体" w:hint="default"/>
          <w:b/>
          <w:bCs/>
          <w:sz w:val="21"/>
          <w:szCs w:val="21"/>
        </w:rPr>
        <w:t>高级管理人员简介</w:t>
      </w:r>
      <w:r>
        <w:rPr>
          <w:rFonts w:ascii="宋体" w:hAnsi="宋体" w:cs="宋体" w:eastAsia="宋体" w:hint="default"/>
          <w:sz w:val="21"/>
          <w:szCs w:val="21"/>
        </w:rPr>
      </w:r>
    </w:p>
    <w:p>
      <w:pPr>
        <w:spacing w:line="355" w:lineRule="auto" w:before="61"/>
        <w:ind w:left="122" w:right="1279" w:firstLine="419"/>
        <w:jc w:val="left"/>
        <w:rPr>
          <w:rFonts w:ascii="宋体" w:hAnsi="宋体" w:cs="宋体" w:eastAsia="宋体" w:hint="default"/>
          <w:sz w:val="21"/>
          <w:szCs w:val="21"/>
        </w:rPr>
      </w:pPr>
      <w:r>
        <w:rPr>
          <w:rFonts w:ascii="宋体" w:hAnsi="宋体" w:cs="宋体" w:eastAsia="宋体" w:hint="default"/>
          <w:b/>
          <w:bCs/>
          <w:sz w:val="21"/>
          <w:szCs w:val="21"/>
        </w:rPr>
        <w:t>常务副总裁</w:t>
      </w:r>
      <w:r>
        <w:rPr>
          <w:rFonts w:ascii="宋体" w:hAnsi="宋体" w:cs="宋体" w:eastAsia="宋体" w:hint="default"/>
          <w:b/>
          <w:bCs/>
          <w:spacing w:val="52"/>
          <w:sz w:val="21"/>
          <w:szCs w:val="21"/>
        </w:rPr>
        <w:t> </w:t>
      </w:r>
      <w:r>
        <w:rPr>
          <w:rFonts w:ascii="宋体" w:hAnsi="宋体" w:cs="宋体" w:eastAsia="宋体" w:hint="default"/>
          <w:b/>
          <w:bCs/>
          <w:sz w:val="21"/>
          <w:szCs w:val="21"/>
        </w:rPr>
        <w:t>唐国奇先生</w:t>
      </w:r>
      <w:r>
        <w:rPr>
          <w:rFonts w:ascii="宋体" w:hAnsi="宋体" w:cs="宋体" w:eastAsia="宋体" w:hint="default"/>
          <w:sz w:val="21"/>
          <w:szCs w:val="21"/>
        </w:rPr>
        <w:t>，</w:t>
      </w:r>
      <w:r>
        <w:rPr>
          <w:rFonts w:ascii="宋体" w:hAnsi="宋体" w:cs="宋体" w:eastAsia="宋体" w:hint="default"/>
          <w:sz w:val="21"/>
          <w:szCs w:val="21"/>
        </w:rPr>
        <w:t>1968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月生，中国国籍，硕士学位，经济师。</w:t>
      </w:r>
      <w:r>
        <w:rPr>
          <w:rFonts w:ascii="宋体" w:hAnsi="宋体" w:cs="宋体" w:eastAsia="宋体" w:hint="default"/>
          <w:sz w:val="21"/>
          <w:szCs w:val="21"/>
        </w:rPr>
        <w:t>2002</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月起任本</w:t>
      </w:r>
      <w:r>
        <w:rPr>
          <w:rFonts w:ascii="宋体" w:hAnsi="宋体" w:cs="宋体" w:eastAsia="宋体" w:hint="default"/>
          <w:w w:val="100"/>
          <w:sz w:val="21"/>
          <w:szCs w:val="21"/>
        </w:rPr>
        <w:t> </w:t>
      </w:r>
      <w:r>
        <w:rPr>
          <w:rFonts w:ascii="宋体" w:hAnsi="宋体" w:cs="宋体" w:eastAsia="宋体" w:hint="default"/>
          <w:sz w:val="21"/>
          <w:szCs w:val="21"/>
        </w:rPr>
        <w:t>公司副总经理、技术负责人。本届任职期限为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7" w:lineRule="auto"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3"/>
          <w:sz w:val="21"/>
          <w:szCs w:val="21"/>
        </w:rPr>
        <w:t>其他单位任职情况：郑州东港安全印刷有限公司董事，上海东港安全印刷有限公司董事，上海</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东港数据处理有限公司董事。</w:t>
      </w:r>
    </w:p>
    <w:p>
      <w:pPr>
        <w:spacing w:line="355" w:lineRule="auto" w:before="135"/>
        <w:ind w:left="122" w:right="1279" w:firstLine="424"/>
        <w:jc w:val="left"/>
        <w:rPr>
          <w:rFonts w:ascii="宋体" w:hAnsi="宋体" w:cs="宋体" w:eastAsia="宋体" w:hint="default"/>
          <w:sz w:val="21"/>
          <w:szCs w:val="21"/>
        </w:rPr>
      </w:pPr>
      <w:r>
        <w:rPr>
          <w:rFonts w:ascii="宋体" w:hAnsi="宋体" w:cs="宋体" w:eastAsia="宋体" w:hint="default"/>
          <w:b/>
          <w:bCs/>
          <w:sz w:val="21"/>
          <w:szCs w:val="21"/>
        </w:rPr>
        <w:t>副总裁</w:t>
      </w:r>
      <w:r>
        <w:rPr>
          <w:rFonts w:ascii="宋体" w:hAnsi="宋体" w:cs="宋体" w:eastAsia="宋体" w:hint="default"/>
          <w:b/>
          <w:bCs/>
          <w:spacing w:val="49"/>
          <w:sz w:val="21"/>
          <w:szCs w:val="21"/>
        </w:rPr>
        <w:t> </w:t>
      </w:r>
      <w:r>
        <w:rPr>
          <w:rFonts w:ascii="宋体" w:hAnsi="宋体" w:cs="宋体" w:eastAsia="宋体" w:hint="default"/>
          <w:b/>
          <w:bCs/>
          <w:sz w:val="21"/>
          <w:szCs w:val="21"/>
        </w:rPr>
        <w:t>朱震先生</w:t>
      </w:r>
      <w:r>
        <w:rPr>
          <w:rFonts w:ascii="宋体" w:hAnsi="宋体" w:cs="宋体" w:eastAsia="宋体" w:hint="default"/>
          <w:sz w:val="21"/>
          <w:szCs w:val="21"/>
        </w:rPr>
        <w:t>，</w:t>
      </w:r>
      <w:r>
        <w:rPr>
          <w:rFonts w:ascii="宋体" w:hAnsi="宋体" w:cs="宋体" w:eastAsia="宋体" w:hint="default"/>
          <w:sz w:val="21"/>
          <w:szCs w:val="21"/>
        </w:rPr>
        <w:t>1967</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月生，中国国籍，大学学历。</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月起任本公司副总经理兼销</w:t>
      </w:r>
      <w:r>
        <w:rPr>
          <w:rFonts w:ascii="宋体" w:hAnsi="宋体" w:cs="宋体" w:eastAsia="宋体" w:hint="default"/>
          <w:w w:val="100"/>
          <w:sz w:val="21"/>
          <w:szCs w:val="21"/>
        </w:rPr>
        <w:t> </w:t>
      </w:r>
      <w:r>
        <w:rPr>
          <w:rFonts w:ascii="宋体" w:hAnsi="宋体" w:cs="宋体" w:eastAsia="宋体" w:hint="default"/>
          <w:sz w:val="21"/>
          <w:szCs w:val="21"/>
        </w:rPr>
        <w:t>售部经理。本届任职期限为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5" w:lineRule="auto" w:before="32"/>
        <w:ind w:left="547"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2"/>
          <w:sz w:val="21"/>
          <w:szCs w:val="21"/>
        </w:rPr>
        <w:t>其他单位任职情况：广州东港安全印刷有限公司董事、郑州东港安全印刷有限公司董事。</w:t>
      </w:r>
    </w:p>
    <w:p>
      <w:pPr>
        <w:spacing w:before="34"/>
        <w:ind w:left="547" w:right="0" w:firstLine="0"/>
        <w:jc w:val="left"/>
        <w:rPr>
          <w:rFonts w:ascii="宋体" w:hAnsi="宋体" w:cs="宋体" w:eastAsia="宋体" w:hint="default"/>
          <w:sz w:val="21"/>
          <w:szCs w:val="21"/>
        </w:rPr>
      </w:pPr>
      <w:r>
        <w:rPr>
          <w:rFonts w:ascii="宋体" w:hAnsi="宋体" w:cs="宋体" w:eastAsia="宋体" w:hint="default"/>
          <w:b/>
          <w:bCs/>
          <w:sz w:val="21"/>
          <w:szCs w:val="21"/>
        </w:rPr>
        <w:t>副总裁</w:t>
      </w:r>
      <w:r>
        <w:rPr>
          <w:rFonts w:ascii="宋体" w:hAnsi="宋体" w:cs="宋体" w:eastAsia="宋体" w:hint="default"/>
          <w:b/>
          <w:bCs/>
          <w:spacing w:val="56"/>
          <w:sz w:val="21"/>
          <w:szCs w:val="21"/>
        </w:rPr>
        <w:t> </w:t>
      </w:r>
      <w:r>
        <w:rPr>
          <w:rFonts w:ascii="宋体" w:hAnsi="宋体" w:cs="宋体" w:eastAsia="宋体" w:hint="default"/>
          <w:b/>
          <w:bCs/>
          <w:sz w:val="21"/>
          <w:szCs w:val="21"/>
        </w:rPr>
        <w:t>刘宏先生</w:t>
      </w:r>
      <w:r>
        <w:rPr>
          <w:rFonts w:ascii="宋体" w:hAnsi="宋体" w:cs="宋体" w:eastAsia="宋体" w:hint="default"/>
          <w:sz w:val="21"/>
          <w:szCs w:val="21"/>
        </w:rPr>
        <w:t>，</w:t>
      </w:r>
      <w:r>
        <w:rPr>
          <w:rFonts w:ascii="宋体" w:hAnsi="宋体" w:cs="宋体" w:eastAsia="宋体" w:hint="default"/>
          <w:sz w:val="21"/>
          <w:szCs w:val="21"/>
        </w:rPr>
        <w:t>1968</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月生，中国国籍，研究生学历、助理经济师。</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月起任本公</w:t>
      </w:r>
    </w:p>
    <w:p>
      <w:pPr>
        <w:spacing w:after="0"/>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542" w:right="3000" w:hanging="420"/>
        <w:jc w:val="left"/>
        <w:rPr>
          <w:rFonts w:ascii="宋体" w:hAnsi="宋体" w:cs="宋体" w:eastAsia="宋体" w:hint="default"/>
          <w:sz w:val="21"/>
          <w:szCs w:val="21"/>
        </w:rPr>
      </w:pPr>
      <w:r>
        <w:rPr>
          <w:rFonts w:ascii="宋体" w:hAnsi="宋体" w:cs="宋体" w:eastAsia="宋体" w:hint="default"/>
          <w:spacing w:val="-2"/>
          <w:sz w:val="21"/>
          <w:szCs w:val="21"/>
        </w:rPr>
        <w:t>司副总经理。本届任职期限为</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
          <w:sz w:val="21"/>
          <w:szCs w:val="21"/>
        </w:rPr>
        <w:t>20</w:t>
      </w:r>
      <w:r>
        <w:rPr>
          <w:rFonts w:ascii="宋体" w:hAnsi="宋体" w:cs="宋体" w:eastAsia="宋体" w:hint="default"/>
          <w:spacing w:val="-2"/>
          <w:sz w:val="21"/>
          <w:szCs w:val="21"/>
        </w:rPr>
        <w:t>日至</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
          <w:sz w:val="21"/>
          <w:szCs w:val="21"/>
        </w:rPr>
        <w:t>19</w:t>
      </w:r>
      <w:r>
        <w:rPr>
          <w:rFonts w:ascii="宋体" w:hAnsi="宋体" w:cs="宋体" w:eastAsia="宋体" w:hint="default"/>
          <w:spacing w:val="-2"/>
          <w:sz w:val="21"/>
          <w:szCs w:val="21"/>
        </w:rPr>
        <w:t>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股东单位任职情况：无</w:t>
      </w:r>
    </w:p>
    <w:p>
      <w:pPr>
        <w:spacing w:line="357" w:lineRule="auto" w:before="30"/>
        <w:ind w:left="122" w:right="1274" w:firstLine="424"/>
        <w:jc w:val="left"/>
        <w:rPr>
          <w:rFonts w:ascii="宋体" w:hAnsi="宋体" w:cs="宋体" w:eastAsia="宋体" w:hint="default"/>
          <w:sz w:val="21"/>
          <w:szCs w:val="21"/>
        </w:rPr>
      </w:pPr>
      <w:r>
        <w:rPr>
          <w:rFonts w:ascii="宋体" w:hAnsi="宋体" w:cs="宋体" w:eastAsia="宋体" w:hint="default"/>
          <w:spacing w:val="-3"/>
          <w:sz w:val="21"/>
          <w:szCs w:val="21"/>
        </w:rPr>
        <w:t>其他单位任职情况：北京东港安全印刷有限公司董事，北京东港嘉华安全信息技术有限公司董</w:t>
      </w:r>
      <w:r>
        <w:rPr>
          <w:rFonts w:ascii="宋体" w:hAnsi="宋体" w:cs="宋体" w:eastAsia="宋体" w:hint="default"/>
          <w:w w:val="100"/>
          <w:sz w:val="21"/>
          <w:szCs w:val="21"/>
        </w:rPr>
        <w:t> </w:t>
      </w:r>
      <w:r>
        <w:rPr>
          <w:rFonts w:ascii="宋体" w:hAnsi="宋体" w:cs="宋体" w:eastAsia="宋体" w:hint="default"/>
          <w:sz w:val="21"/>
          <w:szCs w:val="21"/>
        </w:rPr>
        <w:t>事、总经理</w:t>
      </w:r>
    </w:p>
    <w:p>
      <w:pPr>
        <w:spacing w:line="355" w:lineRule="auto" w:before="30"/>
        <w:ind w:left="122" w:right="1276" w:firstLine="424"/>
        <w:jc w:val="left"/>
        <w:rPr>
          <w:rFonts w:ascii="宋体" w:hAnsi="宋体" w:cs="宋体" w:eastAsia="宋体" w:hint="default"/>
          <w:sz w:val="21"/>
          <w:szCs w:val="21"/>
        </w:rPr>
      </w:pPr>
      <w:r>
        <w:rPr>
          <w:rFonts w:ascii="宋体" w:hAnsi="宋体" w:cs="宋体" w:eastAsia="宋体" w:hint="default"/>
          <w:b/>
          <w:bCs/>
          <w:sz w:val="21"/>
          <w:szCs w:val="21"/>
        </w:rPr>
        <w:t>副总裁、财务负责人</w:t>
      </w:r>
      <w:r>
        <w:rPr>
          <w:rFonts w:ascii="宋体" w:hAnsi="宋体" w:cs="宋体" w:eastAsia="宋体" w:hint="default"/>
          <w:b/>
          <w:bCs/>
          <w:spacing w:val="47"/>
          <w:sz w:val="21"/>
          <w:szCs w:val="21"/>
        </w:rPr>
        <w:t> </w:t>
      </w:r>
      <w:r>
        <w:rPr>
          <w:rFonts w:ascii="宋体" w:hAnsi="宋体" w:cs="宋体" w:eastAsia="宋体" w:hint="default"/>
          <w:b/>
          <w:bCs/>
          <w:sz w:val="21"/>
          <w:szCs w:val="21"/>
        </w:rPr>
        <w:t>郑理女士</w:t>
      </w:r>
      <w:r>
        <w:rPr>
          <w:rFonts w:ascii="宋体" w:hAnsi="宋体" w:cs="宋体" w:eastAsia="宋体" w:hint="default"/>
          <w:sz w:val="21"/>
          <w:szCs w:val="21"/>
        </w:rPr>
        <w:t>，</w:t>
      </w:r>
      <w:r>
        <w:rPr>
          <w:rFonts w:ascii="宋体" w:hAnsi="宋体" w:cs="宋体" w:eastAsia="宋体" w:hint="default"/>
          <w:sz w:val="21"/>
          <w:szCs w:val="21"/>
        </w:rPr>
        <w:t>1968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月生，中国国籍，硕士学位，高级会计师。</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月起任副总经理兼财务总监。本届任职期限为</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p>
      <w:pPr>
        <w:spacing w:line="357" w:lineRule="auto" w:before="32"/>
        <w:ind w:left="547" w:right="0" w:hanging="5"/>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3"/>
          <w:sz w:val="21"/>
          <w:szCs w:val="21"/>
        </w:rPr>
        <w:t>其他单位任职情况：上海东港安全印刷有限公司董事、财务负责人，上海东港数据处理有限公</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司董事。</w:t>
      </w:r>
    </w:p>
    <w:p>
      <w:pPr>
        <w:spacing w:line="357" w:lineRule="auto" w:before="133"/>
        <w:ind w:left="122" w:right="0" w:firstLine="412"/>
        <w:jc w:val="left"/>
        <w:rPr>
          <w:rFonts w:ascii="宋体" w:hAnsi="宋体" w:cs="宋体" w:eastAsia="宋体" w:hint="default"/>
          <w:sz w:val="21"/>
          <w:szCs w:val="21"/>
        </w:rPr>
      </w:pPr>
      <w:r>
        <w:rPr>
          <w:rFonts w:ascii="宋体" w:hAnsi="宋体" w:cs="宋体" w:eastAsia="宋体" w:hint="default"/>
          <w:b/>
          <w:bCs/>
          <w:sz w:val="21"/>
          <w:szCs w:val="21"/>
        </w:rPr>
        <w:t>副总裁、董事会秘书</w:t>
      </w:r>
      <w:r>
        <w:rPr>
          <w:rFonts w:ascii="宋体" w:hAnsi="宋体" w:cs="宋体" w:eastAsia="宋体" w:hint="default"/>
          <w:b/>
          <w:bCs/>
          <w:spacing w:val="-2"/>
          <w:sz w:val="21"/>
          <w:szCs w:val="21"/>
        </w:rPr>
        <w:t> </w:t>
      </w:r>
      <w:r>
        <w:rPr>
          <w:rFonts w:ascii="宋体" w:hAnsi="宋体" w:cs="宋体" w:eastAsia="宋体" w:hint="default"/>
          <w:b/>
          <w:bCs/>
          <w:sz w:val="21"/>
          <w:szCs w:val="21"/>
        </w:rPr>
        <w:t>齐利国先生</w:t>
      </w:r>
      <w:r>
        <w:rPr>
          <w:rFonts w:ascii="宋体" w:hAnsi="宋体" w:cs="宋体" w:eastAsia="宋体" w:hint="default"/>
          <w:sz w:val="21"/>
          <w:szCs w:val="21"/>
        </w:rPr>
        <w:t>，</w:t>
      </w:r>
      <w:r>
        <w:rPr>
          <w:rFonts w:ascii="宋体" w:hAnsi="宋体" w:cs="宋体" w:eastAsia="宋体" w:hint="default"/>
          <w:sz w:val="21"/>
          <w:szCs w:val="21"/>
        </w:rPr>
        <w:t>1970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3"/>
          <w:sz w:val="21"/>
          <w:szCs w:val="21"/>
        </w:rPr>
        <w:t> </w:t>
      </w:r>
      <w:r>
        <w:rPr>
          <w:rFonts w:ascii="宋体" w:hAnsi="宋体" w:cs="宋体" w:eastAsia="宋体" w:hint="default"/>
          <w:sz w:val="21"/>
          <w:szCs w:val="21"/>
        </w:rPr>
        <w:t>月出生，中国国籍，硕士学位。</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pacing w:val="-3"/>
          <w:sz w:val="21"/>
          <w:szCs w:val="21"/>
        </w:rPr>
        <w:t>月起</w:t>
      </w:r>
      <w:r>
        <w:rPr>
          <w:rFonts w:ascii="宋体" w:hAnsi="宋体" w:cs="宋体" w:eastAsia="宋体" w:hint="default"/>
          <w:spacing w:val="-3"/>
          <w:w w:val="100"/>
          <w:sz w:val="21"/>
          <w:szCs w:val="21"/>
        </w:rPr>
        <w:t> </w:t>
      </w:r>
      <w:r>
        <w:rPr>
          <w:rFonts w:ascii="宋体" w:hAnsi="宋体" w:cs="宋体" w:eastAsia="宋体" w:hint="default"/>
          <w:spacing w:val="-5"/>
          <w:sz w:val="21"/>
          <w:szCs w:val="21"/>
        </w:rPr>
        <w:t>任本公司副总经理，兼任董事会秘书、办公室主任。本届任职期限为</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20</w:t>
      </w:r>
      <w:r>
        <w:rPr>
          <w:rFonts w:ascii="宋体" w:hAnsi="宋体" w:cs="宋体" w:eastAsia="宋体" w:hint="default"/>
          <w:spacing w:val="-47"/>
          <w:sz w:val="21"/>
          <w:szCs w:val="21"/>
        </w:rPr>
        <w:t> </w:t>
      </w:r>
      <w:r>
        <w:rPr>
          <w:rFonts w:ascii="宋体" w:hAnsi="宋体" w:cs="宋体" w:eastAsia="宋体" w:hint="default"/>
          <w:sz w:val="21"/>
          <w:szCs w:val="21"/>
        </w:rPr>
        <w:t>日至</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355" w:lineRule="auto" w:before="135"/>
        <w:ind w:left="542" w:right="0" w:firstLine="0"/>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w w:val="100"/>
          <w:sz w:val="21"/>
          <w:szCs w:val="21"/>
        </w:rPr>
        <w:t> </w:t>
      </w:r>
      <w:r>
        <w:rPr>
          <w:rFonts w:ascii="宋体" w:hAnsi="宋体" w:cs="宋体" w:eastAsia="宋体" w:hint="default"/>
          <w:spacing w:val="-3"/>
          <w:sz w:val="21"/>
          <w:szCs w:val="21"/>
        </w:rPr>
        <w:t>其他单位任职情况：上海东港安全印刷有限公司监事、青海东港安全印刷有限公司监事，上海</w:t>
      </w:r>
    </w:p>
    <w:p>
      <w:pPr>
        <w:spacing w:before="32"/>
        <w:ind w:left="122" w:right="0" w:firstLine="0"/>
        <w:jc w:val="left"/>
        <w:rPr>
          <w:rFonts w:ascii="宋体" w:hAnsi="宋体" w:cs="宋体" w:eastAsia="宋体" w:hint="default"/>
          <w:sz w:val="21"/>
          <w:szCs w:val="21"/>
        </w:rPr>
      </w:pPr>
      <w:r>
        <w:rPr>
          <w:rFonts w:ascii="宋体" w:hAnsi="宋体" w:cs="宋体" w:eastAsia="宋体" w:hint="default"/>
          <w:sz w:val="21"/>
          <w:szCs w:val="21"/>
        </w:rPr>
        <w:t>东港数据处理有限公司监事，成都东港安全印刷有限公司监事。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董事、监事和高级管理人员年度报酬情况</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、报酬的决策程序和报酬确定依据：公司按照《公司章程》的规定确定董事、监事和高级管</w:t>
      </w:r>
    </w:p>
    <w:p>
      <w:pPr>
        <w:spacing w:line="355" w:lineRule="auto" w:before="30"/>
        <w:ind w:left="122" w:right="1176" w:firstLine="0"/>
        <w:jc w:val="both"/>
        <w:rPr>
          <w:rFonts w:ascii="宋体" w:hAnsi="宋体" w:cs="宋体" w:eastAsia="宋体" w:hint="default"/>
          <w:sz w:val="21"/>
          <w:szCs w:val="21"/>
        </w:rPr>
      </w:pPr>
      <w:r>
        <w:rPr>
          <w:rFonts w:ascii="宋体" w:hAnsi="宋体" w:cs="宋体" w:eastAsia="宋体" w:hint="default"/>
          <w:spacing w:val="-3"/>
          <w:sz w:val="21"/>
          <w:szCs w:val="21"/>
        </w:rPr>
        <w:t>理人员的报酬。董事和监事实行津贴制，报酬和支付方法由股东大会确定；高级管理人员实行年薪</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制，报酬和支付方法由董事会确定。公司以行业薪酬水平、经济发展状况、居民生活标准、公司经</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5"/>
          <w:sz w:val="21"/>
          <w:szCs w:val="21"/>
        </w:rPr>
        <w:t>营业绩、岗位职责要求等为依据，在充分协商的前提下确定董事、监事和高级管理人员的年度薪酬。</w:t>
      </w:r>
    </w:p>
    <w:p>
      <w:pPr>
        <w:spacing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、报告期内，董事、监事和高级管理人员从公司获得报酬情况：</w:t>
      </w:r>
    </w:p>
    <w:p>
      <w:pPr>
        <w:spacing w:line="240" w:lineRule="auto" w:before="10"/>
        <w:rPr>
          <w:rFonts w:ascii="宋体" w:hAnsi="宋体" w:cs="宋体" w:eastAsia="宋体" w:hint="default"/>
          <w:sz w:val="12"/>
          <w:szCs w:val="12"/>
        </w:rPr>
      </w:pPr>
    </w:p>
    <w:tbl>
      <w:tblPr>
        <w:tblW w:w="0" w:type="auto"/>
        <w:jc w:val="left"/>
        <w:tblInd w:w="679" w:type="dxa"/>
        <w:tblLayout w:type="fixed"/>
        <w:tblCellMar>
          <w:top w:w="0" w:type="dxa"/>
          <w:left w:w="0" w:type="dxa"/>
          <w:bottom w:w="0" w:type="dxa"/>
          <w:right w:w="0" w:type="dxa"/>
        </w:tblCellMar>
        <w:tblLook w:val="01E0"/>
      </w:tblPr>
      <w:tblGrid>
        <w:gridCol w:w="1181"/>
        <w:gridCol w:w="1263"/>
        <w:gridCol w:w="1483"/>
        <w:gridCol w:w="1616"/>
        <w:gridCol w:w="2333"/>
      </w:tblGrid>
      <w:tr>
        <w:trPr>
          <w:trHeight w:val="710" w:hRule="exact"/>
        </w:trPr>
        <w:tc>
          <w:tcPr>
            <w:tcW w:w="11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05" w:right="0" w:firstLine="67"/>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年度从公</w:t>
            </w:r>
          </w:p>
          <w:p>
            <w:pPr>
              <w:pStyle w:val="TableParagraph"/>
              <w:spacing w:line="232" w:lineRule="exact" w:before="23"/>
              <w:ind w:left="103" w:right="10" w:firstLine="2"/>
              <w:jc w:val="left"/>
              <w:rPr>
                <w:rFonts w:ascii="宋体" w:hAnsi="宋体" w:cs="宋体" w:eastAsia="宋体" w:hint="default"/>
                <w:sz w:val="18"/>
                <w:szCs w:val="18"/>
              </w:rPr>
            </w:pPr>
            <w:r>
              <w:rPr>
                <w:rFonts w:ascii="宋体" w:hAnsi="宋体" w:cs="宋体" w:eastAsia="宋体" w:hint="default"/>
                <w:sz w:val="18"/>
                <w:szCs w:val="18"/>
              </w:rPr>
              <w:t>司领取的报酬总 </w:t>
            </w:r>
            <w:r>
              <w:rPr>
                <w:rFonts w:ascii="宋体" w:hAnsi="宋体" w:cs="宋体" w:eastAsia="宋体" w:hint="default"/>
                <w:spacing w:val="-11"/>
                <w:sz w:val="18"/>
                <w:szCs w:val="18"/>
              </w:rPr>
              <w:t>额（万元、含税）</w:t>
            </w:r>
          </w:p>
        </w:tc>
        <w:tc>
          <w:tcPr>
            <w:tcW w:w="16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70" w:right="0" w:hanging="22"/>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年度从公司</w:t>
            </w:r>
          </w:p>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领取的报酬总额</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（万元、含税）</w:t>
            </w:r>
          </w:p>
        </w:tc>
        <w:tc>
          <w:tcPr>
            <w:tcW w:w="23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谷望江</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sz w:val="18"/>
              </w:rPr>
              <w:t>2.38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王爱先</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sz w:val="18"/>
              </w:rPr>
              <w:t>2.38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石林</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3"/>
                <w:sz w:val="18"/>
                <w:szCs w:val="18"/>
              </w:rPr>
              <w:t> </w:t>
            </w:r>
            <w:r>
              <w:rPr>
                <w:rFonts w:ascii="宋体" w:hAnsi="宋体" w:cs="宋体" w:eastAsia="宋体" w:hint="default"/>
                <w:sz w:val="18"/>
                <w:szCs w:val="18"/>
              </w:rPr>
              <w:t>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sz w:val="18"/>
              </w:rPr>
              <w:t>2.38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史建中</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55" w:right="0"/>
              <w:jc w:val="left"/>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3"/>
                <w:sz w:val="18"/>
                <w:szCs w:val="18"/>
              </w:rPr>
              <w:t> </w:t>
            </w:r>
            <w:r>
              <w:rPr>
                <w:rFonts w:ascii="宋体" w:hAnsi="宋体" w:cs="宋体" w:eastAsia="宋体" w:hint="default"/>
                <w:sz w:val="18"/>
                <w:szCs w:val="18"/>
              </w:rPr>
              <w:t>事</w:t>
            </w:r>
          </w:p>
          <w:p>
            <w:pPr>
              <w:pStyle w:val="TableParagraph"/>
              <w:spacing w:line="234" w:lineRule="exact"/>
              <w:ind w:left="355" w:right="0"/>
              <w:jc w:val="left"/>
              <w:rPr>
                <w:rFonts w:ascii="宋体" w:hAnsi="宋体" w:cs="宋体" w:eastAsia="宋体" w:hint="default"/>
                <w:sz w:val="18"/>
                <w:szCs w:val="18"/>
              </w:rPr>
            </w:pPr>
            <w:r>
              <w:rPr>
                <w:rFonts w:ascii="宋体" w:hAnsi="宋体" w:cs="宋体" w:eastAsia="宋体" w:hint="default"/>
                <w:sz w:val="18"/>
                <w:szCs w:val="18"/>
              </w:rPr>
              <w:t>总 </w:t>
            </w:r>
            <w:r>
              <w:rPr>
                <w:rFonts w:ascii="宋体" w:hAnsi="宋体" w:cs="宋体" w:eastAsia="宋体" w:hint="default"/>
                <w:spacing w:val="3"/>
                <w:sz w:val="18"/>
                <w:szCs w:val="18"/>
              </w:rPr>
              <w:t> </w:t>
            </w:r>
            <w:r>
              <w:rPr>
                <w:rFonts w:ascii="宋体" w:hAnsi="宋体" w:cs="宋体" w:eastAsia="宋体" w:hint="default"/>
                <w:sz w:val="18"/>
                <w:szCs w:val="18"/>
              </w:rPr>
              <w:t>裁</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11" w:right="0"/>
              <w:jc w:val="left"/>
              <w:rPr>
                <w:rFonts w:ascii="宋体" w:hAnsi="宋体" w:cs="宋体" w:eastAsia="宋体" w:hint="default"/>
                <w:sz w:val="18"/>
                <w:szCs w:val="18"/>
              </w:rPr>
            </w:pPr>
            <w:r>
              <w:rPr>
                <w:rFonts w:ascii="宋体"/>
                <w:sz w:val="18"/>
              </w:rPr>
              <w:t>97.07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91.32</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赵福蕊</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董 </w:t>
            </w:r>
            <w:r>
              <w:rPr>
                <w:rFonts w:ascii="宋体" w:hAnsi="宋体" w:cs="宋体" w:eastAsia="宋体" w:hint="default"/>
                <w:spacing w:val="3"/>
                <w:sz w:val="18"/>
                <w:szCs w:val="18"/>
              </w:rPr>
              <w:t> </w:t>
            </w:r>
            <w:r>
              <w:rPr>
                <w:rFonts w:ascii="宋体" w:hAnsi="宋体" w:cs="宋体" w:eastAsia="宋体" w:hint="default"/>
                <w:sz w:val="18"/>
                <w:szCs w:val="18"/>
              </w:rPr>
              <w:t>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sz w:val="18"/>
              </w:rPr>
              <w:t>2.38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汤云为</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11" w:right="0"/>
              <w:jc w:val="left"/>
              <w:rPr>
                <w:rFonts w:ascii="宋体" w:hAnsi="宋体" w:cs="宋体" w:eastAsia="宋体" w:hint="default"/>
                <w:sz w:val="18"/>
                <w:szCs w:val="18"/>
              </w:rPr>
            </w:pPr>
            <w:r>
              <w:rPr>
                <w:rFonts w:ascii="宋体"/>
                <w:sz w:val="18"/>
              </w:rPr>
              <w:t>10.00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5.00</w:t>
            </w:r>
          </w:p>
        </w:tc>
        <w:tc>
          <w:tcPr>
            <w:tcW w:w="23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103" w:right="99"/>
              <w:jc w:val="both"/>
              <w:rPr>
                <w:rFonts w:ascii="宋体" w:hAnsi="宋体" w:cs="宋体" w:eastAsia="宋体" w:hint="default"/>
                <w:sz w:val="18"/>
                <w:szCs w:val="18"/>
              </w:rPr>
            </w:pPr>
            <w:r>
              <w:rPr>
                <w:rFonts w:ascii="宋体" w:hAnsi="宋体" w:cs="宋体" w:eastAsia="宋体" w:hint="default"/>
                <w:sz w:val="18"/>
                <w:szCs w:val="18"/>
              </w:rPr>
              <w:t>根据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年度股东大会决 </w:t>
            </w:r>
            <w:r>
              <w:rPr>
                <w:rFonts w:ascii="宋体" w:hAnsi="宋体" w:cs="宋体" w:eastAsia="宋体" w:hint="default"/>
                <w:spacing w:val="-4"/>
                <w:sz w:val="18"/>
                <w:szCs w:val="18"/>
              </w:rPr>
              <w:t>议，公司独立董事津贴调整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pacing w:val="-11"/>
                <w:sz w:val="18"/>
                <w:szCs w:val="18"/>
              </w:rPr>
              <w:t>万元</w:t>
            </w:r>
            <w:r>
              <w:rPr>
                <w:rFonts w:ascii="宋体" w:hAnsi="宋体" w:cs="宋体" w:eastAsia="宋体" w:hint="default"/>
                <w:spacing w:val="-11"/>
                <w:sz w:val="18"/>
                <w:szCs w:val="18"/>
              </w:rPr>
              <w:t>/</w:t>
            </w:r>
            <w:r>
              <w:rPr>
                <w:rFonts w:ascii="宋体" w:hAnsi="宋体" w:cs="宋体" w:eastAsia="宋体" w:hint="default"/>
                <w:spacing w:val="-11"/>
                <w:sz w:val="18"/>
                <w:szCs w:val="18"/>
              </w:rPr>
              <w:t>年（含税）。</w:t>
            </w: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刘素英</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11" w:right="0"/>
              <w:jc w:val="left"/>
              <w:rPr>
                <w:rFonts w:ascii="宋体" w:hAnsi="宋体" w:cs="宋体" w:eastAsia="宋体" w:hint="default"/>
                <w:sz w:val="18"/>
                <w:szCs w:val="18"/>
              </w:rPr>
            </w:pPr>
            <w:r>
              <w:rPr>
                <w:rFonts w:ascii="宋体"/>
                <w:sz w:val="18"/>
              </w:rPr>
              <w:t>10.00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5.00</w:t>
            </w:r>
          </w:p>
        </w:tc>
        <w:tc>
          <w:tcPr>
            <w:tcW w:w="2333" w:type="dxa"/>
            <w:vMerge/>
            <w:tcBorders>
              <w:left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钢</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11" w:right="0"/>
              <w:jc w:val="left"/>
              <w:rPr>
                <w:rFonts w:ascii="宋体" w:hAnsi="宋体" w:cs="宋体" w:eastAsia="宋体" w:hint="default"/>
                <w:sz w:val="18"/>
                <w:szCs w:val="18"/>
              </w:rPr>
            </w:pPr>
            <w:r>
              <w:rPr>
                <w:rFonts w:ascii="宋体"/>
                <w:sz w:val="18"/>
              </w:rPr>
              <w:t>10.00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5.00</w:t>
            </w:r>
          </w:p>
        </w:tc>
        <w:tc>
          <w:tcPr>
            <w:tcW w:w="2333" w:type="dxa"/>
            <w:vMerge/>
            <w:tcBorders>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敬</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sz w:val="18"/>
              </w:rPr>
              <w:t>8.76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8.87</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李保政</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pacing w:val="3"/>
                <w:sz w:val="18"/>
                <w:szCs w:val="18"/>
              </w:rPr>
              <w:t> </w:t>
            </w:r>
            <w:r>
              <w:rPr>
                <w:rFonts w:ascii="宋体" w:hAnsi="宋体" w:cs="宋体" w:eastAsia="宋体" w:hint="default"/>
                <w:sz w:val="18"/>
                <w:szCs w:val="18"/>
              </w:rPr>
              <w:t>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sz w:val="18"/>
              </w:rPr>
              <w:t>1.19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1.19</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王景涛</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pacing w:val="3"/>
                <w:sz w:val="18"/>
                <w:szCs w:val="18"/>
              </w:rPr>
              <w:t> </w:t>
            </w:r>
            <w:r>
              <w:rPr>
                <w:rFonts w:ascii="宋体" w:hAnsi="宋体" w:cs="宋体" w:eastAsia="宋体" w:hint="default"/>
                <w:sz w:val="18"/>
                <w:szCs w:val="18"/>
              </w:rPr>
              <w:t>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56" w:right="0"/>
              <w:jc w:val="left"/>
              <w:rPr>
                <w:rFonts w:ascii="宋体" w:hAnsi="宋体" w:cs="宋体" w:eastAsia="宋体" w:hint="default"/>
                <w:sz w:val="18"/>
                <w:szCs w:val="18"/>
              </w:rPr>
            </w:pPr>
            <w:r>
              <w:rPr>
                <w:rFonts w:ascii="宋体"/>
                <w:sz w:val="18"/>
              </w:rPr>
              <w:t>1.19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1.19</w:t>
            </w:r>
          </w:p>
        </w:tc>
        <w:tc>
          <w:tcPr>
            <w:tcW w:w="23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37" w:footer="1153" w:top="1060" w:bottom="1340" w:left="1500" w:right="0"/>
        </w:sectPr>
      </w:pPr>
    </w:p>
    <w:p>
      <w:pPr>
        <w:spacing w:line="240" w:lineRule="auto" w:before="6"/>
        <w:rPr>
          <w:rFonts w:ascii="宋体" w:hAnsi="宋体" w:cs="宋体" w:eastAsia="宋体" w:hint="default"/>
          <w:sz w:val="28"/>
          <w:szCs w:val="28"/>
        </w:rPr>
      </w:pPr>
    </w:p>
    <w:tbl>
      <w:tblPr>
        <w:tblW w:w="0" w:type="auto"/>
        <w:jc w:val="left"/>
        <w:tblInd w:w="959" w:type="dxa"/>
        <w:tblLayout w:type="fixed"/>
        <w:tblCellMar>
          <w:top w:w="0" w:type="dxa"/>
          <w:left w:w="0" w:type="dxa"/>
          <w:bottom w:w="0" w:type="dxa"/>
          <w:right w:w="0" w:type="dxa"/>
        </w:tblCellMar>
        <w:tblLook w:val="01E0"/>
      </w:tblPr>
      <w:tblGrid>
        <w:gridCol w:w="1181"/>
        <w:gridCol w:w="1263"/>
        <w:gridCol w:w="1483"/>
        <w:gridCol w:w="1616"/>
        <w:gridCol w:w="2333"/>
      </w:tblGrid>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唐国奇</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0" w:right="0"/>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46.25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43.73</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39.05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37.18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39.05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37.18</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37.02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35.15</w:t>
            </w:r>
          </w:p>
        </w:tc>
        <w:tc>
          <w:tcPr>
            <w:tcW w:w="23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齐利国</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36.97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35.09</w:t>
            </w:r>
          </w:p>
        </w:tc>
        <w:tc>
          <w:tcPr>
            <w:tcW w:w="23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spacing w:before="36"/>
        <w:ind w:left="822" w:right="0" w:firstLine="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董事、监事、高级管理人员报告期内被授予的股权激励情况</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737"/>
        <w:gridCol w:w="1008"/>
        <w:gridCol w:w="872"/>
        <w:gridCol w:w="871"/>
        <w:gridCol w:w="874"/>
        <w:gridCol w:w="872"/>
        <w:gridCol w:w="871"/>
        <w:gridCol w:w="874"/>
        <w:gridCol w:w="872"/>
        <w:gridCol w:w="871"/>
        <w:gridCol w:w="874"/>
      </w:tblGrid>
      <w:tr>
        <w:trPr>
          <w:trHeight w:val="943" w:hRule="exact"/>
        </w:trPr>
        <w:tc>
          <w:tcPr>
            <w:tcW w:w="737"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08"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2"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37" w:lineRule="auto" w:before="89"/>
              <w:ind w:left="69" w:right="70"/>
              <w:jc w:val="center"/>
              <w:rPr>
                <w:rFonts w:ascii="宋体" w:hAnsi="宋体" w:cs="宋体" w:eastAsia="宋体" w:hint="default"/>
                <w:sz w:val="18"/>
                <w:szCs w:val="18"/>
              </w:rPr>
            </w:pPr>
            <w:r>
              <w:rPr>
                <w:rFonts w:ascii="宋体" w:hAnsi="宋体" w:cs="宋体" w:eastAsia="宋体" w:hint="default"/>
                <w:sz w:val="18"/>
                <w:szCs w:val="18"/>
              </w:rPr>
              <w:t>期初持有 股票期权 数量</w:t>
            </w:r>
          </w:p>
        </w:tc>
        <w:tc>
          <w:tcPr>
            <w:tcW w:w="871"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37" w:lineRule="auto" w:before="89"/>
              <w:ind w:left="69" w:right="71"/>
              <w:jc w:val="both"/>
              <w:rPr>
                <w:rFonts w:ascii="宋体" w:hAnsi="宋体" w:cs="宋体" w:eastAsia="宋体" w:hint="default"/>
                <w:sz w:val="18"/>
                <w:szCs w:val="18"/>
              </w:rPr>
            </w:pPr>
            <w:r>
              <w:rPr>
                <w:rFonts w:ascii="宋体" w:hAnsi="宋体" w:cs="宋体" w:eastAsia="宋体" w:hint="default"/>
                <w:sz w:val="18"/>
                <w:szCs w:val="18"/>
              </w:rPr>
              <w:t>报告期新 授予股票 期权数量</w:t>
            </w:r>
          </w:p>
        </w:tc>
        <w:tc>
          <w:tcPr>
            <w:tcW w:w="874"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37" w:lineRule="auto" w:before="89"/>
              <w:ind w:left="72" w:right="71"/>
              <w:jc w:val="both"/>
              <w:rPr>
                <w:rFonts w:ascii="宋体" w:hAnsi="宋体" w:cs="宋体" w:eastAsia="宋体" w:hint="default"/>
                <w:sz w:val="18"/>
                <w:szCs w:val="18"/>
              </w:rPr>
            </w:pPr>
            <w:r>
              <w:rPr>
                <w:rFonts w:ascii="宋体" w:hAnsi="宋体" w:cs="宋体" w:eastAsia="宋体" w:hint="default"/>
                <w:sz w:val="18"/>
                <w:szCs w:val="18"/>
              </w:rPr>
              <w:t>报告期股 票期权行 权数量</w:t>
            </w:r>
          </w:p>
        </w:tc>
        <w:tc>
          <w:tcPr>
            <w:tcW w:w="872"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69" w:right="70"/>
              <w:jc w:val="left"/>
              <w:rPr>
                <w:rFonts w:ascii="宋体" w:hAnsi="宋体" w:cs="宋体" w:eastAsia="宋体" w:hint="default"/>
                <w:sz w:val="18"/>
                <w:szCs w:val="18"/>
              </w:rPr>
            </w:pPr>
            <w:r>
              <w:rPr>
                <w:rFonts w:ascii="宋体" w:hAnsi="宋体" w:cs="宋体" w:eastAsia="宋体" w:hint="default"/>
                <w:sz w:val="18"/>
                <w:szCs w:val="18"/>
              </w:rPr>
              <w:t>股票期权 行权价格</w:t>
            </w:r>
          </w:p>
        </w:tc>
        <w:tc>
          <w:tcPr>
            <w:tcW w:w="871"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37" w:lineRule="auto" w:before="89"/>
              <w:ind w:left="69" w:right="71"/>
              <w:jc w:val="center"/>
              <w:rPr>
                <w:rFonts w:ascii="宋体" w:hAnsi="宋体" w:cs="宋体" w:eastAsia="宋体" w:hint="default"/>
                <w:sz w:val="18"/>
                <w:szCs w:val="18"/>
              </w:rPr>
            </w:pPr>
            <w:r>
              <w:rPr>
                <w:rFonts w:ascii="宋体" w:hAnsi="宋体" w:cs="宋体" w:eastAsia="宋体" w:hint="default"/>
                <w:sz w:val="18"/>
                <w:szCs w:val="18"/>
              </w:rPr>
              <w:t>期末持有 股票期权 数量</w:t>
            </w:r>
          </w:p>
        </w:tc>
        <w:tc>
          <w:tcPr>
            <w:tcW w:w="874"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37" w:lineRule="auto" w:before="89"/>
              <w:ind w:left="71"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2"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报告期新</w:t>
            </w:r>
          </w:p>
          <w:p>
            <w:pPr>
              <w:pStyle w:val="TableParagraph"/>
              <w:spacing w:line="232" w:lineRule="exact" w:before="24"/>
              <w:ind w:left="69" w:right="70"/>
              <w:jc w:val="center"/>
              <w:rPr>
                <w:rFonts w:ascii="宋体" w:hAnsi="宋体" w:cs="宋体" w:eastAsia="宋体" w:hint="default"/>
                <w:sz w:val="18"/>
                <w:szCs w:val="18"/>
              </w:rPr>
            </w:pPr>
            <w:r>
              <w:rPr>
                <w:rFonts w:ascii="宋体" w:hAnsi="宋体" w:cs="宋体" w:eastAsia="宋体" w:hint="default"/>
                <w:sz w:val="18"/>
                <w:szCs w:val="18"/>
              </w:rPr>
              <w:t>授予限制 性股票数 量</w:t>
            </w:r>
          </w:p>
        </w:tc>
        <w:tc>
          <w:tcPr>
            <w:tcW w:w="871"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37" w:lineRule="auto" w:before="89"/>
              <w:ind w:left="69" w:right="71"/>
              <w:jc w:val="center"/>
              <w:rPr>
                <w:rFonts w:ascii="宋体" w:hAnsi="宋体" w:cs="宋体" w:eastAsia="宋体" w:hint="default"/>
                <w:sz w:val="18"/>
                <w:szCs w:val="18"/>
              </w:rPr>
            </w:pPr>
            <w:r>
              <w:rPr>
                <w:rFonts w:ascii="宋体" w:hAnsi="宋体" w:cs="宋体" w:eastAsia="宋体" w:hint="default"/>
                <w:sz w:val="18"/>
                <w:szCs w:val="18"/>
              </w:rPr>
              <w:t>限制性股 票的授予 价格</w:t>
            </w:r>
          </w:p>
        </w:tc>
        <w:tc>
          <w:tcPr>
            <w:tcW w:w="874"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37" w:lineRule="auto" w:before="89"/>
              <w:ind w:left="71"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7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郑理</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6" w:right="0" w:firstLine="88"/>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9.73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7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齐利国</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9.73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25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100,000</w:t>
            </w:r>
          </w:p>
        </w:tc>
      </w:tr>
    </w:tbl>
    <w:p>
      <w:pPr>
        <w:spacing w:line="240" w:lineRule="auto" w:before="11"/>
        <w:rPr>
          <w:rFonts w:ascii="宋体" w:hAnsi="宋体" w:cs="宋体" w:eastAsia="宋体" w:hint="default"/>
          <w:sz w:val="25"/>
          <w:szCs w:val="25"/>
        </w:rPr>
      </w:pPr>
    </w:p>
    <w:p>
      <w:pPr>
        <w:spacing w:line="355" w:lineRule="auto" w:before="36"/>
        <w:ind w:left="402"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（四）报告期内被选举或离任的董事和监事、以及聘任或解聘的高级管理人员姓名，及董事和监事</w:t>
      </w:r>
      <w:r>
        <w:rPr>
          <w:rFonts w:ascii="宋体" w:hAnsi="宋体" w:cs="宋体" w:eastAsia="宋体" w:hint="default"/>
          <w:b/>
          <w:bCs/>
          <w:spacing w:val="-48"/>
          <w:sz w:val="21"/>
          <w:szCs w:val="21"/>
        </w:rPr>
        <w:t> </w:t>
      </w:r>
      <w:r>
        <w:rPr>
          <w:rFonts w:ascii="宋体" w:hAnsi="宋体" w:cs="宋体" w:eastAsia="宋体" w:hint="default"/>
          <w:b/>
          <w:bCs/>
          <w:spacing w:val="-48"/>
          <w:sz w:val="21"/>
          <w:szCs w:val="21"/>
        </w:rPr>
      </w:r>
      <w:r>
        <w:rPr>
          <w:rFonts w:ascii="宋体" w:hAnsi="宋体" w:cs="宋体" w:eastAsia="宋体" w:hint="default"/>
          <w:b/>
          <w:bCs/>
          <w:sz w:val="21"/>
          <w:szCs w:val="21"/>
        </w:rPr>
        <w:t>离任和高级管理人员解聘原因。</w:t>
      </w:r>
      <w:r>
        <w:rPr>
          <w:rFonts w:ascii="宋体" w:hAnsi="宋体" w:cs="宋体" w:eastAsia="宋体" w:hint="default"/>
          <w:sz w:val="21"/>
          <w:szCs w:val="21"/>
        </w:rPr>
      </w:r>
    </w:p>
    <w:p>
      <w:pPr>
        <w:spacing w:before="32"/>
        <w:ind w:left="82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、报告期内无选举、聘任董事、监事和高级管理人员的情况</w:t>
      </w:r>
    </w:p>
    <w:p>
      <w:pPr>
        <w:spacing w:before="135"/>
        <w:ind w:left="82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、报告期内无董事、监事离职的情况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402" w:right="0" w:firstLine="0"/>
        <w:jc w:val="left"/>
        <w:rPr>
          <w:rFonts w:ascii="宋体" w:hAnsi="宋体" w:cs="宋体" w:eastAsia="宋体" w:hint="default"/>
          <w:sz w:val="21"/>
          <w:szCs w:val="21"/>
        </w:rPr>
      </w:pPr>
      <w:r>
        <w:rPr>
          <w:rFonts w:ascii="宋体" w:hAnsi="宋体" w:cs="宋体" w:eastAsia="宋体" w:hint="default"/>
          <w:b/>
          <w:bCs/>
          <w:sz w:val="21"/>
          <w:szCs w:val="21"/>
        </w:rPr>
        <w:t>二、员工情况</w:t>
      </w:r>
      <w:r>
        <w:rPr>
          <w:rFonts w:ascii="宋体" w:hAnsi="宋体" w:cs="宋体" w:eastAsia="宋体" w:hint="default"/>
          <w:sz w:val="21"/>
          <w:szCs w:val="21"/>
        </w:rPr>
      </w:r>
    </w:p>
    <w:p>
      <w:pPr>
        <w:spacing w:line="355" w:lineRule="auto" w:before="133"/>
        <w:ind w:left="822" w:right="2974" w:firstLine="0"/>
        <w:jc w:val="left"/>
        <w:rPr>
          <w:rFonts w:ascii="宋体" w:hAnsi="宋体" w:cs="宋体" w:eastAsia="宋体" w:hint="default"/>
          <w:sz w:val="21"/>
          <w:szCs w:val="21"/>
        </w:rPr>
      </w:pPr>
      <w:r>
        <w:rPr/>
        <w:pict>
          <v:shape style="position:absolute;margin-left:321.549988pt;margin-top:38.553669pt;width:206.62pt;height:173.27pt;mso-position-horizontal-relative:page;mso-position-vertical-relative:paragraph;z-index:-747904" type="#_x0000_t75" stroked="false">
            <v:imagedata r:id="rId16" o:title=""/>
          </v:shape>
        </w:pict>
      </w: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 </w:t>
      </w:r>
      <w:r>
        <w:rPr>
          <w:rFonts w:ascii="宋体" w:hAnsi="宋体" w:cs="宋体" w:eastAsia="宋体" w:hint="default"/>
          <w:sz w:val="21"/>
          <w:szCs w:val="21"/>
        </w:rPr>
        <w:t>日，本公司（含控股子公司）员工总数为 </w:t>
      </w:r>
      <w:r>
        <w:rPr>
          <w:rFonts w:ascii="宋体" w:hAnsi="宋体" w:cs="宋体" w:eastAsia="宋体" w:hint="default"/>
          <w:sz w:val="21"/>
          <w:szCs w:val="21"/>
        </w:rPr>
        <w:t>1557</w:t>
      </w:r>
      <w:r>
        <w:rPr>
          <w:rFonts w:ascii="宋体" w:hAnsi="宋体" w:cs="宋体" w:eastAsia="宋体" w:hint="default"/>
          <w:spacing w:val="-55"/>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、专业构成情况如下：</w:t>
      </w:r>
    </w:p>
    <w:p>
      <w:pPr>
        <w:spacing w:line="240" w:lineRule="auto" w:before="1"/>
        <w:rPr>
          <w:rFonts w:ascii="宋体" w:hAnsi="宋体" w:cs="宋体" w:eastAsia="宋体" w:hint="default"/>
          <w:sz w:val="15"/>
          <w:szCs w:val="15"/>
        </w:rPr>
      </w:pPr>
    </w:p>
    <w:tbl>
      <w:tblPr>
        <w:tblW w:w="0" w:type="auto"/>
        <w:jc w:val="left"/>
        <w:tblInd w:w="459" w:type="dxa"/>
        <w:tblLayout w:type="fixed"/>
        <w:tblCellMar>
          <w:top w:w="0" w:type="dxa"/>
          <w:left w:w="0" w:type="dxa"/>
          <w:bottom w:w="0" w:type="dxa"/>
          <w:right w:w="0" w:type="dxa"/>
        </w:tblCellMar>
        <w:tblLook w:val="01E0"/>
      </w:tblPr>
      <w:tblGrid>
        <w:gridCol w:w="1299"/>
        <w:gridCol w:w="1245"/>
        <w:gridCol w:w="2215"/>
      </w:tblGrid>
      <w:tr>
        <w:trPr>
          <w:trHeight w:val="311"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11" w:lineRule="exact"/>
              <w:ind w:right="57"/>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245" w:type="dxa"/>
            <w:tcBorders>
              <w:top w:val="nil" w:sz="6" w:space="0" w:color="auto"/>
              <w:left w:val="nil" w:sz="6" w:space="0" w:color="auto"/>
              <w:bottom w:val="nil" w:sz="6" w:space="0" w:color="auto"/>
              <w:right w:val="nil" w:sz="6" w:space="0" w:color="auto"/>
            </w:tcBorders>
          </w:tcPr>
          <w:p>
            <w:pPr>
              <w:pStyle w:val="TableParagraph"/>
              <w:spacing w:line="211" w:lineRule="exact"/>
              <w:ind w:left="113"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215" w:type="dxa"/>
            <w:tcBorders>
              <w:top w:val="nil" w:sz="6" w:space="0" w:color="auto"/>
              <w:left w:val="nil" w:sz="6" w:space="0" w:color="auto"/>
              <w:bottom w:val="nil" w:sz="6" w:space="0" w:color="auto"/>
              <w:right w:val="nil" w:sz="6" w:space="0" w:color="auto"/>
            </w:tcBorders>
          </w:tcPr>
          <w:p>
            <w:pPr>
              <w:pStyle w:val="TableParagraph"/>
              <w:spacing w:line="226" w:lineRule="exact"/>
              <w:ind w:right="54"/>
              <w:jc w:val="center"/>
              <w:rPr>
                <w:rFonts w:ascii="宋体" w:hAnsi="宋体" w:cs="宋体" w:eastAsia="宋体" w:hint="default"/>
                <w:sz w:val="21"/>
                <w:szCs w:val="21"/>
              </w:rPr>
            </w:pPr>
            <w:r>
              <w:rPr>
                <w:rFonts w:ascii="宋体" w:hAnsi="宋体" w:cs="宋体" w:eastAsia="宋体" w:hint="default"/>
                <w:b/>
                <w:bCs/>
                <w:sz w:val="21"/>
                <w:szCs w:val="21"/>
              </w:rPr>
              <w:t>占总人数比例（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64"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10" w:right="0"/>
              <w:jc w:val="center"/>
              <w:rPr>
                <w:rFonts w:ascii="Arial" w:hAnsi="Arial" w:cs="Arial" w:eastAsia="Arial" w:hint="default"/>
                <w:sz w:val="21"/>
                <w:szCs w:val="21"/>
              </w:rPr>
            </w:pPr>
            <w:r>
              <w:rPr>
                <w:rFonts w:ascii="Arial"/>
                <w:spacing w:val="-5"/>
                <w:sz w:val="21"/>
              </w:rPr>
              <w:t>711</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
              <w:jc w:val="center"/>
              <w:rPr>
                <w:rFonts w:ascii="Arial" w:hAnsi="Arial" w:cs="Arial" w:eastAsia="Arial" w:hint="default"/>
                <w:sz w:val="21"/>
                <w:szCs w:val="21"/>
              </w:rPr>
            </w:pPr>
            <w:r>
              <w:rPr>
                <w:rFonts w:ascii="Arial"/>
                <w:sz w:val="21"/>
              </w:rPr>
              <w:t>45.66%</w:t>
            </w:r>
          </w:p>
        </w:tc>
      </w:tr>
      <w:tr>
        <w:trPr>
          <w:trHeight w:val="329"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66" w:lineRule="exact"/>
              <w:ind w:right="54"/>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1" w:right="0"/>
              <w:jc w:val="center"/>
              <w:rPr>
                <w:rFonts w:ascii="Arial" w:hAnsi="Arial" w:cs="Arial" w:eastAsia="Arial" w:hint="default"/>
                <w:sz w:val="21"/>
                <w:szCs w:val="21"/>
              </w:rPr>
            </w:pPr>
            <w:r>
              <w:rPr>
                <w:rFonts w:ascii="Arial"/>
                <w:sz w:val="21"/>
              </w:rPr>
              <w:t>163</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9"/>
              <w:jc w:val="center"/>
              <w:rPr>
                <w:rFonts w:ascii="Arial" w:hAnsi="Arial" w:cs="Arial" w:eastAsia="Arial" w:hint="default"/>
                <w:sz w:val="21"/>
                <w:szCs w:val="21"/>
              </w:rPr>
            </w:pPr>
            <w:r>
              <w:rPr>
                <w:rFonts w:ascii="Arial"/>
                <w:sz w:val="21"/>
              </w:rPr>
              <w:t>10.47%</w:t>
            </w:r>
          </w:p>
        </w:tc>
      </w:tr>
      <w:tr>
        <w:trPr>
          <w:trHeight w:val="328"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66" w:lineRule="exact"/>
              <w:ind w:right="54"/>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1" w:right="0"/>
              <w:jc w:val="center"/>
              <w:rPr>
                <w:rFonts w:ascii="Arial" w:hAnsi="Arial" w:cs="Arial" w:eastAsia="Arial" w:hint="default"/>
                <w:sz w:val="21"/>
                <w:szCs w:val="21"/>
              </w:rPr>
            </w:pPr>
            <w:r>
              <w:rPr>
                <w:rFonts w:ascii="Arial"/>
                <w:sz w:val="21"/>
              </w:rPr>
              <w:t>473</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9"/>
              <w:jc w:val="center"/>
              <w:rPr>
                <w:rFonts w:ascii="Arial" w:hAnsi="Arial" w:cs="Arial" w:eastAsia="Arial" w:hint="default"/>
                <w:sz w:val="21"/>
                <w:szCs w:val="21"/>
              </w:rPr>
            </w:pPr>
            <w:r>
              <w:rPr>
                <w:rFonts w:ascii="Arial"/>
                <w:sz w:val="21"/>
              </w:rPr>
              <w:t>30.38%</w:t>
            </w:r>
          </w:p>
        </w:tc>
      </w:tr>
      <w:tr>
        <w:trPr>
          <w:trHeight w:val="329"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67" w:lineRule="exact"/>
              <w:ind w:right="54"/>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3" w:right="0"/>
              <w:jc w:val="center"/>
              <w:rPr>
                <w:rFonts w:ascii="Arial" w:hAnsi="Arial" w:cs="Arial" w:eastAsia="Arial" w:hint="default"/>
                <w:sz w:val="21"/>
                <w:szCs w:val="21"/>
              </w:rPr>
            </w:pPr>
            <w:r>
              <w:rPr>
                <w:rFonts w:ascii="Arial"/>
                <w:sz w:val="21"/>
              </w:rPr>
              <w:t>43</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
              <w:jc w:val="center"/>
              <w:rPr>
                <w:rFonts w:ascii="Arial" w:hAnsi="Arial" w:cs="Arial" w:eastAsia="Arial" w:hint="default"/>
                <w:sz w:val="21"/>
                <w:szCs w:val="21"/>
              </w:rPr>
            </w:pPr>
            <w:r>
              <w:rPr>
                <w:rFonts w:ascii="Arial"/>
                <w:sz w:val="21"/>
              </w:rPr>
              <w:t>2.76%</w:t>
            </w:r>
          </w:p>
        </w:tc>
      </w:tr>
      <w:tr>
        <w:trPr>
          <w:trHeight w:val="328"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67" w:lineRule="exact"/>
              <w:ind w:right="54"/>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1" w:right="0"/>
              <w:jc w:val="center"/>
              <w:rPr>
                <w:rFonts w:ascii="Arial" w:hAnsi="Arial" w:cs="Arial" w:eastAsia="Arial" w:hint="default"/>
                <w:sz w:val="21"/>
                <w:szCs w:val="21"/>
              </w:rPr>
            </w:pPr>
            <w:r>
              <w:rPr>
                <w:rFonts w:ascii="Arial"/>
                <w:sz w:val="21"/>
              </w:rPr>
              <w:t>167</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9"/>
              <w:jc w:val="center"/>
              <w:rPr>
                <w:rFonts w:ascii="Arial" w:hAnsi="Arial" w:cs="Arial" w:eastAsia="Arial" w:hint="default"/>
                <w:sz w:val="21"/>
                <w:szCs w:val="21"/>
              </w:rPr>
            </w:pPr>
            <w:r>
              <w:rPr>
                <w:rFonts w:ascii="Arial"/>
                <w:sz w:val="21"/>
              </w:rPr>
              <w:t>10.73%</w:t>
            </w:r>
          </w:p>
        </w:tc>
      </w:tr>
      <w:tr>
        <w:trPr>
          <w:trHeight w:val="274"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266" w:lineRule="exact"/>
              <w:ind w:right="52"/>
              <w:jc w:val="center"/>
              <w:rPr>
                <w:rFonts w:ascii="宋体" w:hAnsi="宋体" w:cs="宋体" w:eastAsia="宋体" w:hint="default"/>
                <w:sz w:val="21"/>
                <w:szCs w:val="21"/>
              </w:rPr>
            </w:pPr>
            <w:r>
              <w:rPr>
                <w:rFonts w:ascii="宋体" w:hAnsi="宋体" w:cs="宋体" w:eastAsia="宋体" w:hint="default"/>
                <w:sz w:val="21"/>
                <w:szCs w:val="21"/>
              </w:rPr>
              <w:t>合计</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3" w:right="0"/>
              <w:jc w:val="center"/>
              <w:rPr>
                <w:rFonts w:ascii="Arial" w:hAnsi="Arial" w:cs="Arial" w:eastAsia="Arial" w:hint="default"/>
                <w:sz w:val="21"/>
                <w:szCs w:val="21"/>
              </w:rPr>
            </w:pPr>
            <w:r>
              <w:rPr>
                <w:rFonts w:ascii="Arial"/>
                <w:sz w:val="21"/>
              </w:rPr>
              <w:t>1557</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9"/>
              <w:jc w:val="center"/>
              <w:rPr>
                <w:rFonts w:ascii="Arial" w:hAnsi="Arial" w:cs="Arial" w:eastAsia="Arial" w:hint="default"/>
                <w:sz w:val="21"/>
                <w:szCs w:val="21"/>
              </w:rPr>
            </w:pPr>
            <w:r>
              <w:rPr>
                <w:rFonts w:ascii="Arial"/>
                <w:sz w:val="21"/>
              </w:rPr>
              <w:t>100.00%</w:t>
            </w:r>
          </w:p>
        </w:tc>
      </w:tr>
    </w:tbl>
    <w:p>
      <w:pPr>
        <w:spacing w:after="0" w:line="240" w:lineRule="auto"/>
        <w:jc w:val="center"/>
        <w:rPr>
          <w:rFonts w:ascii="Arial" w:hAnsi="Arial" w:cs="Arial" w:eastAsia="Arial" w:hint="default"/>
          <w:sz w:val="21"/>
          <w:szCs w:val="21"/>
        </w:rPr>
        <w:sectPr>
          <w:pgSz w:w="11910" w:h="16840"/>
          <w:pgMar w:header="737" w:footer="1153" w:top="1060" w:bottom="1340" w:left="1220" w:right="0"/>
        </w:sectPr>
      </w:pPr>
    </w:p>
    <w:p>
      <w:pPr>
        <w:spacing w:line="240" w:lineRule="auto" w:before="2"/>
        <w:rPr>
          <w:rFonts w:ascii="宋体" w:hAnsi="宋体" w:cs="宋体" w:eastAsia="宋体" w:hint="default"/>
          <w:sz w:val="23"/>
          <w:szCs w:val="23"/>
        </w:rPr>
      </w:pPr>
    </w:p>
    <w:p>
      <w:pPr>
        <w:spacing w:before="36"/>
        <w:ind w:left="542" w:right="0" w:firstLine="0"/>
        <w:jc w:val="left"/>
        <w:rPr>
          <w:rFonts w:ascii="宋体" w:hAnsi="宋体" w:cs="宋体" w:eastAsia="宋体" w:hint="default"/>
          <w:sz w:val="21"/>
          <w:szCs w:val="21"/>
        </w:rPr>
      </w:pPr>
      <w:r>
        <w:rPr/>
        <w:pict>
          <v:shape style="position:absolute;margin-left:333.070007pt;margin-top:5.253657pt;width:203.5pt;height:146.25pt;mso-position-horizontal-relative:page;mso-position-vertical-relative:paragraph;z-index:-747880" type="#_x0000_t202" filled="false" stroked="false">
            <v:textbox inset="0,0,0,0">
              <w:txbxContent>
                <w:p>
                  <w:pPr>
                    <w:spacing w:line="240" w:lineRule="auto" w:before="9"/>
                    <w:rPr>
                      <w:rFonts w:ascii="宋体" w:hAnsi="宋体" w:cs="宋体" w:eastAsia="宋体" w:hint="default"/>
                      <w:sz w:val="17"/>
                      <w:szCs w:val="17"/>
                    </w:rPr>
                  </w:pPr>
                </w:p>
                <w:p>
                  <w:pPr>
                    <w:spacing w:before="0"/>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pict>
          <v:shape style="position:absolute;margin-left:341.920013pt;margin-top:5.253657pt;width:194.64pt;height:146.22pt;mso-position-horizontal-relative:page;mso-position-vertical-relative:paragraph;z-index:-747856" type="#_x0000_t75" stroked="false">
            <v:imagedata r:id="rId17" o:title=""/>
          </v:shape>
        </w:pict>
      </w:r>
      <w:r>
        <w:rPr>
          <w:rFonts w:ascii="宋体" w:hAnsi="宋体" w:cs="宋体" w:eastAsia="宋体" w:hint="default"/>
          <w:sz w:val="21"/>
          <w:szCs w:val="21"/>
        </w:rPr>
        <w:t>2</w:t>
      </w:r>
      <w:r>
        <w:rPr>
          <w:rFonts w:ascii="宋体" w:hAnsi="宋体" w:cs="宋体" w:eastAsia="宋体" w:hint="default"/>
          <w:sz w:val="21"/>
          <w:szCs w:val="21"/>
        </w:rPr>
        <w:t>、员工受教育程度构成如下：</w:t>
      </w:r>
    </w:p>
    <w:p>
      <w:pPr>
        <w:spacing w:line="240" w:lineRule="auto" w:before="11"/>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1931"/>
        <w:gridCol w:w="1265"/>
        <w:gridCol w:w="2236"/>
      </w:tblGrid>
      <w:tr>
        <w:trPr>
          <w:trHeight w:val="398"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
              <w:ind w:left="93"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236" w:type="dxa"/>
            <w:tcBorders>
              <w:top w:val="nil" w:sz="6" w:space="0" w:color="auto"/>
              <w:left w:val="nil" w:sz="6" w:space="0" w:color="auto"/>
              <w:bottom w:val="nil" w:sz="6" w:space="0" w:color="auto"/>
              <w:right w:val="nil" w:sz="6" w:space="0" w:color="auto"/>
            </w:tcBorders>
          </w:tcPr>
          <w:p>
            <w:pPr>
              <w:pStyle w:val="TableParagraph"/>
              <w:spacing w:line="226" w:lineRule="exact"/>
              <w:ind w:left="163" w:right="0"/>
              <w:jc w:val="left"/>
              <w:rPr>
                <w:rFonts w:ascii="Arial" w:hAnsi="Arial" w:cs="Arial" w:eastAsia="Arial" w:hint="default"/>
                <w:sz w:val="21"/>
                <w:szCs w:val="21"/>
              </w:rPr>
            </w:pPr>
            <w:r>
              <w:rPr>
                <w:rFonts w:ascii="宋体" w:hAnsi="宋体" w:cs="宋体" w:eastAsia="宋体" w:hint="default"/>
                <w:b/>
                <w:bCs/>
                <w:sz w:val="21"/>
                <w:szCs w:val="21"/>
              </w:rPr>
              <w:t>占总人数比例（</w:t>
            </w:r>
            <w:r>
              <w:rPr>
                <w:rFonts w:ascii="Arial" w:hAnsi="Arial" w:cs="Arial" w:eastAsia="Arial" w:hint="default"/>
                <w:b/>
                <w:bCs/>
                <w:sz w:val="21"/>
                <w:szCs w:val="21"/>
              </w:rPr>
              <w:t>%</w:t>
            </w:r>
            <w:r>
              <w:rPr>
                <w:rFonts w:ascii="Arial" w:hAnsi="Arial" w:cs="Arial" w:eastAsia="Arial" w:hint="default"/>
                <w:sz w:val="21"/>
                <w:szCs w:val="21"/>
              </w:rPr>
            </w:r>
          </w:p>
        </w:tc>
      </w:tr>
      <w:tr>
        <w:trPr>
          <w:trHeight w:val="459"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6"/>
              <w:jc w:val="center"/>
              <w:rPr>
                <w:rFonts w:ascii="宋体" w:hAnsi="宋体" w:cs="宋体" w:eastAsia="宋体" w:hint="default"/>
                <w:sz w:val="21"/>
                <w:szCs w:val="21"/>
              </w:rPr>
            </w:pPr>
            <w:r>
              <w:rPr>
                <w:rFonts w:ascii="宋体" w:hAnsi="宋体" w:cs="宋体" w:eastAsia="宋体" w:hint="default"/>
                <w:sz w:val="21"/>
                <w:szCs w:val="21"/>
              </w:rPr>
              <w:t>本科及本科以上</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96" w:right="0"/>
              <w:jc w:val="center"/>
              <w:rPr>
                <w:rFonts w:ascii="Arial" w:hAnsi="Arial" w:cs="Arial" w:eastAsia="Arial" w:hint="default"/>
                <w:sz w:val="21"/>
                <w:szCs w:val="21"/>
              </w:rPr>
            </w:pPr>
            <w:r>
              <w:rPr>
                <w:rFonts w:ascii="Arial"/>
                <w:sz w:val="21"/>
              </w:rPr>
              <w:t>361</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43" w:right="0"/>
              <w:jc w:val="left"/>
              <w:rPr>
                <w:rFonts w:ascii="Arial" w:hAnsi="Arial" w:cs="Arial" w:eastAsia="Arial" w:hint="default"/>
                <w:sz w:val="21"/>
                <w:szCs w:val="21"/>
              </w:rPr>
            </w:pPr>
            <w:r>
              <w:rPr>
                <w:rFonts w:ascii="Arial"/>
                <w:sz w:val="21"/>
              </w:rPr>
              <w:t>23.19%</w:t>
            </w:r>
          </w:p>
        </w:tc>
      </w:tr>
      <w:tr>
        <w:trPr>
          <w:trHeight w:val="456"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center"/>
              <w:rPr>
                <w:rFonts w:ascii="宋体" w:hAnsi="宋体" w:cs="宋体" w:eastAsia="宋体" w:hint="default"/>
                <w:sz w:val="21"/>
                <w:szCs w:val="21"/>
              </w:rPr>
            </w:pPr>
            <w:r>
              <w:rPr>
                <w:rFonts w:ascii="宋体" w:hAnsi="宋体" w:cs="宋体" w:eastAsia="宋体" w:hint="default"/>
                <w:sz w:val="21"/>
                <w:szCs w:val="21"/>
              </w:rPr>
              <w:t>大专</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6" w:right="0"/>
              <w:jc w:val="center"/>
              <w:rPr>
                <w:rFonts w:ascii="Arial" w:hAnsi="Arial" w:cs="Arial" w:eastAsia="Arial" w:hint="default"/>
                <w:sz w:val="21"/>
                <w:szCs w:val="21"/>
              </w:rPr>
            </w:pPr>
            <w:r>
              <w:rPr>
                <w:rFonts w:ascii="Arial"/>
                <w:sz w:val="21"/>
              </w:rPr>
              <w:t>450</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43" w:right="0"/>
              <w:jc w:val="left"/>
              <w:rPr>
                <w:rFonts w:ascii="Arial" w:hAnsi="Arial" w:cs="Arial" w:eastAsia="Arial" w:hint="default"/>
                <w:sz w:val="21"/>
                <w:szCs w:val="21"/>
              </w:rPr>
            </w:pPr>
            <w:r>
              <w:rPr>
                <w:rFonts w:ascii="Arial"/>
                <w:sz w:val="21"/>
              </w:rPr>
              <w:t>28.90%</w:t>
            </w:r>
          </w:p>
        </w:tc>
      </w:tr>
      <w:tr>
        <w:trPr>
          <w:trHeight w:val="456"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7"/>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6" w:right="0"/>
              <w:jc w:val="center"/>
              <w:rPr>
                <w:rFonts w:ascii="Arial" w:hAnsi="Arial" w:cs="Arial" w:eastAsia="Arial" w:hint="default"/>
                <w:sz w:val="21"/>
                <w:szCs w:val="21"/>
              </w:rPr>
            </w:pPr>
            <w:r>
              <w:rPr>
                <w:rFonts w:ascii="Arial"/>
                <w:sz w:val="21"/>
              </w:rPr>
              <w:t>746</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43" w:right="0"/>
              <w:jc w:val="left"/>
              <w:rPr>
                <w:rFonts w:ascii="Arial" w:hAnsi="Arial" w:cs="Arial" w:eastAsia="Arial" w:hint="default"/>
                <w:sz w:val="21"/>
                <w:szCs w:val="21"/>
              </w:rPr>
            </w:pPr>
            <w:r>
              <w:rPr>
                <w:rFonts w:ascii="Arial"/>
                <w:sz w:val="21"/>
              </w:rPr>
              <w:t>47.91%</w:t>
            </w:r>
          </w:p>
        </w:tc>
      </w:tr>
      <w:tr>
        <w:trPr>
          <w:trHeight w:val="336" w:hRule="exact"/>
        </w:trPr>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center"/>
              <w:rPr>
                <w:rFonts w:ascii="宋体" w:hAnsi="宋体" w:cs="宋体" w:eastAsia="宋体" w:hint="default"/>
                <w:sz w:val="21"/>
                <w:szCs w:val="21"/>
              </w:rPr>
            </w:pPr>
            <w:r>
              <w:rPr>
                <w:rFonts w:ascii="宋体" w:hAnsi="宋体" w:cs="宋体" w:eastAsia="宋体" w:hint="default"/>
                <w:sz w:val="21"/>
                <w:szCs w:val="21"/>
              </w:rPr>
              <w:t>合计</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3" w:right="0"/>
              <w:jc w:val="center"/>
              <w:rPr>
                <w:rFonts w:ascii="Arial" w:hAnsi="Arial" w:cs="Arial" w:eastAsia="Arial" w:hint="default"/>
                <w:sz w:val="21"/>
                <w:szCs w:val="21"/>
              </w:rPr>
            </w:pPr>
            <w:r>
              <w:rPr>
                <w:rFonts w:ascii="Arial"/>
                <w:sz w:val="21"/>
              </w:rPr>
              <w:t>1557</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86" w:right="0"/>
              <w:jc w:val="left"/>
              <w:rPr>
                <w:rFonts w:ascii="Arial" w:hAnsi="Arial" w:cs="Arial" w:eastAsia="Arial" w:hint="default"/>
                <w:sz w:val="21"/>
                <w:szCs w:val="21"/>
              </w:rPr>
            </w:pPr>
            <w:r>
              <w:rPr>
                <w:rFonts w:ascii="Arial"/>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4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、本公司没有需承担费用的离退休员工。</w:t>
      </w:r>
    </w:p>
    <w:p>
      <w:pPr>
        <w:spacing w:after="0"/>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tabs>
          <w:tab w:pos="4697" w:val="left" w:leader="none"/>
        </w:tabs>
        <w:spacing w:line="240" w:lineRule="auto"/>
        <w:ind w:left="3341" w:right="0"/>
        <w:jc w:val="left"/>
        <w:rPr>
          <w:b w:val="0"/>
          <w:bCs w:val="0"/>
        </w:rPr>
      </w:pPr>
      <w:bookmarkStart w:name="_TOC_250007" w:id="5"/>
      <w:r>
        <w:rPr>
          <w:w w:val="95"/>
        </w:rPr>
        <w:t>第五节</w:t>
        <w:tab/>
      </w:r>
      <w:r>
        <w:rPr/>
        <w:t>公司治理</w:t>
      </w:r>
      <w:bookmarkEnd w:id="5"/>
      <w:r>
        <w:rPr>
          <w:b w:val="0"/>
          <w:bCs w:val="0"/>
        </w:rPr>
      </w:r>
    </w:p>
    <w:p>
      <w:pPr>
        <w:spacing w:line="240" w:lineRule="auto" w:before="0"/>
        <w:rPr>
          <w:rFonts w:ascii="宋体" w:hAnsi="宋体" w:cs="宋体" w:eastAsia="宋体" w:hint="default"/>
          <w:b/>
          <w:bCs/>
          <w:sz w:val="27"/>
          <w:szCs w:val="27"/>
        </w:rPr>
      </w:pPr>
    </w:p>
    <w:p>
      <w:pPr>
        <w:spacing w:line="355" w:lineRule="auto" w:before="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一、公司治理基本情况</w:t>
      </w:r>
      <w:r>
        <w:rPr>
          <w:rFonts w:ascii="宋体" w:hAnsi="宋体" w:cs="宋体" w:eastAsia="宋体" w:hint="default"/>
          <w:b/>
          <w:bCs/>
          <w:spacing w:val="-3"/>
          <w:w w:val="100"/>
          <w:sz w:val="21"/>
          <w:szCs w:val="21"/>
        </w:rPr>
        <w:t> </w:t>
      </w:r>
      <w:r>
        <w:rPr>
          <w:rFonts w:ascii="宋体" w:hAnsi="宋体" w:cs="宋体" w:eastAsia="宋体" w:hint="default"/>
          <w:spacing w:val="-16"/>
          <w:w w:val="100"/>
          <w:sz w:val="21"/>
          <w:szCs w:val="21"/>
        </w:rPr>
        <w:t>公司严格按照《公司法》、《证券法》、《上市公司治理准则》、《深圳证券交易所股票上市规则》</w:t>
      </w:r>
    </w:p>
    <w:p>
      <w:pPr>
        <w:spacing w:line="357" w:lineRule="auto" w:before="32"/>
        <w:ind w:left="122" w:right="1279" w:firstLine="0"/>
        <w:jc w:val="both"/>
        <w:rPr>
          <w:rFonts w:ascii="宋体" w:hAnsi="宋体" w:cs="宋体" w:eastAsia="宋体" w:hint="default"/>
          <w:sz w:val="21"/>
          <w:szCs w:val="21"/>
        </w:rPr>
      </w:pPr>
      <w:r>
        <w:rPr>
          <w:rFonts w:ascii="宋体" w:hAnsi="宋体" w:cs="宋体" w:eastAsia="宋体" w:hint="default"/>
          <w:spacing w:val="-3"/>
          <w:sz w:val="21"/>
          <w:szCs w:val="21"/>
        </w:rPr>
        <w:t>和中国证监会及深圳证券交易所颁布的其他相关法律法规的要求，制定《公司章程》及其他内部控</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制规章制度，完善公司内部法人治理结构，健全内部管理制度，规范公司行为。公司的治理结构符</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合中国证监会关于上市公司治理的相关规范性文件。</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经股东大会或董事会审议通过的正在执行的制度如下：</w:t>
      </w:r>
    </w:p>
    <w:p>
      <w:pPr>
        <w:spacing w:line="240" w:lineRule="auto" w:before="1"/>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957"/>
        <w:gridCol w:w="5176"/>
      </w:tblGrid>
      <w:tr>
        <w:trPr>
          <w:trHeight w:val="24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11" w:lineRule="exact"/>
              <w:ind w:right="132"/>
              <w:jc w:val="center"/>
              <w:rPr>
                <w:rFonts w:ascii="宋体" w:hAnsi="宋体" w:cs="宋体" w:eastAsia="宋体" w:hint="default"/>
                <w:sz w:val="21"/>
                <w:szCs w:val="21"/>
              </w:rPr>
            </w:pPr>
            <w:r>
              <w:rPr>
                <w:rFonts w:ascii="宋体" w:hAnsi="宋体" w:cs="宋体" w:eastAsia="宋体" w:hint="default"/>
                <w:sz w:val="21"/>
                <w:szCs w:val="21"/>
              </w:rPr>
              <w:t>序号</w:t>
            </w:r>
          </w:p>
        </w:tc>
        <w:tc>
          <w:tcPr>
            <w:tcW w:w="5176" w:type="dxa"/>
            <w:tcBorders>
              <w:top w:val="nil" w:sz="6" w:space="0" w:color="auto"/>
              <w:left w:val="nil" w:sz="6" w:space="0" w:color="auto"/>
              <w:bottom w:val="nil" w:sz="6" w:space="0" w:color="auto"/>
              <w:right w:val="nil" w:sz="6" w:space="0" w:color="auto"/>
            </w:tcBorders>
          </w:tcPr>
          <w:p>
            <w:pPr>
              <w:pStyle w:val="TableParagraph"/>
              <w:spacing w:line="211" w:lineRule="exact"/>
              <w:ind w:left="2939" w:right="0"/>
              <w:jc w:val="left"/>
              <w:rPr>
                <w:rFonts w:ascii="宋体" w:hAnsi="宋体" w:cs="宋体" w:eastAsia="宋体" w:hint="default"/>
                <w:sz w:val="21"/>
                <w:szCs w:val="21"/>
              </w:rPr>
            </w:pPr>
            <w:r>
              <w:rPr>
                <w:rFonts w:ascii="宋体" w:hAnsi="宋体" w:cs="宋体" w:eastAsia="宋体" w:hint="default"/>
                <w:sz w:val="21"/>
                <w:szCs w:val="21"/>
              </w:rPr>
              <w:t>制度名称</w:t>
            </w:r>
          </w:p>
        </w:tc>
      </w:tr>
      <w:tr>
        <w:trPr>
          <w:trHeight w:val="273"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宋体" w:hAnsi="宋体" w:cs="宋体" w:eastAsia="宋体" w:hint="default"/>
                <w:sz w:val="21"/>
                <w:szCs w:val="21"/>
              </w:rPr>
            </w:pPr>
            <w:r>
              <w:rPr>
                <w:rFonts w:ascii="宋体"/>
                <w:w w:val="100"/>
                <w:sz w:val="21"/>
              </w:rPr>
              <w:t>1</w:t>
            </w:r>
          </w:p>
        </w:tc>
        <w:tc>
          <w:tcPr>
            <w:tcW w:w="5176" w:type="dxa"/>
            <w:tcBorders>
              <w:top w:val="nil" w:sz="6" w:space="0" w:color="auto"/>
              <w:left w:val="nil" w:sz="6" w:space="0" w:color="auto"/>
              <w:bottom w:val="nil" w:sz="6" w:space="0" w:color="auto"/>
              <w:right w:val="nil" w:sz="6" w:space="0" w:color="auto"/>
            </w:tcBorders>
          </w:tcPr>
          <w:p>
            <w:pPr>
              <w:pStyle w:val="TableParagraph"/>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章程</w:t>
            </w:r>
          </w:p>
        </w:tc>
      </w:tr>
      <w:tr>
        <w:trPr>
          <w:trHeight w:val="275"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center"/>
              <w:rPr>
                <w:rFonts w:ascii="宋体" w:hAnsi="宋体" w:cs="宋体" w:eastAsia="宋体" w:hint="default"/>
                <w:sz w:val="21"/>
                <w:szCs w:val="21"/>
              </w:rPr>
            </w:pPr>
            <w:r>
              <w:rPr>
                <w:rFonts w:ascii="宋体"/>
                <w:w w:val="100"/>
                <w:sz w:val="21"/>
              </w:rPr>
              <w:t>2</w:t>
            </w:r>
          </w:p>
        </w:tc>
        <w:tc>
          <w:tcPr>
            <w:tcW w:w="5176" w:type="dxa"/>
            <w:tcBorders>
              <w:top w:val="nil" w:sz="6" w:space="0" w:color="auto"/>
              <w:left w:val="nil" w:sz="6" w:space="0" w:color="auto"/>
              <w:bottom w:val="nil" w:sz="6" w:space="0" w:color="auto"/>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r>
      <w:tr>
        <w:trPr>
          <w:trHeight w:val="30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59" w:lineRule="exact"/>
              <w:ind w:right="132"/>
              <w:jc w:val="center"/>
              <w:rPr>
                <w:rFonts w:ascii="宋体" w:hAnsi="宋体" w:cs="宋体" w:eastAsia="宋体" w:hint="default"/>
                <w:sz w:val="21"/>
                <w:szCs w:val="21"/>
              </w:rPr>
            </w:pPr>
            <w:r>
              <w:rPr>
                <w:rFonts w:ascii="宋体"/>
                <w:w w:val="100"/>
                <w:sz w:val="21"/>
              </w:rPr>
              <w:t>3</w:t>
            </w:r>
          </w:p>
        </w:tc>
        <w:tc>
          <w:tcPr>
            <w:tcW w:w="5176" w:type="dxa"/>
            <w:tcBorders>
              <w:top w:val="nil" w:sz="6" w:space="0" w:color="auto"/>
              <w:left w:val="nil" w:sz="6" w:space="0" w:color="auto"/>
              <w:bottom w:val="nil" w:sz="6" w:space="0" w:color="auto"/>
              <w:right w:val="nil" w:sz="6" w:space="0" w:color="auto"/>
            </w:tcBorders>
          </w:tcPr>
          <w:p>
            <w:pPr>
              <w:pStyle w:val="TableParagraph"/>
              <w:spacing w:line="273" w:lineRule="exact"/>
              <w:ind w:left="334" w:right="0"/>
              <w:jc w:val="left"/>
              <w:rPr>
                <w:rFonts w:ascii="宋体" w:hAnsi="宋体" w:cs="宋体" w:eastAsia="宋体" w:hint="default"/>
                <w:sz w:val="24"/>
                <w:szCs w:val="24"/>
              </w:rPr>
            </w:pPr>
            <w:hyperlink r:id="rId18">
              <w:r>
                <w:rPr>
                  <w:rFonts w:ascii="宋体" w:hAnsi="宋体" w:cs="宋体" w:eastAsia="宋体" w:hint="default"/>
                  <w:sz w:val="24"/>
                  <w:szCs w:val="24"/>
                </w:rPr>
                <w:t>董事会议事规则</w:t>
              </w:r>
            </w:hyperlink>
          </w:p>
        </w:tc>
      </w:tr>
      <w:tr>
        <w:trPr>
          <w:trHeight w:val="275"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4" w:lineRule="exact"/>
              <w:ind w:right="132"/>
              <w:jc w:val="center"/>
              <w:rPr>
                <w:rFonts w:ascii="宋体" w:hAnsi="宋体" w:cs="宋体" w:eastAsia="宋体" w:hint="default"/>
                <w:sz w:val="21"/>
                <w:szCs w:val="21"/>
              </w:rPr>
            </w:pPr>
            <w:r>
              <w:rPr>
                <w:rFonts w:ascii="宋体"/>
                <w:w w:val="100"/>
                <w:sz w:val="21"/>
              </w:rPr>
              <w:t>4</w:t>
            </w:r>
          </w:p>
        </w:tc>
        <w:tc>
          <w:tcPr>
            <w:tcW w:w="5176" w:type="dxa"/>
            <w:tcBorders>
              <w:top w:val="nil" w:sz="6" w:space="0" w:color="auto"/>
              <w:left w:val="nil" w:sz="6" w:space="0" w:color="auto"/>
              <w:bottom w:val="nil" w:sz="6" w:space="0" w:color="auto"/>
              <w:right w:val="nil" w:sz="6" w:space="0" w:color="auto"/>
            </w:tcBorders>
          </w:tcPr>
          <w:p>
            <w:pPr>
              <w:pStyle w:val="TableParagraph"/>
              <w:spacing w:line="244" w:lineRule="exact"/>
              <w:ind w:left="334"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宋体" w:hAnsi="宋体" w:cs="宋体" w:eastAsia="宋体" w:hint="default"/>
                <w:sz w:val="21"/>
                <w:szCs w:val="21"/>
              </w:rPr>
            </w:pPr>
            <w:r>
              <w:rPr>
                <w:rFonts w:ascii="宋体"/>
                <w:w w:val="100"/>
                <w:sz w:val="21"/>
              </w:rPr>
              <w:t>5</w:t>
            </w:r>
          </w:p>
        </w:tc>
        <w:tc>
          <w:tcPr>
            <w:tcW w:w="5176" w:type="dxa"/>
            <w:tcBorders>
              <w:top w:val="nil" w:sz="6" w:space="0" w:color="auto"/>
              <w:left w:val="nil" w:sz="6" w:space="0" w:color="auto"/>
              <w:bottom w:val="nil" w:sz="6" w:space="0" w:color="auto"/>
              <w:right w:val="nil" w:sz="6" w:space="0" w:color="auto"/>
            </w:tcBorders>
          </w:tcPr>
          <w:p>
            <w:pPr>
              <w:pStyle w:val="TableParagraph"/>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center"/>
              <w:rPr>
                <w:rFonts w:ascii="宋体" w:hAnsi="宋体" w:cs="宋体" w:eastAsia="宋体" w:hint="default"/>
                <w:sz w:val="21"/>
                <w:szCs w:val="21"/>
              </w:rPr>
            </w:pPr>
            <w:r>
              <w:rPr>
                <w:rFonts w:ascii="宋体"/>
                <w:w w:val="100"/>
                <w:sz w:val="21"/>
              </w:rPr>
              <w:t>6</w:t>
            </w:r>
          </w:p>
        </w:tc>
        <w:tc>
          <w:tcPr>
            <w:tcW w:w="5176" w:type="dxa"/>
            <w:tcBorders>
              <w:top w:val="nil" w:sz="6" w:space="0" w:color="auto"/>
              <w:left w:val="nil" w:sz="6" w:space="0" w:color="auto"/>
              <w:bottom w:val="nil" w:sz="6" w:space="0" w:color="auto"/>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宋体" w:hAnsi="宋体" w:cs="宋体" w:eastAsia="宋体" w:hint="default"/>
                <w:sz w:val="21"/>
                <w:szCs w:val="21"/>
              </w:rPr>
            </w:pPr>
            <w:r>
              <w:rPr>
                <w:rFonts w:ascii="宋体"/>
                <w:w w:val="100"/>
                <w:sz w:val="21"/>
              </w:rPr>
              <w:t>7</w:t>
            </w:r>
          </w:p>
        </w:tc>
        <w:tc>
          <w:tcPr>
            <w:tcW w:w="5176" w:type="dxa"/>
            <w:tcBorders>
              <w:top w:val="nil" w:sz="6" w:space="0" w:color="auto"/>
              <w:left w:val="nil" w:sz="6" w:space="0" w:color="auto"/>
              <w:bottom w:val="nil" w:sz="6" w:space="0" w:color="auto"/>
              <w:right w:val="nil" w:sz="6" w:space="0" w:color="auto"/>
            </w:tcBorders>
          </w:tcPr>
          <w:p>
            <w:pPr>
              <w:pStyle w:val="TableParagraph"/>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独立董事制度</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center"/>
              <w:rPr>
                <w:rFonts w:ascii="宋体" w:hAnsi="宋体" w:cs="宋体" w:eastAsia="宋体" w:hint="default"/>
                <w:sz w:val="21"/>
                <w:szCs w:val="21"/>
              </w:rPr>
            </w:pPr>
            <w:r>
              <w:rPr>
                <w:rFonts w:ascii="宋体"/>
                <w:w w:val="100"/>
                <w:sz w:val="21"/>
              </w:rPr>
              <w:t>8</w:t>
            </w:r>
          </w:p>
        </w:tc>
        <w:tc>
          <w:tcPr>
            <w:tcW w:w="5176" w:type="dxa"/>
            <w:tcBorders>
              <w:top w:val="nil" w:sz="6" w:space="0" w:color="auto"/>
              <w:left w:val="nil" w:sz="6" w:space="0" w:color="auto"/>
              <w:bottom w:val="nil" w:sz="6" w:space="0" w:color="auto"/>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关联交易管理办法</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宋体" w:hAnsi="宋体" w:cs="宋体" w:eastAsia="宋体" w:hint="default"/>
                <w:sz w:val="21"/>
                <w:szCs w:val="21"/>
              </w:rPr>
            </w:pPr>
            <w:r>
              <w:rPr>
                <w:rFonts w:ascii="宋体"/>
                <w:w w:val="100"/>
                <w:sz w:val="21"/>
              </w:rPr>
              <w:t>9</w:t>
            </w:r>
          </w:p>
        </w:tc>
        <w:tc>
          <w:tcPr>
            <w:tcW w:w="5176" w:type="dxa"/>
            <w:tcBorders>
              <w:top w:val="nil" w:sz="6" w:space="0" w:color="auto"/>
              <w:left w:val="nil" w:sz="6" w:space="0" w:color="auto"/>
              <w:bottom w:val="nil" w:sz="6" w:space="0" w:color="auto"/>
              <w:right w:val="nil" w:sz="6" w:space="0" w:color="auto"/>
            </w:tcBorders>
          </w:tcPr>
          <w:p>
            <w:pPr>
              <w:pStyle w:val="TableParagraph"/>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控股股东行为规范</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center"/>
              <w:rPr>
                <w:rFonts w:ascii="宋体" w:hAnsi="宋体" w:cs="宋体" w:eastAsia="宋体" w:hint="default"/>
                <w:sz w:val="21"/>
                <w:szCs w:val="21"/>
              </w:rPr>
            </w:pPr>
            <w:r>
              <w:rPr>
                <w:rFonts w:ascii="宋体"/>
                <w:sz w:val="21"/>
              </w:rPr>
              <w:t>10</w:t>
            </w:r>
          </w:p>
        </w:tc>
        <w:tc>
          <w:tcPr>
            <w:tcW w:w="5176" w:type="dxa"/>
            <w:tcBorders>
              <w:top w:val="nil" w:sz="6" w:space="0" w:color="auto"/>
              <w:left w:val="nil" w:sz="6" w:space="0" w:color="auto"/>
              <w:bottom w:val="nil" w:sz="6" w:space="0" w:color="auto"/>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宋体" w:hAnsi="宋体" w:cs="宋体" w:eastAsia="宋体" w:hint="default"/>
                <w:sz w:val="21"/>
                <w:szCs w:val="21"/>
              </w:rPr>
            </w:pPr>
            <w:r>
              <w:rPr>
                <w:rFonts w:ascii="宋体"/>
                <w:sz w:val="21"/>
              </w:rPr>
              <w:t>11</w:t>
            </w:r>
          </w:p>
        </w:tc>
        <w:tc>
          <w:tcPr>
            <w:tcW w:w="5176" w:type="dxa"/>
            <w:tcBorders>
              <w:top w:val="nil" w:sz="6" w:space="0" w:color="auto"/>
              <w:left w:val="nil" w:sz="6" w:space="0" w:color="auto"/>
              <w:bottom w:val="nil" w:sz="6" w:space="0" w:color="auto"/>
              <w:right w:val="nil" w:sz="6" w:space="0" w:color="auto"/>
            </w:tcBorders>
          </w:tcPr>
          <w:p>
            <w:pPr>
              <w:pStyle w:val="TableParagraph"/>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重大投资决策程序</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center"/>
              <w:rPr>
                <w:rFonts w:ascii="宋体" w:hAnsi="宋体" w:cs="宋体" w:eastAsia="宋体" w:hint="default"/>
                <w:sz w:val="21"/>
                <w:szCs w:val="21"/>
              </w:rPr>
            </w:pPr>
            <w:r>
              <w:rPr>
                <w:rFonts w:ascii="宋体"/>
                <w:sz w:val="21"/>
              </w:rPr>
              <w:t>12</w:t>
            </w:r>
          </w:p>
        </w:tc>
        <w:tc>
          <w:tcPr>
            <w:tcW w:w="5176" w:type="dxa"/>
            <w:tcBorders>
              <w:top w:val="nil" w:sz="6" w:space="0" w:color="auto"/>
              <w:left w:val="nil" w:sz="6" w:space="0" w:color="auto"/>
              <w:bottom w:val="nil" w:sz="6" w:space="0" w:color="auto"/>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内部审计制度</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center"/>
              <w:rPr>
                <w:rFonts w:ascii="宋体" w:hAnsi="宋体" w:cs="宋体" w:eastAsia="宋体" w:hint="default"/>
                <w:sz w:val="21"/>
                <w:szCs w:val="21"/>
              </w:rPr>
            </w:pPr>
            <w:r>
              <w:rPr>
                <w:rFonts w:ascii="宋体"/>
                <w:sz w:val="21"/>
              </w:rPr>
              <w:t>13</w:t>
            </w:r>
          </w:p>
        </w:tc>
        <w:tc>
          <w:tcPr>
            <w:tcW w:w="5176" w:type="dxa"/>
            <w:tcBorders>
              <w:top w:val="nil" w:sz="6" w:space="0" w:color="auto"/>
              <w:left w:val="nil" w:sz="6" w:space="0" w:color="auto"/>
              <w:bottom w:val="nil" w:sz="6" w:space="0" w:color="auto"/>
              <w:right w:val="nil" w:sz="6" w:space="0" w:color="auto"/>
            </w:tcBorders>
          </w:tcPr>
          <w:p>
            <w:pPr>
              <w:pStyle w:val="TableParagraph"/>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控股子公司管理办法</w:t>
            </w:r>
          </w:p>
        </w:tc>
      </w:tr>
      <w:tr>
        <w:trPr>
          <w:trHeight w:val="27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center"/>
              <w:rPr>
                <w:rFonts w:ascii="宋体" w:hAnsi="宋体" w:cs="宋体" w:eastAsia="宋体" w:hint="default"/>
                <w:sz w:val="21"/>
                <w:szCs w:val="21"/>
              </w:rPr>
            </w:pPr>
            <w:r>
              <w:rPr>
                <w:rFonts w:ascii="宋体"/>
                <w:sz w:val="21"/>
              </w:rPr>
              <w:t>14</w:t>
            </w:r>
          </w:p>
        </w:tc>
        <w:tc>
          <w:tcPr>
            <w:tcW w:w="5176" w:type="dxa"/>
            <w:tcBorders>
              <w:top w:val="nil" w:sz="6" w:space="0" w:color="auto"/>
              <w:left w:val="nil" w:sz="6" w:space="0" w:color="auto"/>
              <w:bottom w:val="nil" w:sz="6" w:space="0" w:color="auto"/>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董事会战略决策委员会实施细则</w:t>
            </w:r>
          </w:p>
        </w:tc>
      </w:tr>
      <w:tr>
        <w:trPr>
          <w:trHeight w:val="284"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8" w:lineRule="exact"/>
              <w:ind w:right="132"/>
              <w:jc w:val="center"/>
              <w:rPr>
                <w:rFonts w:ascii="宋体" w:hAnsi="宋体" w:cs="宋体" w:eastAsia="宋体" w:hint="default"/>
                <w:sz w:val="21"/>
                <w:szCs w:val="21"/>
              </w:rPr>
            </w:pPr>
            <w:r>
              <w:rPr>
                <w:rFonts w:ascii="宋体"/>
                <w:sz w:val="21"/>
              </w:rPr>
              <w:t>15</w:t>
            </w:r>
          </w:p>
        </w:tc>
        <w:tc>
          <w:tcPr>
            <w:tcW w:w="5176" w:type="dxa"/>
            <w:tcBorders>
              <w:top w:val="nil" w:sz="6" w:space="0" w:color="auto"/>
              <w:left w:val="nil" w:sz="6" w:space="0" w:color="auto"/>
              <w:bottom w:val="nil" w:sz="6" w:space="0" w:color="auto"/>
              <w:right w:val="nil" w:sz="6" w:space="0" w:color="auto"/>
            </w:tcBorders>
          </w:tcPr>
          <w:p>
            <w:pPr>
              <w:pStyle w:val="TableParagraph"/>
              <w:spacing w:line="252" w:lineRule="exact"/>
              <w:ind w:left="353" w:right="0"/>
              <w:jc w:val="left"/>
              <w:rPr>
                <w:rFonts w:ascii="宋体" w:hAnsi="宋体" w:cs="宋体" w:eastAsia="宋体" w:hint="default"/>
                <w:sz w:val="22"/>
                <w:szCs w:val="22"/>
              </w:rPr>
            </w:pPr>
            <w:r>
              <w:rPr>
                <w:rFonts w:ascii="宋体" w:hAnsi="宋体" w:cs="宋体" w:eastAsia="宋体" w:hint="default"/>
                <w:sz w:val="22"/>
                <w:szCs w:val="22"/>
              </w:rPr>
              <w:t>董事会审计委员会实施细则</w:t>
            </w:r>
          </w:p>
        </w:tc>
      </w:tr>
      <w:tr>
        <w:trPr>
          <w:trHeight w:val="284"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4" w:lineRule="exact"/>
              <w:ind w:right="132"/>
              <w:jc w:val="center"/>
              <w:rPr>
                <w:rFonts w:ascii="宋体" w:hAnsi="宋体" w:cs="宋体" w:eastAsia="宋体" w:hint="default"/>
                <w:sz w:val="21"/>
                <w:szCs w:val="21"/>
              </w:rPr>
            </w:pPr>
            <w:r>
              <w:rPr>
                <w:rFonts w:ascii="宋体"/>
                <w:sz w:val="21"/>
              </w:rPr>
              <w:t>16</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董事会提名委员会实施细则</w:t>
            </w:r>
          </w:p>
        </w:tc>
      </w:tr>
      <w:tr>
        <w:trPr>
          <w:trHeight w:val="284"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50" w:lineRule="exact"/>
              <w:ind w:right="132"/>
              <w:jc w:val="center"/>
              <w:rPr>
                <w:rFonts w:ascii="宋体" w:hAnsi="宋体" w:cs="宋体" w:eastAsia="宋体" w:hint="default"/>
                <w:sz w:val="21"/>
                <w:szCs w:val="21"/>
              </w:rPr>
            </w:pPr>
            <w:r>
              <w:rPr>
                <w:rFonts w:ascii="宋体"/>
                <w:sz w:val="21"/>
              </w:rPr>
              <w:t>17</w:t>
            </w:r>
          </w:p>
        </w:tc>
        <w:tc>
          <w:tcPr>
            <w:tcW w:w="5176" w:type="dxa"/>
            <w:tcBorders>
              <w:top w:val="nil" w:sz="6" w:space="0" w:color="auto"/>
              <w:left w:val="nil" w:sz="6" w:space="0" w:color="auto"/>
              <w:bottom w:val="nil" w:sz="6" w:space="0" w:color="auto"/>
              <w:right w:val="nil" w:sz="6" w:space="0" w:color="auto"/>
            </w:tcBorders>
          </w:tcPr>
          <w:p>
            <w:pPr>
              <w:pStyle w:val="TableParagraph"/>
              <w:spacing w:line="252" w:lineRule="exact"/>
              <w:ind w:left="353" w:right="0"/>
              <w:jc w:val="left"/>
              <w:rPr>
                <w:rFonts w:ascii="宋体" w:hAnsi="宋体" w:cs="宋体" w:eastAsia="宋体" w:hint="default"/>
                <w:sz w:val="22"/>
                <w:szCs w:val="22"/>
              </w:rPr>
            </w:pPr>
            <w:r>
              <w:rPr>
                <w:rFonts w:ascii="宋体" w:hAnsi="宋体" w:cs="宋体" w:eastAsia="宋体" w:hint="default"/>
                <w:sz w:val="22"/>
                <w:szCs w:val="22"/>
              </w:rPr>
              <w:t>董事会薪酬与考核委员会实施细则</w:t>
            </w:r>
          </w:p>
        </w:tc>
      </w:tr>
      <w:tr>
        <w:trPr>
          <w:trHeight w:val="28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4" w:lineRule="exact"/>
              <w:ind w:right="132"/>
              <w:jc w:val="center"/>
              <w:rPr>
                <w:rFonts w:ascii="宋体" w:hAnsi="宋体" w:cs="宋体" w:eastAsia="宋体" w:hint="default"/>
                <w:sz w:val="21"/>
                <w:szCs w:val="21"/>
              </w:rPr>
            </w:pPr>
            <w:r>
              <w:rPr>
                <w:rFonts w:ascii="宋体"/>
                <w:sz w:val="21"/>
              </w:rPr>
              <w:t>18</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募集资金管理办法</w:t>
            </w:r>
          </w:p>
        </w:tc>
      </w:tr>
      <w:tr>
        <w:trPr>
          <w:trHeight w:val="28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52" w:lineRule="exact"/>
              <w:ind w:right="132"/>
              <w:jc w:val="center"/>
              <w:rPr>
                <w:rFonts w:ascii="宋体" w:hAnsi="宋体" w:cs="宋体" w:eastAsia="宋体" w:hint="default"/>
                <w:sz w:val="21"/>
                <w:szCs w:val="21"/>
              </w:rPr>
            </w:pPr>
            <w:r>
              <w:rPr>
                <w:rFonts w:ascii="宋体"/>
                <w:sz w:val="21"/>
              </w:rPr>
              <w:t>19</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投资者关系管理制度</w:t>
            </w:r>
          </w:p>
        </w:tc>
      </w:tr>
      <w:tr>
        <w:trPr>
          <w:trHeight w:val="28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4" w:lineRule="exact"/>
              <w:ind w:right="132"/>
              <w:jc w:val="center"/>
              <w:rPr>
                <w:rFonts w:ascii="宋体" w:hAnsi="宋体" w:cs="宋体" w:eastAsia="宋体" w:hint="default"/>
                <w:sz w:val="21"/>
                <w:szCs w:val="21"/>
              </w:rPr>
            </w:pPr>
            <w:r>
              <w:rPr>
                <w:rFonts w:ascii="宋体"/>
                <w:sz w:val="21"/>
              </w:rPr>
              <w:t>20</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董事、监事、高级管理人员持股及变动管理制度</w:t>
            </w:r>
          </w:p>
        </w:tc>
      </w:tr>
      <w:tr>
        <w:trPr>
          <w:trHeight w:val="28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52" w:lineRule="exact"/>
              <w:ind w:right="132"/>
              <w:jc w:val="center"/>
              <w:rPr>
                <w:rFonts w:ascii="宋体" w:hAnsi="宋体" w:cs="宋体" w:eastAsia="宋体" w:hint="default"/>
                <w:sz w:val="21"/>
                <w:szCs w:val="21"/>
              </w:rPr>
            </w:pPr>
            <w:r>
              <w:rPr>
                <w:rFonts w:ascii="宋体"/>
                <w:sz w:val="21"/>
              </w:rPr>
              <w:t>21</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防止大股东及关联方占用资金制度</w:t>
            </w:r>
          </w:p>
        </w:tc>
      </w:tr>
      <w:tr>
        <w:trPr>
          <w:trHeight w:val="28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4" w:lineRule="exact"/>
              <w:ind w:right="132"/>
              <w:jc w:val="center"/>
              <w:rPr>
                <w:rFonts w:ascii="宋体" w:hAnsi="宋体" w:cs="宋体" w:eastAsia="宋体" w:hint="default"/>
                <w:sz w:val="21"/>
                <w:szCs w:val="21"/>
              </w:rPr>
            </w:pPr>
            <w:r>
              <w:rPr>
                <w:rFonts w:ascii="宋体"/>
                <w:sz w:val="21"/>
              </w:rPr>
              <w:t>22</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审计委员会对年度财务报告审议工作规则</w:t>
            </w:r>
          </w:p>
        </w:tc>
      </w:tr>
      <w:tr>
        <w:trPr>
          <w:trHeight w:val="28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9" w:lineRule="exact"/>
              <w:ind w:right="132"/>
              <w:jc w:val="center"/>
              <w:rPr>
                <w:rFonts w:ascii="宋体" w:hAnsi="宋体" w:cs="宋体" w:eastAsia="宋体" w:hint="default"/>
                <w:sz w:val="21"/>
                <w:szCs w:val="21"/>
              </w:rPr>
            </w:pPr>
            <w:r>
              <w:rPr>
                <w:rFonts w:ascii="宋体"/>
                <w:sz w:val="21"/>
              </w:rPr>
              <w:t>23</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独立董事年报工作制度</w:t>
            </w:r>
          </w:p>
        </w:tc>
      </w:tr>
      <w:tr>
        <w:trPr>
          <w:trHeight w:val="284"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4" w:lineRule="exact"/>
              <w:ind w:right="132"/>
              <w:jc w:val="center"/>
              <w:rPr>
                <w:rFonts w:ascii="宋体" w:hAnsi="宋体" w:cs="宋体" w:eastAsia="宋体" w:hint="default"/>
                <w:sz w:val="21"/>
                <w:szCs w:val="21"/>
              </w:rPr>
            </w:pPr>
            <w:r>
              <w:rPr>
                <w:rFonts w:ascii="宋体"/>
                <w:sz w:val="21"/>
              </w:rPr>
              <w:t>24</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外部信息报送和使用管理制度</w:t>
            </w:r>
          </w:p>
        </w:tc>
      </w:tr>
      <w:tr>
        <w:trPr>
          <w:trHeight w:val="284"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50" w:lineRule="exact"/>
              <w:ind w:right="132"/>
              <w:jc w:val="center"/>
              <w:rPr>
                <w:rFonts w:ascii="宋体" w:hAnsi="宋体" w:cs="宋体" w:eastAsia="宋体" w:hint="default"/>
                <w:sz w:val="21"/>
                <w:szCs w:val="21"/>
              </w:rPr>
            </w:pPr>
            <w:r>
              <w:rPr>
                <w:rFonts w:ascii="宋体"/>
                <w:sz w:val="21"/>
              </w:rPr>
              <w:t>25</w:t>
            </w:r>
          </w:p>
        </w:tc>
        <w:tc>
          <w:tcPr>
            <w:tcW w:w="5176" w:type="dxa"/>
            <w:tcBorders>
              <w:top w:val="nil" w:sz="6" w:space="0" w:color="auto"/>
              <w:left w:val="nil" w:sz="6" w:space="0" w:color="auto"/>
              <w:bottom w:val="nil" w:sz="6" w:space="0" w:color="auto"/>
              <w:right w:val="nil" w:sz="6" w:space="0" w:color="auto"/>
            </w:tcBorders>
          </w:tcPr>
          <w:p>
            <w:pPr>
              <w:pStyle w:val="TableParagraph"/>
              <w:spacing w:line="252" w:lineRule="exact"/>
              <w:ind w:left="353" w:right="0"/>
              <w:jc w:val="left"/>
              <w:rPr>
                <w:rFonts w:ascii="宋体" w:hAnsi="宋体" w:cs="宋体" w:eastAsia="宋体" w:hint="default"/>
                <w:sz w:val="22"/>
                <w:szCs w:val="22"/>
              </w:rPr>
            </w:pPr>
            <w:r>
              <w:rPr>
                <w:rFonts w:ascii="宋体" w:hAnsi="宋体" w:cs="宋体" w:eastAsia="宋体" w:hint="default"/>
                <w:sz w:val="22"/>
                <w:szCs w:val="22"/>
              </w:rPr>
              <w:t>内幕信息知情人管理制度</w:t>
            </w:r>
          </w:p>
        </w:tc>
      </w:tr>
      <w:tr>
        <w:trPr>
          <w:trHeight w:val="28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52" w:lineRule="exact"/>
              <w:ind w:right="132"/>
              <w:jc w:val="center"/>
              <w:rPr>
                <w:rFonts w:ascii="宋体" w:hAnsi="宋体" w:cs="宋体" w:eastAsia="宋体" w:hint="default"/>
                <w:sz w:val="21"/>
                <w:szCs w:val="21"/>
              </w:rPr>
            </w:pPr>
            <w:r>
              <w:rPr>
                <w:rFonts w:ascii="宋体"/>
                <w:sz w:val="21"/>
              </w:rPr>
              <w:t>26</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年报信息披露重大差错责任追究制度</w:t>
            </w:r>
          </w:p>
        </w:tc>
      </w:tr>
      <w:tr>
        <w:trPr>
          <w:trHeight w:val="254"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52" w:lineRule="exact"/>
              <w:ind w:right="132"/>
              <w:jc w:val="center"/>
              <w:rPr>
                <w:rFonts w:ascii="宋体" w:hAnsi="宋体" w:cs="宋体" w:eastAsia="宋体" w:hint="default"/>
                <w:sz w:val="21"/>
                <w:szCs w:val="21"/>
              </w:rPr>
            </w:pPr>
            <w:r>
              <w:rPr>
                <w:rFonts w:ascii="宋体"/>
                <w:sz w:val="21"/>
              </w:rPr>
              <w:t>27</w:t>
            </w:r>
          </w:p>
        </w:tc>
        <w:tc>
          <w:tcPr>
            <w:tcW w:w="5176" w:type="dxa"/>
            <w:tcBorders>
              <w:top w:val="nil" w:sz="6" w:space="0" w:color="auto"/>
              <w:left w:val="nil" w:sz="6" w:space="0" w:color="auto"/>
              <w:bottom w:val="nil" w:sz="6" w:space="0" w:color="auto"/>
              <w:right w:val="nil" w:sz="6" w:space="0" w:color="auto"/>
            </w:tcBorders>
          </w:tcPr>
          <w:p>
            <w:pPr>
              <w:pStyle w:val="TableParagraph"/>
              <w:spacing w:line="253" w:lineRule="exact"/>
              <w:ind w:left="353" w:right="0"/>
              <w:jc w:val="left"/>
              <w:rPr>
                <w:rFonts w:ascii="宋体" w:hAnsi="宋体" w:cs="宋体" w:eastAsia="宋体" w:hint="default"/>
                <w:sz w:val="22"/>
                <w:szCs w:val="22"/>
              </w:rPr>
            </w:pPr>
            <w:r>
              <w:rPr>
                <w:rFonts w:ascii="宋体" w:hAnsi="宋体" w:cs="宋体" w:eastAsia="宋体" w:hint="default"/>
                <w:sz w:val="22"/>
                <w:szCs w:val="22"/>
              </w:rPr>
              <w:t>对外担保制度</w:t>
            </w:r>
          </w:p>
        </w:tc>
      </w:tr>
    </w:tbl>
    <w:p>
      <w:pPr>
        <w:spacing w:line="240" w:lineRule="auto" w:before="7"/>
        <w:rPr>
          <w:rFonts w:ascii="宋体" w:hAnsi="宋体" w:cs="宋体" w:eastAsia="宋体" w:hint="default"/>
          <w:sz w:val="28"/>
          <w:szCs w:val="28"/>
        </w:rPr>
      </w:pPr>
    </w:p>
    <w:p>
      <w:pPr>
        <w:spacing w:line="357" w:lineRule="auto" w:before="36"/>
        <w:ind w:left="542" w:right="1264"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、关于股东、股东大会</w:t>
      </w:r>
      <w:r>
        <w:rPr>
          <w:rFonts w:ascii="宋体" w:hAnsi="宋体" w:cs="宋体" w:eastAsia="宋体" w:hint="default"/>
          <w:b/>
          <w:bCs/>
          <w:spacing w:val="-103"/>
          <w:sz w:val="21"/>
          <w:szCs w:val="21"/>
        </w:rPr>
        <w:t> </w:t>
      </w:r>
      <w:r>
        <w:rPr>
          <w:rFonts w:ascii="宋体" w:hAnsi="宋体" w:cs="宋体" w:eastAsia="宋体" w:hint="default"/>
          <w:sz w:val="21"/>
          <w:szCs w:val="21"/>
        </w:rPr>
        <w:t>股东大会是公司的权力机构，依法行使下列职权：</w:t>
      </w:r>
      <w:r>
        <w:rPr>
          <w:rFonts w:ascii="宋体" w:hAnsi="宋体" w:cs="宋体" w:eastAsia="宋体" w:hint="default"/>
          <w:sz w:val="21"/>
          <w:szCs w:val="21"/>
        </w:rPr>
        <w:t>1</w:t>
      </w:r>
      <w:r>
        <w:rPr>
          <w:rFonts w:ascii="宋体" w:hAnsi="宋体" w:cs="宋体" w:eastAsia="宋体" w:hint="default"/>
          <w:sz w:val="21"/>
          <w:szCs w:val="21"/>
        </w:rPr>
        <w:t>）决定公司的经营方针和投资计划；</w:t>
      </w:r>
      <w:r>
        <w:rPr>
          <w:rFonts w:ascii="宋体" w:hAnsi="宋体" w:cs="宋体" w:eastAsia="宋体" w:hint="default"/>
          <w:spacing w:val="75"/>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p>
      <w:pPr>
        <w:spacing w:line="355" w:lineRule="auto" w:before="30"/>
        <w:ind w:left="122" w:right="1279" w:firstLine="0"/>
        <w:jc w:val="both"/>
        <w:rPr>
          <w:rFonts w:ascii="宋体" w:hAnsi="宋体" w:cs="宋体" w:eastAsia="宋体" w:hint="default"/>
          <w:sz w:val="21"/>
          <w:szCs w:val="21"/>
        </w:rPr>
      </w:pPr>
      <w:r>
        <w:rPr>
          <w:rFonts w:ascii="宋体" w:hAnsi="宋体" w:cs="宋体" w:eastAsia="宋体" w:hint="default"/>
          <w:sz w:val="21"/>
          <w:szCs w:val="21"/>
        </w:rPr>
        <w:t>选举和更换非由职工代表担任的董事、监事，决定有关董事、监事的报酬事项；</w:t>
      </w:r>
      <w:r>
        <w:rPr>
          <w:rFonts w:ascii="宋体" w:hAnsi="宋体" w:cs="宋体" w:eastAsia="宋体" w:hint="default"/>
          <w:sz w:val="21"/>
          <w:szCs w:val="21"/>
        </w:rPr>
        <w:t>3</w:t>
      </w:r>
      <w:r>
        <w:rPr>
          <w:rFonts w:ascii="宋体" w:hAnsi="宋体" w:cs="宋体" w:eastAsia="宋体" w:hint="default"/>
          <w:sz w:val="21"/>
          <w:szCs w:val="21"/>
        </w:rPr>
        <w:t>）审议批准董事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会的报告；</w:t>
      </w:r>
      <w:r>
        <w:rPr>
          <w:rFonts w:ascii="宋体" w:hAnsi="宋体" w:cs="宋体" w:eastAsia="宋体" w:hint="default"/>
          <w:sz w:val="21"/>
          <w:szCs w:val="21"/>
        </w:rPr>
        <w:t>4</w:t>
      </w:r>
      <w:r>
        <w:rPr>
          <w:rFonts w:ascii="宋体" w:hAnsi="宋体" w:cs="宋体" w:eastAsia="宋体" w:hint="default"/>
          <w:sz w:val="21"/>
          <w:szCs w:val="21"/>
        </w:rPr>
        <w:t>）审议批准监事会报告；</w:t>
      </w:r>
      <w:r>
        <w:rPr>
          <w:rFonts w:ascii="宋体" w:hAnsi="宋体" w:cs="宋体" w:eastAsia="宋体" w:hint="default"/>
          <w:spacing w:val="30"/>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）审议批准公司的年度财务预算方案、决算方案；</w:t>
      </w:r>
      <w:r>
        <w:rPr>
          <w:rFonts w:ascii="宋体" w:hAnsi="宋体" w:cs="宋体" w:eastAsia="宋体" w:hint="default"/>
          <w:spacing w:val="-3"/>
          <w:sz w:val="21"/>
          <w:szCs w:val="21"/>
        </w:rPr>
        <w:t>6</w:t>
      </w:r>
      <w:r>
        <w:rPr>
          <w:rFonts w:ascii="宋体" w:hAnsi="宋体" w:cs="宋体" w:eastAsia="宋体" w:hint="default"/>
          <w:spacing w:val="-3"/>
          <w:sz w:val="21"/>
          <w:szCs w:val="21"/>
        </w:rPr>
        <w:t>）审议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批准公司的利润分配方案和弥补亏损方案；</w:t>
      </w:r>
      <w:r>
        <w:rPr>
          <w:rFonts w:ascii="宋体" w:hAnsi="宋体" w:cs="宋体" w:eastAsia="宋体" w:hint="default"/>
          <w:spacing w:val="-3"/>
          <w:sz w:val="21"/>
          <w:szCs w:val="21"/>
        </w:rPr>
        <w:t>7</w:t>
      </w:r>
      <w:r>
        <w:rPr>
          <w:rFonts w:ascii="宋体" w:hAnsi="宋体" w:cs="宋体" w:eastAsia="宋体" w:hint="default"/>
          <w:spacing w:val="-3"/>
          <w:sz w:val="21"/>
          <w:szCs w:val="21"/>
        </w:rPr>
        <w:t>）对公司增加或者减少注册资本作出决议；</w:t>
      </w:r>
      <w:r>
        <w:rPr>
          <w:rFonts w:ascii="宋体" w:hAnsi="宋体" w:cs="宋体" w:eastAsia="宋体" w:hint="default"/>
          <w:spacing w:val="-3"/>
          <w:sz w:val="21"/>
          <w:szCs w:val="21"/>
        </w:rPr>
        <w:t>8</w:t>
      </w:r>
      <w:r>
        <w:rPr>
          <w:rFonts w:ascii="宋体" w:hAnsi="宋体" w:cs="宋体" w:eastAsia="宋体" w:hint="default"/>
          <w:spacing w:val="-3"/>
          <w:sz w:val="21"/>
          <w:szCs w:val="21"/>
        </w:rPr>
        <w:t>）对发行</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公司债券作出决议；</w:t>
      </w:r>
      <w:r>
        <w:rPr>
          <w:rFonts w:ascii="宋体" w:hAnsi="宋体" w:cs="宋体" w:eastAsia="宋体" w:hint="default"/>
          <w:sz w:val="21"/>
          <w:szCs w:val="21"/>
        </w:rPr>
        <w:t>9</w:t>
      </w:r>
      <w:r>
        <w:rPr>
          <w:rFonts w:ascii="宋体" w:hAnsi="宋体" w:cs="宋体" w:eastAsia="宋体" w:hint="default"/>
          <w:sz w:val="21"/>
          <w:szCs w:val="21"/>
        </w:rPr>
        <w:t>）对公司合并、分立、解散、清算或者变更公司形式作出决议；</w:t>
      </w:r>
      <w:r>
        <w:rPr>
          <w:rFonts w:ascii="宋体" w:hAnsi="宋体" w:cs="宋体" w:eastAsia="宋体" w:hint="default"/>
          <w:sz w:val="21"/>
          <w:szCs w:val="21"/>
        </w:rPr>
        <w:t>10</w:t>
      </w:r>
      <w:r>
        <w:rPr>
          <w:rFonts w:ascii="宋体" w:hAnsi="宋体" w:cs="宋体" w:eastAsia="宋体" w:hint="default"/>
          <w:sz w:val="21"/>
          <w:szCs w:val="21"/>
        </w:rPr>
        <w:t>）修改公</w:t>
      </w:r>
    </w:p>
    <w:p>
      <w:pPr>
        <w:spacing w:after="0" w:line="355"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122" w:right="0" w:firstLine="0"/>
        <w:jc w:val="left"/>
        <w:rPr>
          <w:rFonts w:ascii="宋体" w:hAnsi="宋体" w:cs="宋体" w:eastAsia="宋体" w:hint="default"/>
          <w:sz w:val="21"/>
          <w:szCs w:val="21"/>
        </w:rPr>
      </w:pPr>
      <w:r>
        <w:rPr>
          <w:rFonts w:ascii="宋体" w:hAnsi="宋体" w:cs="宋体" w:eastAsia="宋体" w:hint="default"/>
          <w:spacing w:val="-3"/>
          <w:sz w:val="21"/>
          <w:szCs w:val="21"/>
        </w:rPr>
        <w:t>司章程；</w:t>
      </w:r>
      <w:r>
        <w:rPr>
          <w:rFonts w:ascii="宋体" w:hAnsi="宋体" w:cs="宋体" w:eastAsia="宋体" w:hint="default"/>
          <w:spacing w:val="-3"/>
          <w:sz w:val="21"/>
          <w:szCs w:val="21"/>
        </w:rPr>
        <w:t>11</w:t>
      </w:r>
      <w:r>
        <w:rPr>
          <w:rFonts w:ascii="宋体" w:hAnsi="宋体" w:cs="宋体" w:eastAsia="宋体" w:hint="default"/>
          <w:spacing w:val="-3"/>
          <w:sz w:val="21"/>
          <w:szCs w:val="21"/>
        </w:rPr>
        <w:t>）对公司聘用、解聘会计师事务所作出决议；</w:t>
      </w:r>
      <w:r>
        <w:rPr>
          <w:rFonts w:ascii="宋体" w:hAnsi="宋体" w:cs="宋体" w:eastAsia="宋体" w:hint="default"/>
          <w:spacing w:val="28"/>
          <w:sz w:val="21"/>
          <w:szCs w:val="21"/>
        </w:rPr>
        <w:t> </w:t>
      </w:r>
      <w:r>
        <w:rPr>
          <w:rFonts w:ascii="宋体" w:hAnsi="宋体" w:cs="宋体" w:eastAsia="宋体" w:hint="default"/>
          <w:sz w:val="21"/>
          <w:szCs w:val="21"/>
        </w:rPr>
        <w:t>12</w:t>
      </w:r>
      <w:r>
        <w:rPr>
          <w:rFonts w:ascii="宋体" w:hAnsi="宋体" w:cs="宋体" w:eastAsia="宋体" w:hint="default"/>
          <w:sz w:val="21"/>
          <w:szCs w:val="21"/>
        </w:rPr>
        <w:t>）审议批准公司章程规定的担保事项；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13</w:t>
      </w:r>
      <w:r>
        <w:rPr>
          <w:rFonts w:ascii="宋体" w:hAnsi="宋体" w:cs="宋体" w:eastAsia="宋体" w:hint="default"/>
          <w:sz w:val="21"/>
          <w:szCs w:val="21"/>
        </w:rPr>
        <w:t>）审议公司在一年内购买、出售重大资产超过公司最近一期经审计总资产</w:t>
      </w:r>
      <w:r>
        <w:rPr>
          <w:rFonts w:ascii="宋体" w:hAnsi="宋体" w:cs="宋体" w:eastAsia="宋体" w:hint="default"/>
          <w:spacing w:val="-38"/>
          <w:sz w:val="21"/>
          <w:szCs w:val="21"/>
        </w:rPr>
        <w:t> </w:t>
      </w:r>
      <w:r>
        <w:rPr>
          <w:rFonts w:ascii="宋体" w:hAnsi="宋体" w:cs="宋体" w:eastAsia="宋体" w:hint="default"/>
          <w:sz w:val="21"/>
          <w:szCs w:val="21"/>
        </w:rPr>
        <w:t>30%</w:t>
      </w:r>
      <w:r>
        <w:rPr>
          <w:rFonts w:ascii="宋体" w:hAnsi="宋体" w:cs="宋体" w:eastAsia="宋体" w:hint="default"/>
          <w:sz w:val="21"/>
          <w:szCs w:val="21"/>
        </w:rPr>
        <w:t>的事项；</w:t>
      </w:r>
      <w:r>
        <w:rPr>
          <w:rFonts w:ascii="宋体" w:hAnsi="宋体" w:cs="宋体" w:eastAsia="宋体" w:hint="default"/>
          <w:sz w:val="21"/>
          <w:szCs w:val="21"/>
        </w:rPr>
        <w:t>14</w:t>
      </w:r>
      <w:r>
        <w:rPr>
          <w:rFonts w:ascii="宋体" w:hAnsi="宋体" w:cs="宋体" w:eastAsia="宋体" w:hint="default"/>
          <w:sz w:val="21"/>
          <w:szCs w:val="21"/>
        </w:rPr>
        <w:t>）审议</w:t>
      </w:r>
      <w:r>
        <w:rPr>
          <w:rFonts w:ascii="宋体" w:hAnsi="宋体" w:cs="宋体" w:eastAsia="宋体" w:hint="default"/>
          <w:w w:val="100"/>
          <w:sz w:val="21"/>
          <w:szCs w:val="21"/>
        </w:rPr>
        <w:t> </w:t>
      </w:r>
      <w:r>
        <w:rPr>
          <w:rFonts w:ascii="宋体" w:hAnsi="宋体" w:cs="宋体" w:eastAsia="宋体" w:hint="default"/>
          <w:sz w:val="21"/>
          <w:szCs w:val="21"/>
        </w:rPr>
        <w:t>批准变更募集资金用途事项；</w:t>
      </w:r>
      <w:r>
        <w:rPr>
          <w:rFonts w:ascii="宋体" w:hAnsi="宋体" w:cs="宋体" w:eastAsia="宋体" w:hint="default"/>
          <w:sz w:val="21"/>
          <w:szCs w:val="21"/>
        </w:rPr>
        <w:t>15</w:t>
      </w:r>
      <w:r>
        <w:rPr>
          <w:rFonts w:ascii="宋体" w:hAnsi="宋体" w:cs="宋体" w:eastAsia="宋体" w:hint="default"/>
          <w:sz w:val="21"/>
          <w:szCs w:val="21"/>
        </w:rPr>
        <w:t>）审议批准股权激励计划；</w:t>
      </w:r>
      <w:r>
        <w:rPr>
          <w:rFonts w:ascii="宋体" w:hAnsi="宋体" w:cs="宋体" w:eastAsia="宋体" w:hint="default"/>
          <w:sz w:val="21"/>
          <w:szCs w:val="21"/>
        </w:rPr>
        <w:t>16</w:t>
      </w:r>
      <w:r>
        <w:rPr>
          <w:rFonts w:ascii="宋体" w:hAnsi="宋体" w:cs="宋体" w:eastAsia="宋体" w:hint="default"/>
          <w:sz w:val="21"/>
          <w:szCs w:val="21"/>
        </w:rPr>
        <w:t>）审议批准重大关联交易事项；</w:t>
      </w: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审议法律、行政法规、部门规章或公司章程规定的应当由股东大会决定的其他事项。</w:t>
      </w:r>
    </w:p>
    <w:p>
      <w:pPr>
        <w:spacing w:line="355" w:lineRule="auto" w:before="30"/>
        <w:ind w:left="122" w:right="1278" w:firstLine="419"/>
        <w:jc w:val="both"/>
        <w:rPr>
          <w:rFonts w:ascii="宋体" w:hAnsi="宋体" w:cs="宋体" w:eastAsia="宋体" w:hint="default"/>
          <w:sz w:val="21"/>
          <w:szCs w:val="21"/>
        </w:rPr>
      </w:pPr>
      <w:r>
        <w:rPr>
          <w:rFonts w:ascii="宋体" w:hAnsi="宋体" w:cs="宋体" w:eastAsia="宋体" w:hint="default"/>
          <w:spacing w:val="-3"/>
          <w:sz w:val="21"/>
          <w:szCs w:val="21"/>
        </w:rPr>
        <w:t>本公司还依据《公司法》、《公司章程》、《上市公司治理准则》等文件制定了《股东大会议</w:t>
      </w:r>
      <w:r>
        <w:rPr>
          <w:rFonts w:ascii="宋体" w:hAnsi="宋体" w:cs="宋体" w:eastAsia="宋体" w:hint="default"/>
          <w:w w:val="100"/>
          <w:sz w:val="21"/>
          <w:szCs w:val="21"/>
        </w:rPr>
        <w:t> </w:t>
      </w:r>
      <w:r>
        <w:rPr>
          <w:rFonts w:ascii="宋体" w:hAnsi="宋体" w:cs="宋体" w:eastAsia="宋体" w:hint="default"/>
          <w:spacing w:val="-3"/>
          <w:sz w:val="21"/>
          <w:szCs w:val="21"/>
        </w:rPr>
        <w:t>事规则》，对股东大会的权力、召开程序、提案、表决、对中小股东权益的保护等方面作了具体的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规定。</w:t>
      </w:r>
    </w:p>
    <w:p>
      <w:pPr>
        <w:spacing w:line="355" w:lineRule="auto" w:before="34"/>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、控股股东与公司</w:t>
      </w:r>
      <w:r>
        <w:rPr>
          <w:rFonts w:ascii="宋体" w:hAnsi="宋体" w:cs="宋体" w:eastAsia="宋体" w:hint="default"/>
          <w:b/>
          <w:bCs/>
          <w:spacing w:val="-103"/>
          <w:sz w:val="21"/>
          <w:szCs w:val="21"/>
        </w:rPr>
        <w:t> </w:t>
      </w:r>
      <w:r>
        <w:rPr>
          <w:rFonts w:ascii="宋体" w:hAnsi="宋体" w:cs="宋体" w:eastAsia="宋体" w:hint="default"/>
          <w:spacing w:val="-12"/>
          <w:w w:val="100"/>
          <w:sz w:val="21"/>
          <w:szCs w:val="21"/>
        </w:rPr>
        <w:t>公司控股股东严格根据《上市公司治理准则》、《深圳证券交易所股票上市规则》、《公司章程》</w:t>
      </w:r>
    </w:p>
    <w:p>
      <w:pPr>
        <w:spacing w:line="357" w:lineRule="auto" w:before="32"/>
        <w:ind w:left="122" w:right="1277" w:firstLine="0"/>
        <w:jc w:val="both"/>
        <w:rPr>
          <w:rFonts w:ascii="宋体" w:hAnsi="宋体" w:cs="宋体" w:eastAsia="宋体" w:hint="default"/>
          <w:sz w:val="21"/>
          <w:szCs w:val="21"/>
        </w:rPr>
      </w:pPr>
      <w:r>
        <w:rPr>
          <w:rFonts w:ascii="宋体" w:hAnsi="宋体" w:cs="宋体" w:eastAsia="宋体" w:hint="default"/>
          <w:spacing w:val="-3"/>
          <w:sz w:val="21"/>
          <w:szCs w:val="21"/>
        </w:rPr>
        <w:t>规范股东行为，通过股东大会行使股东权利，未发生超越股东大会及董事会而直接干预公司经营与</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决策的行为。</w:t>
      </w:r>
    </w:p>
    <w:p>
      <w:pPr>
        <w:spacing w:line="357" w:lineRule="auto" w:before="3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、关于董事与董事会</w:t>
      </w:r>
      <w:r>
        <w:rPr>
          <w:rFonts w:ascii="宋体" w:hAnsi="宋体" w:cs="宋体" w:eastAsia="宋体" w:hint="default"/>
          <w:b/>
          <w:bCs/>
          <w:spacing w:val="-103"/>
          <w:sz w:val="21"/>
          <w:szCs w:val="21"/>
        </w:rPr>
        <w:t> </w:t>
      </w:r>
      <w:r>
        <w:rPr>
          <w:rFonts w:ascii="宋体" w:hAnsi="宋体" w:cs="宋体" w:eastAsia="宋体" w:hint="default"/>
          <w:spacing w:val="-8"/>
          <w:w w:val="100"/>
          <w:sz w:val="21"/>
          <w:szCs w:val="21"/>
        </w:rPr>
        <w:t>公司严格按照《公司法》、《公司章程》及《上市公司股东大会规范性意见》等相关法律法规选</w:t>
      </w:r>
    </w:p>
    <w:p>
      <w:pPr>
        <w:spacing w:before="30"/>
        <w:ind w:left="122" w:right="0" w:firstLine="0"/>
        <w:jc w:val="left"/>
        <w:rPr>
          <w:rFonts w:ascii="宋体" w:hAnsi="宋体" w:cs="宋体" w:eastAsia="宋体" w:hint="default"/>
          <w:sz w:val="21"/>
          <w:szCs w:val="21"/>
        </w:rPr>
      </w:pPr>
      <w:r>
        <w:rPr>
          <w:rFonts w:ascii="宋体" w:hAnsi="宋体" w:cs="宋体" w:eastAsia="宋体" w:hint="default"/>
          <w:w w:val="100"/>
          <w:sz w:val="21"/>
          <w:szCs w:val="21"/>
        </w:rPr>
        <w:t>举产</w:t>
      </w:r>
      <w:r>
        <w:rPr>
          <w:rFonts w:ascii="宋体" w:hAnsi="宋体" w:cs="宋体" w:eastAsia="宋体" w:hint="default"/>
          <w:spacing w:val="-3"/>
          <w:w w:val="100"/>
          <w:sz w:val="21"/>
          <w:szCs w:val="21"/>
        </w:rPr>
        <w:t>生</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人</w:t>
      </w:r>
      <w:r>
        <w:rPr>
          <w:rFonts w:ascii="宋体" w:hAnsi="宋体" w:cs="宋体" w:eastAsia="宋体" w:hint="default"/>
          <w:spacing w:val="-3"/>
          <w:w w:val="100"/>
          <w:sz w:val="21"/>
          <w:szCs w:val="21"/>
        </w:rPr>
        <w:t>选</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人数</w:t>
      </w:r>
      <w:r>
        <w:rPr>
          <w:rFonts w:ascii="宋体" w:hAnsi="宋体" w:cs="宋体" w:eastAsia="宋体" w:hint="default"/>
          <w:spacing w:val="-3"/>
          <w:w w:val="100"/>
          <w:sz w:val="21"/>
          <w:szCs w:val="21"/>
        </w:rPr>
        <w:t>及</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构</w:t>
      </w:r>
      <w:r>
        <w:rPr>
          <w:rFonts w:ascii="宋体" w:hAnsi="宋体" w:cs="宋体" w:eastAsia="宋体" w:hint="default"/>
          <w:spacing w:val="-3"/>
          <w:w w:val="100"/>
          <w:sz w:val="21"/>
          <w:szCs w:val="21"/>
        </w:rPr>
        <w:t>成</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法</w:t>
      </w:r>
      <w:r>
        <w:rPr>
          <w:rFonts w:ascii="宋体" w:hAnsi="宋体" w:cs="宋体" w:eastAsia="宋体" w:hint="default"/>
          <w:spacing w:val="-3"/>
          <w:w w:val="100"/>
          <w:sz w:val="21"/>
          <w:szCs w:val="21"/>
        </w:rPr>
        <w:t>律</w:t>
      </w:r>
      <w:r>
        <w:rPr>
          <w:rFonts w:ascii="宋体" w:hAnsi="宋体" w:cs="宋体" w:eastAsia="宋体" w:hint="default"/>
          <w:w w:val="100"/>
          <w:sz w:val="21"/>
          <w:szCs w:val="21"/>
        </w:rPr>
        <w:t>法规</w:t>
      </w:r>
      <w:r>
        <w:rPr>
          <w:rFonts w:ascii="宋体" w:hAnsi="宋体" w:cs="宋体" w:eastAsia="宋体" w:hint="default"/>
          <w:spacing w:val="-3"/>
          <w:w w:val="100"/>
          <w:sz w:val="21"/>
          <w:szCs w:val="21"/>
        </w:rPr>
        <w:t>的</w:t>
      </w:r>
      <w:r>
        <w:rPr>
          <w:rFonts w:ascii="宋体" w:hAnsi="宋体" w:cs="宋体" w:eastAsia="宋体" w:hint="default"/>
          <w:w w:val="100"/>
          <w:sz w:val="21"/>
          <w:szCs w:val="21"/>
        </w:rPr>
        <w:t>要</w:t>
      </w:r>
      <w:r>
        <w:rPr>
          <w:rFonts w:ascii="宋体" w:hAnsi="宋体" w:cs="宋体" w:eastAsia="宋体" w:hint="default"/>
          <w:spacing w:val="-3"/>
          <w:w w:val="100"/>
          <w:sz w:val="21"/>
          <w:szCs w:val="21"/>
        </w:rPr>
        <w:t>求</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严格</w:t>
      </w:r>
      <w:r>
        <w:rPr>
          <w:rFonts w:ascii="宋体" w:hAnsi="宋体" w:cs="宋体" w:eastAsia="宋体" w:hint="default"/>
          <w:spacing w:val="-3"/>
          <w:w w:val="100"/>
          <w:sz w:val="21"/>
          <w:szCs w:val="21"/>
        </w:rPr>
        <w:t>按</w:t>
      </w:r>
      <w:r>
        <w:rPr>
          <w:rFonts w:ascii="宋体" w:hAnsi="宋体" w:cs="宋体" w:eastAsia="宋体" w:hint="default"/>
          <w:spacing w:val="-13"/>
          <w:w w:val="100"/>
          <w:sz w:val="21"/>
          <w:szCs w:val="21"/>
        </w:rPr>
        <w:t>照</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章程</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7" w:lineRule="auto" w:before="133"/>
        <w:ind w:left="122" w:right="1280" w:firstLine="0"/>
        <w:jc w:val="both"/>
        <w:rPr>
          <w:rFonts w:ascii="宋体" w:hAnsi="宋体" w:cs="宋体" w:eastAsia="宋体" w:hint="default"/>
          <w:sz w:val="21"/>
          <w:szCs w:val="21"/>
        </w:rPr>
      </w:pPr>
      <w:r>
        <w:rPr>
          <w:rFonts w:ascii="宋体" w:hAnsi="宋体" w:cs="宋体" w:eastAsia="宋体" w:hint="default"/>
          <w:spacing w:val="-3"/>
          <w:w w:val="100"/>
          <w:sz w:val="21"/>
          <w:szCs w:val="21"/>
        </w:rPr>
        <w:t>《独立董事制度》及《董事会议事规则》《中小企业板块上市公司董事行为指引》等相关规定召集</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3"/>
          <w:sz w:val="21"/>
          <w:szCs w:val="21"/>
        </w:rPr>
        <w:t>召开董事会，各董事认真出席董事会，认真审议各项议案，履行职责，勤勉尽责。独立董事独立履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行职责，维护公司整体利益，尤其关注中小股东的合法权益不受损害，对重要及重大事项发表独立</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意见。</w:t>
      </w:r>
    </w:p>
    <w:p>
      <w:pPr>
        <w:spacing w:line="355" w:lineRule="auto" w:before="3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、关于监事与监事会</w:t>
      </w:r>
      <w:r>
        <w:rPr>
          <w:rFonts w:ascii="宋体" w:hAnsi="宋体" w:cs="宋体" w:eastAsia="宋体" w:hint="default"/>
          <w:b/>
          <w:bCs/>
          <w:spacing w:val="-103"/>
          <w:sz w:val="21"/>
          <w:szCs w:val="21"/>
        </w:rPr>
        <w:t> </w:t>
      </w:r>
      <w:r>
        <w:rPr>
          <w:rFonts w:ascii="宋体" w:hAnsi="宋体" w:cs="宋体" w:eastAsia="宋体" w:hint="default"/>
          <w:spacing w:val="-8"/>
          <w:w w:val="100"/>
          <w:sz w:val="21"/>
          <w:szCs w:val="21"/>
        </w:rPr>
        <w:t>公司严格按照《公司法》、《公司章程》及《上市公司股东大会规范性意见》等相关法律法规选</w:t>
      </w:r>
    </w:p>
    <w:p>
      <w:pPr>
        <w:spacing w:line="357" w:lineRule="auto" w:before="32"/>
        <w:ind w:left="122" w:right="1244" w:firstLine="0"/>
        <w:jc w:val="both"/>
        <w:rPr>
          <w:rFonts w:ascii="宋体" w:hAnsi="宋体" w:cs="宋体" w:eastAsia="宋体" w:hint="default"/>
          <w:sz w:val="21"/>
          <w:szCs w:val="21"/>
        </w:rPr>
      </w:pPr>
      <w:r>
        <w:rPr>
          <w:rFonts w:ascii="宋体" w:hAnsi="宋体" w:cs="宋体" w:eastAsia="宋体" w:hint="default"/>
          <w:spacing w:val="-2"/>
          <w:sz w:val="21"/>
          <w:szCs w:val="21"/>
        </w:rPr>
        <w:t>举产生监事人选，监事会人数及人员构成符合法律法规的要求。公司监事会严格按照《公司章程》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及《监事会议事规则》等相关规定召集召开监事会，各监事认真出席监事会，认真履行职责，对公</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司重大事项、关联交易、财务状况等进行监督并发表意见。</w:t>
      </w:r>
    </w:p>
    <w:p>
      <w:pPr>
        <w:spacing w:line="355" w:lineRule="auto" w:before="30"/>
        <w:ind w:left="542" w:right="1267" w:hanging="42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、关于公司与投资者</w:t>
      </w:r>
      <w:r>
        <w:rPr>
          <w:rFonts w:ascii="宋体" w:hAnsi="宋体" w:cs="宋体" w:eastAsia="宋体" w:hint="default"/>
          <w:b/>
          <w:bCs/>
          <w:spacing w:val="-103"/>
          <w:sz w:val="21"/>
          <w:szCs w:val="21"/>
        </w:rPr>
        <w:t> </w:t>
      </w:r>
      <w:r>
        <w:rPr>
          <w:rFonts w:ascii="宋体" w:hAnsi="宋体" w:cs="宋体" w:eastAsia="宋体" w:hint="default"/>
          <w:spacing w:val="-2"/>
          <w:w w:val="100"/>
          <w:sz w:val="21"/>
          <w:szCs w:val="21"/>
        </w:rPr>
        <w:t>为了加强与投资者的双向沟通，公司制定了《投资者关系管理制度》，依托巨潮资讯中小企业</w:t>
      </w:r>
    </w:p>
    <w:p>
      <w:pPr>
        <w:spacing w:line="357" w:lineRule="auto" w:before="32"/>
        <w:ind w:left="122" w:right="1277" w:firstLine="0"/>
        <w:jc w:val="both"/>
        <w:rPr>
          <w:rFonts w:ascii="宋体" w:hAnsi="宋体" w:cs="宋体" w:eastAsia="宋体" w:hint="default"/>
          <w:sz w:val="21"/>
          <w:szCs w:val="21"/>
        </w:rPr>
      </w:pPr>
      <w:r>
        <w:rPr>
          <w:rFonts w:ascii="宋体" w:hAnsi="宋体" w:cs="宋体" w:eastAsia="宋体" w:hint="default"/>
          <w:spacing w:val="-3"/>
          <w:sz w:val="21"/>
          <w:szCs w:val="21"/>
        </w:rPr>
        <w:t>路演网建立了与投资者的沟通平台，公司明确了投资者关系管理的职能部门和负责人，组织实施投</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资者关系的日常管理工作。</w:t>
      </w:r>
    </w:p>
    <w:p>
      <w:pPr>
        <w:spacing w:line="355" w:lineRule="auto" w:before="31"/>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、关于信息披露与透明度</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公司根据《公司章程》、《深圳证券交易所股票上市规则》和中国证监会及深圳证券交易所的相</w:t>
      </w:r>
    </w:p>
    <w:p>
      <w:pPr>
        <w:spacing w:line="357" w:lineRule="auto" w:before="32"/>
        <w:ind w:left="122" w:right="1246" w:firstLine="0"/>
        <w:jc w:val="both"/>
        <w:rPr>
          <w:rFonts w:ascii="宋体" w:hAnsi="宋体" w:cs="宋体" w:eastAsia="宋体" w:hint="default"/>
          <w:sz w:val="21"/>
          <w:szCs w:val="21"/>
        </w:rPr>
      </w:pPr>
      <w:r>
        <w:rPr>
          <w:rFonts w:ascii="宋体" w:hAnsi="宋体" w:cs="宋体" w:eastAsia="宋体" w:hint="default"/>
          <w:spacing w:val="-3"/>
          <w:sz w:val="21"/>
          <w:szCs w:val="21"/>
        </w:rPr>
        <w:t>关法律法规的要求，认真履行信息披露义务。公司指定《证券时报》和“巨潮网”为公司信息披露</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的报纸和网站，真实、准确、及时地披露公司信息，确保公司所有股东公平地获得公司相关信息。</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、关于相关利益者</w:t>
      </w:r>
      <w:r>
        <w:rPr>
          <w:rFonts w:ascii="宋体" w:hAnsi="宋体" w:cs="宋体" w:eastAsia="宋体" w:hint="default"/>
          <w:sz w:val="21"/>
          <w:szCs w:val="21"/>
        </w:rPr>
      </w:r>
    </w:p>
    <w:p>
      <w:pPr>
        <w:spacing w:line="355" w:lineRule="auto" w:before="30"/>
        <w:ind w:left="1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公司充分尊重和维护相关利益者的合法权益，积极与相关利益者合作，加强与各方的沟通和交</w:t>
      </w:r>
      <w:r>
        <w:rPr>
          <w:rFonts w:ascii="宋体" w:hAnsi="宋体" w:cs="宋体" w:eastAsia="宋体" w:hint="default"/>
          <w:w w:val="100"/>
          <w:sz w:val="21"/>
          <w:szCs w:val="21"/>
        </w:rPr>
        <w:t> </w:t>
      </w:r>
      <w:r>
        <w:rPr>
          <w:rFonts w:ascii="宋体" w:hAnsi="宋体" w:cs="宋体" w:eastAsia="宋体" w:hint="default"/>
          <w:sz w:val="21"/>
          <w:szCs w:val="21"/>
        </w:rPr>
        <w:t>流，实现股东、员工、社会等各方利益的均衡，以推动公司持续、稳定、健康地发展。</w:t>
      </w:r>
    </w:p>
    <w:p>
      <w:pPr>
        <w:spacing w:after="0" w:line="355"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1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公司治理的实际情况与中国证监会有关上市公司治理的规范性文件要求基本符合。公司根据新</w:t>
      </w:r>
      <w:r>
        <w:rPr>
          <w:rFonts w:ascii="宋体" w:hAnsi="宋体" w:cs="宋体" w:eastAsia="宋体" w:hint="default"/>
          <w:w w:val="100"/>
          <w:sz w:val="21"/>
          <w:szCs w:val="21"/>
        </w:rPr>
        <w:t> </w:t>
      </w:r>
      <w:r>
        <w:rPr>
          <w:rFonts w:ascii="宋体" w:hAnsi="宋体" w:cs="宋体" w:eastAsia="宋体" w:hint="default"/>
          <w:spacing w:val="-3"/>
          <w:sz w:val="21"/>
          <w:szCs w:val="21"/>
        </w:rPr>
        <w:t>版《深圳证券交易所股票上市规则》的规定，已组织修改和制定包括《公司章程》在内的公司相关</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的内部管理文件。</w:t>
      </w:r>
    </w:p>
    <w:p>
      <w:pPr>
        <w:spacing w:line="355" w:lineRule="auto" w:before="32"/>
        <w:ind w:left="542" w:right="1274" w:hanging="420"/>
        <w:jc w:val="left"/>
        <w:rPr>
          <w:rFonts w:ascii="宋体" w:hAnsi="宋体" w:cs="宋体" w:eastAsia="宋体" w:hint="default"/>
          <w:sz w:val="21"/>
          <w:szCs w:val="21"/>
        </w:rPr>
      </w:pPr>
      <w:r>
        <w:rPr>
          <w:rFonts w:ascii="宋体" w:hAnsi="宋体" w:cs="宋体" w:eastAsia="宋体" w:hint="default"/>
          <w:b/>
          <w:bCs/>
          <w:sz w:val="21"/>
          <w:szCs w:val="21"/>
        </w:rPr>
        <w:t>二、公司治理情况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报告期内，公司未收到监管部门采取行政监管措施的行政处罚、限期整改等有关文件。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0"/>
        <w:ind w:left="0" w:right="1231" w:firstLine="0"/>
        <w:jc w:val="right"/>
        <w:rPr>
          <w:rFonts w:ascii="宋体" w:hAnsi="宋体" w:cs="宋体" w:eastAsia="宋体" w:hint="default"/>
          <w:sz w:val="18"/>
          <w:szCs w:val="18"/>
        </w:rPr>
      </w:pPr>
      <w:r>
        <w:rPr/>
        <w:pict>
          <v:shape style="position:absolute;margin-left:81.863998pt;margin-top:-373.538269pt;width:449.25pt;height:464.2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06"/>
                    <w:gridCol w:w="1312"/>
                    <w:gridCol w:w="1752"/>
                  </w:tblGrid>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54"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487"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12" w:type="dxa"/>
                        <w:tcBorders>
                          <w:top w:val="single" w:sz="8" w:space="0" w:color="DCDCDC"/>
                          <w:left w:val="single" w:sz="12" w:space="0" w:color="DCDCDC"/>
                          <w:bottom w:val="single" w:sz="4" w:space="0" w:color="000000"/>
                          <w:right w:val="single" w:sz="4" w:space="0" w:color="000000"/>
                        </w:tcBorders>
                      </w:tcPr>
                      <w:p>
                        <w:pPr>
                          <w:pStyle w:val="TableParagraph"/>
                          <w:spacing w:line="198"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8" w:space="0" w:color="DCDCDC"/>
                          <w:left w:val="single" w:sz="4" w:space="0" w:color="000000"/>
                          <w:bottom w:val="single" w:sz="4" w:space="0" w:color="000000"/>
                          <w:right w:val="single" w:sz="4" w:space="0" w:color="000000"/>
                        </w:tcBorders>
                      </w:tcPr>
                      <w:p>
                        <w:pPr/>
                      </w:p>
                    </w:tc>
                  </w:tr>
                  <w:tr>
                    <w:trPr>
                      <w:trHeight w:val="71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w:t>
                        </w:r>
                      </w:p>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审计部门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）审计委员会成员是否全部由董事组成，独立董事占半数以上并担任</w:t>
                        </w:r>
                      </w:p>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w:t>
                        </w:r>
                      </w:p>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作</w:t>
                        </w:r>
                      </w:p>
                    </w:tc>
                    <w:tc>
                      <w:tcPr>
                        <w:tcW w:w="1312" w:type="dxa"/>
                        <w:tcBorders>
                          <w:top w:val="single" w:sz="4" w:space="0" w:color="000000"/>
                          <w:left w:val="single" w:sz="12" w:space="0" w:color="DCDCDC"/>
                          <w:bottom w:val="single" w:sz="12" w:space="0" w:color="DCDCDC"/>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12" w:space="0" w:color="DCDCDC"/>
                          <w:right w:val="single" w:sz="4" w:space="0" w:color="000000"/>
                        </w:tcBorders>
                      </w:tcPr>
                      <w:p>
                        <w:pPr/>
                      </w:p>
                    </w:tc>
                  </w:tr>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8" w:space="0" w:color="DCDCDC"/>
                          <w:left w:val="single" w:sz="12" w:space="0" w:color="DCDCDC"/>
                          <w:bottom w:val="single" w:sz="4" w:space="0" w:color="000000"/>
                          <w:right w:val="single" w:sz="4" w:space="0" w:color="000000"/>
                        </w:tcBorders>
                      </w:tcPr>
                      <w:p>
                        <w:pPr>
                          <w:pStyle w:val="TableParagraph"/>
                          <w:spacing w:line="198"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8" w:space="0" w:color="DCDCDC"/>
                          <w:left w:val="single" w:sz="4" w:space="0" w:color="000000"/>
                          <w:bottom w:val="single" w:sz="4" w:space="0" w:color="000000"/>
                          <w:right w:val="single" w:sz="4" w:space="0" w:color="000000"/>
                        </w:tcBorders>
                      </w:tcPr>
                      <w:p>
                        <w:pPr/>
                      </w:p>
                    </w:tc>
                  </w:tr>
                  <w:tr>
                    <w:trPr>
                      <w:trHeight w:val="71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w:t>
                        </w:r>
                      </w:p>
                      <w:p>
                        <w:pPr>
                          <w:pStyle w:val="TableParagraph"/>
                          <w:spacing w:line="240" w:lineRule="auto" w:before="101"/>
                          <w:ind w:left="12" w:right="0"/>
                          <w:jc w:val="left"/>
                          <w:rPr>
                            <w:rFonts w:ascii="宋体" w:hAnsi="宋体" w:cs="宋体" w:eastAsia="宋体" w:hint="default"/>
                            <w:sz w:val="18"/>
                            <w:szCs w:val="18"/>
                          </w:rPr>
                        </w:pPr>
                        <w:r>
                          <w:rPr>
                            <w:rFonts w:ascii="宋体" w:hAnsi="宋体" w:cs="宋体" w:eastAsia="宋体" w:hint="default"/>
                            <w:sz w:val="18"/>
                            <w:szCs w:val="18"/>
                          </w:rPr>
                          <w:t>请说明内部控制存在的重大缺陷）</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．本年度是否聘请会计师事务所对内部控制有效性出具审计报告</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1061"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．会计师事务所对公司内部控制有效性是否出具标准审计报告。如出具非</w:t>
                        </w:r>
                      </w:p>
                      <w:p>
                        <w:pPr>
                          <w:pStyle w:val="TableParagraph"/>
                          <w:spacing w:line="357" w:lineRule="auto" w:before="101"/>
                          <w:ind w:left="12" w:right="122"/>
                          <w:jc w:val="left"/>
                          <w:rPr>
                            <w:rFonts w:ascii="宋体" w:hAnsi="宋体" w:cs="宋体" w:eastAsia="宋体" w:hint="default"/>
                            <w:sz w:val="18"/>
                            <w:szCs w:val="18"/>
                          </w:rPr>
                        </w:pPr>
                        <w:r>
                          <w:rPr>
                            <w:rFonts w:ascii="宋体" w:hAnsi="宋体" w:cs="宋体" w:eastAsia="宋体" w:hint="default"/>
                            <w:sz w:val="18"/>
                            <w:szCs w:val="18"/>
                          </w:rPr>
                          <w:t>标准审计报告或指出公司非财务报告内部控制存在重大缺陷的，公司董事 会、监事会是否针对所涉及事项做出专项说明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897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1411" w:hRule="exact"/>
                    </w:trPr>
                    <w:tc>
                      <w:tcPr>
                        <w:tcW w:w="8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pacing w:val="-2"/>
                            <w:sz w:val="18"/>
                            <w:szCs w:val="18"/>
                          </w:rPr>
                          <w:t>审计委员会按时对公司内部审计部门提交的审计报告进行审议，对报告期内的季度、半年度和年度财务报告进</w:t>
                        </w:r>
                      </w:p>
                      <w:p>
                        <w:pPr>
                          <w:pStyle w:val="TableParagraph"/>
                          <w:spacing w:line="357" w:lineRule="auto" w:before="112"/>
                          <w:ind w:left="12" w:right="24"/>
                          <w:jc w:val="left"/>
                          <w:rPr>
                            <w:rFonts w:ascii="宋体" w:hAnsi="宋体" w:cs="宋体" w:eastAsia="宋体" w:hint="default"/>
                            <w:sz w:val="18"/>
                            <w:szCs w:val="18"/>
                          </w:rPr>
                        </w:pPr>
                        <w:r>
                          <w:rPr>
                            <w:rFonts w:ascii="宋体" w:hAnsi="宋体" w:cs="宋体" w:eastAsia="宋体" w:hint="default"/>
                            <w:spacing w:val="-4"/>
                            <w:sz w:val="18"/>
                            <w:szCs w:val="18"/>
                          </w:rPr>
                          <w:t>行了审核，并完善、制定了公司内部控制制度，出具了公司内部控制自我评价报告，认真履行了董事会赋予的职责</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公司内部审计部门能够及时出具内部控制评价报告，对重大公告、重要事项进行审计并出具审计报告，在内审过程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中发现内部控制缺陷、重大问题、风险隐患并提出改进或处理建议。</w:t>
                        </w:r>
                      </w:p>
                    </w:tc>
                  </w:tr>
                  <w:tr>
                    <w:trPr>
                      <w:trHeight w:val="360" w:hRule="exact"/>
                    </w:trPr>
                    <w:tc>
                      <w:tcPr>
                        <w:tcW w:w="897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61" w:hRule="exact"/>
                    </w:trPr>
                    <w:tc>
                      <w:tcPr>
                        <w:tcW w:w="8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355" w:lineRule="auto" w:before="36"/>
        <w:ind w:left="542" w:right="1278" w:hanging="420"/>
        <w:jc w:val="left"/>
        <w:rPr>
          <w:rFonts w:ascii="宋体" w:hAnsi="宋体" w:cs="宋体" w:eastAsia="宋体" w:hint="default"/>
          <w:sz w:val="21"/>
          <w:szCs w:val="21"/>
        </w:rPr>
      </w:pPr>
      <w:r>
        <w:rPr>
          <w:rFonts w:ascii="宋体" w:hAnsi="宋体" w:cs="宋体" w:eastAsia="宋体" w:hint="default"/>
          <w:b/>
          <w:bCs/>
          <w:sz w:val="21"/>
          <w:szCs w:val="21"/>
        </w:rPr>
        <w:t>三、董事长、独立董事及其他董事履职情况</w:t>
      </w:r>
      <w:r>
        <w:rPr>
          <w:rFonts w:ascii="宋体" w:hAnsi="宋体" w:cs="宋体" w:eastAsia="宋体" w:hint="default"/>
          <w:b/>
          <w:bCs/>
          <w:w w:val="100"/>
          <w:sz w:val="21"/>
          <w:szCs w:val="21"/>
        </w:rPr>
        <w:t> </w:t>
      </w:r>
      <w:r>
        <w:rPr>
          <w:rFonts w:ascii="宋体" w:hAnsi="宋体" w:cs="宋体" w:eastAsia="宋体" w:hint="default"/>
          <w:spacing w:val="-12"/>
          <w:w w:val="100"/>
          <w:sz w:val="21"/>
          <w:szCs w:val="21"/>
        </w:rPr>
        <w:t>报告期内，公司董事长、独立董事及其他董事严格按照《公司章程》、《董事会议事规则》、《独</w:t>
      </w:r>
    </w:p>
    <w:p>
      <w:pPr>
        <w:spacing w:line="357" w:lineRule="auto" w:before="32"/>
        <w:ind w:left="542" w:right="0" w:hanging="420"/>
        <w:jc w:val="left"/>
        <w:rPr>
          <w:rFonts w:ascii="宋体" w:hAnsi="宋体" w:cs="宋体" w:eastAsia="宋体" w:hint="default"/>
          <w:sz w:val="21"/>
          <w:szCs w:val="21"/>
        </w:rPr>
      </w:pPr>
      <w:r>
        <w:rPr>
          <w:rFonts w:ascii="宋体" w:hAnsi="宋体" w:cs="宋体" w:eastAsia="宋体" w:hint="default"/>
          <w:sz w:val="21"/>
          <w:szCs w:val="21"/>
        </w:rPr>
        <w:t>立董事工作细则》及其他有关法律法规制度的规定和要求，恪尽职守、诚实守信地履行职责。</w:t>
      </w:r>
      <w:r>
        <w:rPr>
          <w:rFonts w:ascii="宋体" w:hAnsi="宋体" w:cs="宋体" w:eastAsia="宋体" w:hint="default"/>
          <w:w w:val="100"/>
          <w:sz w:val="21"/>
          <w:szCs w:val="21"/>
        </w:rPr>
        <w:t> </w:t>
      </w:r>
      <w:r>
        <w:rPr>
          <w:rFonts w:ascii="宋体" w:hAnsi="宋体" w:cs="宋体" w:eastAsia="宋体" w:hint="default"/>
          <w:spacing w:val="-3"/>
          <w:sz w:val="21"/>
          <w:szCs w:val="21"/>
        </w:rPr>
        <w:t>董事长全力加强董事会建设，严格按照董事会集体决策机制，决定公司的重大经营事项，并严</w:t>
      </w:r>
    </w:p>
    <w:p>
      <w:pPr>
        <w:spacing w:after="0" w:line="357"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222" w:right="1164" w:firstLine="0"/>
        <w:jc w:val="left"/>
        <w:rPr>
          <w:rFonts w:ascii="宋体" w:hAnsi="宋体" w:cs="宋体" w:eastAsia="宋体" w:hint="default"/>
          <w:sz w:val="21"/>
          <w:szCs w:val="21"/>
        </w:rPr>
      </w:pPr>
      <w:r>
        <w:rPr>
          <w:rFonts w:ascii="宋体" w:hAnsi="宋体" w:cs="宋体" w:eastAsia="宋体" w:hint="default"/>
          <w:spacing w:val="-3"/>
          <w:sz w:val="21"/>
          <w:szCs w:val="21"/>
        </w:rPr>
        <w:t>格执行股东大会的决议。公司现有独立董事三名，其中两名为会计专业人士。报告期内，公司的独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7"/>
          <w:w w:val="100"/>
          <w:sz w:val="21"/>
          <w:szCs w:val="21"/>
        </w:rPr>
        <w:t>立董事能按照有关法律、法规、《公司章程》、《独立董事制度》的规定勤勉地履行职责，以认真负</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责的态度出席</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年度</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pacing w:val="-3"/>
          <w:sz w:val="21"/>
          <w:szCs w:val="21"/>
        </w:rPr>
        <w:t>次董事会。公司独立董事能恪尽职守、勤勉尽责，详细了解公司整个生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产运作情况，对公司重大事项发表了独立意见，对董事会决策的公正公平及保护中小投资者利益起</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到了积极作用。其他董事也严格遵守各项规定，尽职尽责，切实维护公司及股东利益。报告期内，</w:t>
      </w:r>
      <w:r>
        <w:rPr>
          <w:rFonts w:ascii="宋体" w:hAnsi="宋体" w:cs="宋体" w:eastAsia="宋体" w:hint="default"/>
          <w:w w:val="100"/>
          <w:sz w:val="21"/>
          <w:szCs w:val="21"/>
        </w:rPr>
        <w:t> </w:t>
      </w:r>
      <w:r>
        <w:rPr>
          <w:rFonts w:ascii="宋体" w:hAnsi="宋体" w:cs="宋体" w:eastAsia="宋体" w:hint="default"/>
          <w:sz w:val="21"/>
          <w:szCs w:val="21"/>
        </w:rPr>
        <w:t>各独立董事到公司现场办公均超过</w:t>
      </w:r>
      <w:r>
        <w:rPr>
          <w:rFonts w:ascii="宋体" w:hAnsi="宋体" w:cs="宋体" w:eastAsia="宋体" w:hint="default"/>
          <w:spacing w:val="-36"/>
          <w:sz w:val="21"/>
          <w:szCs w:val="21"/>
        </w:rPr>
        <w:t> </w:t>
      </w:r>
      <w:r>
        <w:rPr>
          <w:rFonts w:ascii="宋体" w:hAnsi="宋体" w:cs="宋体" w:eastAsia="宋体" w:hint="default"/>
          <w:sz w:val="21"/>
          <w:szCs w:val="21"/>
        </w:rPr>
        <w:t>10</w:t>
      </w:r>
      <w:r>
        <w:rPr>
          <w:rFonts w:ascii="宋体" w:hAnsi="宋体" w:cs="宋体" w:eastAsia="宋体" w:hint="default"/>
          <w:spacing w:val="-36"/>
          <w:sz w:val="21"/>
          <w:szCs w:val="21"/>
        </w:rPr>
        <w:t> </w:t>
      </w:r>
      <w:r>
        <w:rPr>
          <w:rFonts w:ascii="宋体" w:hAnsi="宋体" w:cs="宋体" w:eastAsia="宋体" w:hint="default"/>
          <w:spacing w:val="-3"/>
          <w:sz w:val="21"/>
          <w:szCs w:val="21"/>
        </w:rPr>
        <w:t>个工作日，并按照董事会专门委员会和内部控制制度的要求，</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参与专门委员会的各项工作，为保障公司治理结构和维护股东利益做了大量工作。在审议年报、股</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权激励等重大事宜时，独立董事积极与监事、公司高级管理人员、内部审计人员和审计会计师进行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沟通交流，详细掌握重大事项的基础信息，并在此基础上提出自己的意见和建议，从而保证了重大</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事项的顺利实施。</w:t>
      </w:r>
    </w:p>
    <w:p>
      <w:pPr>
        <w:spacing w:before="31"/>
        <w:ind w:left="537" w:right="1276" w:firstLine="0"/>
        <w:jc w:val="left"/>
        <w:rPr>
          <w:rFonts w:ascii="宋体" w:hAnsi="宋体" w:cs="宋体" w:eastAsia="宋体" w:hint="default"/>
          <w:sz w:val="21"/>
          <w:szCs w:val="21"/>
        </w:rPr>
      </w:pPr>
      <w:r>
        <w:rPr>
          <w:rFonts w:ascii="宋体" w:hAnsi="宋体" w:cs="宋体" w:eastAsia="宋体" w:hint="default"/>
          <w:sz w:val="21"/>
          <w:szCs w:val="21"/>
        </w:rPr>
        <w:t>１、报告期内公司第三届董事会共召开了</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次会议，董事出席会议情况如下：</w:t>
      </w:r>
    </w:p>
    <w:p>
      <w:pPr>
        <w:spacing w:line="240" w:lineRule="auto" w:before="11"/>
        <w:rPr>
          <w:rFonts w:ascii="宋体" w:hAnsi="宋体" w:cs="宋体" w:eastAsia="宋体" w:hint="default"/>
          <w:sz w:val="12"/>
          <w:szCs w:val="12"/>
        </w:rPr>
      </w:pPr>
    </w:p>
    <w:tbl>
      <w:tblPr>
        <w:tblW w:w="0" w:type="auto"/>
        <w:jc w:val="left"/>
        <w:tblInd w:w="779" w:type="dxa"/>
        <w:tblLayout w:type="fixed"/>
        <w:tblCellMar>
          <w:top w:w="0" w:type="dxa"/>
          <w:left w:w="0" w:type="dxa"/>
          <w:bottom w:w="0" w:type="dxa"/>
          <w:right w:w="0" w:type="dxa"/>
        </w:tblCellMar>
        <w:tblLook w:val="01E0"/>
      </w:tblPr>
      <w:tblGrid>
        <w:gridCol w:w="955"/>
        <w:gridCol w:w="1136"/>
        <w:gridCol w:w="638"/>
        <w:gridCol w:w="946"/>
        <w:gridCol w:w="1155"/>
        <w:gridCol w:w="840"/>
        <w:gridCol w:w="840"/>
        <w:gridCol w:w="1366"/>
      </w:tblGrid>
      <w:tr>
        <w:trPr>
          <w:trHeight w:val="476" w:hRule="exact"/>
        </w:trPr>
        <w:tc>
          <w:tcPr>
            <w:tcW w:w="9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10"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03"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4" w:right="0" w:hanging="89"/>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现场出席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2" w:right="0" w:hanging="89"/>
              <w:jc w:val="left"/>
              <w:rPr>
                <w:rFonts w:ascii="宋体" w:hAnsi="宋体" w:cs="宋体" w:eastAsia="宋体" w:hint="default"/>
                <w:sz w:val="18"/>
                <w:szCs w:val="18"/>
              </w:rPr>
            </w:pPr>
            <w:r>
              <w:rPr>
                <w:rFonts w:ascii="宋体" w:hAnsi="宋体" w:cs="宋体" w:eastAsia="宋体" w:hint="default"/>
                <w:sz w:val="18"/>
                <w:szCs w:val="18"/>
              </w:rPr>
              <w:t>以通讯方式参</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加会议次数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53"/>
              <w:jc w:val="right"/>
              <w:rPr>
                <w:rFonts w:ascii="宋体" w:hAnsi="宋体" w:cs="宋体" w:eastAsia="宋体" w:hint="default"/>
                <w:sz w:val="18"/>
                <w:szCs w:val="18"/>
              </w:rPr>
            </w:pPr>
            <w:r>
              <w:rPr>
                <w:rFonts w:ascii="宋体" w:hAnsi="宋体" w:cs="宋体" w:eastAsia="宋体" w:hint="default"/>
                <w:sz w:val="18"/>
                <w:szCs w:val="18"/>
              </w:rPr>
              <w:t>缺席次数</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7" w:right="0" w:hanging="90"/>
              <w:jc w:val="left"/>
              <w:rPr>
                <w:rFonts w:ascii="宋体" w:hAnsi="宋体" w:cs="宋体" w:eastAsia="宋体" w:hint="default"/>
                <w:sz w:val="18"/>
                <w:szCs w:val="18"/>
              </w:rPr>
            </w:pPr>
            <w:r>
              <w:rPr>
                <w:rFonts w:ascii="宋体" w:hAnsi="宋体" w:cs="宋体" w:eastAsia="宋体" w:hint="default"/>
                <w:sz w:val="18"/>
                <w:szCs w:val="18"/>
              </w:rPr>
              <w:t>是否连续两次未</w:t>
            </w:r>
          </w:p>
          <w:p>
            <w:pPr>
              <w:pStyle w:val="TableParagraph"/>
              <w:spacing w:line="234" w:lineRule="exact"/>
              <w:ind w:left="137"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谷望江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赵福蕊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10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5147"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10</w:t>
            </w:r>
          </w:p>
        </w:tc>
      </w:tr>
      <w:tr>
        <w:trPr>
          <w:trHeight w:val="242"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5147"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2</w:t>
            </w:r>
          </w:p>
        </w:tc>
      </w:tr>
      <w:tr>
        <w:trPr>
          <w:trHeight w:val="245"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5147"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7</w:t>
            </w:r>
          </w:p>
        </w:tc>
      </w:tr>
      <w:tr>
        <w:trPr>
          <w:trHeight w:val="242"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5147"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3"/>
        <w:rPr>
          <w:rFonts w:ascii="宋体" w:hAnsi="宋体" w:cs="宋体" w:eastAsia="宋体" w:hint="default"/>
          <w:sz w:val="25"/>
          <w:szCs w:val="25"/>
        </w:rPr>
      </w:pPr>
    </w:p>
    <w:p>
      <w:pPr>
        <w:spacing w:before="36"/>
        <w:ind w:left="642" w:right="1276" w:firstLine="0"/>
        <w:jc w:val="left"/>
        <w:rPr>
          <w:rFonts w:ascii="宋体" w:hAnsi="宋体" w:cs="宋体" w:eastAsia="宋体" w:hint="default"/>
          <w:sz w:val="21"/>
          <w:szCs w:val="21"/>
        </w:rPr>
      </w:pPr>
      <w:r>
        <w:rPr>
          <w:rFonts w:ascii="宋体" w:hAnsi="宋体" w:cs="宋体" w:eastAsia="宋体" w:hint="default"/>
          <w:sz w:val="21"/>
          <w:szCs w:val="21"/>
        </w:rPr>
        <w:t>２、报告期内，独立董事列席股东大会情况：</w:t>
      </w:r>
    </w:p>
    <w:p>
      <w:pPr>
        <w:spacing w:line="240" w:lineRule="auto" w:before="10"/>
        <w:rPr>
          <w:rFonts w:ascii="宋体" w:hAnsi="宋体" w:cs="宋体" w:eastAsia="宋体" w:hint="default"/>
          <w:sz w:val="12"/>
          <w:szCs w:val="12"/>
        </w:rPr>
      </w:pPr>
    </w:p>
    <w:tbl>
      <w:tblPr>
        <w:tblW w:w="0" w:type="auto"/>
        <w:jc w:val="left"/>
        <w:tblInd w:w="2690" w:type="dxa"/>
        <w:tblLayout w:type="fixed"/>
        <w:tblCellMar>
          <w:top w:w="0" w:type="dxa"/>
          <w:left w:w="0" w:type="dxa"/>
          <w:bottom w:w="0" w:type="dxa"/>
          <w:right w:w="0" w:type="dxa"/>
        </w:tblCellMar>
        <w:tblLook w:val="01E0"/>
      </w:tblPr>
      <w:tblGrid>
        <w:gridCol w:w="1315"/>
        <w:gridCol w:w="1584"/>
        <w:gridCol w:w="1154"/>
      </w:tblGrid>
      <w:tr>
        <w:trPr>
          <w:trHeight w:val="478" w:hRule="exact"/>
        </w:trPr>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报告期内股东大会</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召开次数</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列席次数</w:t>
            </w:r>
          </w:p>
        </w:tc>
      </w:tr>
      <w:tr>
        <w:trPr>
          <w:trHeight w:val="242"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hAnsi="宋体" w:cs="宋体" w:eastAsia="宋体" w:hint="default"/>
                <w:sz w:val="18"/>
                <w:szCs w:val="18"/>
              </w:rPr>
              <w:t>４</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z w:val="18"/>
              </w:rPr>
              <w:t>3</w:t>
            </w:r>
          </w:p>
        </w:tc>
      </w:tr>
      <w:tr>
        <w:trPr>
          <w:trHeight w:val="242"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hAnsi="宋体" w:cs="宋体" w:eastAsia="宋体" w:hint="default"/>
                <w:sz w:val="18"/>
                <w:szCs w:val="18"/>
              </w:rPr>
              <w:t>４</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z w:val="18"/>
              </w:rPr>
              <w:t>3</w:t>
            </w:r>
          </w:p>
        </w:tc>
      </w:tr>
      <w:tr>
        <w:trPr>
          <w:trHeight w:val="245"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hAnsi="宋体" w:cs="宋体" w:eastAsia="宋体" w:hint="default"/>
                <w:sz w:val="18"/>
                <w:szCs w:val="18"/>
              </w:rPr>
              <w:t>４</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11"/>
        <w:rPr>
          <w:rFonts w:ascii="宋体" w:hAnsi="宋体" w:cs="宋体" w:eastAsia="宋体" w:hint="default"/>
          <w:sz w:val="25"/>
          <w:szCs w:val="25"/>
        </w:rPr>
      </w:pPr>
    </w:p>
    <w:p>
      <w:pPr>
        <w:spacing w:before="36"/>
        <w:ind w:left="642" w:right="127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、报告期内独立董事发表的独立意见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80"/>
        <w:gridCol w:w="1021"/>
        <w:gridCol w:w="4943"/>
        <w:gridCol w:w="1272"/>
      </w:tblGrid>
      <w:tr>
        <w:trPr>
          <w:trHeight w:val="557"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1"/>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发表意</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见时间</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发表意见事项</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意见类型</w:t>
            </w:r>
          </w:p>
        </w:tc>
      </w:tr>
      <w:tr>
        <w:trPr>
          <w:trHeight w:val="475"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415" w:right="410"/>
              <w:jc w:val="both"/>
              <w:rPr>
                <w:rFonts w:ascii="宋体" w:hAnsi="宋体" w:cs="宋体" w:eastAsia="宋体" w:hint="default"/>
                <w:sz w:val="18"/>
                <w:szCs w:val="18"/>
              </w:rPr>
            </w:pPr>
            <w:r>
              <w:rPr>
                <w:rFonts w:ascii="宋体" w:hAnsi="宋体" w:cs="宋体" w:eastAsia="宋体" w:hint="default"/>
                <w:sz w:val="18"/>
                <w:szCs w:val="18"/>
              </w:rPr>
              <w:t>汤云为 刘素英 郑 </w:t>
            </w:r>
            <w:r>
              <w:rPr>
                <w:rFonts w:ascii="宋体" w:hAnsi="宋体" w:cs="宋体" w:eastAsia="宋体" w:hint="default"/>
                <w:spacing w:val="2"/>
                <w:sz w:val="18"/>
                <w:szCs w:val="18"/>
              </w:rPr>
              <w:t> </w:t>
            </w:r>
            <w:r>
              <w:rPr>
                <w:rFonts w:ascii="宋体" w:hAnsi="宋体" w:cs="宋体" w:eastAsia="宋体" w:hint="default"/>
                <w:sz w:val="18"/>
                <w:szCs w:val="18"/>
              </w:rPr>
              <w:t>钢</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8" w:right="0"/>
              <w:jc w:val="left"/>
              <w:rPr>
                <w:rFonts w:ascii="Times New Roman" w:hAnsi="Times New Roman" w:cs="Times New Roman" w:eastAsia="Times New Roman" w:hint="default"/>
                <w:sz w:val="18"/>
                <w:szCs w:val="18"/>
              </w:rPr>
            </w:pPr>
            <w:r>
              <w:rPr>
                <w:rFonts w:ascii="Times New Roman"/>
                <w:sz w:val="18"/>
              </w:rPr>
              <w:t>2011.1.26</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《关于增加综合金融服务外包项目实施地点及建立北京分公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司、上海分公司的议案》的意见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1644" w:hRule="exact"/>
        </w:trPr>
        <w:tc>
          <w:tcPr>
            <w:tcW w:w="1380" w:type="dxa"/>
            <w:vMerge/>
            <w:tcBorders>
              <w:left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2011.3.2</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9">
              <w:r>
                <w:rPr>
                  <w:rFonts w:ascii="宋体" w:hAnsi="宋体" w:cs="宋体" w:eastAsia="宋体" w:hint="default"/>
                  <w:sz w:val="18"/>
                  <w:szCs w:val="18"/>
                </w:rPr>
                <w:t>关于对第三届董事会第十六次会议相关议案的独立意见</w:t>
              </w:r>
            </w:hyperlink>
            <w:r>
              <w:rPr>
                <w:rFonts w:ascii="宋体" w:hAnsi="宋体" w:cs="宋体" w:eastAsia="宋体" w:hint="default"/>
                <w:spacing w:val="-44"/>
                <w:sz w:val="18"/>
                <w:szCs w:val="18"/>
              </w:rPr>
              <w:t> </w:t>
            </w:r>
            <w:r>
              <w:rPr>
                <w:rFonts w:ascii="宋体" w:hAnsi="宋体" w:cs="宋体" w:eastAsia="宋体" w:hint="default"/>
                <w:sz w:val="18"/>
                <w:szCs w:val="18"/>
              </w:rPr>
              <w:t>，包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括：</w:t>
            </w:r>
          </w:p>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、关于续聘会计师事务所的意见；</w:t>
            </w:r>
          </w:p>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、关于股东占用公司资金情况的专项意见；</w:t>
            </w:r>
          </w:p>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、关于公司对外担保情况的专项意见；</w:t>
            </w:r>
          </w:p>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年度内部控制自我评价报告的专项意见；</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、关于调整独立董事津贴事项的专项意见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245" w:hRule="exact"/>
        </w:trPr>
        <w:tc>
          <w:tcPr>
            <w:tcW w:w="1380" w:type="dxa"/>
            <w:vMerge/>
            <w:tcBorders>
              <w:left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2011.3.25</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关于对使用募集资金暂时补充流动资金的意见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242" w:hRule="exact"/>
        </w:trPr>
        <w:tc>
          <w:tcPr>
            <w:tcW w:w="1380" w:type="dxa"/>
            <w:vMerge/>
            <w:tcBorders>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2011.5.31</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关于公司限制性股票激励计划（草案）的独立意见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after="0" w:line="205" w:lineRule="exact"/>
        <w:jc w:val="center"/>
        <w:rPr>
          <w:rFonts w:ascii="宋体" w:hAnsi="宋体" w:cs="宋体" w:eastAsia="宋体" w:hint="default"/>
          <w:sz w:val="18"/>
          <w:szCs w:val="18"/>
        </w:rPr>
        <w:sectPr>
          <w:pgSz w:w="11910" w:h="16840"/>
          <w:pgMar w:header="737" w:footer="1153" w:top="1060" w:bottom="1340" w:left="140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380"/>
        <w:gridCol w:w="1021"/>
        <w:gridCol w:w="4943"/>
        <w:gridCol w:w="1272"/>
      </w:tblGrid>
      <w:tr>
        <w:trPr>
          <w:trHeight w:val="242" w:hRule="exact"/>
        </w:trPr>
        <w:tc>
          <w:tcPr>
            <w:tcW w:w="1380" w:type="dxa"/>
            <w:vMerge w:val="restart"/>
            <w:tcBorders>
              <w:top w:val="single" w:sz="4" w:space="0" w:color="000000"/>
              <w:left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2011.8.26</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关于关联方资金占用和对外担保情况的专项说明</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45" w:hRule="exact"/>
        </w:trPr>
        <w:tc>
          <w:tcPr>
            <w:tcW w:w="1380" w:type="dxa"/>
            <w:vMerge/>
            <w:tcBorders>
              <w:left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2011.9.10</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关于《限制性股票激励计划（修订稿</w:t>
            </w:r>
            <w:r>
              <w:rPr>
                <w:rFonts w:ascii="宋体" w:hAnsi="宋体" w:cs="宋体" w:eastAsia="宋体" w:hint="default"/>
                <w:spacing w:val="-92"/>
                <w:sz w:val="18"/>
                <w:szCs w:val="18"/>
              </w:rPr>
              <w:t>）</w:t>
            </w:r>
            <w:r>
              <w:rPr>
                <w:rFonts w:ascii="宋体" w:hAnsi="宋体" w:cs="宋体" w:eastAsia="宋体" w:hint="default"/>
                <w:sz w:val="18"/>
                <w:szCs w:val="18"/>
              </w:rPr>
              <w:t>》的独立意见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1"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42" w:hRule="exact"/>
        </w:trPr>
        <w:tc>
          <w:tcPr>
            <w:tcW w:w="1380" w:type="dxa"/>
            <w:vMerge/>
            <w:tcBorders>
              <w:left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2011.10.18</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关于对使用募集资金暂时补充流动资金的意见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245" w:hRule="exact"/>
        </w:trPr>
        <w:tc>
          <w:tcPr>
            <w:tcW w:w="1380" w:type="dxa"/>
            <w:vMerge/>
            <w:tcBorders>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2011.10.20</w:t>
            </w:r>
          </w:p>
        </w:tc>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关于限制性股票激励计划授予相关事项的独立意见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11"/>
        <w:rPr>
          <w:rFonts w:ascii="宋体" w:hAnsi="宋体" w:cs="宋体" w:eastAsia="宋体" w:hint="default"/>
          <w:sz w:val="25"/>
          <w:szCs w:val="25"/>
        </w:rPr>
      </w:pPr>
    </w:p>
    <w:p>
      <w:pPr>
        <w:spacing w:line="355" w:lineRule="auto" w:before="36"/>
        <w:ind w:left="222" w:right="1276" w:firstLine="419"/>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、报告期内，公司现任独立董事对公司董事会议案及公司其他事项没有提出异议，也未提议</w:t>
      </w:r>
      <w:r>
        <w:rPr>
          <w:rFonts w:ascii="宋体" w:hAnsi="宋体" w:cs="宋体" w:eastAsia="宋体" w:hint="default"/>
          <w:w w:val="100"/>
          <w:sz w:val="21"/>
          <w:szCs w:val="21"/>
        </w:rPr>
        <w:t> </w:t>
      </w:r>
      <w:r>
        <w:rPr>
          <w:rFonts w:ascii="宋体" w:hAnsi="宋体" w:cs="宋体" w:eastAsia="宋体" w:hint="default"/>
          <w:sz w:val="21"/>
          <w:szCs w:val="21"/>
        </w:rPr>
        <w:t>召开董事会、聘请外部审计或咨询机构对公司进行检查的情况。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0"/>
        <w:ind w:left="642" w:right="1276" w:hanging="420"/>
        <w:jc w:val="left"/>
        <w:rPr>
          <w:rFonts w:ascii="宋体" w:hAnsi="宋体" w:cs="宋体" w:eastAsia="宋体" w:hint="default"/>
          <w:sz w:val="21"/>
          <w:szCs w:val="21"/>
        </w:rPr>
      </w:pPr>
      <w:r>
        <w:rPr>
          <w:rFonts w:ascii="宋体" w:hAnsi="宋体" w:cs="宋体" w:eastAsia="宋体" w:hint="default"/>
          <w:b/>
          <w:bCs/>
          <w:sz w:val="21"/>
          <w:szCs w:val="21"/>
        </w:rPr>
        <w:t>四、公司与控股股东在业务、人员、资产、机构、财务等方面的情况</w:t>
      </w:r>
      <w:r>
        <w:rPr>
          <w:rFonts w:ascii="宋体" w:hAnsi="宋体" w:cs="宋体" w:eastAsia="宋体" w:hint="default"/>
          <w:b/>
          <w:bCs/>
          <w:w w:val="100"/>
          <w:sz w:val="21"/>
          <w:szCs w:val="21"/>
        </w:rPr>
        <w:t> </w:t>
      </w:r>
      <w:r>
        <w:rPr>
          <w:rFonts w:ascii="宋体" w:hAnsi="宋体" w:cs="宋体" w:eastAsia="宋体" w:hint="default"/>
          <w:spacing w:val="-3"/>
          <w:sz w:val="21"/>
          <w:szCs w:val="21"/>
        </w:rPr>
        <w:t>公司具备完整、规范的产、供、销生产经营管理体制和运行机制，公司与控股股东在业务、人</w:t>
      </w:r>
    </w:p>
    <w:p>
      <w:pPr>
        <w:spacing w:before="32"/>
        <w:ind w:left="222" w:right="1276" w:firstLine="0"/>
        <w:jc w:val="left"/>
        <w:rPr>
          <w:rFonts w:ascii="宋体" w:hAnsi="宋体" w:cs="宋体" w:eastAsia="宋体" w:hint="default"/>
          <w:sz w:val="21"/>
          <w:szCs w:val="21"/>
        </w:rPr>
      </w:pPr>
      <w:r>
        <w:rPr>
          <w:rFonts w:ascii="宋体" w:hAnsi="宋体" w:cs="宋体" w:eastAsia="宋体" w:hint="default"/>
          <w:sz w:val="21"/>
          <w:szCs w:val="21"/>
        </w:rPr>
        <w:t>员、资产、机构、财务等方面完全分开，具有独立完整的业务及自主经营能力。</w:t>
      </w:r>
    </w:p>
    <w:p>
      <w:pPr>
        <w:spacing w:before="133"/>
        <w:ind w:left="222" w:right="1276" w:firstLine="0"/>
        <w:jc w:val="left"/>
        <w:rPr>
          <w:rFonts w:ascii="宋体" w:hAnsi="宋体" w:cs="宋体" w:eastAsia="宋体" w:hint="default"/>
          <w:sz w:val="21"/>
          <w:szCs w:val="21"/>
        </w:rPr>
      </w:pPr>
      <w:r>
        <w:rPr>
          <w:rFonts w:ascii="宋体" w:hAnsi="宋体" w:cs="宋体" w:eastAsia="宋体" w:hint="default"/>
          <w:sz w:val="21"/>
          <w:szCs w:val="21"/>
        </w:rPr>
        <w:t>（一）业务独立</w:t>
      </w:r>
    </w:p>
    <w:p>
      <w:pPr>
        <w:spacing w:line="355" w:lineRule="auto" w:before="135"/>
        <w:ind w:left="222" w:right="1164" w:firstLine="419"/>
        <w:jc w:val="left"/>
        <w:rPr>
          <w:rFonts w:ascii="宋体" w:hAnsi="宋体" w:cs="宋体" w:eastAsia="宋体" w:hint="default"/>
          <w:sz w:val="21"/>
          <w:szCs w:val="21"/>
        </w:rPr>
      </w:pPr>
      <w:r>
        <w:rPr>
          <w:rFonts w:ascii="宋体" w:hAnsi="宋体" w:cs="宋体" w:eastAsia="宋体" w:hint="default"/>
          <w:sz w:val="21"/>
          <w:szCs w:val="21"/>
        </w:rPr>
        <w:t>公司具有完整的采购供应体系、完整的生产管理体系和独立的销售运作体系，</w:t>
      </w:r>
      <w:r>
        <w:rPr>
          <w:rFonts w:ascii="宋体" w:hAnsi="宋体" w:cs="宋体" w:eastAsia="宋体" w:hint="default"/>
          <w:spacing w:val="-34"/>
          <w:sz w:val="21"/>
          <w:szCs w:val="21"/>
        </w:rPr>
        <w:t> </w:t>
      </w:r>
      <w:r>
        <w:rPr>
          <w:rFonts w:ascii="宋体" w:hAnsi="宋体" w:cs="宋体" w:eastAsia="宋体" w:hint="default"/>
          <w:sz w:val="21"/>
          <w:szCs w:val="21"/>
        </w:rPr>
        <w:t>独立开展业务，</w:t>
      </w:r>
      <w:r>
        <w:rPr>
          <w:rFonts w:ascii="宋体" w:hAnsi="宋体" w:cs="宋体" w:eastAsia="宋体" w:hint="default"/>
          <w:w w:val="100"/>
          <w:sz w:val="21"/>
          <w:szCs w:val="21"/>
        </w:rPr>
        <w:t> </w:t>
      </w:r>
      <w:r>
        <w:rPr>
          <w:rFonts w:ascii="宋体" w:hAnsi="宋体" w:cs="宋体" w:eastAsia="宋体" w:hint="default"/>
          <w:sz w:val="21"/>
          <w:szCs w:val="21"/>
        </w:rPr>
        <w:t>不依赖于任何股东及关联方。</w:t>
      </w:r>
    </w:p>
    <w:p>
      <w:pPr>
        <w:spacing w:line="355" w:lineRule="auto" w:before="32"/>
        <w:ind w:left="642" w:right="1276" w:hanging="420"/>
        <w:jc w:val="left"/>
        <w:rPr>
          <w:rFonts w:ascii="宋体" w:hAnsi="宋体" w:cs="宋体" w:eastAsia="宋体" w:hint="default"/>
          <w:sz w:val="21"/>
          <w:szCs w:val="21"/>
        </w:rPr>
      </w:pPr>
      <w:r>
        <w:rPr>
          <w:rFonts w:ascii="宋体" w:hAnsi="宋体" w:cs="宋体" w:eastAsia="宋体" w:hint="default"/>
          <w:sz w:val="21"/>
          <w:szCs w:val="21"/>
        </w:rPr>
        <w:t>（二）人员独立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w w:val="100"/>
          <w:sz w:val="21"/>
          <w:szCs w:val="21"/>
        </w:rPr>
        <w:t>本公司董事、监事及高级管理人员严格按照《公司法》《公司章程》的有关规定产生；公司建</w:t>
      </w:r>
    </w:p>
    <w:p>
      <w:pPr>
        <w:spacing w:before="32"/>
        <w:ind w:left="222" w:right="1276" w:firstLine="0"/>
        <w:jc w:val="left"/>
        <w:rPr>
          <w:rFonts w:ascii="宋体" w:hAnsi="宋体" w:cs="宋体" w:eastAsia="宋体" w:hint="default"/>
          <w:sz w:val="21"/>
          <w:szCs w:val="21"/>
        </w:rPr>
      </w:pPr>
      <w:r>
        <w:rPr>
          <w:rFonts w:ascii="宋体" w:hAnsi="宋体" w:cs="宋体" w:eastAsia="宋体" w:hint="default"/>
          <w:w w:val="100"/>
          <w:sz w:val="21"/>
          <w:szCs w:val="21"/>
        </w:rPr>
        <w:t>有独</w:t>
      </w:r>
      <w:r>
        <w:rPr>
          <w:rFonts w:ascii="宋体" w:hAnsi="宋体" w:cs="宋体" w:eastAsia="宋体" w:hint="default"/>
          <w:spacing w:val="-3"/>
          <w:w w:val="100"/>
          <w:sz w:val="21"/>
          <w:szCs w:val="21"/>
        </w:rPr>
        <w:t>立</w:t>
      </w:r>
      <w:r>
        <w:rPr>
          <w:rFonts w:ascii="宋体" w:hAnsi="宋体" w:cs="宋体" w:eastAsia="宋体" w:hint="default"/>
          <w:w w:val="100"/>
          <w:sz w:val="21"/>
          <w:szCs w:val="21"/>
        </w:rPr>
        <w:t>的</w:t>
      </w:r>
      <w:r>
        <w:rPr>
          <w:rFonts w:ascii="宋体" w:hAnsi="宋体" w:cs="宋体" w:eastAsia="宋体" w:hint="default"/>
          <w:spacing w:val="-3"/>
          <w:w w:val="100"/>
          <w:sz w:val="21"/>
          <w:szCs w:val="21"/>
        </w:rPr>
        <w:t>人</w:t>
      </w:r>
      <w:r>
        <w:rPr>
          <w:rFonts w:ascii="宋体" w:hAnsi="宋体" w:cs="宋体" w:eastAsia="宋体" w:hint="default"/>
          <w:w w:val="100"/>
          <w:sz w:val="21"/>
          <w:szCs w:val="21"/>
        </w:rPr>
        <w:t>事</w:t>
      </w:r>
      <w:r>
        <w:rPr>
          <w:rFonts w:ascii="宋体" w:hAnsi="宋体" w:cs="宋体" w:eastAsia="宋体" w:hint="default"/>
          <w:spacing w:val="-3"/>
          <w:w w:val="100"/>
          <w:sz w:val="21"/>
          <w:szCs w:val="21"/>
        </w:rPr>
        <w:t>及</w:t>
      </w:r>
      <w:r>
        <w:rPr>
          <w:rFonts w:ascii="宋体" w:hAnsi="宋体" w:cs="宋体" w:eastAsia="宋体" w:hint="default"/>
          <w:w w:val="100"/>
          <w:sz w:val="21"/>
          <w:szCs w:val="21"/>
        </w:rPr>
        <w:t>工</w:t>
      </w:r>
      <w:r>
        <w:rPr>
          <w:rFonts w:ascii="宋体" w:hAnsi="宋体" w:cs="宋体" w:eastAsia="宋体" w:hint="default"/>
          <w:spacing w:val="-3"/>
          <w:w w:val="100"/>
          <w:sz w:val="21"/>
          <w:szCs w:val="21"/>
        </w:rPr>
        <w:t>资</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系统</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还</w:t>
      </w:r>
      <w:r>
        <w:rPr>
          <w:rFonts w:ascii="宋体" w:hAnsi="宋体" w:cs="宋体" w:eastAsia="宋体" w:hint="default"/>
          <w:spacing w:val="-3"/>
          <w:w w:val="100"/>
          <w:sz w:val="21"/>
          <w:szCs w:val="21"/>
        </w:rPr>
        <w:t>制</w:t>
      </w:r>
      <w:r>
        <w:rPr>
          <w:rFonts w:ascii="宋体" w:hAnsi="宋体" w:cs="宋体" w:eastAsia="宋体" w:hint="default"/>
          <w:w w:val="100"/>
          <w:sz w:val="21"/>
          <w:szCs w:val="21"/>
        </w:rPr>
        <w:t>订</w:t>
      </w:r>
      <w:r>
        <w:rPr>
          <w:rFonts w:ascii="宋体" w:hAnsi="宋体" w:cs="宋体" w:eastAsia="宋体" w:hint="default"/>
          <w:spacing w:val="-3"/>
          <w:w w:val="100"/>
          <w:sz w:val="21"/>
          <w:szCs w:val="21"/>
        </w:rPr>
        <w:t>了</w:t>
      </w:r>
      <w:r>
        <w:rPr>
          <w:rFonts w:ascii="宋体" w:hAnsi="宋体" w:cs="宋体" w:eastAsia="宋体" w:hint="default"/>
          <w:w w:val="100"/>
          <w:sz w:val="21"/>
          <w:szCs w:val="21"/>
        </w:rPr>
        <w:t>严</w:t>
      </w:r>
      <w:r>
        <w:rPr>
          <w:rFonts w:ascii="宋体" w:hAnsi="宋体" w:cs="宋体" w:eastAsia="宋体" w:hint="default"/>
          <w:spacing w:val="-3"/>
          <w:w w:val="100"/>
          <w:sz w:val="21"/>
          <w:szCs w:val="21"/>
        </w:rPr>
        <w:t>格</w:t>
      </w:r>
      <w:r>
        <w:rPr>
          <w:rFonts w:ascii="宋体" w:hAnsi="宋体" w:cs="宋体" w:eastAsia="宋体" w:hint="default"/>
          <w:w w:val="100"/>
          <w:sz w:val="21"/>
          <w:szCs w:val="21"/>
        </w:rPr>
        <w:t>的《</w:t>
      </w:r>
      <w:r>
        <w:rPr>
          <w:rFonts w:ascii="宋体" w:hAnsi="宋体" w:cs="宋体" w:eastAsia="宋体" w:hint="default"/>
          <w:spacing w:val="-3"/>
          <w:w w:val="100"/>
          <w:sz w:val="21"/>
          <w:szCs w:val="21"/>
        </w:rPr>
        <w:t>人</w:t>
      </w:r>
      <w:r>
        <w:rPr>
          <w:rFonts w:ascii="宋体" w:hAnsi="宋体" w:cs="宋体" w:eastAsia="宋体" w:hint="default"/>
          <w:w w:val="100"/>
          <w:sz w:val="21"/>
          <w:szCs w:val="21"/>
        </w:rPr>
        <w:t>事</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人员</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做</w:t>
      </w:r>
      <w:r>
        <w:rPr>
          <w:rFonts w:ascii="宋体" w:hAnsi="宋体" w:cs="宋体" w:eastAsia="宋体" w:hint="default"/>
          <w:w w:val="100"/>
          <w:sz w:val="21"/>
          <w:szCs w:val="21"/>
        </w:rPr>
        <w:t>到</w:t>
      </w:r>
      <w:r>
        <w:rPr>
          <w:rFonts w:ascii="宋体" w:hAnsi="宋体" w:cs="宋体" w:eastAsia="宋体" w:hint="default"/>
          <w:spacing w:val="-3"/>
          <w:w w:val="100"/>
          <w:sz w:val="21"/>
          <w:szCs w:val="21"/>
        </w:rPr>
        <w:t>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化。</w:t>
      </w:r>
    </w:p>
    <w:p>
      <w:pPr>
        <w:spacing w:line="355" w:lineRule="auto" w:before="135"/>
        <w:ind w:left="642" w:right="1276" w:hanging="420"/>
        <w:jc w:val="left"/>
        <w:rPr>
          <w:rFonts w:ascii="宋体" w:hAnsi="宋体" w:cs="宋体" w:eastAsia="宋体" w:hint="default"/>
          <w:sz w:val="21"/>
          <w:szCs w:val="21"/>
        </w:rPr>
      </w:pPr>
      <w:r>
        <w:rPr>
          <w:rFonts w:ascii="宋体" w:hAnsi="宋体" w:cs="宋体" w:eastAsia="宋体" w:hint="default"/>
          <w:sz w:val="21"/>
          <w:szCs w:val="21"/>
        </w:rPr>
        <w:t>（三）资产独立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本公司的主要资产包括主营业务所需的完整的生产设备、土地、厂房、办公用房、仓储用房、</w:t>
      </w:r>
    </w:p>
    <w:p>
      <w:pPr>
        <w:spacing w:before="32"/>
        <w:ind w:left="222" w:right="1276" w:firstLine="0"/>
        <w:jc w:val="left"/>
        <w:rPr>
          <w:rFonts w:ascii="宋体" w:hAnsi="宋体" w:cs="宋体" w:eastAsia="宋体" w:hint="default"/>
          <w:sz w:val="21"/>
          <w:szCs w:val="21"/>
        </w:rPr>
      </w:pPr>
      <w:r>
        <w:rPr>
          <w:rFonts w:ascii="宋体" w:hAnsi="宋体" w:cs="宋体" w:eastAsia="宋体" w:hint="default"/>
          <w:sz w:val="21"/>
          <w:szCs w:val="21"/>
        </w:rPr>
        <w:t>交通工具和知识产权，具有完整的配套设施。上述资产产权清晰，完全独立于股东单位。</w:t>
      </w:r>
    </w:p>
    <w:p>
      <w:pPr>
        <w:spacing w:line="357" w:lineRule="auto" w:before="133"/>
        <w:ind w:left="642" w:right="1276" w:hanging="420"/>
        <w:jc w:val="left"/>
        <w:rPr>
          <w:rFonts w:ascii="宋体" w:hAnsi="宋体" w:cs="宋体" w:eastAsia="宋体" w:hint="default"/>
          <w:sz w:val="21"/>
          <w:szCs w:val="21"/>
        </w:rPr>
      </w:pPr>
      <w:r>
        <w:rPr>
          <w:rFonts w:ascii="宋体" w:hAnsi="宋体" w:cs="宋体" w:eastAsia="宋体" w:hint="default"/>
          <w:sz w:val="21"/>
          <w:szCs w:val="21"/>
        </w:rPr>
        <w:t>（四）机构独立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本公司设股东大会、董事会、监事会，按照《公司章程》的规定履行相关权利和义务。公司拥</w:t>
      </w:r>
    </w:p>
    <w:p>
      <w:pPr>
        <w:spacing w:line="355" w:lineRule="auto" w:before="30"/>
        <w:ind w:left="222" w:right="1276" w:firstLine="0"/>
        <w:jc w:val="left"/>
        <w:rPr>
          <w:rFonts w:ascii="宋体" w:hAnsi="宋体" w:cs="宋体" w:eastAsia="宋体" w:hint="default"/>
          <w:sz w:val="21"/>
          <w:szCs w:val="21"/>
        </w:rPr>
      </w:pPr>
      <w:r>
        <w:rPr>
          <w:rFonts w:ascii="宋体" w:hAnsi="宋体" w:cs="宋体" w:eastAsia="宋体" w:hint="default"/>
          <w:spacing w:val="-3"/>
          <w:sz w:val="21"/>
          <w:szCs w:val="21"/>
        </w:rPr>
        <w:t>有独立的组织机构，拥有独立的运作、管理和考核机制。公司总经理、副总经理、董事会秘书、财</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务总监均在公司领取报酬。</w:t>
      </w:r>
    </w:p>
    <w:p>
      <w:pPr>
        <w:spacing w:line="355" w:lineRule="auto" w:before="32"/>
        <w:ind w:left="642" w:right="1276" w:hanging="420"/>
        <w:jc w:val="left"/>
        <w:rPr>
          <w:rFonts w:ascii="宋体" w:hAnsi="宋体" w:cs="宋体" w:eastAsia="宋体" w:hint="default"/>
          <w:sz w:val="21"/>
          <w:szCs w:val="21"/>
        </w:rPr>
      </w:pPr>
      <w:r>
        <w:rPr>
          <w:rFonts w:ascii="宋体" w:hAnsi="宋体" w:cs="宋体" w:eastAsia="宋体" w:hint="default"/>
          <w:sz w:val="21"/>
          <w:szCs w:val="21"/>
        </w:rPr>
        <w:t>（五）财务独立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公司设有独立的财务部门，建立独立的财务会计核算体系和财务管理制度，财务人员与股东单</w:t>
      </w:r>
    </w:p>
    <w:p>
      <w:pPr>
        <w:spacing w:line="355" w:lineRule="auto" w:before="34"/>
        <w:ind w:left="222" w:right="1276" w:firstLine="0"/>
        <w:jc w:val="left"/>
        <w:rPr>
          <w:rFonts w:ascii="宋体" w:hAnsi="宋体" w:cs="宋体" w:eastAsia="宋体" w:hint="default"/>
          <w:sz w:val="21"/>
          <w:szCs w:val="21"/>
        </w:rPr>
      </w:pPr>
      <w:r>
        <w:rPr>
          <w:rFonts w:ascii="宋体" w:hAnsi="宋体" w:cs="宋体" w:eastAsia="宋体" w:hint="default"/>
          <w:spacing w:val="-2"/>
          <w:sz w:val="21"/>
          <w:szCs w:val="21"/>
        </w:rPr>
        <w:t>位完全独立，不存在交叉任职情况。公司独立开设银行帐户，作为独立的纳税人依法独立纳税。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b/>
          <w:bCs/>
          <w:sz w:val="21"/>
          <w:szCs w:val="21"/>
        </w:rPr>
        <w:t>五、公司对高级管理人员的考评及激励机制</w:t>
      </w:r>
      <w:r>
        <w:rPr>
          <w:rFonts w:ascii="宋体" w:hAnsi="宋体" w:cs="宋体" w:eastAsia="宋体" w:hint="default"/>
          <w:sz w:val="21"/>
          <w:szCs w:val="21"/>
        </w:rPr>
      </w:r>
    </w:p>
    <w:p>
      <w:pPr>
        <w:spacing w:line="333" w:lineRule="auto" w:before="6"/>
        <w:ind w:left="222" w:right="1276"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、考评机制：由公司董事会按年度对公司高级管理人员的业绩和履职情况进行考评，并根据</w:t>
      </w:r>
      <w:r>
        <w:rPr>
          <w:rFonts w:ascii="宋体" w:hAnsi="宋体" w:cs="宋体" w:eastAsia="宋体" w:hint="default"/>
          <w:w w:val="100"/>
          <w:sz w:val="21"/>
          <w:szCs w:val="21"/>
        </w:rPr>
        <w:t> </w:t>
      </w:r>
      <w:r>
        <w:rPr>
          <w:rFonts w:ascii="宋体" w:hAnsi="宋体" w:cs="宋体" w:eastAsia="宋体" w:hint="default"/>
          <w:spacing w:val="-3"/>
          <w:sz w:val="21"/>
          <w:szCs w:val="21"/>
        </w:rPr>
        <w:t>工作业绩决定年度薪酬，以考核结果作为下一年度的岗位安排、年薪档次、是否续聘及职位升降和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下一届任免的依据。</w:t>
      </w:r>
    </w:p>
    <w:p>
      <w:pPr>
        <w:spacing w:line="240" w:lineRule="auto" w:before="0"/>
        <w:rPr>
          <w:rFonts w:ascii="宋体" w:hAnsi="宋体" w:cs="宋体" w:eastAsia="宋体" w:hint="default"/>
          <w:sz w:val="20"/>
          <w:szCs w:val="20"/>
        </w:rPr>
      </w:pPr>
    </w:p>
    <w:p>
      <w:pPr>
        <w:spacing w:line="333" w:lineRule="auto" w:before="144"/>
        <w:ind w:left="222" w:right="1277"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、激励机制：公司对高级管理人员实行年薪制，分为工资和奖金两部分。董事会根据公司近</w:t>
      </w:r>
      <w:r>
        <w:rPr>
          <w:rFonts w:ascii="宋体" w:hAnsi="宋体" w:cs="宋体" w:eastAsia="宋体" w:hint="default"/>
          <w:w w:val="100"/>
          <w:sz w:val="21"/>
          <w:szCs w:val="21"/>
        </w:rPr>
        <w:t> </w:t>
      </w:r>
      <w:r>
        <w:rPr>
          <w:rFonts w:ascii="宋体" w:hAnsi="宋体" w:cs="宋体" w:eastAsia="宋体" w:hint="default"/>
          <w:spacing w:val="-3"/>
          <w:sz w:val="21"/>
          <w:szCs w:val="21"/>
        </w:rPr>
        <w:t>几年的经营状况和个人的岗位职责，确定年度工资额；每年年终董事会根据高级管理人员本年度的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工作业绩进行考评后确定对高管人员的奖金总额。</w:t>
      </w:r>
    </w:p>
    <w:p>
      <w:pPr>
        <w:spacing w:after="0" w:line="333" w:lineRule="auto"/>
        <w:jc w:val="both"/>
        <w:rPr>
          <w:rFonts w:ascii="宋体" w:hAnsi="宋体" w:cs="宋体" w:eastAsia="宋体" w:hint="default"/>
          <w:sz w:val="21"/>
          <w:szCs w:val="21"/>
        </w:rPr>
        <w:sectPr>
          <w:pgSz w:w="11910" w:h="16840"/>
          <w:pgMar w:header="737" w:footer="1153" w:top="1060" w:bottom="1340" w:left="14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tabs>
          <w:tab w:pos="4697" w:val="left" w:leader="none"/>
        </w:tabs>
        <w:spacing w:line="240" w:lineRule="auto"/>
        <w:ind w:left="3341" w:right="0"/>
        <w:jc w:val="left"/>
        <w:rPr>
          <w:b w:val="0"/>
          <w:bCs w:val="0"/>
        </w:rPr>
      </w:pPr>
      <w:bookmarkStart w:name="_TOC_250006" w:id="6"/>
      <w:r>
        <w:rPr>
          <w:w w:val="95"/>
        </w:rPr>
        <w:t>第六节</w:t>
        <w:tab/>
      </w:r>
      <w:r>
        <w:rPr/>
        <w:t>内部控制</w:t>
      </w:r>
      <w:bookmarkEnd w:id="6"/>
      <w:r>
        <w:rPr>
          <w:b w:val="0"/>
          <w:bCs w:val="0"/>
        </w:rPr>
      </w:r>
    </w:p>
    <w:p>
      <w:pPr>
        <w:spacing w:line="240" w:lineRule="auto" w:before="0"/>
        <w:rPr>
          <w:rFonts w:ascii="宋体" w:hAnsi="宋体" w:cs="宋体" w:eastAsia="宋体" w:hint="default"/>
          <w:b/>
          <w:bCs/>
          <w:sz w:val="27"/>
          <w:szCs w:val="27"/>
        </w:rPr>
      </w:pPr>
    </w:p>
    <w:p>
      <w:pPr>
        <w:spacing w:line="355" w:lineRule="auto" w:before="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一、公司内部控制制度的建设和执行情况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公司根据中国证监会关于规范公司治理结构的相关文件，建立健全了包括《股东大会议事规</w:t>
      </w:r>
    </w:p>
    <w:p>
      <w:pPr>
        <w:spacing w:line="357" w:lineRule="auto" w:before="32"/>
        <w:ind w:left="122" w:right="1278" w:firstLine="0"/>
        <w:jc w:val="left"/>
        <w:rPr>
          <w:rFonts w:ascii="宋体" w:hAnsi="宋体" w:cs="宋体" w:eastAsia="宋体" w:hint="default"/>
          <w:sz w:val="21"/>
          <w:szCs w:val="21"/>
        </w:rPr>
      </w:pPr>
      <w:r>
        <w:rPr>
          <w:rFonts w:ascii="宋体" w:hAnsi="宋体" w:cs="宋体" w:eastAsia="宋体" w:hint="default"/>
          <w:spacing w:val="-20"/>
          <w:w w:val="100"/>
          <w:sz w:val="21"/>
          <w:szCs w:val="21"/>
        </w:rPr>
        <w:t>则》、《董事会议事规则》、《监事会议事规则》、《独立董事制度》、《募集资金管理制度》等在内的内</w:t>
      </w:r>
      <w:r>
        <w:rPr>
          <w:rFonts w:ascii="宋体" w:hAnsi="宋体" w:cs="宋体" w:eastAsia="宋体" w:hint="default"/>
          <w:w w:val="100"/>
          <w:sz w:val="21"/>
          <w:szCs w:val="21"/>
        </w:rPr>
        <w:t> </w:t>
      </w:r>
      <w:r>
        <w:rPr>
          <w:rFonts w:ascii="宋体" w:hAnsi="宋体" w:cs="宋体" w:eastAsia="宋体" w:hint="default"/>
          <w:sz w:val="21"/>
          <w:szCs w:val="21"/>
        </w:rPr>
        <w:t>部控制制度，并在上市公司治理专项活动中，进行了修订和完善，达到了证券监管部门的要求。</w:t>
      </w:r>
    </w:p>
    <w:p>
      <w:pPr>
        <w:spacing w:line="357" w:lineRule="auto" w:before="30"/>
        <w:ind w:left="122" w:right="1274" w:firstLine="419"/>
        <w:jc w:val="left"/>
        <w:rPr>
          <w:rFonts w:ascii="宋体" w:hAnsi="宋体" w:cs="宋体" w:eastAsia="宋体" w:hint="default"/>
          <w:sz w:val="21"/>
          <w:szCs w:val="21"/>
        </w:rPr>
      </w:pPr>
      <w:r>
        <w:rPr>
          <w:rFonts w:ascii="宋体" w:hAnsi="宋体" w:cs="宋体" w:eastAsia="宋体" w:hint="default"/>
          <w:spacing w:val="-3"/>
          <w:sz w:val="21"/>
          <w:szCs w:val="21"/>
        </w:rPr>
        <w:t>董事会及其下设的专业委员会发挥职能，负责审议公司的经营战略和重大决策，公司管理层在</w:t>
      </w:r>
      <w:r>
        <w:rPr>
          <w:rFonts w:ascii="宋体" w:hAnsi="宋体" w:cs="宋体" w:eastAsia="宋体" w:hint="default"/>
          <w:w w:val="100"/>
          <w:sz w:val="21"/>
          <w:szCs w:val="21"/>
        </w:rPr>
        <w:t> </w:t>
      </w:r>
      <w:r>
        <w:rPr>
          <w:rFonts w:ascii="宋体" w:hAnsi="宋体" w:cs="宋体" w:eastAsia="宋体" w:hint="default"/>
          <w:spacing w:val="-3"/>
          <w:sz w:val="21"/>
          <w:szCs w:val="21"/>
        </w:rPr>
        <w:t>董事会的授权范围内，负责公司的日常生产经营活动，管理层和董事会之间责权关系明确。公司的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各项内部控制制度健全，并将内控制度的检查融入了日常工作中，并不断完善，以适应公司管理和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发展的需要，有效保证了公司正常的生产经营和规范化运作。董事会下属的审计委员会和审计部认</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真履行职责，通过内部审计发现问题，预防风险，通过对内部财务数据和工作流程的审计，规范内</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部运作，提高财务信息披露质量，保证了公司日常生产经营的合法性和规范化。公司将在今后的工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作中进一步完善内部控制制度，规范运作，为公司健康稳定的发展奠定基础。</w:t>
      </w:r>
      <w:r>
        <w:rPr>
          <w:rFonts w:ascii="宋体" w:hAnsi="宋体" w:cs="宋体" w:eastAsia="宋体" w:hint="default"/>
          <w:w w:val="100"/>
          <w:sz w:val="21"/>
          <w:szCs w:val="21"/>
        </w:rPr>
        <w:t> </w:t>
      </w:r>
      <w:r>
        <w:rPr>
          <w:rFonts w:ascii="宋体" w:hAnsi="宋体" w:cs="宋体" w:eastAsia="宋体" w:hint="default"/>
          <w:b/>
          <w:bCs/>
          <w:sz w:val="21"/>
          <w:szCs w:val="21"/>
        </w:rPr>
        <w:t>二、董事会对内部控制责任的声明</w:t>
      </w:r>
      <w:r>
        <w:rPr>
          <w:rFonts w:ascii="宋体" w:hAnsi="宋体" w:cs="宋体" w:eastAsia="宋体" w:hint="default"/>
          <w:sz w:val="21"/>
          <w:szCs w:val="21"/>
        </w:rPr>
      </w:r>
    </w:p>
    <w:p>
      <w:pPr>
        <w:spacing w:line="355" w:lineRule="auto" w:before="32"/>
        <w:ind w:left="1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公司董事会对公司内部控制的建立健全和有效运行负全面责任。公司将按照《企业内部控制基</w:t>
      </w:r>
      <w:r>
        <w:rPr>
          <w:rFonts w:ascii="宋体" w:hAnsi="宋体" w:cs="宋体" w:eastAsia="宋体" w:hint="default"/>
          <w:w w:val="100"/>
          <w:sz w:val="21"/>
          <w:szCs w:val="21"/>
        </w:rPr>
        <w:t> </w:t>
      </w:r>
      <w:r>
        <w:rPr>
          <w:rFonts w:ascii="宋体" w:hAnsi="宋体" w:cs="宋体" w:eastAsia="宋体" w:hint="default"/>
          <w:spacing w:val="-3"/>
          <w:sz w:val="21"/>
          <w:szCs w:val="21"/>
        </w:rPr>
        <w:t>本规范》和《企业内部控制配套指引》的相关要求逐步建立健全内部控制体系，提高公司风险防范</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能力和规范运作水平，保证企业经营管理合法合规、资产安全、财务报告及相关信息真实完整，提</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高经营效率和效益，推进公司发展战略的实现。</w:t>
      </w:r>
    </w:p>
    <w:p>
      <w:pPr>
        <w:spacing w:line="357" w:lineRule="auto" w:before="32"/>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三、公司财务报告控制制度的建设和执行情况</w:t>
      </w:r>
      <w:r>
        <w:rPr>
          <w:rFonts w:ascii="宋体" w:hAnsi="宋体" w:cs="宋体" w:eastAsia="宋体" w:hint="default"/>
          <w:b/>
          <w:bCs/>
          <w:w w:val="100"/>
          <w:sz w:val="21"/>
          <w:szCs w:val="21"/>
        </w:rPr>
        <w:t> </w:t>
      </w:r>
      <w:r>
        <w:rPr>
          <w:rFonts w:ascii="宋体" w:hAnsi="宋体" w:cs="宋体" w:eastAsia="宋体" w:hint="default"/>
          <w:spacing w:val="-3"/>
          <w:sz w:val="21"/>
          <w:szCs w:val="21"/>
        </w:rPr>
        <w:t>公司根据《会计法》及财政部颁布的各项会计制度建立了完备的会计核算体系，建立健全了关</w:t>
      </w:r>
    </w:p>
    <w:p>
      <w:pPr>
        <w:spacing w:line="357" w:lineRule="auto" w:before="30"/>
        <w:ind w:left="122" w:right="0" w:firstLine="0"/>
        <w:jc w:val="left"/>
        <w:rPr>
          <w:rFonts w:ascii="宋体" w:hAnsi="宋体" w:cs="宋体" w:eastAsia="宋体" w:hint="default"/>
          <w:sz w:val="21"/>
          <w:szCs w:val="21"/>
        </w:rPr>
      </w:pPr>
      <w:r>
        <w:rPr>
          <w:rFonts w:ascii="宋体" w:hAnsi="宋体" w:cs="宋体" w:eastAsia="宋体" w:hint="default"/>
          <w:spacing w:val="-3"/>
          <w:sz w:val="21"/>
          <w:szCs w:val="21"/>
        </w:rPr>
        <w:t>于财务核算方面的内部控制制度。公司财务部是会计系统的核算机构，负责制定财务管理制度，并</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5"/>
          <w:sz w:val="21"/>
          <w:szCs w:val="21"/>
        </w:rPr>
        <w:t>指导各子公司的财务工作。公司在货币资金、采购、生产、销售收入、成本结转、贷款、费用归集、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投资与筹资、财务报告编制等各个环节均制定了明确的审批、授权和监管制度，并在日常工作中得</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8"/>
          <w:sz w:val="21"/>
          <w:szCs w:val="21"/>
        </w:rPr>
        <w:t>到了较好的执行。为完善公司治理机制，强化内部控制，做好财务报告的编制工作，公司制定了《独</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12"/>
          <w:w w:val="100"/>
          <w:sz w:val="21"/>
          <w:szCs w:val="21"/>
        </w:rPr>
        <w:t>立董事年报工作制度》、《审计委员会年报工作制度、《年报信息披露重大差错责任追究制度》，以充</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分发挥独立董事和审计委员会的审核和监督作用。</w:t>
      </w:r>
    </w:p>
    <w:p>
      <w:pPr>
        <w:spacing w:line="357" w:lineRule="auto" w:before="30"/>
        <w:ind w:left="1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公司董事会审计委员会和独立董事对财务报告编制及审计过程进行监督，在审计前统筹安排审</w:t>
      </w:r>
      <w:r>
        <w:rPr>
          <w:rFonts w:ascii="宋体" w:hAnsi="宋体" w:cs="宋体" w:eastAsia="宋体" w:hint="default"/>
          <w:w w:val="100"/>
          <w:sz w:val="21"/>
          <w:szCs w:val="21"/>
        </w:rPr>
        <w:t> </w:t>
      </w:r>
      <w:r>
        <w:rPr>
          <w:rFonts w:ascii="宋体" w:hAnsi="宋体" w:cs="宋体" w:eastAsia="宋体" w:hint="default"/>
          <w:spacing w:val="-3"/>
          <w:sz w:val="21"/>
          <w:szCs w:val="21"/>
        </w:rPr>
        <w:t>计计划，审计过程中就发现的问题和重大事项充分沟通，财务审计报告编制完毕后，审计委员会对</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财务报表和审计报告进行审议，表决通过后，才提交董事会进行审议。公司所有定期报告均进行了</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及时披露，无推迟情况的发生，年度审计报告均被出具标准无保留意见，未发现存在重大缺陷的情</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况。</w:t>
      </w:r>
    </w:p>
    <w:p>
      <w:pPr>
        <w:spacing w:before="3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四、年度报告披露重大差错责任追究制度的建立和执行的情况</w:t>
      </w:r>
      <w:r>
        <w:rPr>
          <w:rFonts w:ascii="宋体" w:hAnsi="宋体" w:cs="宋体" w:eastAsia="宋体" w:hint="default"/>
          <w:sz w:val="21"/>
          <w:szCs w:val="21"/>
        </w:rPr>
      </w:r>
    </w:p>
    <w:p>
      <w:pPr>
        <w:spacing w:line="357" w:lineRule="auto" w:before="133"/>
        <w:ind w:left="122" w:right="1277" w:firstLine="419"/>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pacing w:val="-4"/>
          <w:sz w:val="21"/>
          <w:szCs w:val="21"/>
        </w:rPr>
        <w:t>月，经公司第三届董事会第</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pacing w:val="-4"/>
          <w:sz w:val="21"/>
          <w:szCs w:val="21"/>
        </w:rPr>
        <w:t>次会议审议，公司制定了《年报信息披露重大差错责任</w:t>
      </w:r>
      <w:r>
        <w:rPr>
          <w:rFonts w:ascii="宋体" w:hAnsi="宋体" w:cs="宋体" w:eastAsia="宋体" w:hint="default"/>
          <w:w w:val="100"/>
          <w:sz w:val="21"/>
          <w:szCs w:val="21"/>
        </w:rPr>
        <w:t> </w:t>
      </w:r>
      <w:r>
        <w:rPr>
          <w:rFonts w:ascii="宋体" w:hAnsi="宋体" w:cs="宋体" w:eastAsia="宋体" w:hint="default"/>
          <w:spacing w:val="-4"/>
          <w:w w:val="100"/>
          <w:sz w:val="21"/>
          <w:szCs w:val="21"/>
        </w:rPr>
        <w:t>追究制度》。报告期内公司未发生重大会计差错更正、重大遗漏信息补充及业绩预告修正等情况。</w:t>
      </w:r>
    </w:p>
    <w:p>
      <w:pPr>
        <w:spacing w:after="0" w:line="357"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tabs>
          <w:tab w:pos="1355" w:val="left" w:leader="none"/>
        </w:tabs>
        <w:spacing w:line="240" w:lineRule="auto"/>
        <w:ind w:right="1163"/>
        <w:jc w:val="center"/>
        <w:rPr>
          <w:b w:val="0"/>
          <w:bCs w:val="0"/>
        </w:rPr>
      </w:pPr>
      <w:bookmarkStart w:name="_TOC_250005" w:id="7"/>
      <w:r>
        <w:rPr>
          <w:w w:val="95"/>
        </w:rPr>
        <w:t>第七节</w:t>
        <w:tab/>
      </w:r>
      <w:r>
        <w:rPr/>
        <w:t>股东大会情况简介</w:t>
      </w:r>
      <w:bookmarkEnd w:id="7"/>
      <w:r>
        <w:rPr>
          <w:b w:val="0"/>
          <w:bCs w:val="0"/>
        </w:rPr>
      </w:r>
    </w:p>
    <w:p>
      <w:pPr>
        <w:spacing w:line="240" w:lineRule="auto" w:before="0"/>
        <w:rPr>
          <w:rFonts w:ascii="宋体" w:hAnsi="宋体" w:cs="宋体" w:eastAsia="宋体" w:hint="default"/>
          <w:b/>
          <w:bCs/>
          <w:sz w:val="27"/>
          <w:szCs w:val="27"/>
        </w:rPr>
      </w:pPr>
    </w:p>
    <w:p>
      <w:pPr>
        <w:spacing w:line="355" w:lineRule="auto" w:before="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一、报告期内召开年度股东大会和临时股东大会的情况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报告期内，公司共召开了一次年度股东大会和三次临时股东大会。</w:t>
      </w:r>
    </w:p>
    <w:p>
      <w:pPr>
        <w:spacing w:before="32"/>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5"/>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28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w w:val="100"/>
          <w:sz w:val="21"/>
          <w:szCs w:val="21"/>
        </w:rPr>
        <w:t>了</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w:t>
      </w:r>
      <w:r>
        <w:rPr>
          <w:rFonts w:ascii="宋体" w:hAnsi="宋体" w:cs="宋体" w:eastAsia="宋体" w:hint="default"/>
          <w:spacing w:val="-3"/>
          <w:w w:val="100"/>
          <w:sz w:val="21"/>
          <w:szCs w:val="21"/>
        </w:rPr>
        <w:t>一</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spacing w:val="-82"/>
          <w:w w:val="100"/>
          <w:sz w:val="21"/>
          <w:szCs w:val="21"/>
        </w:rPr>
        <w:t>。</w:t>
      </w:r>
      <w:r>
        <w:rPr>
          <w:rFonts w:ascii="宋体" w:hAnsi="宋体" w:cs="宋体" w:eastAsia="宋体" w:hint="default"/>
          <w:spacing w:val="-3"/>
          <w:w w:val="100"/>
          <w:sz w:val="21"/>
          <w:szCs w:val="21"/>
        </w:rPr>
        <w:t>此</w:t>
      </w:r>
      <w:r>
        <w:rPr>
          <w:rFonts w:ascii="宋体" w:hAnsi="宋体" w:cs="宋体" w:eastAsia="宋体" w:hint="default"/>
          <w:w w:val="100"/>
          <w:sz w:val="21"/>
          <w:szCs w:val="21"/>
        </w:rPr>
        <w:t>次</w:t>
      </w:r>
      <w:r>
        <w:rPr>
          <w:rFonts w:ascii="宋体" w:hAnsi="宋体" w:cs="宋体" w:eastAsia="宋体" w:hint="default"/>
          <w:spacing w:val="-3"/>
          <w:w w:val="100"/>
          <w:sz w:val="21"/>
          <w:szCs w:val="21"/>
        </w:rPr>
        <w:t>会议</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过了</w:t>
      </w:r>
      <w:r>
        <w:rPr>
          <w:rFonts w:ascii="宋体" w:hAnsi="宋体" w:cs="宋体" w:eastAsia="宋体" w:hint="default"/>
          <w:spacing w:val="-84"/>
          <w:sz w:val="21"/>
          <w:szCs w:val="21"/>
        </w:rPr>
        <w:t> </w:t>
      </w:r>
      <w:r>
        <w:rPr>
          <w:rFonts w:ascii="宋体" w:hAnsi="宋体" w:cs="宋体" w:eastAsia="宋体" w:hint="default"/>
          <w:w w:val="100"/>
          <w:sz w:val="21"/>
          <w:szCs w:val="21"/>
        </w:rPr>
        <w:t>《关</w:t>
      </w:r>
    </w:p>
    <w:p>
      <w:pPr>
        <w:spacing w:line="355" w:lineRule="auto" w:before="135"/>
        <w:ind w:left="122"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于调整上海东港数据处理有限公司增资计划的议案》，会议决议公告刊登在</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2011</w:t>
      </w:r>
      <w:r>
        <w:rPr>
          <w:rFonts w:ascii="宋体" w:hAnsi="宋体" w:cs="宋体" w:eastAsia="宋体" w:hint="default"/>
          <w:spacing w:val="-48"/>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3</w:t>
      </w:r>
      <w:r>
        <w:rPr>
          <w:rFonts w:ascii="宋体" w:hAnsi="宋体" w:cs="宋体" w:eastAsia="宋体" w:hint="default"/>
          <w:spacing w:val="-51"/>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1</w:t>
      </w:r>
      <w:r>
        <w:rPr>
          <w:rFonts w:ascii="宋体" w:hAnsi="宋体" w:cs="宋体" w:eastAsia="宋体" w:hint="default"/>
          <w:spacing w:val="-51"/>
          <w:w w:val="100"/>
          <w:sz w:val="21"/>
          <w:szCs w:val="21"/>
        </w:rPr>
        <w:t> </w:t>
      </w:r>
      <w:r>
        <w:rPr>
          <w:rFonts w:ascii="宋体" w:hAnsi="宋体" w:cs="宋体" w:eastAsia="宋体" w:hint="default"/>
          <w:spacing w:val="-5"/>
          <w:w w:val="100"/>
          <w:sz w:val="21"/>
          <w:szCs w:val="21"/>
        </w:rPr>
        <w:t>日的《证</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5" w:lineRule="auto"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（二）公司于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日召开了</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年度股东大会。此次会议审议通过了如下事项：</w:t>
      </w:r>
      <w:r>
        <w:rPr>
          <w:rFonts w:ascii="宋体" w:hAnsi="宋体" w:cs="宋体" w:eastAsia="宋体" w:hint="default"/>
          <w:w w:val="100"/>
          <w:sz w:val="21"/>
          <w:szCs w:val="21"/>
        </w:rPr>
        <w:t> </w:t>
      </w:r>
      <w:r>
        <w:rPr>
          <w:rFonts w:ascii="宋体" w:hAnsi="宋体" w:cs="宋体" w:eastAsia="宋体" w:hint="default"/>
          <w:spacing w:val="-2"/>
          <w:w w:val="100"/>
          <w:sz w:val="21"/>
          <w:szCs w:val="21"/>
        </w:rPr>
        <w:t>1</w:t>
      </w:r>
      <w:r>
        <w:rPr>
          <w:rFonts w:ascii="宋体" w:hAnsi="宋体" w:cs="宋体" w:eastAsia="宋体" w:hint="default"/>
          <w:spacing w:val="-2"/>
          <w:w w:val="100"/>
          <w:sz w:val="21"/>
          <w:szCs w:val="21"/>
        </w:rPr>
        <w:t>、审议通过了《</w:t>
      </w:r>
      <w:r>
        <w:rPr>
          <w:rFonts w:ascii="宋体" w:hAnsi="宋体" w:cs="宋体" w:eastAsia="宋体" w:hint="default"/>
          <w:spacing w:val="-2"/>
          <w:w w:val="100"/>
          <w:sz w:val="21"/>
          <w:szCs w:val="21"/>
        </w:rPr>
        <w:t>2010</w:t>
      </w:r>
      <w:r>
        <w:rPr>
          <w:rFonts w:ascii="宋体" w:hAnsi="宋体" w:cs="宋体" w:eastAsia="宋体" w:hint="default"/>
          <w:spacing w:val="-41"/>
          <w:w w:val="100"/>
          <w:sz w:val="21"/>
          <w:szCs w:val="21"/>
        </w:rPr>
        <w:t> </w:t>
      </w:r>
      <w:r>
        <w:rPr>
          <w:rFonts w:ascii="宋体" w:hAnsi="宋体" w:cs="宋体" w:eastAsia="宋体" w:hint="default"/>
          <w:spacing w:val="-11"/>
          <w:w w:val="100"/>
          <w:sz w:val="21"/>
          <w:szCs w:val="21"/>
        </w:rPr>
        <w:t>年度董事会工作报告》；</w:t>
      </w:r>
    </w:p>
    <w:p>
      <w:pPr>
        <w:spacing w:before="35"/>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spacing w:val="-1"/>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、审议通过了《</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年年度报告》及其摘要；</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spacing w:val="-1"/>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申请</w:t>
      </w:r>
      <w:r>
        <w:rPr>
          <w:rFonts w:ascii="宋体" w:hAnsi="宋体" w:cs="宋体" w:eastAsia="宋体" w:hint="default"/>
          <w:w w:val="100"/>
          <w:sz w:val="21"/>
          <w:szCs w:val="21"/>
        </w:rPr>
        <w:t>银行</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spacing w:val="-1"/>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调整</w:t>
      </w:r>
      <w:r>
        <w:rPr>
          <w:rFonts w:ascii="宋体" w:hAnsi="宋体" w:cs="宋体" w:eastAsia="宋体" w:hint="default"/>
          <w:w w:val="100"/>
          <w:sz w:val="21"/>
          <w:szCs w:val="21"/>
        </w:rPr>
        <w:t>独立</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薪</w:t>
      </w:r>
      <w:r>
        <w:rPr>
          <w:rFonts w:ascii="宋体" w:hAnsi="宋体" w:cs="宋体" w:eastAsia="宋体" w:hint="default"/>
          <w:w w:val="100"/>
          <w:sz w:val="21"/>
          <w:szCs w:val="21"/>
        </w:rPr>
        <w:t>酬</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35"/>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续聘</w:t>
      </w:r>
      <w:r>
        <w:rPr>
          <w:rFonts w:ascii="宋体" w:hAnsi="宋体" w:cs="宋体" w:eastAsia="宋体" w:hint="default"/>
          <w:w w:val="100"/>
          <w:sz w:val="21"/>
          <w:szCs w:val="21"/>
        </w:rPr>
        <w:t>中瑞</w:t>
      </w:r>
      <w:r>
        <w:rPr>
          <w:rFonts w:ascii="宋体" w:hAnsi="宋体" w:cs="宋体" w:eastAsia="宋体" w:hint="default"/>
          <w:spacing w:val="-3"/>
          <w:w w:val="100"/>
          <w:sz w:val="21"/>
          <w:szCs w:val="21"/>
        </w:rPr>
        <w:t>岳</w:t>
      </w:r>
      <w:r>
        <w:rPr>
          <w:rFonts w:ascii="宋体" w:hAnsi="宋体" w:cs="宋体" w:eastAsia="宋体" w:hint="default"/>
          <w:w w:val="100"/>
          <w:sz w:val="21"/>
          <w:szCs w:val="21"/>
        </w:rPr>
        <w:t>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审</w:t>
      </w:r>
      <w:r>
        <w:rPr>
          <w:rFonts w:ascii="宋体" w:hAnsi="宋体" w:cs="宋体" w:eastAsia="宋体" w:hint="default"/>
          <w:spacing w:val="-3"/>
          <w:w w:val="100"/>
          <w:sz w:val="21"/>
          <w:szCs w:val="21"/>
        </w:rPr>
        <w:t>计机</w:t>
      </w:r>
      <w:r>
        <w:rPr>
          <w:rFonts w:ascii="宋体" w:hAnsi="宋体" w:cs="宋体" w:eastAsia="宋体" w:hint="default"/>
          <w:w w:val="100"/>
          <w:sz w:val="21"/>
          <w:szCs w:val="21"/>
        </w:rPr>
        <w:t>构的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使用</w:t>
      </w:r>
      <w:r>
        <w:rPr>
          <w:rFonts w:ascii="宋体" w:hAnsi="宋体" w:cs="宋体" w:eastAsia="宋体" w:hint="default"/>
          <w:w w:val="100"/>
          <w:sz w:val="21"/>
          <w:szCs w:val="21"/>
        </w:rPr>
        <w:t>部分</w:t>
      </w:r>
      <w:r>
        <w:rPr>
          <w:rFonts w:ascii="宋体" w:hAnsi="宋体" w:cs="宋体" w:eastAsia="宋体" w:hint="default"/>
          <w:spacing w:val="-3"/>
          <w:w w:val="100"/>
          <w:sz w:val="21"/>
          <w:szCs w:val="21"/>
        </w:rPr>
        <w:t>闲</w:t>
      </w:r>
      <w:r>
        <w:rPr>
          <w:rFonts w:ascii="宋体" w:hAnsi="宋体" w:cs="宋体" w:eastAsia="宋体" w:hint="default"/>
          <w:w w:val="100"/>
          <w:sz w:val="21"/>
          <w:szCs w:val="21"/>
        </w:rPr>
        <w:t>置</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暂</w:t>
      </w:r>
      <w:r>
        <w:rPr>
          <w:rFonts w:ascii="宋体" w:hAnsi="宋体" w:cs="宋体" w:eastAsia="宋体" w:hint="default"/>
          <w:w w:val="100"/>
          <w:sz w:val="21"/>
          <w:szCs w:val="21"/>
        </w:rPr>
        <w:t>时</w:t>
      </w:r>
      <w:r>
        <w:rPr>
          <w:rFonts w:ascii="宋体" w:hAnsi="宋体" w:cs="宋体" w:eastAsia="宋体" w:hint="default"/>
          <w:spacing w:val="-3"/>
          <w:w w:val="100"/>
          <w:sz w:val="21"/>
          <w:szCs w:val="21"/>
        </w:rPr>
        <w:t>补</w:t>
      </w:r>
      <w:r>
        <w:rPr>
          <w:rFonts w:ascii="宋体" w:hAnsi="宋体" w:cs="宋体" w:eastAsia="宋体" w:hint="default"/>
          <w:w w:val="100"/>
          <w:sz w:val="21"/>
          <w:szCs w:val="21"/>
        </w:rPr>
        <w:t>充流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9"/>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、听取了独立董事述职报告。</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该</w:t>
      </w:r>
      <w:r>
        <w:rPr>
          <w:rFonts w:ascii="宋体" w:hAnsi="宋体" w:cs="宋体" w:eastAsia="宋体" w:hint="default"/>
          <w:spacing w:val="-77"/>
          <w:sz w:val="21"/>
          <w:szCs w:val="21"/>
        </w:rPr>
        <w:t> </w:t>
      </w:r>
      <w:r>
        <w:rPr>
          <w:rFonts w:ascii="宋体" w:hAnsi="宋体" w:cs="宋体" w:eastAsia="宋体" w:hint="default"/>
          <w:sz w:val="21"/>
          <w:szCs w:val="21"/>
        </w:rPr>
        <w:t>次</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大</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pacing w:val="-79"/>
          <w:sz w:val="21"/>
          <w:szCs w:val="21"/>
        </w:rPr>
        <w:t> </w:t>
      </w:r>
      <w:r>
        <w:rPr>
          <w:rFonts w:ascii="宋体" w:hAnsi="宋体" w:cs="宋体" w:eastAsia="宋体" w:hint="default"/>
          <w:sz w:val="21"/>
          <w:szCs w:val="21"/>
        </w:rPr>
        <w:t>议</w:t>
      </w:r>
      <w:r>
        <w:rPr>
          <w:rFonts w:ascii="宋体" w:hAnsi="宋体" w:cs="宋体" w:eastAsia="宋体" w:hint="default"/>
          <w:spacing w:val="-77"/>
          <w:sz w:val="21"/>
          <w:szCs w:val="21"/>
        </w:rPr>
        <w:t> </w:t>
      </w:r>
      <w:r>
        <w:rPr>
          <w:rFonts w:ascii="宋体" w:hAnsi="宋体" w:cs="宋体" w:eastAsia="宋体" w:hint="default"/>
          <w:sz w:val="21"/>
          <w:szCs w:val="21"/>
        </w:rPr>
        <w:t>决</w:t>
      </w:r>
      <w:r>
        <w:rPr>
          <w:rFonts w:ascii="宋体" w:hAnsi="宋体" w:cs="宋体" w:eastAsia="宋体" w:hint="default"/>
          <w:spacing w:val="-79"/>
          <w:sz w:val="21"/>
          <w:szCs w:val="21"/>
        </w:rPr>
        <w:t> </w:t>
      </w:r>
      <w:r>
        <w:rPr>
          <w:rFonts w:ascii="宋体" w:hAnsi="宋体" w:cs="宋体" w:eastAsia="宋体" w:hint="default"/>
          <w:sz w:val="21"/>
          <w:szCs w:val="21"/>
        </w:rPr>
        <w:t>议</w:t>
      </w:r>
      <w:r>
        <w:rPr>
          <w:rFonts w:ascii="宋体" w:hAnsi="宋体" w:cs="宋体" w:eastAsia="宋体" w:hint="default"/>
          <w:spacing w:val="-77"/>
          <w:sz w:val="21"/>
          <w:szCs w:val="21"/>
        </w:rPr>
        <w:t> </w:t>
      </w:r>
      <w:r>
        <w:rPr>
          <w:rFonts w:ascii="宋体" w:hAnsi="宋体" w:cs="宋体" w:eastAsia="宋体" w:hint="default"/>
          <w:sz w:val="21"/>
          <w:szCs w:val="21"/>
        </w:rPr>
        <w:t>刊</w:t>
      </w:r>
      <w:r>
        <w:rPr>
          <w:rFonts w:ascii="宋体" w:hAnsi="宋体" w:cs="宋体" w:eastAsia="宋体" w:hint="default"/>
          <w:spacing w:val="-79"/>
          <w:sz w:val="21"/>
          <w:szCs w:val="21"/>
        </w:rPr>
        <w:t> </w:t>
      </w:r>
      <w:r>
        <w:rPr>
          <w:rFonts w:ascii="宋体" w:hAnsi="宋体" w:cs="宋体" w:eastAsia="宋体" w:hint="default"/>
          <w:sz w:val="21"/>
          <w:szCs w:val="21"/>
        </w:rPr>
        <w:t>登</w:t>
      </w:r>
      <w:r>
        <w:rPr>
          <w:rFonts w:ascii="宋体" w:hAnsi="宋体" w:cs="宋体" w:eastAsia="宋体" w:hint="default"/>
          <w:spacing w:val="-79"/>
          <w:sz w:val="21"/>
          <w:szCs w:val="21"/>
        </w:rPr>
        <w:t> </w:t>
      </w:r>
      <w:r>
        <w:rPr>
          <w:rFonts w:ascii="宋体" w:hAnsi="宋体" w:cs="宋体" w:eastAsia="宋体" w:hint="default"/>
          <w:sz w:val="21"/>
          <w:szCs w:val="21"/>
        </w:rPr>
        <w:t>在</w:t>
      </w:r>
      <w:r>
        <w:rPr>
          <w:rFonts w:ascii="宋体" w:hAnsi="宋体" w:cs="宋体" w:eastAsia="宋体" w:hint="default"/>
          <w:spacing w:val="36"/>
          <w:sz w:val="21"/>
          <w:szCs w:val="21"/>
        </w:rPr>
        <w:t> </w:t>
      </w:r>
      <w:r>
        <w:rPr>
          <w:rFonts w:ascii="宋体" w:hAnsi="宋体" w:cs="宋体" w:eastAsia="宋体" w:hint="default"/>
          <w:sz w:val="21"/>
          <w:szCs w:val="21"/>
        </w:rPr>
        <w:t>2011</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12</w:t>
      </w:r>
      <w:r>
        <w:rPr>
          <w:rFonts w:ascii="宋体" w:hAnsi="宋体" w:cs="宋体" w:eastAsia="宋体" w:hint="default"/>
          <w:spacing w:val="32"/>
          <w:sz w:val="21"/>
          <w:szCs w:val="21"/>
        </w:rPr>
        <w:t> </w:t>
      </w:r>
      <w:r>
        <w:rPr>
          <w:rFonts w:ascii="宋体" w:hAnsi="宋体" w:cs="宋体" w:eastAsia="宋体" w:hint="default"/>
          <w:sz w:val="21"/>
          <w:szCs w:val="21"/>
        </w:rPr>
        <w:t>日</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9"/>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时</w:t>
      </w:r>
      <w:r>
        <w:rPr>
          <w:rFonts w:ascii="宋体" w:hAnsi="宋体" w:cs="宋体" w:eastAsia="宋体" w:hint="default"/>
          <w:spacing w:val="-79"/>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9"/>
          <w:sz w:val="21"/>
          <w:szCs w:val="21"/>
        </w:rPr>
        <w:t> </w:t>
      </w:r>
      <w:r>
        <w:rPr>
          <w:rFonts w:ascii="宋体" w:hAnsi="宋体" w:cs="宋体" w:eastAsia="宋体" w:hint="default"/>
          <w:sz w:val="21"/>
          <w:szCs w:val="21"/>
        </w:rPr>
        <w:t>巨</w:t>
      </w:r>
      <w:r>
        <w:rPr>
          <w:rFonts w:ascii="宋体" w:hAnsi="宋体" w:cs="宋体" w:eastAsia="宋体" w:hint="default"/>
          <w:spacing w:val="-77"/>
          <w:sz w:val="21"/>
          <w:szCs w:val="21"/>
        </w:rPr>
        <w:t> </w:t>
      </w:r>
      <w:r>
        <w:rPr>
          <w:rFonts w:ascii="宋体" w:hAnsi="宋体" w:cs="宋体" w:eastAsia="宋体" w:hint="default"/>
          <w:sz w:val="21"/>
          <w:szCs w:val="21"/>
        </w:rPr>
        <w:t>潮</w:t>
      </w:r>
      <w:r>
        <w:rPr>
          <w:rFonts w:ascii="宋体" w:hAnsi="宋体" w:cs="宋体" w:eastAsia="宋体" w:hint="default"/>
          <w:spacing w:val="-79"/>
          <w:sz w:val="21"/>
          <w:szCs w:val="21"/>
        </w:rPr>
        <w:t> </w:t>
      </w: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讯</w:t>
      </w:r>
      <w:r>
        <w:rPr>
          <w:rFonts w:ascii="宋体" w:hAnsi="宋体" w:cs="宋体" w:eastAsia="宋体" w:hint="default"/>
          <w:spacing w:val="-77"/>
          <w:sz w:val="21"/>
          <w:szCs w:val="21"/>
        </w:rPr>
        <w:t> </w:t>
      </w:r>
      <w:r>
        <w:rPr>
          <w:rFonts w:ascii="宋体" w:hAnsi="宋体" w:cs="宋体" w:eastAsia="宋体" w:hint="default"/>
          <w:sz w:val="21"/>
          <w:szCs w:val="21"/>
        </w:rPr>
        <w:t>网</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5" w:lineRule="auto" w:before="135"/>
        <w:ind w:left="122" w:right="1274" w:firstLine="419"/>
        <w:jc w:val="left"/>
        <w:rPr>
          <w:rFonts w:ascii="宋体" w:hAnsi="宋体" w:cs="宋体" w:eastAsia="宋体" w:hint="default"/>
          <w:sz w:val="21"/>
          <w:szCs w:val="21"/>
        </w:rPr>
      </w:pPr>
      <w:r>
        <w:rPr>
          <w:rFonts w:ascii="宋体" w:hAnsi="宋体" w:cs="宋体" w:eastAsia="宋体" w:hint="default"/>
          <w:sz w:val="21"/>
          <w:szCs w:val="21"/>
        </w:rPr>
        <w:t>（三）公司于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29</w:t>
      </w:r>
      <w:r>
        <w:rPr>
          <w:rFonts w:ascii="宋体" w:hAnsi="宋体" w:cs="宋体" w:eastAsia="宋体" w:hint="default"/>
          <w:spacing w:val="-44"/>
          <w:sz w:val="21"/>
          <w:szCs w:val="21"/>
        </w:rPr>
        <w:t> </w:t>
      </w:r>
      <w:r>
        <w:rPr>
          <w:rFonts w:ascii="宋体" w:hAnsi="宋体" w:cs="宋体" w:eastAsia="宋体" w:hint="default"/>
          <w:sz w:val="21"/>
          <w:szCs w:val="21"/>
        </w:rPr>
        <w:t>日召开了</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年第二次临时股东大会。此次会议审议通过了如</w:t>
      </w:r>
      <w:r>
        <w:rPr>
          <w:rFonts w:ascii="宋体" w:hAnsi="宋体" w:cs="宋体" w:eastAsia="宋体" w:hint="default"/>
          <w:w w:val="100"/>
          <w:sz w:val="21"/>
          <w:szCs w:val="21"/>
        </w:rPr>
        <w:t> </w:t>
      </w:r>
      <w:r>
        <w:rPr>
          <w:rFonts w:ascii="宋体" w:hAnsi="宋体" w:cs="宋体" w:eastAsia="宋体" w:hint="default"/>
          <w:sz w:val="21"/>
          <w:szCs w:val="21"/>
        </w:rPr>
        <w:t>下事项：</w:t>
      </w:r>
    </w:p>
    <w:p>
      <w:pPr>
        <w:spacing w:before="32"/>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性股</w:t>
      </w:r>
      <w:r>
        <w:rPr>
          <w:rFonts w:ascii="宋体" w:hAnsi="宋体" w:cs="宋体" w:eastAsia="宋体" w:hint="default"/>
          <w:w w:val="100"/>
          <w:sz w:val="21"/>
          <w:szCs w:val="21"/>
        </w:rPr>
        <w:t>票激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3"/>
          <w:w w:val="100"/>
          <w:sz w:val="21"/>
          <w:szCs w:val="21"/>
        </w:rPr>
        <w:t>稿</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其摘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性股</w:t>
      </w:r>
      <w:r>
        <w:rPr>
          <w:rFonts w:ascii="宋体" w:hAnsi="宋体" w:cs="宋体" w:eastAsia="宋体" w:hint="default"/>
          <w:w w:val="100"/>
          <w:sz w:val="21"/>
          <w:szCs w:val="21"/>
        </w:rPr>
        <w:t>票激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w w:val="100"/>
          <w:sz w:val="21"/>
          <w:szCs w:val="21"/>
        </w:rPr>
        <w:t>考</w:t>
      </w:r>
      <w:r>
        <w:rPr>
          <w:rFonts w:ascii="宋体" w:hAnsi="宋体" w:cs="宋体" w:eastAsia="宋体" w:hint="default"/>
          <w:spacing w:val="-3"/>
          <w:w w:val="100"/>
          <w:sz w:val="21"/>
          <w:szCs w:val="21"/>
        </w:rPr>
        <w:t>核</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办法</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5" w:lineRule="auto" w:before="135"/>
        <w:ind w:left="542" w:right="1144" w:firstLine="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、审议通过了《关于提请股东大会授权董事会办理公司限制性股票激励计划有关事项的议案》</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该</w:t>
      </w:r>
      <w:r>
        <w:rPr>
          <w:rFonts w:ascii="宋体" w:hAnsi="宋体" w:cs="宋体" w:eastAsia="宋体" w:hint="default"/>
          <w:spacing w:val="-77"/>
          <w:sz w:val="21"/>
          <w:szCs w:val="21"/>
        </w:rPr>
        <w:t> </w:t>
      </w:r>
      <w:r>
        <w:rPr>
          <w:rFonts w:ascii="宋体" w:hAnsi="宋体" w:cs="宋体" w:eastAsia="宋体" w:hint="default"/>
          <w:sz w:val="21"/>
          <w:szCs w:val="21"/>
        </w:rPr>
        <w:t>次</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大</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pacing w:val="-79"/>
          <w:sz w:val="21"/>
          <w:szCs w:val="21"/>
        </w:rPr>
        <w:t> </w:t>
      </w:r>
      <w:r>
        <w:rPr>
          <w:rFonts w:ascii="宋体" w:hAnsi="宋体" w:cs="宋体" w:eastAsia="宋体" w:hint="default"/>
          <w:sz w:val="21"/>
          <w:szCs w:val="21"/>
        </w:rPr>
        <w:t>议</w:t>
      </w:r>
      <w:r>
        <w:rPr>
          <w:rFonts w:ascii="宋体" w:hAnsi="宋体" w:cs="宋体" w:eastAsia="宋体" w:hint="default"/>
          <w:spacing w:val="-77"/>
          <w:sz w:val="21"/>
          <w:szCs w:val="21"/>
        </w:rPr>
        <w:t> </w:t>
      </w:r>
      <w:r>
        <w:rPr>
          <w:rFonts w:ascii="宋体" w:hAnsi="宋体" w:cs="宋体" w:eastAsia="宋体" w:hint="default"/>
          <w:sz w:val="21"/>
          <w:szCs w:val="21"/>
        </w:rPr>
        <w:t>决</w:t>
      </w:r>
      <w:r>
        <w:rPr>
          <w:rFonts w:ascii="宋体" w:hAnsi="宋体" w:cs="宋体" w:eastAsia="宋体" w:hint="default"/>
          <w:spacing w:val="-79"/>
          <w:sz w:val="21"/>
          <w:szCs w:val="21"/>
        </w:rPr>
        <w:t> </w:t>
      </w:r>
      <w:r>
        <w:rPr>
          <w:rFonts w:ascii="宋体" w:hAnsi="宋体" w:cs="宋体" w:eastAsia="宋体" w:hint="default"/>
          <w:sz w:val="21"/>
          <w:szCs w:val="21"/>
        </w:rPr>
        <w:t>议</w:t>
      </w:r>
      <w:r>
        <w:rPr>
          <w:rFonts w:ascii="宋体" w:hAnsi="宋体" w:cs="宋体" w:eastAsia="宋体" w:hint="default"/>
          <w:spacing w:val="-77"/>
          <w:sz w:val="21"/>
          <w:szCs w:val="21"/>
        </w:rPr>
        <w:t> </w:t>
      </w:r>
      <w:r>
        <w:rPr>
          <w:rFonts w:ascii="宋体" w:hAnsi="宋体" w:cs="宋体" w:eastAsia="宋体" w:hint="default"/>
          <w:sz w:val="21"/>
          <w:szCs w:val="21"/>
        </w:rPr>
        <w:t>刊</w:t>
      </w:r>
      <w:r>
        <w:rPr>
          <w:rFonts w:ascii="宋体" w:hAnsi="宋体" w:cs="宋体" w:eastAsia="宋体" w:hint="default"/>
          <w:spacing w:val="-79"/>
          <w:sz w:val="21"/>
          <w:szCs w:val="21"/>
        </w:rPr>
        <w:t> </w:t>
      </w:r>
      <w:r>
        <w:rPr>
          <w:rFonts w:ascii="宋体" w:hAnsi="宋体" w:cs="宋体" w:eastAsia="宋体" w:hint="default"/>
          <w:sz w:val="21"/>
          <w:szCs w:val="21"/>
        </w:rPr>
        <w:t>登</w:t>
      </w:r>
      <w:r>
        <w:rPr>
          <w:rFonts w:ascii="宋体" w:hAnsi="宋体" w:cs="宋体" w:eastAsia="宋体" w:hint="default"/>
          <w:spacing w:val="-79"/>
          <w:sz w:val="21"/>
          <w:szCs w:val="21"/>
        </w:rPr>
        <w:t> </w:t>
      </w:r>
      <w:r>
        <w:rPr>
          <w:rFonts w:ascii="宋体" w:hAnsi="宋体" w:cs="宋体" w:eastAsia="宋体" w:hint="default"/>
          <w:sz w:val="21"/>
          <w:szCs w:val="21"/>
        </w:rPr>
        <w:t>在</w:t>
      </w:r>
      <w:r>
        <w:rPr>
          <w:rFonts w:ascii="宋体" w:hAnsi="宋体" w:cs="宋体" w:eastAsia="宋体" w:hint="default"/>
          <w:spacing w:val="36"/>
          <w:sz w:val="21"/>
          <w:szCs w:val="21"/>
        </w:rPr>
        <w:t> </w:t>
      </w:r>
      <w:r>
        <w:rPr>
          <w:rFonts w:ascii="宋体" w:hAnsi="宋体" w:cs="宋体" w:eastAsia="宋体" w:hint="default"/>
          <w:sz w:val="21"/>
          <w:szCs w:val="21"/>
        </w:rPr>
        <w:t>2011</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9</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30</w:t>
      </w:r>
      <w:r>
        <w:rPr>
          <w:rFonts w:ascii="宋体" w:hAnsi="宋体" w:cs="宋体" w:eastAsia="宋体" w:hint="default"/>
          <w:spacing w:val="32"/>
          <w:sz w:val="21"/>
          <w:szCs w:val="21"/>
        </w:rPr>
        <w:t> </w:t>
      </w:r>
      <w:r>
        <w:rPr>
          <w:rFonts w:ascii="宋体" w:hAnsi="宋体" w:cs="宋体" w:eastAsia="宋体" w:hint="default"/>
          <w:sz w:val="21"/>
          <w:szCs w:val="21"/>
        </w:rPr>
        <w:t>日</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证</w:t>
      </w:r>
      <w:r>
        <w:rPr>
          <w:rFonts w:ascii="宋体" w:hAnsi="宋体" w:cs="宋体" w:eastAsia="宋体" w:hint="default"/>
          <w:spacing w:val="-79"/>
          <w:sz w:val="21"/>
          <w:szCs w:val="21"/>
        </w:rPr>
        <w:t> </w:t>
      </w:r>
      <w:r>
        <w:rPr>
          <w:rFonts w:ascii="宋体" w:hAnsi="宋体" w:cs="宋体" w:eastAsia="宋体" w:hint="default"/>
          <w:sz w:val="21"/>
          <w:szCs w:val="21"/>
        </w:rPr>
        <w:t>券</w:t>
      </w:r>
      <w:r>
        <w:rPr>
          <w:rFonts w:ascii="宋体" w:hAnsi="宋体" w:cs="宋体" w:eastAsia="宋体" w:hint="default"/>
          <w:spacing w:val="-77"/>
          <w:sz w:val="21"/>
          <w:szCs w:val="21"/>
        </w:rPr>
        <w:t> </w:t>
      </w:r>
      <w:r>
        <w:rPr>
          <w:rFonts w:ascii="宋体" w:hAnsi="宋体" w:cs="宋体" w:eastAsia="宋体" w:hint="default"/>
          <w:sz w:val="21"/>
          <w:szCs w:val="21"/>
        </w:rPr>
        <w:t>时</w:t>
      </w:r>
      <w:r>
        <w:rPr>
          <w:rFonts w:ascii="宋体" w:hAnsi="宋体" w:cs="宋体" w:eastAsia="宋体" w:hint="default"/>
          <w:spacing w:val="-79"/>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9"/>
          <w:sz w:val="21"/>
          <w:szCs w:val="21"/>
        </w:rPr>
        <w:t> </w:t>
      </w:r>
      <w:r>
        <w:rPr>
          <w:rFonts w:ascii="宋体" w:hAnsi="宋体" w:cs="宋体" w:eastAsia="宋体" w:hint="default"/>
          <w:sz w:val="21"/>
          <w:szCs w:val="21"/>
        </w:rPr>
        <w:t>巨</w:t>
      </w:r>
      <w:r>
        <w:rPr>
          <w:rFonts w:ascii="宋体" w:hAnsi="宋体" w:cs="宋体" w:eastAsia="宋体" w:hint="default"/>
          <w:spacing w:val="-77"/>
          <w:sz w:val="21"/>
          <w:szCs w:val="21"/>
        </w:rPr>
        <w:t> </w:t>
      </w:r>
      <w:r>
        <w:rPr>
          <w:rFonts w:ascii="宋体" w:hAnsi="宋体" w:cs="宋体" w:eastAsia="宋体" w:hint="default"/>
          <w:sz w:val="21"/>
          <w:szCs w:val="21"/>
        </w:rPr>
        <w:t>潮</w:t>
      </w:r>
      <w:r>
        <w:rPr>
          <w:rFonts w:ascii="宋体" w:hAnsi="宋体" w:cs="宋体" w:eastAsia="宋体" w:hint="default"/>
          <w:spacing w:val="-79"/>
          <w:sz w:val="21"/>
          <w:szCs w:val="21"/>
        </w:rPr>
        <w:t> </w:t>
      </w: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讯</w:t>
      </w:r>
      <w:r>
        <w:rPr>
          <w:rFonts w:ascii="宋体" w:hAnsi="宋体" w:cs="宋体" w:eastAsia="宋体" w:hint="default"/>
          <w:spacing w:val="-77"/>
          <w:sz w:val="21"/>
          <w:szCs w:val="21"/>
        </w:rPr>
        <w:t> </w:t>
      </w:r>
      <w:r>
        <w:rPr>
          <w:rFonts w:ascii="宋体" w:hAnsi="宋体" w:cs="宋体" w:eastAsia="宋体" w:hint="default"/>
          <w:sz w:val="21"/>
          <w:szCs w:val="21"/>
        </w:rPr>
        <w:t>网</w:t>
      </w:r>
    </w:p>
    <w:p>
      <w:pPr>
        <w:spacing w:before="32"/>
        <w:ind w:left="122" w:right="0" w:firstLine="0"/>
        <w:jc w:val="left"/>
        <w:rPr>
          <w:rFonts w:ascii="宋体" w:hAnsi="宋体" w:cs="宋体" w:eastAsia="宋体" w:hint="default"/>
          <w:sz w:val="21"/>
          <w:szCs w:val="21"/>
        </w:rPr>
      </w:pPr>
      <w:r>
        <w:rPr>
          <w:rFonts w:ascii="宋体" w:hAnsi="宋体" w:cs="宋体" w:eastAsia="宋体" w:hint="default"/>
          <w:sz w:val="21"/>
          <w:szCs w:val="21"/>
        </w:rPr>
        <w:t>（</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7" w:lineRule="auto" w:before="133"/>
        <w:ind w:left="122" w:right="1274" w:firstLine="419"/>
        <w:jc w:val="left"/>
        <w:rPr>
          <w:rFonts w:ascii="宋体" w:hAnsi="宋体" w:cs="宋体" w:eastAsia="宋体" w:hint="default"/>
          <w:sz w:val="21"/>
          <w:szCs w:val="21"/>
        </w:rPr>
      </w:pPr>
      <w:r>
        <w:rPr>
          <w:rFonts w:ascii="宋体" w:hAnsi="宋体" w:cs="宋体" w:eastAsia="宋体" w:hint="default"/>
          <w:spacing w:val="-4"/>
          <w:sz w:val="21"/>
          <w:szCs w:val="21"/>
        </w:rPr>
        <w:t>（四）公司于</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日召开了</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pacing w:val="-3"/>
          <w:sz w:val="21"/>
          <w:szCs w:val="21"/>
        </w:rPr>
        <w:t>年第三次临时股东大会。此次会议审议通过了如</w:t>
      </w:r>
      <w:r>
        <w:rPr>
          <w:rFonts w:ascii="宋体" w:hAnsi="宋体" w:cs="宋体" w:eastAsia="宋体" w:hint="default"/>
          <w:w w:val="100"/>
          <w:sz w:val="21"/>
          <w:szCs w:val="21"/>
        </w:rPr>
        <w:t> </w:t>
      </w:r>
      <w:r>
        <w:rPr>
          <w:rFonts w:ascii="宋体" w:hAnsi="宋体" w:cs="宋体" w:eastAsia="宋体" w:hint="default"/>
          <w:sz w:val="21"/>
          <w:szCs w:val="21"/>
        </w:rPr>
        <w:t>下事项：</w:t>
      </w:r>
    </w:p>
    <w:p>
      <w:pPr>
        <w:spacing w:before="32"/>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修订</w:t>
      </w:r>
      <w:r>
        <w:rPr>
          <w:rFonts w:ascii="宋体" w:hAnsi="宋体" w:cs="宋体" w:eastAsia="宋体" w:hint="default"/>
          <w:w w:val="100"/>
          <w:sz w:val="21"/>
          <w:szCs w:val="21"/>
        </w:rPr>
        <w:t>&lt;</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事</w:t>
      </w:r>
      <w:r>
        <w:rPr>
          <w:rFonts w:ascii="宋体" w:hAnsi="宋体" w:cs="宋体" w:eastAsia="宋体" w:hint="default"/>
          <w:w w:val="100"/>
          <w:sz w:val="21"/>
          <w:szCs w:val="21"/>
        </w:rPr>
        <w:t>规</w:t>
      </w:r>
      <w:r>
        <w:rPr>
          <w:rFonts w:ascii="宋体" w:hAnsi="宋体" w:cs="宋体" w:eastAsia="宋体" w:hint="default"/>
          <w:spacing w:val="-1"/>
          <w:w w:val="100"/>
          <w:sz w:val="21"/>
          <w:szCs w:val="21"/>
        </w:rPr>
        <w:t>则</w:t>
      </w:r>
      <w:r>
        <w:rPr>
          <w:rFonts w:ascii="宋体" w:hAnsi="宋体" w:cs="宋体" w:eastAsia="宋体" w:hint="default"/>
          <w:spacing w:val="-2"/>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修订</w:t>
      </w:r>
      <w:r>
        <w:rPr>
          <w:rFonts w:ascii="宋体" w:hAnsi="宋体" w:cs="宋体" w:eastAsia="宋体" w:hint="default"/>
          <w:w w:val="100"/>
          <w:sz w:val="21"/>
          <w:szCs w:val="21"/>
        </w:rPr>
        <w:t>&lt;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事</w:t>
      </w:r>
      <w:r>
        <w:rPr>
          <w:rFonts w:ascii="宋体" w:hAnsi="宋体" w:cs="宋体" w:eastAsia="宋体" w:hint="default"/>
          <w:spacing w:val="-3"/>
          <w:w w:val="100"/>
          <w:sz w:val="21"/>
          <w:szCs w:val="21"/>
        </w:rPr>
        <w:t>规</w:t>
      </w:r>
      <w:r>
        <w:rPr>
          <w:rFonts w:ascii="宋体" w:hAnsi="宋体" w:cs="宋体" w:eastAsia="宋体" w:hint="default"/>
          <w:spacing w:val="-1"/>
          <w:w w:val="100"/>
          <w:sz w:val="21"/>
          <w:szCs w:val="21"/>
        </w:rPr>
        <w:t>则</w:t>
      </w:r>
      <w:r>
        <w:rPr>
          <w:rFonts w:ascii="宋体" w:hAnsi="宋体" w:cs="宋体" w:eastAsia="宋体"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制定</w:t>
      </w:r>
      <w:r>
        <w:rPr>
          <w:rFonts w:ascii="宋体" w:hAnsi="宋体" w:cs="宋体" w:eastAsia="宋体" w:hint="default"/>
          <w:w w:val="100"/>
          <w:sz w:val="21"/>
          <w:szCs w:val="21"/>
        </w:rPr>
        <w:t>&lt;</w:t>
      </w:r>
      <w:r>
        <w:rPr>
          <w:rFonts w:ascii="宋体" w:hAnsi="宋体" w:cs="宋体" w:eastAsia="宋体" w:hint="default"/>
          <w:w w:val="100"/>
          <w:sz w:val="21"/>
          <w:szCs w:val="21"/>
        </w:rPr>
        <w:t>对</w:t>
      </w:r>
      <w:r>
        <w:rPr>
          <w:rFonts w:ascii="宋体" w:hAnsi="宋体" w:cs="宋体" w:eastAsia="宋体" w:hint="default"/>
          <w:spacing w:val="-3"/>
          <w:w w:val="100"/>
          <w:sz w:val="21"/>
          <w:szCs w:val="21"/>
        </w:rPr>
        <w:t>外</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制</w:t>
      </w:r>
      <w:r>
        <w:rPr>
          <w:rFonts w:ascii="宋体" w:hAnsi="宋体" w:cs="宋体" w:eastAsia="宋体" w:hint="default"/>
          <w:spacing w:val="-1"/>
          <w:w w:val="100"/>
          <w:sz w:val="21"/>
          <w:szCs w:val="21"/>
        </w:rPr>
        <w:t>度</w:t>
      </w:r>
      <w:r>
        <w:rPr>
          <w:rFonts w:ascii="宋体" w:hAnsi="宋体" w:cs="宋体" w:eastAsia="宋体" w:hint="default"/>
          <w:spacing w:val="-3"/>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用部</w:t>
      </w:r>
      <w:r>
        <w:rPr>
          <w:rFonts w:ascii="宋体" w:hAnsi="宋体" w:cs="宋体" w:eastAsia="宋体" w:hint="default"/>
          <w:spacing w:val="-3"/>
          <w:w w:val="100"/>
          <w:sz w:val="21"/>
          <w:szCs w:val="21"/>
        </w:rPr>
        <w:t>分</w:t>
      </w:r>
      <w:r>
        <w:rPr>
          <w:rFonts w:ascii="宋体" w:hAnsi="宋体" w:cs="宋体" w:eastAsia="宋体" w:hint="default"/>
          <w:w w:val="100"/>
          <w:sz w:val="21"/>
          <w:szCs w:val="21"/>
        </w:rPr>
        <w:t>闲</w:t>
      </w:r>
      <w:r>
        <w:rPr>
          <w:rFonts w:ascii="宋体" w:hAnsi="宋体" w:cs="宋体" w:eastAsia="宋体" w:hint="default"/>
          <w:spacing w:val="-3"/>
          <w:w w:val="100"/>
          <w:sz w:val="21"/>
          <w:szCs w:val="21"/>
        </w:rPr>
        <w:t>置</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暂</w:t>
      </w:r>
      <w:r>
        <w:rPr>
          <w:rFonts w:ascii="宋体" w:hAnsi="宋体" w:cs="宋体" w:eastAsia="宋体" w:hint="default"/>
          <w:spacing w:val="-3"/>
          <w:w w:val="100"/>
          <w:sz w:val="21"/>
          <w:szCs w:val="21"/>
        </w:rPr>
        <w:t>时</w:t>
      </w:r>
      <w:r>
        <w:rPr>
          <w:rFonts w:ascii="宋体" w:hAnsi="宋体" w:cs="宋体" w:eastAsia="宋体" w:hint="default"/>
          <w:w w:val="100"/>
          <w:sz w:val="21"/>
          <w:szCs w:val="21"/>
        </w:rPr>
        <w:t>补充</w:t>
      </w:r>
      <w:r>
        <w:rPr>
          <w:rFonts w:ascii="宋体" w:hAnsi="宋体" w:cs="宋体" w:eastAsia="宋体" w:hint="default"/>
          <w:spacing w:val="-3"/>
          <w:w w:val="100"/>
          <w:sz w:val="21"/>
          <w:szCs w:val="21"/>
        </w:rPr>
        <w:t>流</w:t>
      </w:r>
      <w:r>
        <w:rPr>
          <w:rFonts w:ascii="宋体" w:hAnsi="宋体" w:cs="宋体" w:eastAsia="宋体" w:hint="default"/>
          <w:w w:val="100"/>
          <w:sz w:val="21"/>
          <w:szCs w:val="21"/>
        </w:rPr>
        <w:t>动</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33"/>
        <w:ind w:left="542" w:right="0" w:firstLine="0"/>
        <w:jc w:val="left"/>
        <w:rPr>
          <w:rFonts w:ascii="宋体" w:hAnsi="宋体" w:cs="宋体" w:eastAsia="宋体" w:hint="default"/>
          <w:sz w:val="21"/>
          <w:szCs w:val="21"/>
        </w:rPr>
      </w:pPr>
      <w:r>
        <w:rPr>
          <w:rFonts w:ascii="宋体" w:hAnsi="宋体" w:cs="宋体" w:eastAsia="宋体" w:hint="default"/>
          <w:spacing w:val="21"/>
          <w:sz w:val="21"/>
          <w:szCs w:val="21"/>
        </w:rPr>
        <w:t>该次股东大会的会议决议刊登在 </w:t>
      </w: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11 </w:t>
      </w:r>
      <w:r>
        <w:rPr>
          <w:rFonts w:ascii="宋体" w:hAnsi="宋体" w:cs="宋体" w:eastAsia="宋体" w:hint="default"/>
          <w:sz w:val="21"/>
          <w:szCs w:val="21"/>
        </w:rPr>
        <w:t>月 </w:t>
      </w:r>
      <w:r>
        <w:rPr>
          <w:rFonts w:ascii="宋体" w:hAnsi="宋体" w:cs="宋体" w:eastAsia="宋体" w:hint="default"/>
          <w:sz w:val="21"/>
          <w:szCs w:val="21"/>
        </w:rPr>
        <w:t>11 </w:t>
      </w:r>
      <w:r>
        <w:rPr>
          <w:rFonts w:ascii="宋体" w:hAnsi="宋体" w:cs="宋体" w:eastAsia="宋体" w:hint="default"/>
          <w:spacing w:val="95"/>
          <w:sz w:val="21"/>
          <w:szCs w:val="21"/>
        </w:rPr>
        <w:t> </w:t>
      </w:r>
      <w:r>
        <w:rPr>
          <w:rFonts w:ascii="宋体" w:hAnsi="宋体" w:cs="宋体" w:eastAsia="宋体" w:hint="default"/>
          <w:spacing w:val="21"/>
          <w:sz w:val="21"/>
          <w:szCs w:val="21"/>
        </w:rPr>
        <w:t>日的《证券时报》和巨潮资讯网</w:t>
      </w:r>
    </w:p>
    <w:p>
      <w:pPr>
        <w:spacing w:before="135"/>
        <w:ind w:left="122" w:right="0" w:firstLine="0"/>
        <w:jc w:val="left"/>
        <w:rPr>
          <w:rFonts w:ascii="宋体" w:hAnsi="宋体" w:cs="宋体" w:eastAsia="宋体" w:hint="default"/>
          <w:sz w:val="21"/>
          <w:szCs w:val="21"/>
        </w:rPr>
      </w:pPr>
      <w:r>
        <w:rPr>
          <w:rFonts w:ascii="宋体" w:hAnsi="宋体" w:cs="宋体" w:eastAsia="宋体" w:hint="default"/>
          <w:sz w:val="21"/>
          <w:szCs w:val="21"/>
        </w:rPr>
        <w:t>（</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after="0"/>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tabs>
          <w:tab w:pos="4546" w:val="left" w:leader="none"/>
        </w:tabs>
        <w:spacing w:line="240" w:lineRule="auto"/>
        <w:ind w:left="3190" w:right="0"/>
        <w:jc w:val="left"/>
        <w:rPr>
          <w:b w:val="0"/>
          <w:bCs w:val="0"/>
        </w:rPr>
      </w:pPr>
      <w:bookmarkStart w:name="_TOC_250004" w:id="8"/>
      <w:r>
        <w:rPr>
          <w:w w:val="95"/>
        </w:rPr>
        <w:t>第八节</w:t>
        <w:tab/>
      </w:r>
      <w:r>
        <w:rPr/>
        <w:t>董事会报告</w:t>
      </w:r>
      <w:bookmarkEnd w:id="8"/>
      <w:r>
        <w:rPr>
          <w:b w:val="0"/>
          <w:bCs w:val="0"/>
        </w:rPr>
      </w:r>
    </w:p>
    <w:p>
      <w:pPr>
        <w:spacing w:line="240" w:lineRule="auto" w:before="0"/>
        <w:rPr>
          <w:rFonts w:ascii="宋体" w:hAnsi="宋体" w:cs="宋体" w:eastAsia="宋体" w:hint="default"/>
          <w:b/>
          <w:bCs/>
          <w:sz w:val="27"/>
          <w:szCs w:val="27"/>
        </w:rPr>
      </w:pPr>
    </w:p>
    <w:p>
      <w:pPr>
        <w:spacing w:before="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一、公司经营情况</w:t>
      </w:r>
      <w:r>
        <w:rPr>
          <w:rFonts w:ascii="宋体" w:hAnsi="宋体" w:cs="宋体" w:eastAsia="宋体" w:hint="default"/>
          <w:sz w:val="21"/>
          <w:szCs w:val="21"/>
        </w:rPr>
      </w:r>
    </w:p>
    <w:p>
      <w:pPr>
        <w:spacing w:line="355" w:lineRule="auto" w:before="133"/>
        <w:ind w:left="122" w:right="7536" w:firstLine="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（一）报告期内公司经营情况</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1</w:t>
      </w:r>
      <w:r>
        <w:rPr>
          <w:rFonts w:ascii="宋体" w:hAnsi="宋体" w:cs="宋体" w:eastAsia="宋体" w:hint="default"/>
          <w:sz w:val="21"/>
          <w:szCs w:val="21"/>
        </w:rPr>
        <w:t>、公司总体经营情况分析</w:t>
      </w:r>
    </w:p>
    <w:p>
      <w:pPr>
        <w:spacing w:line="357" w:lineRule="auto" w:before="34"/>
        <w:ind w:left="122" w:right="1277" w:firstLine="482"/>
        <w:jc w:val="both"/>
        <w:rPr>
          <w:rFonts w:ascii="宋体" w:hAnsi="宋体" w:cs="宋体" w:eastAsia="宋体" w:hint="default"/>
          <w:sz w:val="21"/>
          <w:szCs w:val="21"/>
        </w:rPr>
      </w:pPr>
      <w:r>
        <w:rPr>
          <w:rFonts w:ascii="宋体" w:hAnsi="宋体" w:cs="宋体" w:eastAsia="宋体" w:hint="default"/>
          <w:spacing w:val="-1"/>
          <w:sz w:val="21"/>
          <w:szCs w:val="21"/>
        </w:rPr>
        <w:t>2011</w:t>
      </w:r>
      <w:r>
        <w:rPr>
          <w:rFonts w:ascii="宋体" w:hAnsi="宋体" w:cs="宋体" w:eastAsia="宋体" w:hint="default"/>
          <w:spacing w:val="-1"/>
          <w:sz w:val="21"/>
          <w:szCs w:val="21"/>
        </w:rPr>
        <w:t>年公司业务稳定增长，实现营业总收入</w:t>
      </w:r>
      <w:r>
        <w:rPr>
          <w:rFonts w:ascii="宋体" w:hAnsi="宋体" w:cs="宋体" w:eastAsia="宋体" w:hint="default"/>
          <w:spacing w:val="-1"/>
          <w:sz w:val="21"/>
          <w:szCs w:val="21"/>
        </w:rPr>
        <w:t>78,176.56</w:t>
      </w:r>
      <w:r>
        <w:rPr>
          <w:rFonts w:ascii="宋体" w:hAnsi="宋体" w:cs="宋体" w:eastAsia="宋体" w:hint="default"/>
          <w:spacing w:val="-1"/>
          <w:sz w:val="21"/>
          <w:szCs w:val="21"/>
        </w:rPr>
        <w:t>万元，较去年同期增长</w:t>
      </w:r>
      <w:r>
        <w:rPr>
          <w:rFonts w:ascii="宋体" w:hAnsi="宋体" w:cs="宋体" w:eastAsia="宋体" w:hint="default"/>
          <w:spacing w:val="-1"/>
          <w:sz w:val="21"/>
          <w:szCs w:val="21"/>
        </w:rPr>
        <w:t>9.76</w:t>
      </w:r>
      <w:r>
        <w:rPr>
          <w:rFonts w:ascii="宋体" w:hAnsi="宋体" w:cs="宋体" w:eastAsia="宋体" w:hint="default"/>
          <w:spacing w:val="-1"/>
          <w:sz w:val="21"/>
          <w:szCs w:val="21"/>
        </w:rPr>
        <w:t>％。公司增</w:t>
      </w:r>
      <w:r>
        <w:rPr>
          <w:rFonts w:ascii="宋体" w:hAnsi="宋体" w:cs="宋体" w:eastAsia="宋体" w:hint="default"/>
          <w:w w:val="100"/>
          <w:sz w:val="21"/>
          <w:szCs w:val="21"/>
        </w:rPr>
        <w:t> </w:t>
      </w:r>
      <w:r>
        <w:rPr>
          <w:rFonts w:ascii="宋体" w:hAnsi="宋体" w:cs="宋体" w:eastAsia="宋体" w:hint="default"/>
          <w:spacing w:val="-3"/>
          <w:sz w:val="21"/>
          <w:szCs w:val="21"/>
        </w:rPr>
        <w:t>发募投项目已完成一期建设，开始生产经营，重点是进行市场开拓工作。公司近年来固定资产增加</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较多，计提折旧增加，加之人工成本持续上升，从而给业绩的提升带来一定困难。公司通过加大销</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售力度、控制成本费用、不断研发新产品、开发新客户等措施，提升公司盈利水平。</w:t>
      </w:r>
      <w:r>
        <w:rPr>
          <w:rFonts w:ascii="宋体" w:hAnsi="宋体" w:cs="宋体" w:eastAsia="宋体" w:hint="default"/>
          <w:spacing w:val="-3"/>
          <w:sz w:val="21"/>
          <w:szCs w:val="21"/>
        </w:rPr>
        <w:t>2011</w:t>
      </w:r>
      <w:r>
        <w:rPr>
          <w:rFonts w:ascii="宋体" w:hAnsi="宋体" w:cs="宋体" w:eastAsia="宋体" w:hint="default"/>
          <w:spacing w:val="-3"/>
          <w:sz w:val="21"/>
          <w:szCs w:val="21"/>
        </w:rPr>
        <w:t>年公司营</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业利润增长</w:t>
      </w:r>
      <w:r>
        <w:rPr>
          <w:rFonts w:ascii="宋体" w:hAnsi="宋体" w:cs="宋体" w:eastAsia="宋体" w:hint="default"/>
          <w:sz w:val="21"/>
          <w:szCs w:val="21"/>
        </w:rPr>
        <w:t>8.27</w:t>
      </w:r>
      <w:r>
        <w:rPr>
          <w:rFonts w:ascii="宋体" w:hAnsi="宋体" w:cs="宋体" w:eastAsia="宋体" w:hint="default"/>
          <w:sz w:val="21"/>
          <w:szCs w:val="21"/>
        </w:rPr>
        <w:t>％，利润总额增长</w:t>
      </w:r>
      <w:r>
        <w:rPr>
          <w:rFonts w:ascii="宋体" w:hAnsi="宋体" w:cs="宋体" w:eastAsia="宋体" w:hint="default"/>
          <w:sz w:val="21"/>
          <w:szCs w:val="21"/>
        </w:rPr>
        <w:t>8.76</w:t>
      </w:r>
      <w:r>
        <w:rPr>
          <w:rFonts w:ascii="宋体" w:hAnsi="宋体" w:cs="宋体" w:eastAsia="宋体" w:hint="default"/>
          <w:sz w:val="21"/>
          <w:szCs w:val="21"/>
        </w:rPr>
        <w:t>％，归属于上市公司股东的净利润增长</w:t>
      </w:r>
      <w:r>
        <w:rPr>
          <w:rFonts w:ascii="宋体" w:hAnsi="宋体" w:cs="宋体" w:eastAsia="宋体" w:hint="default"/>
          <w:sz w:val="21"/>
          <w:szCs w:val="21"/>
        </w:rPr>
        <w:t>9.81</w:t>
      </w:r>
      <w:r>
        <w:rPr>
          <w:rFonts w:ascii="宋体" w:hAnsi="宋体" w:cs="宋体" w:eastAsia="宋体" w:hint="default"/>
          <w:sz w:val="21"/>
          <w:szCs w:val="21"/>
        </w:rPr>
        <w:t>％。</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年公司主营业务及其经营状况</w:t>
      </w:r>
    </w:p>
    <w:p>
      <w:pPr>
        <w:spacing w:line="355" w:lineRule="auto" w:before="133"/>
        <w:ind w:left="605" w:right="0" w:hanging="6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）主营业务的范围</w:t>
      </w:r>
      <w:r>
        <w:rPr>
          <w:rFonts w:ascii="宋体" w:hAnsi="宋体" w:cs="宋体" w:eastAsia="宋体" w:hint="default"/>
          <w:w w:val="100"/>
          <w:sz w:val="21"/>
          <w:szCs w:val="21"/>
        </w:rPr>
        <w:t> </w:t>
      </w:r>
      <w:r>
        <w:rPr>
          <w:rFonts w:ascii="宋体" w:hAnsi="宋体" w:cs="宋体" w:eastAsia="宋体" w:hint="default"/>
          <w:spacing w:val="-4"/>
          <w:sz w:val="21"/>
          <w:szCs w:val="21"/>
        </w:rPr>
        <w:t>公司经营范围：出版物、包装装潢印刷品、其他类印刷品印刷，纸制品的生产、销售，高档纸</w:t>
      </w:r>
    </w:p>
    <w:p>
      <w:pPr>
        <w:spacing w:line="357" w:lineRule="auto" w:before="32"/>
        <w:ind w:left="122" w:right="0" w:firstLine="0"/>
        <w:jc w:val="left"/>
        <w:rPr>
          <w:rFonts w:ascii="宋体" w:hAnsi="宋体" w:cs="宋体" w:eastAsia="宋体" w:hint="default"/>
          <w:sz w:val="21"/>
          <w:szCs w:val="21"/>
        </w:rPr>
      </w:pPr>
      <w:r>
        <w:rPr>
          <w:rFonts w:ascii="宋体" w:hAnsi="宋体" w:cs="宋体" w:eastAsia="宋体" w:hint="default"/>
          <w:spacing w:val="-3"/>
          <w:sz w:val="21"/>
          <w:szCs w:val="21"/>
        </w:rPr>
        <w:t>张的防伪处理、销售，数据打印系统的开发、生产，科技信息咨询服务，</w:t>
      </w:r>
      <w:r>
        <w:rPr>
          <w:rFonts w:ascii="宋体" w:hAnsi="宋体" w:cs="宋体" w:eastAsia="宋体" w:hint="default"/>
          <w:spacing w:val="-3"/>
          <w:sz w:val="21"/>
          <w:szCs w:val="21"/>
        </w:rPr>
        <w:t>IC</w:t>
      </w:r>
      <w:r>
        <w:rPr>
          <w:rFonts w:ascii="宋体" w:hAnsi="宋体" w:cs="宋体" w:eastAsia="宋体" w:hint="default"/>
          <w:spacing w:val="-3"/>
          <w:sz w:val="21"/>
          <w:szCs w:val="21"/>
        </w:rPr>
        <w:t>卡产品和智能标签产品</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的生产、销售。公司目前主要从事商业票据印刷以及纸制品的加工、销售业务。</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）主要财务数据变动及其原因</w:t>
      </w:r>
    </w:p>
    <w:p>
      <w:pPr>
        <w:spacing w:line="240" w:lineRule="auto" w:before="10"/>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692"/>
        <w:gridCol w:w="1508"/>
        <w:gridCol w:w="1498"/>
        <w:gridCol w:w="2095"/>
        <w:gridCol w:w="1613"/>
      </w:tblGrid>
      <w:tr>
        <w:trPr>
          <w:trHeight w:val="242"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781,765,641.17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712,233,094.92</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9.76%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550,874,357.75</w:t>
            </w:r>
          </w:p>
        </w:tc>
      </w:tr>
      <w:tr>
        <w:trPr>
          <w:trHeight w:val="242"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110,989,211.18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102,514,798.10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8.27%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88,065,323.10</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06" w:lineRule="exact"/>
              <w:ind w:right="20"/>
              <w:jc w:val="right"/>
              <w:rPr>
                <w:rFonts w:ascii="宋体" w:hAnsi="宋体" w:cs="宋体" w:eastAsia="宋体" w:hint="default"/>
                <w:sz w:val="18"/>
                <w:szCs w:val="18"/>
              </w:rPr>
            </w:pPr>
            <w:r>
              <w:rPr>
                <w:rFonts w:ascii="宋体"/>
                <w:spacing w:val="-1"/>
                <w:sz w:val="18"/>
              </w:rPr>
              <w:t>113,237,249.89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104,116,173.40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z w:val="18"/>
              </w:rPr>
              <w:t>8.76%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90,856,919.37</w:t>
            </w:r>
          </w:p>
        </w:tc>
      </w:tr>
      <w:tr>
        <w:trPr>
          <w:trHeight w:val="47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86,964,360.30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79,194,442.06</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9.81%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74,026,819.95</w:t>
            </w:r>
          </w:p>
        </w:tc>
      </w:tr>
      <w:tr>
        <w:trPr>
          <w:trHeight w:val="710"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3"/>
              <w:ind w:left="211" w:right="29" w:hanging="180"/>
              <w:jc w:val="left"/>
              <w:rPr>
                <w:rFonts w:ascii="宋体" w:hAnsi="宋体" w:cs="宋体" w:eastAsia="宋体" w:hint="default"/>
                <w:sz w:val="18"/>
                <w:szCs w:val="18"/>
              </w:rPr>
            </w:pPr>
            <w:r>
              <w:rPr>
                <w:rFonts w:ascii="宋体" w:hAnsi="宋体" w:cs="宋体" w:eastAsia="宋体" w:hint="default"/>
                <w:sz w:val="18"/>
                <w:szCs w:val="18"/>
              </w:rPr>
              <w:t>的扣除非经常性损益 的净利润（元）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85,178,243.78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77,934,107.98</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9.30%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71,699,861.85</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37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4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36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37" w:right="-39"/>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41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242"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1,350,120,870.59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1,337,336,997.69</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0.96%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993,016,822.76</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252,183,840.21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326,705,187.39</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-22.81%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380,953,477.21</w:t>
            </w:r>
          </w:p>
        </w:tc>
      </w:tr>
      <w:tr>
        <w:trPr>
          <w:trHeight w:val="47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pacing w:val="-1"/>
                <w:sz w:val="18"/>
              </w:rPr>
              <w:t>1,049,541,852.54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964,284,418.30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8.84%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6"/>
              <w:jc w:val="right"/>
              <w:rPr>
                <w:rFonts w:ascii="宋体" w:hAnsi="宋体" w:cs="宋体" w:eastAsia="宋体" w:hint="default"/>
                <w:sz w:val="18"/>
                <w:szCs w:val="18"/>
              </w:rPr>
            </w:pPr>
            <w:r>
              <w:rPr>
                <w:rFonts w:ascii="宋体"/>
                <w:spacing w:val="-1"/>
                <w:sz w:val="18"/>
              </w:rPr>
              <w:t>572,981,361.71</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1508" w:type="dxa"/>
            <w:tcBorders>
              <w:top w:val="single" w:sz="4" w:space="0" w:color="000000"/>
              <w:left w:val="single" w:sz="13" w:space="0" w:color="DCDCDC"/>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126,414,172.00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124,124,172.00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1.84%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110,000,000.00</w:t>
            </w:r>
          </w:p>
        </w:tc>
      </w:tr>
    </w:tbl>
    <w:p>
      <w:pPr>
        <w:spacing w:line="240" w:lineRule="auto" w:before="11"/>
        <w:rPr>
          <w:rFonts w:ascii="宋体" w:hAnsi="宋体" w:cs="宋体" w:eastAsia="宋体" w:hint="default"/>
          <w:sz w:val="25"/>
          <w:szCs w:val="25"/>
        </w:rPr>
      </w:pPr>
    </w:p>
    <w:p>
      <w:pPr>
        <w:spacing w:line="357" w:lineRule="auto" w:before="36"/>
        <w:ind w:left="605" w:right="0" w:hanging="48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 主要产品、原材料等价格变动情况</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4"/>
          <w:sz w:val="21"/>
          <w:szCs w:val="21"/>
        </w:rPr>
        <w:t>报告期内公司主要产品的平均销售价格与往年基本持平，原纸、油墨等主要原材料的总体价格</w:t>
      </w:r>
    </w:p>
    <w:p>
      <w:pPr>
        <w:spacing w:before="32"/>
        <w:ind w:left="122" w:right="0" w:firstLine="0"/>
        <w:jc w:val="left"/>
        <w:rPr>
          <w:rFonts w:ascii="宋体" w:hAnsi="宋体" w:cs="宋体" w:eastAsia="宋体" w:hint="default"/>
          <w:sz w:val="21"/>
          <w:szCs w:val="21"/>
        </w:rPr>
      </w:pPr>
      <w:r>
        <w:rPr>
          <w:rFonts w:ascii="宋体" w:hAnsi="宋体" w:cs="宋体" w:eastAsia="宋体" w:hint="default"/>
          <w:sz w:val="21"/>
          <w:szCs w:val="21"/>
        </w:rPr>
        <w:t>水平较</w:t>
      </w:r>
      <w:r>
        <w:rPr>
          <w:rFonts w:ascii="宋体" w:hAnsi="宋体" w:cs="宋体" w:eastAsia="宋体" w:hint="default"/>
          <w:sz w:val="21"/>
          <w:szCs w:val="21"/>
        </w:rPr>
        <w:t>2010</w:t>
      </w:r>
      <w:r>
        <w:rPr>
          <w:rFonts w:ascii="宋体" w:hAnsi="宋体" w:cs="宋体" w:eastAsia="宋体" w:hint="default"/>
          <w:sz w:val="21"/>
          <w:szCs w:val="21"/>
        </w:rPr>
        <w:t>年基本持平，预计在</w:t>
      </w:r>
      <w:r>
        <w:rPr>
          <w:rFonts w:ascii="宋体" w:hAnsi="宋体" w:cs="宋体" w:eastAsia="宋体" w:hint="default"/>
          <w:sz w:val="21"/>
          <w:szCs w:val="21"/>
        </w:rPr>
        <w:t>2012</w:t>
      </w:r>
      <w:r>
        <w:rPr>
          <w:rFonts w:ascii="宋体" w:hAnsi="宋体" w:cs="宋体" w:eastAsia="宋体" w:hint="default"/>
          <w:sz w:val="21"/>
          <w:szCs w:val="21"/>
        </w:rPr>
        <w:t>年原材料价格将会在</w:t>
      </w:r>
      <w:r>
        <w:rPr>
          <w:rFonts w:ascii="宋体" w:hAnsi="宋体" w:cs="宋体" w:eastAsia="宋体" w:hint="default"/>
          <w:sz w:val="21"/>
          <w:szCs w:val="21"/>
        </w:rPr>
        <w:t>2011</w:t>
      </w:r>
      <w:r>
        <w:rPr>
          <w:rFonts w:ascii="宋体" w:hAnsi="宋体" w:cs="宋体" w:eastAsia="宋体" w:hint="default"/>
          <w:sz w:val="21"/>
          <w:szCs w:val="21"/>
        </w:rPr>
        <w:t>年的基础上有所上升。</w:t>
      </w:r>
    </w:p>
    <w:p>
      <w:pPr>
        <w:spacing w:line="355" w:lineRule="auto" w:before="133"/>
        <w:ind w:left="605" w:right="0" w:hanging="48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订单签署和执行情况</w:t>
      </w:r>
      <w:r>
        <w:rPr>
          <w:rFonts w:ascii="宋体" w:hAnsi="宋体" w:cs="宋体" w:eastAsia="宋体" w:hint="default"/>
          <w:w w:val="100"/>
          <w:sz w:val="21"/>
          <w:szCs w:val="21"/>
        </w:rPr>
        <w:t> </w:t>
      </w:r>
      <w:r>
        <w:rPr>
          <w:rFonts w:ascii="宋体" w:hAnsi="宋体" w:cs="宋体" w:eastAsia="宋体" w:hint="default"/>
          <w:spacing w:val="-4"/>
          <w:sz w:val="21"/>
          <w:szCs w:val="21"/>
        </w:rPr>
        <w:t>公司的经营模式为以销定产，一般情况下与主要客户签署框架协议，主要明确产品类别、服务</w:t>
      </w:r>
    </w:p>
    <w:p>
      <w:pPr>
        <w:spacing w:line="357" w:lineRule="auto" w:before="32"/>
        <w:ind w:left="122" w:right="1277" w:firstLine="0"/>
        <w:jc w:val="both"/>
        <w:rPr>
          <w:rFonts w:ascii="宋体" w:hAnsi="宋体" w:cs="宋体" w:eastAsia="宋体" w:hint="default"/>
          <w:sz w:val="21"/>
          <w:szCs w:val="21"/>
        </w:rPr>
      </w:pPr>
      <w:r>
        <w:rPr>
          <w:rFonts w:ascii="宋体" w:hAnsi="宋体" w:cs="宋体" w:eastAsia="宋体" w:hint="default"/>
          <w:spacing w:val="-3"/>
          <w:sz w:val="21"/>
          <w:szCs w:val="21"/>
        </w:rPr>
        <w:t>事项、收款约定等内容，具体操作视实际下单情况而定。通常情况下，公司订单流程大致为：公司</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设计供样或客户来样→客户确认下单→生产→入库→发货。公司产品参照市场同类产品的售价对客</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户报价。公司在新产品开发、产品品质、交货周期、服务等方面具有综合优势。报告期内，公司产</w:t>
      </w:r>
    </w:p>
    <w:p>
      <w:pPr>
        <w:spacing w:after="0" w:line="357"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sz w:val="21"/>
          <w:szCs w:val="21"/>
        </w:rPr>
        <w:t>品订单执行情况良好，订单总体数量较</w:t>
      </w:r>
      <w:r>
        <w:rPr>
          <w:rFonts w:ascii="Times New Roman" w:hAnsi="Times New Roman" w:cs="Times New Roman" w:eastAsia="Times New Roman" w:hint="default"/>
          <w:sz w:val="21"/>
          <w:szCs w:val="21"/>
        </w:rPr>
        <w:t>2010</w:t>
      </w:r>
      <w:r>
        <w:rPr>
          <w:rFonts w:ascii="宋体" w:hAnsi="宋体" w:cs="宋体" w:eastAsia="宋体" w:hint="default"/>
          <w:sz w:val="21"/>
          <w:szCs w:val="21"/>
        </w:rPr>
        <w:t>年有所增长。</w:t>
      </w:r>
    </w:p>
    <w:p>
      <w:pPr>
        <w:spacing w:before="117"/>
        <w:ind w:left="5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）主营业务产品销售毛利率变化情况</w:t>
      </w:r>
    </w:p>
    <w:p>
      <w:pPr>
        <w:spacing w:line="240" w:lineRule="auto" w:before="11"/>
        <w:rPr>
          <w:rFonts w:ascii="宋体" w:hAnsi="宋体" w:cs="宋体" w:eastAsia="宋体" w:hint="default"/>
          <w:sz w:val="12"/>
          <w:szCs w:val="12"/>
        </w:rPr>
      </w:pPr>
    </w:p>
    <w:tbl>
      <w:tblPr>
        <w:tblW w:w="0" w:type="auto"/>
        <w:jc w:val="left"/>
        <w:tblInd w:w="612" w:type="dxa"/>
        <w:tblLayout w:type="fixed"/>
        <w:tblCellMar>
          <w:top w:w="0" w:type="dxa"/>
          <w:left w:w="0" w:type="dxa"/>
          <w:bottom w:w="0" w:type="dxa"/>
          <w:right w:w="0" w:type="dxa"/>
        </w:tblCellMar>
        <w:tblLook w:val="01E0"/>
      </w:tblPr>
      <w:tblGrid>
        <w:gridCol w:w="1421"/>
        <w:gridCol w:w="1421"/>
        <w:gridCol w:w="1424"/>
        <w:gridCol w:w="1421"/>
        <w:gridCol w:w="2324"/>
      </w:tblGrid>
      <w:tr>
        <w:trPr>
          <w:trHeight w:val="448" w:hRule="exact"/>
        </w:trPr>
        <w:tc>
          <w:tcPr>
            <w:tcW w:w="1421" w:type="dxa"/>
            <w:tcBorders>
              <w:top w:val="single" w:sz="4" w:space="0" w:color="000000"/>
              <w:left w:val="single" w:sz="4" w:space="0" w:color="000000"/>
              <w:bottom w:val="single" w:sz="4" w:space="0" w:color="000000"/>
              <w:right w:val="single" w:sz="4" w:space="0" w:color="000000"/>
            </w:tcBorders>
            <w:shd w:val="clear" w:color="auto" w:fill="DDD9C3"/>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71"/>
              <w:ind w:left="41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24"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71"/>
              <w:ind w:left="41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本年比上年增减幅度</w:t>
            </w:r>
          </w:p>
        </w:tc>
      </w:tr>
      <w:tr>
        <w:trPr>
          <w:trHeight w:val="360" w:hRule="exact"/>
        </w:trPr>
        <w:tc>
          <w:tcPr>
            <w:tcW w:w="1421"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3" w:lineRule="exact"/>
              <w:ind w:left="254" w:right="0"/>
              <w:jc w:val="left"/>
              <w:rPr>
                <w:rFonts w:ascii="宋体" w:hAnsi="宋体" w:cs="宋体" w:eastAsia="宋体" w:hint="default"/>
                <w:sz w:val="18"/>
                <w:szCs w:val="18"/>
              </w:rPr>
            </w:pPr>
            <w:r>
              <w:rPr>
                <w:rFonts w:ascii="宋体" w:hAnsi="宋体" w:cs="宋体" w:eastAsia="宋体" w:hint="default"/>
                <w:sz w:val="18"/>
                <w:szCs w:val="18"/>
              </w:rPr>
              <w:t>销售毛利率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5" w:right="0"/>
              <w:jc w:val="left"/>
              <w:rPr>
                <w:rFonts w:ascii="宋体" w:hAnsi="宋体" w:cs="宋体" w:eastAsia="宋体" w:hint="default"/>
                <w:sz w:val="18"/>
                <w:szCs w:val="18"/>
              </w:rPr>
            </w:pPr>
            <w:r>
              <w:rPr>
                <w:rFonts w:ascii="宋体"/>
                <w:sz w:val="18"/>
              </w:rPr>
              <w:t>35.10%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36.38</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2" w:right="0"/>
              <w:jc w:val="left"/>
              <w:rPr>
                <w:rFonts w:ascii="宋体" w:hAnsi="宋体" w:cs="宋体" w:eastAsia="宋体" w:hint="default"/>
                <w:sz w:val="18"/>
                <w:szCs w:val="18"/>
              </w:rPr>
            </w:pPr>
            <w:r>
              <w:rPr>
                <w:rFonts w:ascii="宋体"/>
                <w:sz w:val="18"/>
              </w:rPr>
              <w:t>37.28%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-1.28%</w:t>
            </w:r>
          </w:p>
        </w:tc>
      </w:tr>
    </w:tbl>
    <w:p>
      <w:pPr>
        <w:spacing w:line="241" w:lineRule="exact" w:before="0"/>
        <w:ind w:left="60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）主营业务按行业、产品和地区分布情况</w:t>
      </w:r>
    </w:p>
    <w:p>
      <w:pPr>
        <w:spacing w:line="240" w:lineRule="auto" w:before="7"/>
        <w:rPr>
          <w:rFonts w:ascii="宋体" w:hAnsi="宋体" w:cs="宋体" w:eastAsia="宋体" w:hint="default"/>
          <w:sz w:val="21"/>
          <w:szCs w:val="21"/>
        </w:rPr>
      </w:pPr>
    </w:p>
    <w:p>
      <w:pPr>
        <w:spacing w:before="0"/>
        <w:ind w:left="122" w:right="0" w:firstLine="0"/>
        <w:jc w:val="left"/>
        <w:rPr>
          <w:rFonts w:ascii="宋体" w:hAnsi="宋体" w:cs="宋体" w:eastAsia="宋体" w:hint="default"/>
          <w:sz w:val="21"/>
          <w:szCs w:val="21"/>
        </w:rPr>
      </w:pPr>
      <w:r>
        <w:rPr>
          <w:rFonts w:ascii="宋体" w:hAnsi="宋体" w:cs="宋体" w:eastAsia="宋体" w:hint="default"/>
          <w:sz w:val="21"/>
          <w:szCs w:val="21"/>
        </w:rPr>
        <w:t>①分行业和分产品经营情况（单位：万元）</w:t>
      </w:r>
    </w:p>
    <w:p>
      <w:pPr>
        <w:spacing w:line="240" w:lineRule="auto" w:before="10"/>
        <w:rPr>
          <w:rFonts w:ascii="宋体" w:hAnsi="宋体" w:cs="宋体" w:eastAsia="宋体" w:hint="default"/>
          <w:sz w:val="23"/>
          <w:szCs w:val="23"/>
        </w:rPr>
      </w:pPr>
    </w:p>
    <w:tbl>
      <w:tblPr>
        <w:tblW w:w="0" w:type="auto"/>
        <w:jc w:val="left"/>
        <w:tblInd w:w="314" w:type="dxa"/>
        <w:tblLayout w:type="fixed"/>
        <w:tblCellMar>
          <w:top w:w="0" w:type="dxa"/>
          <w:left w:w="0" w:type="dxa"/>
          <w:bottom w:w="0" w:type="dxa"/>
          <w:right w:w="0" w:type="dxa"/>
        </w:tblCellMar>
        <w:tblLook w:val="01E0"/>
      </w:tblPr>
      <w:tblGrid>
        <w:gridCol w:w="1238"/>
        <w:gridCol w:w="1073"/>
        <w:gridCol w:w="1015"/>
        <w:gridCol w:w="1299"/>
        <w:gridCol w:w="1301"/>
        <w:gridCol w:w="1301"/>
        <w:gridCol w:w="1378"/>
      </w:tblGrid>
      <w:tr>
        <w:trPr>
          <w:trHeight w:val="242" w:hRule="exact"/>
        </w:trPr>
        <w:tc>
          <w:tcPr>
            <w:tcW w:w="86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8" w:hRule="exact"/>
        </w:trPr>
        <w:tc>
          <w:tcPr>
            <w:tcW w:w="1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17"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0" w:right="0" w:hanging="15"/>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8" w:lineRule="exact"/>
              <w:ind w:left="120"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7" w:right="0" w:hanging="15"/>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8" w:lineRule="exact"/>
              <w:ind w:left="117"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毛利率比上年增</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2"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票证印刷业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76,641.97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49,742.94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35.10%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10.84%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13.07%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-1.28%</w:t>
            </w:r>
          </w:p>
        </w:tc>
      </w:tr>
      <w:tr>
        <w:trPr>
          <w:trHeight w:val="245" w:hRule="exact"/>
        </w:trPr>
        <w:tc>
          <w:tcPr>
            <w:tcW w:w="86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475" w:hRule="exact"/>
        </w:trPr>
        <w:tc>
          <w:tcPr>
            <w:tcW w:w="1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0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4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24"/>
              <w:jc w:val="right"/>
              <w:rPr>
                <w:rFonts w:ascii="宋体" w:hAnsi="宋体" w:cs="宋体" w:eastAsia="宋体" w:hint="default"/>
                <w:sz w:val="18"/>
                <w:szCs w:val="18"/>
              </w:rPr>
            </w:pPr>
            <w:r>
              <w:rPr>
                <w:rFonts w:ascii="宋体" w:hAnsi="宋体" w:cs="宋体" w:eastAsia="宋体" w:hint="default"/>
                <w:spacing w:val="-1"/>
                <w:sz w:val="18"/>
                <w:szCs w:val="18"/>
              </w:rPr>
              <w:t>毛利率（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0" w:right="0" w:hanging="15"/>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8" w:lineRule="exact"/>
              <w:ind w:left="120"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17" w:right="0" w:hanging="15"/>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8" w:lineRule="exact"/>
              <w:ind w:left="117"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毛利率比上年增</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商业票证产品</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63,473.79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39,490.97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37.78%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2.23%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z w:val="18"/>
              </w:rPr>
              <w:t>1.08%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0.71%</w:t>
            </w:r>
          </w:p>
        </w:tc>
      </w:tr>
      <w:tr>
        <w:trPr>
          <w:trHeight w:val="242"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标签</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w w:val="95"/>
                <w:sz w:val="18"/>
              </w:rPr>
              <w:t>4,054.81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w w:val="95"/>
                <w:sz w:val="18"/>
              </w:rPr>
              <w:t>3,180.28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21.57%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33.22%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56.27%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-11.57%</w:t>
            </w:r>
          </w:p>
        </w:tc>
      </w:tr>
      <w:tr>
        <w:trPr>
          <w:trHeight w:val="24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数据产品</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w w:val="95"/>
                <w:sz w:val="18"/>
              </w:rPr>
              <w:t>4,526.96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w w:val="95"/>
                <w:sz w:val="18"/>
              </w:rPr>
              <w:t>3,086.55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31.82%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33.24%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31.78%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0.76%</w:t>
            </w:r>
          </w:p>
        </w:tc>
      </w:tr>
      <w:tr>
        <w:trPr>
          <w:trHeight w:val="242"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彩印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w w:val="95"/>
                <w:sz w:val="18"/>
              </w:rPr>
              <w:t>4,064.39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w w:val="95"/>
                <w:sz w:val="18"/>
              </w:rPr>
              <w:t>3,167.88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22.06%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559.22%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480.39%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10.59%</w:t>
            </w:r>
          </w:p>
        </w:tc>
      </w:tr>
      <w:tr>
        <w:trPr>
          <w:trHeight w:val="24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卡类产品</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522.01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817.26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-56.56%</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5"/>
          <w:szCs w:val="5"/>
        </w:rPr>
      </w:pPr>
    </w:p>
    <w:p>
      <w:pPr>
        <w:spacing w:before="36"/>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②分</w:t>
      </w:r>
      <w:r>
        <w:rPr>
          <w:rFonts w:ascii="宋体" w:hAnsi="宋体" w:cs="宋体" w:eastAsia="宋体" w:hint="default"/>
          <w:spacing w:val="-3"/>
          <w:w w:val="100"/>
          <w:sz w:val="21"/>
          <w:szCs w:val="21"/>
        </w:rPr>
        <w:t>地</w:t>
      </w:r>
      <w:r>
        <w:rPr>
          <w:rFonts w:ascii="宋体" w:hAnsi="宋体" w:cs="宋体" w:eastAsia="宋体" w:hint="default"/>
          <w:w w:val="100"/>
          <w:sz w:val="21"/>
          <w:szCs w:val="21"/>
        </w:rPr>
        <w:t>区</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单位</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10"/>
        <w:rPr>
          <w:rFonts w:ascii="宋体" w:hAnsi="宋体" w:cs="宋体" w:eastAsia="宋体" w:hint="default"/>
          <w:sz w:val="12"/>
          <w:szCs w:val="12"/>
        </w:rPr>
      </w:pPr>
    </w:p>
    <w:tbl>
      <w:tblPr>
        <w:tblW w:w="0" w:type="auto"/>
        <w:jc w:val="left"/>
        <w:tblInd w:w="305" w:type="dxa"/>
        <w:tblLayout w:type="fixed"/>
        <w:tblCellMar>
          <w:top w:w="0" w:type="dxa"/>
          <w:left w:w="0" w:type="dxa"/>
          <w:bottom w:w="0" w:type="dxa"/>
          <w:right w:w="0" w:type="dxa"/>
        </w:tblCellMar>
        <w:tblLook w:val="01E0"/>
      </w:tblPr>
      <w:tblGrid>
        <w:gridCol w:w="3121"/>
        <w:gridCol w:w="2693"/>
        <w:gridCol w:w="2809"/>
      </w:tblGrid>
      <w:tr>
        <w:trPr>
          <w:trHeight w:val="245" w:hRule="exact"/>
        </w:trPr>
        <w:tc>
          <w:tcPr>
            <w:tcW w:w="3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56,170.90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pacing w:val="-1"/>
                <w:sz w:val="18"/>
              </w:rPr>
              <w:t>11.34%</w:t>
            </w:r>
          </w:p>
        </w:tc>
      </w:tr>
      <w:tr>
        <w:trPr>
          <w:trHeight w:val="24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20,471.07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9.49%</w:t>
            </w:r>
          </w:p>
        </w:tc>
      </w:tr>
    </w:tbl>
    <w:p>
      <w:pPr>
        <w:spacing w:line="241" w:lineRule="exact" w:before="0"/>
        <w:ind w:left="334"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③</w:t>
      </w:r>
      <w:r>
        <w:rPr>
          <w:rFonts w:ascii="宋体" w:hAnsi="宋体" w:cs="宋体" w:eastAsia="宋体" w:hint="default"/>
          <w:w w:val="100"/>
          <w:sz w:val="21"/>
          <w:szCs w:val="21"/>
        </w:rPr>
        <w:t>占</w:t>
      </w:r>
      <w:r>
        <w:rPr>
          <w:rFonts w:ascii="宋体" w:hAnsi="宋体" w:cs="宋体" w:eastAsia="宋体" w:hint="default"/>
          <w:spacing w:val="-3"/>
          <w:w w:val="100"/>
          <w:sz w:val="21"/>
          <w:szCs w:val="21"/>
        </w:rPr>
        <w:t>主</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3"/>
          <w:w w:val="100"/>
          <w:sz w:val="21"/>
          <w:szCs w:val="21"/>
        </w:rPr>
        <w:t>或</w:t>
      </w:r>
      <w:r>
        <w:rPr>
          <w:rFonts w:ascii="宋体" w:hAnsi="宋体" w:cs="宋体" w:eastAsia="宋体" w:hint="default"/>
          <w:w w:val="100"/>
          <w:sz w:val="21"/>
          <w:szCs w:val="21"/>
        </w:rPr>
        <w:t>主</w:t>
      </w:r>
      <w:r>
        <w:rPr>
          <w:rFonts w:ascii="宋体" w:hAnsi="宋体" w:cs="宋体" w:eastAsia="宋体" w:hint="default"/>
          <w:spacing w:val="-3"/>
          <w:w w:val="100"/>
          <w:sz w:val="21"/>
          <w:szCs w:val="21"/>
        </w:rPr>
        <w:t>营</w:t>
      </w:r>
      <w:r>
        <w:rPr>
          <w:rFonts w:ascii="宋体" w:hAnsi="宋体" w:cs="宋体" w:eastAsia="宋体" w:hint="default"/>
          <w:w w:val="100"/>
          <w:sz w:val="21"/>
          <w:szCs w:val="21"/>
        </w:rPr>
        <w:t>业务</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上</w:t>
      </w:r>
      <w:r>
        <w:rPr>
          <w:rFonts w:ascii="宋体" w:hAnsi="宋体" w:cs="宋体" w:eastAsia="宋体" w:hint="default"/>
          <w:spacing w:val="-3"/>
          <w:w w:val="100"/>
          <w:sz w:val="21"/>
          <w:szCs w:val="21"/>
        </w:rPr>
        <w:t>的</w:t>
      </w:r>
      <w:r>
        <w:rPr>
          <w:rFonts w:ascii="宋体" w:hAnsi="宋体" w:cs="宋体" w:eastAsia="宋体" w:hint="default"/>
          <w:w w:val="100"/>
          <w:sz w:val="21"/>
          <w:szCs w:val="21"/>
        </w:rPr>
        <w:t>产</w:t>
      </w:r>
      <w:r>
        <w:rPr>
          <w:rFonts w:ascii="宋体" w:hAnsi="宋体" w:cs="宋体" w:eastAsia="宋体" w:hint="default"/>
          <w:spacing w:val="-3"/>
          <w:w w:val="100"/>
          <w:sz w:val="21"/>
          <w:szCs w:val="21"/>
        </w:rPr>
        <w:t>品</w:t>
      </w:r>
      <w:r>
        <w:rPr>
          <w:rFonts w:ascii="宋体" w:hAnsi="宋体" w:cs="宋体" w:eastAsia="宋体" w:hint="default"/>
          <w:w w:val="100"/>
          <w:sz w:val="21"/>
          <w:szCs w:val="21"/>
        </w:rPr>
        <w:t>经营</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10"/>
        <w:rPr>
          <w:rFonts w:ascii="宋体" w:hAnsi="宋体" w:cs="宋体" w:eastAsia="宋体" w:hint="default"/>
          <w:sz w:val="12"/>
          <w:szCs w:val="12"/>
        </w:rPr>
      </w:pPr>
    </w:p>
    <w:tbl>
      <w:tblPr>
        <w:tblW w:w="0" w:type="auto"/>
        <w:jc w:val="left"/>
        <w:tblInd w:w="355" w:type="dxa"/>
        <w:tblLayout w:type="fixed"/>
        <w:tblCellMar>
          <w:top w:w="0" w:type="dxa"/>
          <w:left w:w="0" w:type="dxa"/>
          <w:bottom w:w="0" w:type="dxa"/>
          <w:right w:w="0" w:type="dxa"/>
        </w:tblCellMar>
        <w:tblLook w:val="01E0"/>
      </w:tblPr>
      <w:tblGrid>
        <w:gridCol w:w="2129"/>
        <w:gridCol w:w="2131"/>
        <w:gridCol w:w="2132"/>
        <w:gridCol w:w="2132"/>
      </w:tblGrid>
      <w:tr>
        <w:trPr>
          <w:trHeight w:val="243" w:hRule="exact"/>
        </w:trPr>
        <w:tc>
          <w:tcPr>
            <w:tcW w:w="21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69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51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5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562"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商业票证产品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95" w:right="0"/>
              <w:jc w:val="left"/>
              <w:rPr>
                <w:rFonts w:ascii="Times New Roman" w:hAnsi="Times New Roman" w:cs="Times New Roman" w:eastAsia="Times New Roman" w:hint="default"/>
                <w:sz w:val="18"/>
                <w:szCs w:val="18"/>
              </w:rPr>
            </w:pPr>
            <w:r>
              <w:rPr>
                <w:rFonts w:ascii="Times New Roman"/>
                <w:sz w:val="18"/>
              </w:rPr>
              <w:t>63,473.79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98" w:right="0"/>
              <w:jc w:val="left"/>
              <w:rPr>
                <w:rFonts w:ascii="Times New Roman" w:hAnsi="Times New Roman" w:cs="Times New Roman" w:eastAsia="Times New Roman" w:hint="default"/>
                <w:sz w:val="18"/>
                <w:szCs w:val="18"/>
              </w:rPr>
            </w:pPr>
            <w:r>
              <w:rPr>
                <w:rFonts w:ascii="Times New Roman"/>
                <w:sz w:val="18"/>
              </w:rPr>
              <w:t>39,490.97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37.78%</w:t>
            </w:r>
          </w:p>
        </w:tc>
      </w:tr>
    </w:tbl>
    <w:p>
      <w:pPr>
        <w:spacing w:line="241" w:lineRule="exact" w:before="0"/>
        <w:ind w:left="334"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6"/>
          <w:sz w:val="21"/>
          <w:szCs w:val="21"/>
        </w:rPr>
        <w:t> </w:t>
      </w:r>
      <w:r>
        <w:rPr>
          <w:rFonts w:ascii="宋体" w:hAnsi="宋体" w:cs="宋体" w:eastAsia="宋体" w:hint="default"/>
          <w:sz w:val="21"/>
          <w:szCs w:val="21"/>
        </w:rPr>
        <w:t>报告期内，公司主营业务及其结构、主营业务盈利能力未发生重大变化。</w:t>
      </w:r>
    </w:p>
    <w:p>
      <w:pPr>
        <w:spacing w:before="133"/>
        <w:ind w:left="334" w:right="0"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6"/>
          <w:sz w:val="21"/>
          <w:szCs w:val="21"/>
        </w:rPr>
        <w:t> </w:t>
      </w:r>
      <w:r>
        <w:rPr>
          <w:rFonts w:ascii="宋体" w:hAnsi="宋体" w:cs="宋体" w:eastAsia="宋体" w:hint="default"/>
          <w:sz w:val="21"/>
          <w:szCs w:val="21"/>
        </w:rPr>
        <w:t>报告期内，公司主营业务市场、主营业务成本构成未发生显著变化</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22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）主要供应商及客户情况</w:t>
      </w:r>
    </w:p>
    <w:p>
      <w:pPr>
        <w:spacing w:line="240" w:lineRule="auto" w:before="10"/>
        <w:rPr>
          <w:rFonts w:ascii="宋体" w:hAnsi="宋体" w:cs="宋体" w:eastAsia="宋体" w:hint="default"/>
          <w:sz w:val="12"/>
          <w:szCs w:val="12"/>
        </w:rPr>
      </w:pPr>
    </w:p>
    <w:tbl>
      <w:tblPr>
        <w:tblW w:w="0" w:type="auto"/>
        <w:jc w:val="left"/>
        <w:tblInd w:w="389" w:type="dxa"/>
        <w:tblLayout w:type="fixed"/>
        <w:tblCellMar>
          <w:top w:w="0" w:type="dxa"/>
          <w:left w:w="0" w:type="dxa"/>
          <w:bottom w:w="0" w:type="dxa"/>
          <w:right w:w="0" w:type="dxa"/>
        </w:tblCellMar>
        <w:tblLook w:val="01E0"/>
      </w:tblPr>
      <w:tblGrid>
        <w:gridCol w:w="3553"/>
        <w:gridCol w:w="1224"/>
        <w:gridCol w:w="1226"/>
        <w:gridCol w:w="1227"/>
        <w:gridCol w:w="1226"/>
      </w:tblGrid>
      <w:tr>
        <w:trPr>
          <w:trHeight w:val="355"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91" w:right="0"/>
              <w:jc w:val="center"/>
              <w:rPr>
                <w:rFonts w:ascii="宋体" w:hAnsi="宋体" w:cs="宋体" w:eastAsia="宋体" w:hint="default"/>
                <w:sz w:val="18"/>
                <w:szCs w:val="18"/>
              </w:rPr>
            </w:pPr>
            <w:r>
              <w:rPr>
                <w:rFonts w:ascii="宋体" w:hAnsi="宋体" w:cs="宋体" w:eastAsia="宋体" w:hint="default"/>
                <w:spacing w:val="-10"/>
                <w:sz w:val="18"/>
                <w:szCs w:val="18"/>
              </w:rPr>
              <w:t>同比增减（</w:t>
            </w:r>
            <w:r>
              <w:rPr>
                <w:rFonts w:ascii="宋体" w:hAnsi="宋体" w:cs="宋体" w:eastAsia="宋体" w:hint="default"/>
                <w:spacing w:val="-10"/>
                <w:sz w:val="18"/>
                <w:szCs w:val="18"/>
              </w:rPr>
              <w:t>%</w:t>
            </w:r>
            <w:r>
              <w:rPr>
                <w:rFonts w:ascii="宋体" w:hAnsi="宋体" w:cs="宋体" w:eastAsia="宋体" w:hint="default"/>
                <w:spacing w:val="-10"/>
                <w:sz w:val="18"/>
                <w:szCs w:val="18"/>
              </w:rPr>
              <w:t>）</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82"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前五名供应商合计采购金额占年度采购总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金额的比重（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46.99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40.80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6.19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32.21</w:t>
            </w:r>
          </w:p>
        </w:tc>
      </w:tr>
      <w:tr>
        <w:trPr>
          <w:trHeight w:val="360"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前五名供应商预付帐款余额（万元）</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434.44</w:t>
            </w:r>
          </w:p>
        </w:tc>
      </w:tr>
      <w:tr>
        <w:trPr>
          <w:trHeight w:val="483"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前五名供应商预付帐款余额占预付帐款总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余额的比重（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20.64</w:t>
            </w:r>
          </w:p>
        </w:tc>
      </w:tr>
      <w:tr>
        <w:trPr>
          <w:trHeight w:val="354"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8"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8" w:lineRule="exact"/>
              <w:ind w:left="91" w:right="0"/>
              <w:jc w:val="center"/>
              <w:rPr>
                <w:rFonts w:ascii="宋体" w:hAnsi="宋体" w:cs="宋体" w:eastAsia="宋体" w:hint="default"/>
                <w:sz w:val="18"/>
                <w:szCs w:val="18"/>
              </w:rPr>
            </w:pPr>
            <w:r>
              <w:rPr>
                <w:rFonts w:ascii="宋体" w:hAnsi="宋体" w:cs="宋体" w:eastAsia="宋体" w:hint="default"/>
                <w:spacing w:val="-10"/>
                <w:sz w:val="18"/>
                <w:szCs w:val="18"/>
              </w:rPr>
              <w:t>同比增减（</w:t>
            </w:r>
            <w:r>
              <w:rPr>
                <w:rFonts w:ascii="宋体" w:hAnsi="宋体" w:cs="宋体" w:eastAsia="宋体" w:hint="default"/>
                <w:spacing w:val="-10"/>
                <w:sz w:val="18"/>
                <w:szCs w:val="18"/>
              </w:rPr>
              <w:t>%</w:t>
            </w:r>
            <w:r>
              <w:rPr>
                <w:rFonts w:ascii="宋体" w:hAnsi="宋体" w:cs="宋体" w:eastAsia="宋体" w:hint="default"/>
                <w:spacing w:val="-10"/>
                <w:sz w:val="18"/>
                <w:szCs w:val="18"/>
              </w:rPr>
              <w:t>）</w:t>
            </w:r>
          </w:p>
        </w:tc>
        <w:tc>
          <w:tcPr>
            <w:tcW w:w="1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8"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76"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前五名客户销售额合计占公司销售总额的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18"/>
                <w:szCs w:val="18"/>
              </w:rPr>
            </w:pPr>
            <w:r>
              <w:rPr>
                <w:rFonts w:ascii="宋体"/>
                <w:sz w:val="18"/>
              </w:rPr>
              <w:t>11.44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13.47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-2.03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19.38</w:t>
            </w:r>
          </w:p>
        </w:tc>
      </w:tr>
      <w:tr>
        <w:trPr>
          <w:trHeight w:val="360"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前五名客户应收帐款余额（万元）</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406.67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1,393.41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-70.81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23.93</w:t>
            </w:r>
          </w:p>
        </w:tc>
      </w:tr>
      <w:tr>
        <w:trPr>
          <w:trHeight w:val="478" w:hRule="exact"/>
        </w:trPr>
        <w:tc>
          <w:tcPr>
            <w:tcW w:w="3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前五名客户应收帐款余额占公司应收帐款</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总额的比重（</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3.74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21.96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-18.22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1.21</w:t>
            </w:r>
          </w:p>
        </w:tc>
      </w:tr>
    </w:tbl>
    <w:p>
      <w:pPr>
        <w:spacing w:line="241" w:lineRule="exact" w:before="0"/>
        <w:ind w:left="122" w:right="0" w:firstLine="419"/>
        <w:jc w:val="left"/>
        <w:rPr>
          <w:rFonts w:ascii="宋体" w:hAnsi="宋体" w:cs="宋体" w:eastAsia="宋体" w:hint="default"/>
          <w:sz w:val="21"/>
          <w:szCs w:val="21"/>
        </w:rPr>
      </w:pPr>
      <w:r>
        <w:rPr>
          <w:rFonts w:ascii="宋体" w:hAnsi="宋体" w:cs="宋体" w:eastAsia="宋体" w:hint="default"/>
          <w:spacing w:val="-3"/>
          <w:sz w:val="21"/>
          <w:szCs w:val="21"/>
        </w:rPr>
        <w:t>公司前五名供应商及客户与我公司不存在关联关系，公司董事、监事、高级管理人员、核心技</w:t>
      </w:r>
    </w:p>
    <w:p>
      <w:pPr>
        <w:spacing w:line="355" w:lineRule="auto" w:before="133"/>
        <w:ind w:left="122" w:right="1274" w:firstLine="0"/>
        <w:jc w:val="left"/>
        <w:rPr>
          <w:rFonts w:ascii="宋体" w:hAnsi="宋体" w:cs="宋体" w:eastAsia="宋体" w:hint="default"/>
          <w:sz w:val="21"/>
          <w:szCs w:val="21"/>
        </w:rPr>
      </w:pPr>
      <w:r>
        <w:rPr>
          <w:rFonts w:ascii="宋体" w:hAnsi="宋体" w:cs="宋体" w:eastAsia="宋体" w:hint="default"/>
          <w:spacing w:val="-9"/>
          <w:sz w:val="21"/>
          <w:szCs w:val="21"/>
        </w:rPr>
        <w:t>术人员、持股 </w:t>
      </w:r>
      <w:r>
        <w:rPr>
          <w:rFonts w:ascii="宋体" w:hAnsi="宋体" w:cs="宋体" w:eastAsia="宋体" w:hint="default"/>
          <w:spacing w:val="-3"/>
          <w:sz w:val="21"/>
          <w:szCs w:val="21"/>
        </w:rPr>
        <w:t>5%</w:t>
      </w:r>
      <w:r>
        <w:rPr>
          <w:rFonts w:ascii="宋体" w:hAnsi="宋体" w:cs="宋体" w:eastAsia="宋体" w:hint="default"/>
          <w:spacing w:val="-3"/>
          <w:sz w:val="21"/>
          <w:szCs w:val="21"/>
        </w:rPr>
        <w:t>以上股东、实际控制人和其他关联方在前五名供应商和客户中无直接或间接拥有权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w:t>
      </w:r>
    </w:p>
    <w:p>
      <w:pPr>
        <w:spacing w:after="0" w:line="355" w:lineRule="auto"/>
        <w:jc w:val="left"/>
        <w:rPr>
          <w:rFonts w:ascii="宋体" w:hAnsi="宋体" w:cs="宋体" w:eastAsia="宋体" w:hint="default"/>
          <w:sz w:val="21"/>
          <w:szCs w:val="21"/>
        </w:rPr>
        <w:sectPr>
          <w:footerReference w:type="default" r:id="rId20"/>
          <w:pgSz w:w="11910" w:h="16840"/>
          <w:pgMar w:footer="1153" w:header="737" w:top="1060" w:bottom="1340" w:left="1500" w:right="0"/>
          <w:pgNumType w:start="25"/>
        </w:sectPr>
      </w:pPr>
    </w:p>
    <w:p>
      <w:pPr>
        <w:spacing w:line="240" w:lineRule="auto" w:before="2"/>
        <w:rPr>
          <w:rFonts w:ascii="宋体" w:hAnsi="宋体" w:cs="宋体" w:eastAsia="宋体" w:hint="default"/>
          <w:sz w:val="23"/>
          <w:szCs w:val="23"/>
        </w:rPr>
      </w:pPr>
    </w:p>
    <w:p>
      <w:pPr>
        <w:spacing w:before="36"/>
        <w:ind w:left="642" w:right="12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）公司主要费用情况（单位：元）</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003"/>
        <w:gridCol w:w="1537"/>
        <w:gridCol w:w="1644"/>
        <w:gridCol w:w="1644"/>
        <w:gridCol w:w="1397"/>
        <w:gridCol w:w="1304"/>
      </w:tblGrid>
      <w:tr>
        <w:trPr>
          <w:trHeight w:val="478"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5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5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减幅度</w:t>
            </w:r>
            <w:r>
              <w:rPr>
                <w:rFonts w:ascii="宋体" w:hAnsi="宋体" w:cs="宋体" w:eastAsia="宋体" w:hint="default"/>
                <w:sz w:val="18"/>
                <w:szCs w:val="18"/>
              </w:rPr>
              <w:t>%</w:t>
            </w:r>
          </w:p>
        </w:tc>
        <w:tc>
          <w:tcPr>
            <w:tcW w:w="13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49"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年营</w:t>
            </w: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业收入比例</w:t>
            </w:r>
            <w:r>
              <w:rPr>
                <w:rFonts w:ascii="宋体" w:hAnsi="宋体" w:cs="宋体" w:eastAsia="宋体" w:hint="default"/>
                <w:sz w:val="18"/>
                <w:szCs w:val="18"/>
              </w:rPr>
              <w:t>%</w:t>
            </w:r>
          </w:p>
        </w:tc>
      </w:tr>
      <w:tr>
        <w:trPr>
          <w:trHeight w:val="242"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center"/>
              <w:rPr>
                <w:rFonts w:ascii="宋体" w:hAnsi="宋体" w:cs="宋体" w:eastAsia="宋体" w:hint="default"/>
                <w:sz w:val="18"/>
                <w:szCs w:val="18"/>
              </w:rPr>
            </w:pPr>
            <w:r>
              <w:rPr>
                <w:rFonts w:ascii="宋体"/>
                <w:sz w:val="18"/>
              </w:rPr>
              <w:t>66,493,066.60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61,832,155.20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56,696,696.24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7.54%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8.51%</w:t>
            </w:r>
          </w:p>
        </w:tc>
      </w:tr>
      <w:tr>
        <w:trPr>
          <w:trHeight w:val="245"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3" w:right="0"/>
              <w:jc w:val="center"/>
              <w:rPr>
                <w:rFonts w:ascii="宋体" w:hAnsi="宋体" w:cs="宋体" w:eastAsia="宋体" w:hint="default"/>
                <w:sz w:val="18"/>
                <w:szCs w:val="18"/>
              </w:rPr>
            </w:pPr>
            <w:r>
              <w:rPr>
                <w:rFonts w:ascii="宋体"/>
                <w:sz w:val="18"/>
              </w:rPr>
              <w:t>88,107,773.05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79,703,034.14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62,617,248.50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10.55%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11.27%</w:t>
            </w:r>
          </w:p>
        </w:tc>
      </w:tr>
      <w:tr>
        <w:trPr>
          <w:trHeight w:val="242"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center"/>
              <w:rPr>
                <w:rFonts w:ascii="宋体" w:hAnsi="宋体" w:cs="宋体" w:eastAsia="宋体" w:hint="default"/>
                <w:sz w:val="18"/>
                <w:szCs w:val="18"/>
              </w:rPr>
            </w:pPr>
            <w:r>
              <w:rPr>
                <w:rFonts w:ascii="宋体"/>
                <w:sz w:val="18"/>
              </w:rPr>
              <w:t>-3,318,551.13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7,085,301.49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124,347.89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-146.84%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45" w:hRule="exact"/>
        </w:trPr>
        <w:tc>
          <w:tcPr>
            <w:tcW w:w="10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所 得</w:t>
            </w:r>
            <w:r>
              <w:rPr>
                <w:rFonts w:ascii="宋体" w:hAnsi="宋体" w:cs="宋体" w:eastAsia="宋体" w:hint="default"/>
                <w:spacing w:val="2"/>
                <w:sz w:val="18"/>
                <w:szCs w:val="18"/>
              </w:rPr>
              <w:t> </w:t>
            </w:r>
            <w:r>
              <w:rPr>
                <w:rFonts w:ascii="宋体" w:hAnsi="宋体" w:cs="宋体" w:eastAsia="宋体" w:hint="default"/>
                <w:sz w:val="18"/>
                <w:szCs w:val="18"/>
              </w:rPr>
              <w:t>税</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center"/>
              <w:rPr>
                <w:rFonts w:ascii="宋体" w:hAnsi="宋体" w:cs="宋体" w:eastAsia="宋体" w:hint="default"/>
                <w:sz w:val="18"/>
                <w:szCs w:val="18"/>
              </w:rPr>
            </w:pPr>
            <w:r>
              <w:rPr>
                <w:rFonts w:ascii="宋体"/>
                <w:sz w:val="18"/>
              </w:rPr>
              <w:t>17,080,900.35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17,044,514.61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11,400,312.12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0.21%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2.18%</w:t>
            </w:r>
          </w:p>
        </w:tc>
      </w:tr>
    </w:tbl>
    <w:p>
      <w:pPr>
        <w:spacing w:line="241" w:lineRule="exact" w:before="0"/>
        <w:ind w:left="222" w:right="1276" w:firstLine="0"/>
        <w:jc w:val="left"/>
        <w:rPr>
          <w:rFonts w:ascii="宋体" w:hAnsi="宋体" w:cs="宋体" w:eastAsia="宋体" w:hint="default"/>
          <w:sz w:val="21"/>
          <w:szCs w:val="21"/>
        </w:rPr>
      </w:pPr>
      <w:r>
        <w:rPr>
          <w:rFonts w:ascii="宋体" w:hAnsi="宋体" w:cs="宋体" w:eastAsia="宋体" w:hint="default"/>
          <w:sz w:val="21"/>
          <w:szCs w:val="21"/>
        </w:rPr>
        <w:t>主要变动说明：</w:t>
      </w:r>
    </w:p>
    <w:p>
      <w:pPr>
        <w:spacing w:line="355" w:lineRule="auto" w:before="133"/>
        <w:ind w:left="2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财务费用大幅度减少的主要原因是：公司通过统筹安排资金使用，由上海东港数据处理有限公</w:t>
      </w:r>
      <w:r>
        <w:rPr>
          <w:rFonts w:ascii="宋体" w:hAnsi="宋体" w:cs="宋体" w:eastAsia="宋体" w:hint="default"/>
          <w:w w:val="100"/>
          <w:sz w:val="21"/>
          <w:szCs w:val="21"/>
        </w:rPr>
        <w:t> </w:t>
      </w:r>
      <w:r>
        <w:rPr>
          <w:rFonts w:ascii="宋体" w:hAnsi="宋体" w:cs="宋体" w:eastAsia="宋体" w:hint="default"/>
          <w:spacing w:val="-3"/>
          <w:sz w:val="21"/>
          <w:szCs w:val="21"/>
        </w:rPr>
        <w:t>司向北京东港嘉华安全信息技术有限公司和广州东港安全印刷有限公司提供委托贷款，从而归还了</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两公司的银行贷款，降低了财务费用。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tabs>
          <w:tab w:pos="6838" w:val="left" w:leader="none"/>
        </w:tabs>
        <w:spacing w:before="0"/>
        <w:ind w:left="642" w:right="127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9</w:t>
      </w:r>
      <w:r>
        <w:rPr>
          <w:rFonts w:ascii="宋体" w:hAnsi="宋体" w:cs="宋体" w:eastAsia="宋体" w:hint="default"/>
          <w:spacing w:val="-2"/>
          <w:sz w:val="21"/>
          <w:szCs w:val="21"/>
        </w:rPr>
        <w:t>）现金流状况分析</w:t>
        <w:tab/>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1089" w:type="dxa"/>
        <w:tblLayout w:type="fixed"/>
        <w:tblCellMar>
          <w:top w:w="0" w:type="dxa"/>
          <w:left w:w="0" w:type="dxa"/>
          <w:bottom w:w="0" w:type="dxa"/>
          <w:right w:w="0" w:type="dxa"/>
        </w:tblCellMar>
        <w:tblLook w:val="01E0"/>
      </w:tblPr>
      <w:tblGrid>
        <w:gridCol w:w="2281"/>
        <w:gridCol w:w="1791"/>
        <w:gridCol w:w="1790"/>
        <w:gridCol w:w="1393"/>
      </w:tblGrid>
      <w:tr>
        <w:trPr>
          <w:trHeight w:val="245"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5"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一、经营活动产生的现金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177,821,817.48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179,535,678.40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-0.95%</w:t>
            </w:r>
          </w:p>
        </w:tc>
      </w:tr>
      <w:tr>
        <w:trPr>
          <w:trHeight w:val="245"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878,293,347.41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794,119,134.24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10.60%</w:t>
            </w:r>
          </w:p>
        </w:tc>
      </w:tr>
      <w:tr>
        <w:trPr>
          <w:trHeight w:val="242"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700,471,529.93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614,583,455.84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13.98%</w:t>
            </w:r>
          </w:p>
        </w:tc>
      </w:tr>
      <w:tr>
        <w:trPr>
          <w:trHeight w:val="478"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二、投资活动产生的现金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-110,080,676.84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-254,594,521.32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-56.76%</w:t>
            </w:r>
          </w:p>
        </w:tc>
      </w:tr>
      <w:tr>
        <w:trPr>
          <w:trHeight w:val="242"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58,100.00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17,655.00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229.09%</w:t>
            </w:r>
          </w:p>
        </w:tc>
      </w:tr>
      <w:tr>
        <w:trPr>
          <w:trHeight w:val="245"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110,138,776.84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254,612,176.32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-56.74%</w:t>
            </w:r>
          </w:p>
        </w:tc>
      </w:tr>
      <w:tr>
        <w:trPr>
          <w:trHeight w:val="475"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三、筹资活动产生的现金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-111,492,223.95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285,276,814.43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-139.08%</w:t>
            </w:r>
          </w:p>
        </w:tc>
      </w:tr>
      <w:tr>
        <w:trPr>
          <w:trHeight w:val="245"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22,281,700.00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660,695,904.75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-96.63%</w:t>
            </w:r>
          </w:p>
        </w:tc>
      </w:tr>
      <w:tr>
        <w:trPr>
          <w:trHeight w:val="242"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133,773,923.95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375,419,090.32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-64.37%</w:t>
            </w:r>
          </w:p>
        </w:tc>
      </w:tr>
      <w:tr>
        <w:trPr>
          <w:trHeight w:val="478"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四、现金及现金等价物净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额增加额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-43,752,173.53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210,208,728.95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-120.81%</w:t>
            </w:r>
          </w:p>
        </w:tc>
      </w:tr>
      <w:tr>
        <w:trPr>
          <w:trHeight w:val="242"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900,633,147.41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1,454,832,693.99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-38.09%</w:t>
            </w:r>
          </w:p>
        </w:tc>
      </w:tr>
      <w:tr>
        <w:trPr>
          <w:trHeight w:val="245" w:hRule="exact"/>
        </w:trPr>
        <w:tc>
          <w:tcPr>
            <w:tcW w:w="22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944,384,230.72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1,244,614,722.48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-24.12%</w:t>
            </w:r>
          </w:p>
        </w:tc>
      </w:tr>
    </w:tbl>
    <w:p>
      <w:pPr>
        <w:spacing w:line="241" w:lineRule="exact" w:before="0"/>
        <w:ind w:left="642" w:right="1276" w:firstLine="0"/>
        <w:jc w:val="left"/>
        <w:rPr>
          <w:rFonts w:ascii="宋体" w:hAnsi="宋体" w:cs="宋体" w:eastAsia="宋体" w:hint="default"/>
          <w:sz w:val="21"/>
          <w:szCs w:val="21"/>
        </w:rPr>
      </w:pPr>
      <w:r>
        <w:rPr>
          <w:rFonts w:ascii="宋体" w:hAnsi="宋体" w:cs="宋体" w:eastAsia="宋体" w:hint="default"/>
          <w:sz w:val="21"/>
          <w:szCs w:val="21"/>
        </w:rPr>
        <w:t>变动说明：</w:t>
      </w:r>
    </w:p>
    <w:p>
      <w:pPr>
        <w:spacing w:line="309" w:lineRule="auto" w:before="78"/>
        <w:ind w:left="642" w:right="1276" w:firstLine="0"/>
        <w:jc w:val="left"/>
        <w:rPr>
          <w:rFonts w:ascii="宋体" w:hAnsi="宋体" w:cs="宋体" w:eastAsia="宋体" w:hint="default"/>
          <w:sz w:val="21"/>
          <w:szCs w:val="21"/>
        </w:rPr>
      </w:pPr>
      <w:r>
        <w:rPr>
          <w:rFonts w:ascii="宋体" w:hAnsi="宋体" w:cs="宋体" w:eastAsia="宋体" w:hint="default"/>
          <w:sz w:val="21"/>
          <w:szCs w:val="21"/>
        </w:rPr>
        <w:t>投资活动产生的现金流量净额减少</w:t>
      </w:r>
      <w:r>
        <w:rPr>
          <w:rFonts w:ascii="宋体" w:hAnsi="宋体" w:cs="宋体" w:eastAsia="宋体" w:hint="default"/>
          <w:spacing w:val="-54"/>
          <w:sz w:val="21"/>
          <w:szCs w:val="21"/>
        </w:rPr>
        <w:t> </w:t>
      </w:r>
      <w:r>
        <w:rPr>
          <w:rFonts w:ascii="宋体" w:hAnsi="宋体" w:cs="宋体" w:eastAsia="宋体" w:hint="default"/>
          <w:sz w:val="21"/>
          <w:szCs w:val="21"/>
        </w:rPr>
        <w:t>56.76</w:t>
      </w:r>
      <w:r>
        <w:rPr>
          <w:rFonts w:ascii="宋体" w:hAnsi="宋体" w:cs="宋体" w:eastAsia="宋体" w:hint="default"/>
          <w:sz w:val="21"/>
          <w:szCs w:val="21"/>
        </w:rPr>
        <w:t>％，主要是本年度公司固定资产投资减少所致。</w:t>
      </w:r>
      <w:r>
        <w:rPr>
          <w:rFonts w:ascii="宋体" w:hAnsi="宋体" w:cs="宋体" w:eastAsia="宋体" w:hint="default"/>
          <w:w w:val="100"/>
          <w:sz w:val="21"/>
          <w:szCs w:val="21"/>
        </w:rPr>
        <w:t> </w:t>
      </w:r>
      <w:r>
        <w:rPr>
          <w:rFonts w:ascii="宋体" w:hAnsi="宋体" w:cs="宋体" w:eastAsia="宋体" w:hint="default"/>
          <w:sz w:val="21"/>
          <w:szCs w:val="21"/>
        </w:rPr>
        <w:t>投资活动现金流入量增加</w:t>
      </w:r>
      <w:r>
        <w:rPr>
          <w:rFonts w:ascii="宋体" w:hAnsi="宋体" w:cs="宋体" w:eastAsia="宋体" w:hint="default"/>
          <w:spacing w:val="-56"/>
          <w:sz w:val="21"/>
          <w:szCs w:val="21"/>
        </w:rPr>
        <w:t> </w:t>
      </w:r>
      <w:r>
        <w:rPr>
          <w:rFonts w:ascii="宋体" w:hAnsi="宋体" w:cs="宋体" w:eastAsia="宋体" w:hint="default"/>
          <w:sz w:val="21"/>
          <w:szCs w:val="21"/>
        </w:rPr>
        <w:t>229.09%</w:t>
      </w:r>
      <w:r>
        <w:rPr>
          <w:rFonts w:ascii="宋体" w:hAnsi="宋体" w:cs="宋体" w:eastAsia="宋体" w:hint="default"/>
          <w:sz w:val="21"/>
          <w:szCs w:val="21"/>
        </w:rPr>
        <w:t>，主要本年度处置固定资产收回的现金增加所致。</w:t>
      </w:r>
      <w:r>
        <w:rPr>
          <w:rFonts w:ascii="宋体" w:hAnsi="宋体" w:cs="宋体" w:eastAsia="宋体" w:hint="default"/>
          <w:w w:val="100"/>
          <w:sz w:val="21"/>
          <w:szCs w:val="21"/>
        </w:rPr>
        <w:t> </w:t>
      </w:r>
      <w:r>
        <w:rPr>
          <w:rFonts w:ascii="宋体" w:hAnsi="宋体" w:cs="宋体" w:eastAsia="宋体" w:hint="default"/>
          <w:sz w:val="21"/>
          <w:szCs w:val="21"/>
        </w:rPr>
        <w:t>投资活动现金流出量减少</w:t>
      </w:r>
      <w:r>
        <w:rPr>
          <w:rFonts w:ascii="宋体" w:hAnsi="宋体" w:cs="宋体" w:eastAsia="宋体" w:hint="default"/>
          <w:spacing w:val="-56"/>
          <w:sz w:val="21"/>
          <w:szCs w:val="21"/>
        </w:rPr>
        <w:t> </w:t>
      </w:r>
      <w:r>
        <w:rPr>
          <w:rFonts w:ascii="宋体" w:hAnsi="宋体" w:cs="宋体" w:eastAsia="宋体" w:hint="default"/>
          <w:sz w:val="21"/>
          <w:szCs w:val="21"/>
        </w:rPr>
        <w:t>56.74</w:t>
      </w:r>
      <w:r>
        <w:rPr>
          <w:rFonts w:ascii="宋体" w:hAnsi="宋体" w:cs="宋体" w:eastAsia="宋体" w:hint="default"/>
          <w:sz w:val="21"/>
          <w:szCs w:val="21"/>
        </w:rPr>
        <w:t>％，主要是本年度公司固定资产投资减少所致。</w:t>
      </w:r>
      <w:r>
        <w:rPr>
          <w:rFonts w:ascii="宋体" w:hAnsi="宋体" w:cs="宋体" w:eastAsia="宋体" w:hint="default"/>
          <w:w w:val="100"/>
          <w:sz w:val="21"/>
          <w:szCs w:val="21"/>
        </w:rPr>
        <w:t> </w:t>
      </w:r>
      <w:r>
        <w:rPr>
          <w:rFonts w:ascii="宋体" w:hAnsi="宋体" w:cs="宋体" w:eastAsia="宋体" w:hint="default"/>
          <w:sz w:val="21"/>
          <w:szCs w:val="21"/>
        </w:rPr>
        <w:t>筹资活动产生的现金流量净额减少</w:t>
      </w:r>
      <w:r>
        <w:rPr>
          <w:rFonts w:ascii="宋体" w:hAnsi="宋体" w:cs="宋体" w:eastAsia="宋体" w:hint="default"/>
          <w:spacing w:val="-50"/>
          <w:sz w:val="21"/>
          <w:szCs w:val="21"/>
        </w:rPr>
        <w:t> </w:t>
      </w:r>
      <w:r>
        <w:rPr>
          <w:rFonts w:ascii="宋体" w:hAnsi="宋体" w:cs="宋体" w:eastAsia="宋体" w:hint="default"/>
          <w:sz w:val="21"/>
          <w:szCs w:val="21"/>
        </w:rPr>
        <w:t>139.08</w:t>
      </w:r>
      <w:r>
        <w:rPr>
          <w:rFonts w:ascii="宋体" w:hAnsi="宋体" w:cs="宋体" w:eastAsia="宋体" w:hint="default"/>
          <w:sz w:val="21"/>
          <w:szCs w:val="21"/>
        </w:rPr>
        <w:t>％，主要是</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年度公司增发股票募集资金所致和</w:t>
      </w:r>
    </w:p>
    <w:p>
      <w:pPr>
        <w:spacing w:before="19"/>
        <w:ind w:left="222" w:right="1276" w:firstLine="0"/>
        <w:jc w:val="left"/>
        <w:rPr>
          <w:rFonts w:ascii="宋体" w:hAnsi="宋体" w:cs="宋体" w:eastAsia="宋体" w:hint="default"/>
          <w:sz w:val="21"/>
          <w:szCs w:val="21"/>
        </w:rPr>
      </w:pPr>
      <w:r>
        <w:rPr>
          <w:rFonts w:ascii="宋体" w:hAnsi="宋体" w:cs="宋体" w:eastAsia="宋体" w:hint="default"/>
          <w:sz w:val="21"/>
          <w:szCs w:val="21"/>
        </w:rPr>
        <w:t>归还银行贷款所致。</w:t>
      </w:r>
    </w:p>
    <w:p>
      <w:pPr>
        <w:spacing w:line="309" w:lineRule="auto" w:before="78"/>
        <w:ind w:left="642" w:right="1164" w:firstLine="0"/>
        <w:jc w:val="left"/>
        <w:rPr>
          <w:rFonts w:ascii="宋体" w:hAnsi="宋体" w:cs="宋体" w:eastAsia="宋体" w:hint="default"/>
          <w:sz w:val="21"/>
          <w:szCs w:val="21"/>
        </w:rPr>
      </w:pPr>
      <w:r>
        <w:rPr>
          <w:rFonts w:ascii="宋体" w:hAnsi="宋体" w:cs="宋体" w:eastAsia="宋体" w:hint="default"/>
          <w:sz w:val="21"/>
          <w:szCs w:val="21"/>
        </w:rPr>
        <w:t>筹资活动现金流入量减少</w:t>
      </w:r>
      <w:r>
        <w:rPr>
          <w:rFonts w:ascii="宋体" w:hAnsi="宋体" w:cs="宋体" w:eastAsia="宋体" w:hint="default"/>
          <w:spacing w:val="-56"/>
          <w:sz w:val="21"/>
          <w:szCs w:val="21"/>
        </w:rPr>
        <w:t> </w:t>
      </w:r>
      <w:r>
        <w:rPr>
          <w:rFonts w:ascii="宋体" w:hAnsi="宋体" w:cs="宋体" w:eastAsia="宋体" w:hint="default"/>
          <w:sz w:val="21"/>
          <w:szCs w:val="21"/>
        </w:rPr>
        <w:t>96.63</w:t>
      </w:r>
      <w:r>
        <w:rPr>
          <w:rFonts w:ascii="宋体" w:hAnsi="宋体" w:cs="宋体" w:eastAsia="宋体" w:hint="default"/>
          <w:sz w:val="21"/>
          <w:szCs w:val="21"/>
        </w:rPr>
        <w:t>％，主要是</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年度公司增发股票募集资金所致。</w:t>
      </w:r>
      <w:r>
        <w:rPr>
          <w:rFonts w:ascii="宋体" w:hAnsi="宋体" w:cs="宋体" w:eastAsia="宋体" w:hint="default"/>
          <w:w w:val="100"/>
          <w:sz w:val="21"/>
          <w:szCs w:val="21"/>
        </w:rPr>
        <w:t> </w:t>
      </w:r>
      <w:r>
        <w:rPr>
          <w:rFonts w:ascii="宋体" w:hAnsi="宋体" w:cs="宋体" w:eastAsia="宋体" w:hint="default"/>
          <w:sz w:val="21"/>
          <w:szCs w:val="21"/>
        </w:rPr>
        <w:t>筹资活动现金流出量减少</w:t>
      </w:r>
      <w:r>
        <w:rPr>
          <w:rFonts w:ascii="宋体" w:hAnsi="宋体" w:cs="宋体" w:eastAsia="宋体" w:hint="default"/>
          <w:spacing w:val="-56"/>
          <w:sz w:val="21"/>
          <w:szCs w:val="21"/>
        </w:rPr>
        <w:t> </w:t>
      </w:r>
      <w:r>
        <w:rPr>
          <w:rFonts w:ascii="宋体" w:hAnsi="宋体" w:cs="宋体" w:eastAsia="宋体" w:hint="default"/>
          <w:sz w:val="21"/>
          <w:szCs w:val="21"/>
        </w:rPr>
        <w:t>64.37</w:t>
      </w:r>
      <w:r>
        <w:rPr>
          <w:rFonts w:ascii="宋体" w:hAnsi="宋体" w:cs="宋体" w:eastAsia="宋体" w:hint="default"/>
          <w:sz w:val="21"/>
          <w:szCs w:val="21"/>
        </w:rPr>
        <w:t>％，主要是</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年度公司归还银行贷款所致。</w:t>
      </w:r>
      <w:r>
        <w:rPr>
          <w:rFonts w:ascii="宋体" w:hAnsi="宋体" w:cs="宋体" w:eastAsia="宋体" w:hint="default"/>
          <w:w w:val="100"/>
          <w:sz w:val="21"/>
          <w:szCs w:val="21"/>
        </w:rPr>
        <w:t> </w:t>
      </w:r>
      <w:r>
        <w:rPr>
          <w:rFonts w:ascii="宋体" w:hAnsi="宋体" w:cs="宋体" w:eastAsia="宋体" w:hint="default"/>
          <w:sz w:val="21"/>
          <w:szCs w:val="21"/>
        </w:rPr>
        <w:t>现金及现金等价物净额增加额减少</w:t>
      </w:r>
      <w:r>
        <w:rPr>
          <w:rFonts w:ascii="宋体" w:hAnsi="宋体" w:cs="宋体" w:eastAsia="宋体" w:hint="default"/>
          <w:spacing w:val="-39"/>
          <w:sz w:val="21"/>
          <w:szCs w:val="21"/>
        </w:rPr>
        <w:t> </w:t>
      </w:r>
      <w:r>
        <w:rPr>
          <w:rFonts w:ascii="宋体" w:hAnsi="宋体" w:cs="宋体" w:eastAsia="宋体" w:hint="default"/>
          <w:spacing w:val="-6"/>
          <w:sz w:val="21"/>
          <w:szCs w:val="21"/>
        </w:rPr>
        <w:t>120.81</w:t>
      </w:r>
      <w:r>
        <w:rPr>
          <w:rFonts w:ascii="宋体" w:hAnsi="宋体" w:cs="宋体" w:eastAsia="宋体" w:hint="default"/>
          <w:spacing w:val="-6"/>
          <w:sz w:val="21"/>
          <w:szCs w:val="21"/>
        </w:rPr>
        <w:t>％，主要是</w:t>
      </w:r>
      <w:r>
        <w:rPr>
          <w:rFonts w:ascii="宋体" w:hAnsi="宋体" w:cs="宋体" w:eastAsia="宋体" w:hint="default"/>
          <w:spacing w:val="-38"/>
          <w:sz w:val="21"/>
          <w:szCs w:val="21"/>
        </w:rPr>
        <w:t> </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pacing w:val="-5"/>
          <w:sz w:val="21"/>
          <w:szCs w:val="21"/>
        </w:rPr>
        <w:t>年度公司增发股票，募集资金所致。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现金流入总计减少</w:t>
      </w:r>
      <w:r>
        <w:rPr>
          <w:rFonts w:ascii="宋体" w:hAnsi="宋体" w:cs="宋体" w:eastAsia="宋体" w:hint="default"/>
          <w:spacing w:val="-56"/>
          <w:sz w:val="21"/>
          <w:szCs w:val="21"/>
        </w:rPr>
        <w:t> </w:t>
      </w:r>
      <w:r>
        <w:rPr>
          <w:rFonts w:ascii="宋体" w:hAnsi="宋体" w:cs="宋体" w:eastAsia="宋体" w:hint="default"/>
          <w:sz w:val="21"/>
          <w:szCs w:val="21"/>
        </w:rPr>
        <w:t>38.09</w:t>
      </w:r>
      <w:r>
        <w:rPr>
          <w:rFonts w:ascii="宋体" w:hAnsi="宋体" w:cs="宋体" w:eastAsia="宋体" w:hint="default"/>
          <w:sz w:val="21"/>
          <w:szCs w:val="21"/>
        </w:rPr>
        <w:t>％，主要是</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年度公司增发股票募集资金所致。</w:t>
      </w:r>
    </w:p>
    <w:p>
      <w:pPr>
        <w:spacing w:line="240" w:lineRule="auto" w:before="6"/>
        <w:rPr>
          <w:rFonts w:ascii="宋体" w:hAnsi="宋体" w:cs="宋体" w:eastAsia="宋体" w:hint="default"/>
          <w:sz w:val="28"/>
          <w:szCs w:val="28"/>
        </w:rPr>
      </w:pPr>
    </w:p>
    <w:p>
      <w:pPr>
        <w:spacing w:before="0"/>
        <w:ind w:left="222" w:right="127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、公司主要资产构成：</w:t>
      </w:r>
    </w:p>
    <w:p>
      <w:pPr>
        <w:spacing w:before="133"/>
        <w:ind w:left="642" w:right="1164" w:firstLine="0"/>
        <w:jc w:val="left"/>
        <w:rPr>
          <w:rFonts w:ascii="宋体" w:hAnsi="宋体" w:cs="宋体" w:eastAsia="宋体" w:hint="default"/>
          <w:sz w:val="21"/>
          <w:szCs w:val="21"/>
        </w:rPr>
      </w:pPr>
      <w:r>
        <w:rPr>
          <w:rFonts w:ascii="宋体" w:hAnsi="宋体" w:cs="宋体" w:eastAsia="宋体" w:hint="default"/>
          <w:spacing w:val="-3"/>
          <w:sz w:val="21"/>
          <w:szCs w:val="21"/>
        </w:rPr>
        <w:t>公司主要办公的地点：济南市山大北路</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号，生产厂房和设备主要在济南市山大北路</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号和</w:t>
      </w:r>
      <w:r>
        <w:rPr>
          <w:rFonts w:ascii="宋体" w:hAnsi="宋体" w:cs="宋体" w:eastAsia="宋体" w:hint="default"/>
          <w:sz w:val="21"/>
          <w:szCs w:val="21"/>
        </w:rPr>
      </w:r>
    </w:p>
    <w:p>
      <w:pPr>
        <w:spacing w:line="292" w:lineRule="auto" w:before="62"/>
        <w:ind w:left="222" w:right="1273" w:firstLine="0"/>
        <w:jc w:val="left"/>
        <w:rPr>
          <w:rFonts w:ascii="宋体" w:hAnsi="宋体" w:cs="宋体" w:eastAsia="宋体" w:hint="default"/>
          <w:sz w:val="21"/>
          <w:szCs w:val="21"/>
        </w:rPr>
      </w:pPr>
      <w:r>
        <w:rPr>
          <w:rFonts w:ascii="宋体" w:hAnsi="宋体" w:cs="宋体" w:eastAsia="宋体" w:hint="default"/>
          <w:sz w:val="21"/>
          <w:szCs w:val="21"/>
        </w:rPr>
        <w:t>济南市机场路 </w:t>
      </w:r>
      <w:r>
        <w:rPr>
          <w:rFonts w:ascii="Times New Roman" w:hAnsi="Times New Roman" w:cs="Times New Roman" w:eastAsia="Times New Roman" w:hint="default"/>
          <w:sz w:val="21"/>
          <w:szCs w:val="21"/>
        </w:rPr>
        <w:t>7368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号的公司厂区内，公司合法拥有目前所使用的土地、厂房及生产设备。公司主</w:t>
      </w:r>
      <w:r>
        <w:rPr>
          <w:rFonts w:ascii="宋体" w:hAnsi="宋体" w:cs="宋体" w:eastAsia="宋体" w:hint="default"/>
          <w:w w:val="100"/>
          <w:sz w:val="21"/>
          <w:szCs w:val="21"/>
        </w:rPr>
        <w:t> </w:t>
      </w:r>
      <w:r>
        <w:rPr>
          <w:rFonts w:ascii="宋体" w:hAnsi="宋体" w:cs="宋体" w:eastAsia="宋体" w:hint="default"/>
          <w:sz w:val="21"/>
          <w:szCs w:val="21"/>
        </w:rPr>
        <w:t>要房屋及设备不存在担保、诉讼、仲裁等情形。</w:t>
      </w:r>
    </w:p>
    <w:p>
      <w:pPr>
        <w:spacing w:after="0" w:line="292" w:lineRule="auto"/>
        <w:jc w:val="left"/>
        <w:rPr>
          <w:rFonts w:ascii="宋体" w:hAnsi="宋体" w:cs="宋体" w:eastAsia="宋体" w:hint="default"/>
          <w:sz w:val="21"/>
          <w:szCs w:val="21"/>
        </w:rPr>
        <w:sectPr>
          <w:pgSz w:w="11910" w:h="16840"/>
          <w:pgMar w:header="737" w:footer="1153" w:top="1060" w:bottom="1340" w:left="1400" w:right="0"/>
        </w:sectPr>
      </w:pPr>
    </w:p>
    <w:p>
      <w:pPr>
        <w:spacing w:line="240" w:lineRule="auto" w:before="2"/>
        <w:rPr>
          <w:rFonts w:ascii="宋体" w:hAnsi="宋体" w:cs="宋体" w:eastAsia="宋体" w:hint="default"/>
          <w:sz w:val="23"/>
          <w:szCs w:val="23"/>
        </w:rPr>
      </w:pPr>
    </w:p>
    <w:p>
      <w:pPr>
        <w:spacing w:line="300" w:lineRule="auto" w:before="36"/>
        <w:ind w:left="122" w:right="1277" w:firstLine="419"/>
        <w:jc w:val="both"/>
        <w:rPr>
          <w:rFonts w:ascii="宋体" w:hAnsi="宋体" w:cs="宋体" w:eastAsia="宋体" w:hint="default"/>
          <w:sz w:val="21"/>
          <w:szCs w:val="21"/>
        </w:rPr>
      </w:pPr>
      <w:r>
        <w:rPr>
          <w:rFonts w:ascii="宋体" w:hAnsi="宋体" w:cs="宋体" w:eastAsia="宋体" w:hint="default"/>
          <w:sz w:val="21"/>
          <w:szCs w:val="21"/>
        </w:rPr>
        <w:t>公司在全国设立有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家控股子公司，主要从事商业票据产品的生产和销售业务，并合法拥有所</w:t>
      </w:r>
      <w:r>
        <w:rPr>
          <w:rFonts w:ascii="宋体" w:hAnsi="宋体" w:cs="宋体" w:eastAsia="宋体" w:hint="default"/>
          <w:w w:val="100"/>
          <w:sz w:val="21"/>
          <w:szCs w:val="21"/>
        </w:rPr>
        <w:t> </w:t>
      </w:r>
      <w:r>
        <w:rPr>
          <w:rFonts w:ascii="宋体" w:hAnsi="宋体" w:cs="宋体" w:eastAsia="宋体" w:hint="default"/>
          <w:sz w:val="21"/>
          <w:szCs w:val="21"/>
        </w:rPr>
        <w:t>使用的厂房及生产设备。公司核心资产年使用率较高，平均产能利用率高于生产能力的</w:t>
      </w:r>
      <w:r>
        <w:rPr>
          <w:rFonts w:ascii="宋体" w:hAnsi="宋体" w:cs="宋体" w:eastAsia="宋体" w:hint="default"/>
          <w:spacing w:val="-39"/>
          <w:sz w:val="21"/>
          <w:szCs w:val="21"/>
        </w:rPr>
        <w:t> </w:t>
      </w:r>
      <w:r>
        <w:rPr>
          <w:rFonts w:ascii="宋体" w:hAnsi="宋体" w:cs="宋体" w:eastAsia="宋体" w:hint="default"/>
          <w:sz w:val="21"/>
          <w:szCs w:val="21"/>
        </w:rPr>
        <w:t>80%</w:t>
      </w:r>
      <w:r>
        <w:rPr>
          <w:rFonts w:ascii="宋体" w:hAnsi="宋体" w:cs="宋体" w:eastAsia="宋体" w:hint="default"/>
          <w:sz w:val="21"/>
          <w:szCs w:val="21"/>
        </w:rPr>
        <w:t>；核心</w:t>
      </w:r>
      <w:r>
        <w:rPr>
          <w:rFonts w:ascii="宋体" w:hAnsi="宋体" w:cs="宋体" w:eastAsia="宋体" w:hint="default"/>
          <w:w w:val="100"/>
          <w:sz w:val="21"/>
          <w:szCs w:val="21"/>
        </w:rPr>
        <w:t> </w:t>
      </w:r>
      <w:r>
        <w:rPr>
          <w:rFonts w:ascii="宋体" w:hAnsi="宋体" w:cs="宋体" w:eastAsia="宋体" w:hint="default"/>
          <w:sz w:val="21"/>
          <w:szCs w:val="21"/>
        </w:rPr>
        <w:t>设备资产成新率均在</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以上，不存在减值迹象。</w:t>
      </w:r>
    </w:p>
    <w:p>
      <w:pPr>
        <w:spacing w:before="28"/>
        <w:ind w:left="5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）资产构成变动情况</w:t>
      </w:r>
    </w:p>
    <w:p>
      <w:pPr>
        <w:spacing w:line="240" w:lineRule="auto" w:before="7"/>
        <w:rPr>
          <w:rFonts w:ascii="宋体" w:hAnsi="宋体" w:cs="宋体" w:eastAsia="宋体" w:hint="default"/>
          <w:sz w:val="8"/>
          <w:szCs w:val="8"/>
        </w:rPr>
      </w:pPr>
    </w:p>
    <w:tbl>
      <w:tblPr>
        <w:tblW w:w="0" w:type="auto"/>
        <w:jc w:val="left"/>
        <w:tblInd w:w="1315" w:type="dxa"/>
        <w:tblLayout w:type="fixed"/>
        <w:tblCellMar>
          <w:top w:w="0" w:type="dxa"/>
          <w:left w:w="0" w:type="dxa"/>
          <w:bottom w:w="0" w:type="dxa"/>
          <w:right w:w="0" w:type="dxa"/>
        </w:tblCellMar>
        <w:tblLook w:val="01E0"/>
      </w:tblPr>
      <w:tblGrid>
        <w:gridCol w:w="1477"/>
        <w:gridCol w:w="1805"/>
        <w:gridCol w:w="1808"/>
        <w:gridCol w:w="1515"/>
      </w:tblGrid>
      <w:tr>
        <w:trPr>
          <w:trHeight w:val="612" w:hRule="exact"/>
        </w:trPr>
        <w:tc>
          <w:tcPr>
            <w:tcW w:w="1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91" w:right="149" w:hanging="336"/>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年占总资产的 比重（</w:t>
            </w:r>
            <w:r>
              <w:rPr>
                <w:rFonts w:ascii="宋体" w:hAnsi="宋体" w:cs="宋体" w:eastAsia="宋体" w:hint="default"/>
                <w:sz w:val="18"/>
                <w:szCs w:val="18"/>
              </w:rPr>
              <w:t>%</w:t>
            </w:r>
            <w:r>
              <w:rPr>
                <w:rFonts w:ascii="宋体" w:hAnsi="宋体" w:cs="宋体" w:eastAsia="宋体" w:hint="default"/>
                <w:sz w:val="18"/>
                <w:szCs w:val="18"/>
              </w:rPr>
              <w:t>）</w:t>
            </w:r>
          </w:p>
        </w:tc>
        <w:tc>
          <w:tcPr>
            <w:tcW w:w="18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92" w:right="151" w:hanging="337"/>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年占总资产的 比重（</w:t>
            </w:r>
            <w:r>
              <w:rPr>
                <w:rFonts w:ascii="宋体" w:hAnsi="宋体" w:cs="宋体" w:eastAsia="宋体" w:hint="default"/>
                <w:sz w:val="18"/>
                <w:szCs w:val="18"/>
              </w:rPr>
              <w:t>%</w:t>
            </w:r>
            <w:r>
              <w:rPr>
                <w:rFonts w:ascii="宋体" w:hAnsi="宋体" w:cs="宋体" w:eastAsia="宋体" w:hint="default"/>
                <w:sz w:val="18"/>
                <w:szCs w:val="18"/>
              </w:rPr>
              <w:t>）</w:t>
            </w:r>
          </w:p>
        </w:tc>
        <w:tc>
          <w:tcPr>
            <w:tcW w:w="15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16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60" w:hRule="exact"/>
        </w:trPr>
        <w:tc>
          <w:tcPr>
            <w:tcW w:w="1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7.63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4.50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3.13</w:t>
            </w:r>
          </w:p>
        </w:tc>
      </w:tr>
      <w:tr>
        <w:trPr>
          <w:trHeight w:val="360" w:hRule="exact"/>
        </w:trPr>
        <w:tc>
          <w:tcPr>
            <w:tcW w:w="1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6.60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6.84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-0.24</w:t>
            </w:r>
          </w:p>
        </w:tc>
      </w:tr>
      <w:tr>
        <w:trPr>
          <w:trHeight w:val="360" w:hRule="exact"/>
        </w:trPr>
        <w:tc>
          <w:tcPr>
            <w:tcW w:w="1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z w:val="18"/>
              </w:rPr>
              <w:t>50.13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z w:val="18"/>
              </w:rPr>
              <w:t>43.80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9"/>
              <w:jc w:val="right"/>
              <w:rPr>
                <w:rFonts w:ascii="Times New Roman" w:hAnsi="Times New Roman" w:cs="Times New Roman" w:eastAsia="Times New Roman" w:hint="default"/>
                <w:sz w:val="18"/>
                <w:szCs w:val="18"/>
              </w:rPr>
            </w:pPr>
            <w:r>
              <w:rPr>
                <w:rFonts w:ascii="Times New Roman"/>
                <w:spacing w:val="-1"/>
                <w:sz w:val="18"/>
              </w:rPr>
              <w:t>6.33</w:t>
            </w:r>
            <w:r>
              <w:rPr>
                <w:rFonts w:ascii="Times New Roman"/>
                <w:sz w:val="18"/>
              </w:rPr>
            </w:r>
          </w:p>
        </w:tc>
      </w:tr>
      <w:tr>
        <w:trPr>
          <w:trHeight w:val="360" w:hRule="exact"/>
        </w:trPr>
        <w:tc>
          <w:tcPr>
            <w:tcW w:w="1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1.27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7.36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-6.09</w:t>
            </w:r>
          </w:p>
        </w:tc>
      </w:tr>
      <w:tr>
        <w:trPr>
          <w:trHeight w:val="362" w:hRule="exact"/>
        </w:trPr>
        <w:tc>
          <w:tcPr>
            <w:tcW w:w="1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4.63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4.75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-0.12</w:t>
            </w:r>
          </w:p>
        </w:tc>
      </w:tr>
    </w:tbl>
    <w:p>
      <w:pPr>
        <w:spacing w:line="240" w:lineRule="auto" w:before="11"/>
        <w:rPr>
          <w:rFonts w:ascii="宋体" w:hAnsi="宋体" w:cs="宋体" w:eastAsia="宋体" w:hint="default"/>
          <w:sz w:val="25"/>
          <w:szCs w:val="25"/>
        </w:rPr>
      </w:pPr>
    </w:p>
    <w:p>
      <w:pPr>
        <w:tabs>
          <w:tab w:pos="6423" w:val="left" w:leader="none"/>
        </w:tabs>
        <w:spacing w:before="36"/>
        <w:ind w:left="542"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）存货变动情况</w:t>
        <w:tab/>
        <w:t>单位：元</w:t>
      </w:r>
    </w:p>
    <w:p>
      <w:pPr>
        <w:spacing w:line="240" w:lineRule="auto" w:before="10"/>
        <w:rPr>
          <w:rFonts w:ascii="宋体" w:hAnsi="宋体" w:cs="宋体" w:eastAsia="宋体" w:hint="default"/>
          <w:sz w:val="12"/>
          <w:szCs w:val="12"/>
        </w:rPr>
      </w:pPr>
    </w:p>
    <w:tbl>
      <w:tblPr>
        <w:tblW w:w="0" w:type="auto"/>
        <w:jc w:val="left"/>
        <w:tblInd w:w="1082" w:type="dxa"/>
        <w:tblLayout w:type="fixed"/>
        <w:tblCellMar>
          <w:top w:w="0" w:type="dxa"/>
          <w:left w:w="0" w:type="dxa"/>
          <w:bottom w:w="0" w:type="dxa"/>
          <w:right w:w="0" w:type="dxa"/>
        </w:tblCellMar>
        <w:tblLook w:val="01E0"/>
      </w:tblPr>
      <w:tblGrid>
        <w:gridCol w:w="1534"/>
        <w:gridCol w:w="1594"/>
        <w:gridCol w:w="1995"/>
        <w:gridCol w:w="1947"/>
      </w:tblGrid>
      <w:tr>
        <w:trPr>
          <w:trHeight w:val="242"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年末余额</w:t>
            </w:r>
          </w:p>
        </w:tc>
        <w:tc>
          <w:tcPr>
            <w:tcW w:w="19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57"/>
                <w:sz w:val="18"/>
                <w:szCs w:val="18"/>
              </w:rPr>
              <w:t> </w:t>
            </w: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年末总资产的</w:t>
            </w:r>
            <w:r>
              <w:rPr>
                <w:rFonts w:ascii="宋体" w:hAnsi="宋体" w:cs="宋体" w:eastAsia="宋体" w:hint="default"/>
                <w:sz w:val="18"/>
                <w:szCs w:val="18"/>
              </w:rPr>
              <w:t>%</w:t>
            </w:r>
          </w:p>
        </w:tc>
        <w:tc>
          <w:tcPr>
            <w:tcW w:w="19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58"/>
              <w:jc w:val="right"/>
              <w:rPr>
                <w:rFonts w:ascii="宋体" w:hAnsi="宋体" w:cs="宋体" w:eastAsia="宋体" w:hint="default"/>
                <w:sz w:val="18"/>
                <w:szCs w:val="18"/>
              </w:rPr>
            </w:pPr>
            <w:r>
              <w:rPr>
                <w:rFonts w:ascii="宋体" w:hAnsi="宋体" w:cs="宋体" w:eastAsia="宋体" w:hint="default"/>
                <w:sz w:val="18"/>
                <w:szCs w:val="18"/>
              </w:rPr>
              <w:t>存货跌价准备的计提</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42,055,576.68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r>
      <w:tr>
        <w:trPr>
          <w:trHeight w:val="362"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5,759,151.11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0.43%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39,835,620.89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2.95%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0</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1,466,289.83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0.11%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0</w:t>
            </w:r>
          </w:p>
        </w:tc>
      </w:tr>
      <w:tr>
        <w:trPr>
          <w:trHeight w:val="360" w:hRule="exact"/>
        </w:trPr>
        <w:tc>
          <w:tcPr>
            <w:tcW w:w="1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89,116,638.51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6.60%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0</w:t>
            </w:r>
          </w:p>
        </w:tc>
      </w:tr>
    </w:tbl>
    <w:p>
      <w:pPr>
        <w:spacing w:line="240" w:lineRule="auto" w:before="11"/>
        <w:rPr>
          <w:rFonts w:ascii="宋体" w:hAnsi="宋体" w:cs="宋体" w:eastAsia="宋体" w:hint="default"/>
          <w:sz w:val="25"/>
          <w:szCs w:val="25"/>
        </w:rPr>
      </w:pPr>
    </w:p>
    <w:p>
      <w:pPr>
        <w:spacing w:before="36"/>
        <w:ind w:left="122" w:right="0" w:firstLine="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、主要控股公司及参股公司的经营情况及业绩：</w:t>
      </w:r>
    </w:p>
    <w:p>
      <w:pPr>
        <w:spacing w:before="80"/>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）控股子公司—郑州东港安全印刷有限公司：</w:t>
      </w:r>
    </w:p>
    <w:p>
      <w:pPr>
        <w:spacing w:before="78"/>
        <w:ind w:left="581"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3"/>
          <w:sz w:val="21"/>
          <w:szCs w:val="21"/>
        </w:rPr>
        <w:t> </w:t>
      </w:r>
      <w:r>
        <w:rPr>
          <w:rFonts w:ascii="宋体" w:hAnsi="宋体" w:cs="宋体" w:eastAsia="宋体" w:hint="default"/>
          <w:sz w:val="21"/>
          <w:szCs w:val="21"/>
        </w:rPr>
        <w:t>2003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月成立，注册资本</w:t>
      </w:r>
      <w:r>
        <w:rPr>
          <w:rFonts w:ascii="宋体" w:hAnsi="宋体" w:cs="宋体" w:eastAsia="宋体" w:hint="default"/>
          <w:spacing w:val="-43"/>
          <w:sz w:val="21"/>
          <w:szCs w:val="21"/>
        </w:rPr>
        <w:t> </w:t>
      </w:r>
      <w:r>
        <w:rPr>
          <w:rFonts w:ascii="宋体" w:hAnsi="宋体" w:cs="宋体" w:eastAsia="宋体" w:hint="default"/>
          <w:sz w:val="21"/>
          <w:szCs w:val="21"/>
        </w:rPr>
        <w:t>3,000</w:t>
      </w:r>
      <w:r>
        <w:rPr>
          <w:rFonts w:ascii="宋体" w:hAnsi="宋体" w:cs="宋体" w:eastAsia="宋体" w:hint="default"/>
          <w:spacing w:val="-41"/>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41"/>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。公司法定代表人：</w:t>
      </w:r>
    </w:p>
    <w:p>
      <w:pPr>
        <w:spacing w:line="307" w:lineRule="auto" w:before="80"/>
        <w:ind w:left="122" w:right="1274" w:firstLine="0"/>
        <w:jc w:val="left"/>
        <w:rPr>
          <w:rFonts w:ascii="宋体" w:hAnsi="宋体" w:cs="宋体" w:eastAsia="宋体" w:hint="default"/>
          <w:sz w:val="21"/>
          <w:szCs w:val="21"/>
        </w:rPr>
      </w:pPr>
      <w:r>
        <w:rPr>
          <w:rFonts w:ascii="宋体" w:hAnsi="宋体" w:cs="宋体" w:eastAsia="宋体" w:hint="default"/>
          <w:sz w:val="21"/>
          <w:szCs w:val="21"/>
        </w:rPr>
        <w:t>史建中。注册地址：郑州高新区国槐街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号。经营范围：高档纸（不含新闻纸）及纸制品生产加</w:t>
      </w:r>
      <w:r>
        <w:rPr>
          <w:rFonts w:ascii="宋体" w:hAnsi="宋体" w:cs="宋体" w:eastAsia="宋体" w:hint="default"/>
          <w:w w:val="100"/>
          <w:sz w:val="21"/>
          <w:szCs w:val="21"/>
        </w:rPr>
        <w:t> </w:t>
      </w:r>
      <w:r>
        <w:rPr>
          <w:rFonts w:ascii="宋体" w:hAnsi="宋体" w:cs="宋体" w:eastAsia="宋体" w:hint="default"/>
          <w:spacing w:val="-6"/>
          <w:w w:val="100"/>
          <w:sz w:val="21"/>
          <w:szCs w:val="21"/>
        </w:rPr>
        <w:t>工、印刷（不含期刊、报纸），销售本公司生产的产品。</w:t>
      </w:r>
    </w:p>
    <w:p>
      <w:pPr>
        <w:spacing w:before="21"/>
        <w:ind w:left="581"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755.13</w:t>
      </w:r>
      <w:r>
        <w:rPr>
          <w:rFonts w:ascii="宋体" w:hAnsi="宋体" w:cs="宋体" w:eastAsia="宋体" w:hint="default"/>
          <w:spacing w:val="-55"/>
          <w:sz w:val="21"/>
          <w:szCs w:val="21"/>
        </w:rPr>
        <w:t> </w:t>
      </w:r>
      <w:r>
        <w:rPr>
          <w:rFonts w:ascii="宋体" w:hAnsi="宋体" w:cs="宋体" w:eastAsia="宋体" w:hint="default"/>
          <w:sz w:val="21"/>
          <w:szCs w:val="21"/>
        </w:rPr>
        <w:t>万元，报告本期末资产总额为</w:t>
      </w:r>
      <w:r>
        <w:rPr>
          <w:rFonts w:ascii="宋体" w:hAnsi="宋体" w:cs="宋体" w:eastAsia="宋体" w:hint="default"/>
          <w:spacing w:val="-55"/>
          <w:sz w:val="21"/>
          <w:szCs w:val="21"/>
        </w:rPr>
        <w:t> </w:t>
      </w:r>
      <w:r>
        <w:rPr>
          <w:rFonts w:ascii="宋体" w:hAnsi="宋体" w:cs="宋体" w:eastAsia="宋体" w:hint="default"/>
          <w:sz w:val="21"/>
          <w:szCs w:val="21"/>
        </w:rPr>
        <w:t>5,225.29</w:t>
      </w:r>
      <w:r>
        <w:rPr>
          <w:rFonts w:ascii="宋体" w:hAnsi="宋体" w:cs="宋体" w:eastAsia="宋体" w:hint="default"/>
          <w:spacing w:val="-5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spacing w:before="78"/>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）控股子公司—北京东港安全印刷有限公司：</w:t>
      </w:r>
    </w:p>
    <w:p>
      <w:pPr>
        <w:spacing w:line="309" w:lineRule="auto" w:before="80"/>
        <w:ind w:left="122" w:right="1277" w:firstLine="458"/>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2"/>
          <w:sz w:val="21"/>
          <w:szCs w:val="21"/>
        </w:rPr>
        <w:t> </w:t>
      </w: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日成立，注册资本</w:t>
      </w:r>
      <w:r>
        <w:rPr>
          <w:rFonts w:ascii="宋体" w:hAnsi="宋体" w:cs="宋体" w:eastAsia="宋体" w:hint="default"/>
          <w:spacing w:val="-52"/>
          <w:sz w:val="21"/>
          <w:szCs w:val="21"/>
        </w:rPr>
        <w:t> </w:t>
      </w:r>
      <w:r>
        <w:rPr>
          <w:rFonts w:ascii="宋体" w:hAnsi="宋体" w:cs="宋体" w:eastAsia="宋体" w:hint="default"/>
          <w:sz w:val="21"/>
          <w:szCs w:val="21"/>
        </w:rPr>
        <w:t>5,200</w:t>
      </w:r>
      <w:r>
        <w:rPr>
          <w:rFonts w:ascii="宋体" w:hAnsi="宋体" w:cs="宋体" w:eastAsia="宋体" w:hint="default"/>
          <w:spacing w:val="-51"/>
          <w:sz w:val="21"/>
          <w:szCs w:val="21"/>
        </w:rPr>
        <w:t> </w:t>
      </w:r>
      <w:r>
        <w:rPr>
          <w:rFonts w:ascii="宋体" w:hAnsi="宋体" w:cs="宋体" w:eastAsia="宋体" w:hint="default"/>
          <w:spacing w:val="-3"/>
          <w:sz w:val="21"/>
          <w:szCs w:val="21"/>
        </w:rPr>
        <w:t>万元，本公司持股比例为</w:t>
      </w:r>
      <w:r>
        <w:rPr>
          <w:rFonts w:ascii="宋体" w:hAnsi="宋体" w:cs="宋体" w:eastAsia="宋体" w:hint="default"/>
          <w:spacing w:val="-51"/>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。公司法定代表</w:t>
      </w:r>
      <w:r>
        <w:rPr>
          <w:rFonts w:ascii="宋体" w:hAnsi="宋体" w:cs="宋体" w:eastAsia="宋体" w:hint="default"/>
          <w:w w:val="100"/>
          <w:sz w:val="21"/>
          <w:szCs w:val="21"/>
        </w:rPr>
        <w:t> </w:t>
      </w:r>
      <w:r>
        <w:rPr>
          <w:rFonts w:ascii="宋体" w:hAnsi="宋体" w:cs="宋体" w:eastAsia="宋体" w:hint="default"/>
          <w:spacing w:val="-3"/>
          <w:sz w:val="21"/>
          <w:szCs w:val="21"/>
        </w:rPr>
        <w:t>人：史建中。注册地址：北京市通州区光机电一体化产业基地。经营范围：出版物印刷、包装装潢</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印刷品印刷，其他印刷品印刷；软件产品的开发生产。</w:t>
      </w:r>
    </w:p>
    <w:p>
      <w:pPr>
        <w:spacing w:before="17"/>
        <w:ind w:left="581"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6"/>
          <w:sz w:val="21"/>
          <w:szCs w:val="21"/>
        </w:rPr>
        <w:t> </w:t>
      </w:r>
      <w:r>
        <w:rPr>
          <w:rFonts w:ascii="宋体" w:hAnsi="宋体" w:cs="宋体" w:eastAsia="宋体" w:hint="default"/>
          <w:sz w:val="21"/>
          <w:szCs w:val="21"/>
        </w:rPr>
        <w:t>2,415.12</w:t>
      </w:r>
      <w:r>
        <w:rPr>
          <w:rFonts w:ascii="宋体" w:hAnsi="宋体" w:cs="宋体" w:eastAsia="宋体" w:hint="default"/>
          <w:spacing w:val="-56"/>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4"/>
          <w:sz w:val="21"/>
          <w:szCs w:val="21"/>
        </w:rPr>
        <w:t> </w:t>
      </w:r>
      <w:r>
        <w:rPr>
          <w:rFonts w:ascii="宋体" w:hAnsi="宋体" w:cs="宋体" w:eastAsia="宋体" w:hint="default"/>
          <w:sz w:val="21"/>
          <w:szCs w:val="21"/>
        </w:rPr>
        <w:t>12,000.32</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before="81"/>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）控股子公司—新疆东港安全印刷有限公司：</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日成立，注册资本</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4"/>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。公司法定代表人：</w:t>
      </w:r>
    </w:p>
    <w:p>
      <w:pPr>
        <w:spacing w:line="357" w:lineRule="auto" w:before="133"/>
        <w:ind w:left="122" w:right="1277" w:firstLine="0"/>
        <w:jc w:val="both"/>
        <w:rPr>
          <w:rFonts w:ascii="宋体" w:hAnsi="宋体" w:cs="宋体" w:eastAsia="宋体" w:hint="default"/>
          <w:sz w:val="21"/>
          <w:szCs w:val="21"/>
        </w:rPr>
      </w:pPr>
      <w:r>
        <w:rPr>
          <w:rFonts w:ascii="宋体" w:hAnsi="宋体" w:cs="宋体" w:eastAsia="宋体" w:hint="default"/>
          <w:sz w:val="21"/>
          <w:szCs w:val="21"/>
        </w:rPr>
        <w:t>谷望江。注册地址：乌鲁木齐经济技术开发区厦门二街</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号。经营范围：自治区区域内的其他印刷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w w:val="100"/>
          <w:sz w:val="21"/>
          <w:szCs w:val="21"/>
        </w:rPr>
        <w:t>品印刷（票证）。纸制品的生产、销售；高档纸的防伪处理、销售；数据打印系统的开发、生产；</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科技信息咨询服务；</w:t>
      </w:r>
      <w:r>
        <w:rPr>
          <w:rFonts w:ascii="宋体" w:hAnsi="宋体" w:cs="宋体" w:eastAsia="宋体" w:hint="default"/>
          <w:sz w:val="21"/>
          <w:szCs w:val="21"/>
        </w:rPr>
        <w:t>IC</w:t>
      </w:r>
      <w:r>
        <w:rPr>
          <w:rFonts w:ascii="宋体" w:hAnsi="宋体" w:cs="宋体" w:eastAsia="宋体" w:hint="default"/>
          <w:spacing w:val="-56"/>
          <w:sz w:val="21"/>
          <w:szCs w:val="21"/>
        </w:rPr>
        <w:t> </w:t>
      </w:r>
      <w:r>
        <w:rPr>
          <w:rFonts w:ascii="宋体" w:hAnsi="宋体" w:cs="宋体" w:eastAsia="宋体" w:hint="default"/>
          <w:sz w:val="21"/>
          <w:szCs w:val="21"/>
        </w:rPr>
        <w:t>卡产品、智能标签产品的生产、销售。</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190.24</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1,719.08</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）控股子公司—上海东港安全印刷有限公司：</w:t>
      </w:r>
    </w:p>
    <w:p>
      <w:pPr>
        <w:spacing w:after="0"/>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542"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7"/>
          <w:sz w:val="21"/>
          <w:szCs w:val="21"/>
        </w:rPr>
        <w:t> </w:t>
      </w:r>
      <w:r>
        <w:rPr>
          <w:rFonts w:ascii="宋体" w:hAnsi="宋体" w:cs="宋体" w:eastAsia="宋体" w:hint="default"/>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pacing w:val="-10"/>
          <w:sz w:val="21"/>
          <w:szCs w:val="21"/>
        </w:rPr>
        <w:t>日成立，注册资本</w:t>
      </w:r>
      <w:r>
        <w:rPr>
          <w:rFonts w:ascii="宋体" w:hAnsi="宋体" w:cs="宋体" w:eastAsia="宋体" w:hint="default"/>
          <w:spacing w:val="-47"/>
          <w:sz w:val="21"/>
          <w:szCs w:val="21"/>
        </w:rPr>
        <w:t> </w:t>
      </w:r>
      <w:r>
        <w:rPr>
          <w:rFonts w:ascii="宋体" w:hAnsi="宋体" w:cs="宋体" w:eastAsia="宋体" w:hint="default"/>
          <w:sz w:val="21"/>
          <w:szCs w:val="21"/>
        </w:rPr>
        <w:t>3,000</w:t>
      </w:r>
      <w:r>
        <w:rPr>
          <w:rFonts w:ascii="宋体" w:hAnsi="宋体" w:cs="宋体" w:eastAsia="宋体" w:hint="default"/>
          <w:spacing w:val="-47"/>
          <w:sz w:val="21"/>
          <w:szCs w:val="21"/>
        </w:rPr>
        <w:t> </w:t>
      </w:r>
      <w:r>
        <w:rPr>
          <w:rFonts w:ascii="宋体" w:hAnsi="宋体" w:cs="宋体" w:eastAsia="宋体" w:hint="default"/>
          <w:spacing w:val="-8"/>
          <w:sz w:val="21"/>
          <w:szCs w:val="21"/>
        </w:rPr>
        <w:t>万元，本公司持股比例为</w:t>
      </w:r>
      <w:r>
        <w:rPr>
          <w:rFonts w:ascii="宋体" w:hAnsi="宋体" w:cs="宋体" w:eastAsia="宋体" w:hint="default"/>
          <w:spacing w:val="-47"/>
          <w:sz w:val="21"/>
          <w:szCs w:val="21"/>
        </w:rPr>
        <w:t> </w:t>
      </w:r>
      <w:r>
        <w:rPr>
          <w:rFonts w:ascii="宋体" w:hAnsi="宋体" w:cs="宋体" w:eastAsia="宋体" w:hint="default"/>
          <w:spacing w:val="-7"/>
          <w:sz w:val="21"/>
          <w:szCs w:val="21"/>
        </w:rPr>
        <w:t>75%</w:t>
      </w:r>
      <w:r>
        <w:rPr>
          <w:rFonts w:ascii="宋体" w:hAnsi="宋体" w:cs="宋体" w:eastAsia="宋体" w:hint="default"/>
          <w:spacing w:val="-7"/>
          <w:sz w:val="21"/>
          <w:szCs w:val="21"/>
        </w:rPr>
        <w:t>。公司法定代表人：</w:t>
      </w:r>
    </w:p>
    <w:p>
      <w:pPr>
        <w:spacing w:line="355" w:lineRule="auto" w:before="133"/>
        <w:ind w:left="122" w:right="1282" w:firstLine="0"/>
        <w:jc w:val="both"/>
        <w:rPr>
          <w:rFonts w:ascii="宋体" w:hAnsi="宋体" w:cs="宋体" w:eastAsia="宋体" w:hint="default"/>
          <w:sz w:val="21"/>
          <w:szCs w:val="21"/>
        </w:rPr>
      </w:pPr>
      <w:r>
        <w:rPr>
          <w:rFonts w:ascii="宋体" w:hAnsi="宋体" w:cs="宋体" w:eastAsia="宋体" w:hint="default"/>
          <w:spacing w:val="-3"/>
          <w:sz w:val="21"/>
          <w:szCs w:val="21"/>
        </w:rPr>
        <w:t>史建中。注册地址：上海市闵行区华锦路</w:t>
      </w:r>
      <w:r>
        <w:rPr>
          <w:rFonts w:ascii="宋体" w:hAnsi="宋体" w:cs="宋体" w:eastAsia="宋体" w:hint="default"/>
          <w:spacing w:val="-21"/>
          <w:sz w:val="21"/>
          <w:szCs w:val="21"/>
        </w:rPr>
        <w:t> </w:t>
      </w:r>
      <w:r>
        <w:rPr>
          <w:rFonts w:ascii="宋体" w:hAnsi="宋体" w:cs="宋体" w:eastAsia="宋体" w:hint="default"/>
          <w:sz w:val="21"/>
          <w:szCs w:val="21"/>
        </w:rPr>
        <w:t>288</w:t>
      </w:r>
      <w:r>
        <w:rPr>
          <w:rFonts w:ascii="宋体" w:hAnsi="宋体" w:cs="宋体" w:eastAsia="宋体" w:hint="default"/>
          <w:spacing w:val="-24"/>
          <w:sz w:val="21"/>
          <w:szCs w:val="21"/>
        </w:rPr>
        <w:t> </w:t>
      </w:r>
      <w:r>
        <w:rPr>
          <w:rFonts w:ascii="宋体" w:hAnsi="宋体" w:cs="宋体" w:eastAsia="宋体" w:hint="default"/>
          <w:spacing w:val="-3"/>
          <w:sz w:val="21"/>
          <w:szCs w:val="21"/>
        </w:rPr>
        <w:t>号。经营范围：包装装潢印刷，零件印刷，计算机软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件开发。</w:t>
      </w:r>
    </w:p>
    <w:p>
      <w:pPr>
        <w:spacing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6"/>
          <w:sz w:val="21"/>
          <w:szCs w:val="21"/>
        </w:rPr>
        <w:t> </w:t>
      </w:r>
      <w:r>
        <w:rPr>
          <w:rFonts w:ascii="宋体" w:hAnsi="宋体" w:cs="宋体" w:eastAsia="宋体" w:hint="default"/>
          <w:sz w:val="21"/>
          <w:szCs w:val="21"/>
        </w:rPr>
        <w:t>1,022.56</w:t>
      </w:r>
      <w:r>
        <w:rPr>
          <w:rFonts w:ascii="宋体" w:hAnsi="宋体" w:cs="宋体" w:eastAsia="宋体" w:hint="default"/>
          <w:spacing w:val="-56"/>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4"/>
          <w:sz w:val="21"/>
          <w:szCs w:val="21"/>
        </w:rPr>
        <w:t> </w:t>
      </w:r>
      <w:r>
        <w:rPr>
          <w:rFonts w:ascii="宋体" w:hAnsi="宋体" w:cs="宋体" w:eastAsia="宋体" w:hint="default"/>
          <w:sz w:val="21"/>
          <w:szCs w:val="21"/>
        </w:rPr>
        <w:t>9,140.12</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before="133"/>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）控股子公司—北京东港嘉华安全信息技术有限公司：</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7"/>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pacing w:val="-10"/>
          <w:sz w:val="21"/>
          <w:szCs w:val="21"/>
        </w:rPr>
        <w:t>日成立，注册资本</w:t>
      </w:r>
      <w:r>
        <w:rPr>
          <w:rFonts w:ascii="宋体" w:hAnsi="宋体" w:cs="宋体" w:eastAsia="宋体" w:hint="default"/>
          <w:spacing w:val="-47"/>
          <w:sz w:val="21"/>
          <w:szCs w:val="21"/>
        </w:rPr>
        <w:t> </w:t>
      </w:r>
      <w:r>
        <w:rPr>
          <w:rFonts w:ascii="宋体" w:hAnsi="宋体" w:cs="宋体" w:eastAsia="宋体" w:hint="default"/>
          <w:sz w:val="21"/>
          <w:szCs w:val="21"/>
        </w:rPr>
        <w:t>700</w:t>
      </w:r>
      <w:r>
        <w:rPr>
          <w:rFonts w:ascii="宋体" w:hAnsi="宋体" w:cs="宋体" w:eastAsia="宋体" w:hint="default"/>
          <w:spacing w:val="-49"/>
          <w:sz w:val="21"/>
          <w:szCs w:val="21"/>
        </w:rPr>
        <w:t> </w:t>
      </w:r>
      <w:r>
        <w:rPr>
          <w:rFonts w:ascii="宋体" w:hAnsi="宋体" w:cs="宋体" w:eastAsia="宋体" w:hint="default"/>
          <w:spacing w:val="-7"/>
          <w:sz w:val="21"/>
          <w:szCs w:val="21"/>
        </w:rPr>
        <w:t>万美元，本公司持股比例为</w:t>
      </w:r>
      <w:r>
        <w:rPr>
          <w:rFonts w:ascii="宋体" w:hAnsi="宋体" w:cs="宋体" w:eastAsia="宋体" w:hint="default"/>
          <w:spacing w:val="-47"/>
          <w:sz w:val="21"/>
          <w:szCs w:val="21"/>
        </w:rPr>
        <w:t> </w:t>
      </w:r>
      <w:r>
        <w:rPr>
          <w:rFonts w:ascii="宋体" w:hAnsi="宋体" w:cs="宋体" w:eastAsia="宋体" w:hint="default"/>
          <w:spacing w:val="-7"/>
          <w:sz w:val="21"/>
          <w:szCs w:val="21"/>
        </w:rPr>
        <w:t>75%</w:t>
      </w:r>
      <w:r>
        <w:rPr>
          <w:rFonts w:ascii="宋体" w:hAnsi="宋体" w:cs="宋体" w:eastAsia="宋体" w:hint="default"/>
          <w:spacing w:val="-7"/>
          <w:sz w:val="21"/>
          <w:szCs w:val="21"/>
        </w:rPr>
        <w:t>。公司法定代表人：</w:t>
      </w:r>
    </w:p>
    <w:p>
      <w:pPr>
        <w:spacing w:line="357" w:lineRule="auto" w:before="133"/>
        <w:ind w:left="122" w:right="1277" w:firstLine="0"/>
        <w:jc w:val="both"/>
        <w:rPr>
          <w:rFonts w:ascii="宋体" w:hAnsi="宋体" w:cs="宋体" w:eastAsia="宋体" w:hint="default"/>
          <w:sz w:val="21"/>
          <w:szCs w:val="21"/>
        </w:rPr>
      </w:pPr>
      <w:r>
        <w:rPr>
          <w:rFonts w:ascii="宋体" w:hAnsi="宋体" w:cs="宋体" w:eastAsia="宋体" w:hint="default"/>
          <w:sz w:val="21"/>
          <w:szCs w:val="21"/>
        </w:rPr>
        <w:t>谷望江。注册地址：北京市北京经济技术开发区经海四路</w:t>
      </w:r>
      <w:r>
        <w:rPr>
          <w:rFonts w:ascii="宋体" w:hAnsi="宋体" w:cs="宋体" w:eastAsia="宋体" w:hint="default"/>
          <w:spacing w:val="-48"/>
          <w:sz w:val="21"/>
          <w:szCs w:val="21"/>
        </w:rPr>
        <w:t> </w:t>
      </w:r>
      <w:r>
        <w:rPr>
          <w:rFonts w:ascii="宋体" w:hAnsi="宋体" w:cs="宋体" w:eastAsia="宋体" w:hint="default"/>
          <w:sz w:val="21"/>
          <w:szCs w:val="21"/>
        </w:rPr>
        <w:t>139</w:t>
      </w:r>
      <w:r>
        <w:rPr>
          <w:rFonts w:ascii="宋体" w:hAnsi="宋体" w:cs="宋体" w:eastAsia="宋体" w:hint="default"/>
          <w:spacing w:val="-51"/>
          <w:sz w:val="21"/>
          <w:szCs w:val="21"/>
        </w:rPr>
        <w:t> </w:t>
      </w:r>
      <w:r>
        <w:rPr>
          <w:rFonts w:ascii="宋体" w:hAnsi="宋体" w:cs="宋体" w:eastAsia="宋体" w:hint="default"/>
          <w:spacing w:val="-3"/>
          <w:sz w:val="21"/>
          <w:szCs w:val="21"/>
        </w:rPr>
        <w:t>号。经营范围：开发、生产喷墨打印</w:t>
      </w:r>
      <w:r>
        <w:rPr>
          <w:rFonts w:ascii="宋体" w:hAnsi="宋体" w:cs="宋体" w:eastAsia="宋体" w:hint="default"/>
          <w:w w:val="100"/>
          <w:sz w:val="21"/>
          <w:szCs w:val="21"/>
        </w:rPr>
        <w:t> </w:t>
      </w:r>
      <w:r>
        <w:rPr>
          <w:rFonts w:ascii="宋体" w:hAnsi="宋体" w:cs="宋体" w:eastAsia="宋体" w:hint="default"/>
          <w:spacing w:val="-3"/>
          <w:sz w:val="21"/>
          <w:szCs w:val="21"/>
        </w:rPr>
        <w:t>设备、智能电子标签及专用计算机软件；销售自产产品；数据处理服务及自产产品技术咨询、技术</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服务，其他印刷品印刷。</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526.24</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15,339.59</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）控股子公司—广州东港安全印刷有限公司：</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日成立，注册资本</w:t>
      </w:r>
      <w:r>
        <w:rPr>
          <w:rFonts w:ascii="宋体" w:hAnsi="宋体" w:cs="宋体" w:eastAsia="宋体" w:hint="default"/>
          <w:spacing w:val="-52"/>
          <w:sz w:val="21"/>
          <w:szCs w:val="21"/>
        </w:rPr>
        <w:t> </w:t>
      </w:r>
      <w:r>
        <w:rPr>
          <w:rFonts w:ascii="宋体" w:hAnsi="宋体" w:cs="宋体" w:eastAsia="宋体" w:hint="default"/>
          <w:sz w:val="21"/>
          <w:szCs w:val="21"/>
        </w:rPr>
        <w:t>4,200</w:t>
      </w:r>
      <w:r>
        <w:rPr>
          <w:rFonts w:ascii="宋体" w:hAnsi="宋体" w:cs="宋体" w:eastAsia="宋体" w:hint="default"/>
          <w:spacing w:val="-53"/>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1"/>
          <w:sz w:val="21"/>
          <w:szCs w:val="21"/>
        </w:rPr>
        <w:t> </w:t>
      </w:r>
      <w:r>
        <w:rPr>
          <w:rFonts w:ascii="宋体" w:hAnsi="宋体" w:cs="宋体" w:eastAsia="宋体" w:hint="default"/>
          <w:sz w:val="21"/>
          <w:szCs w:val="21"/>
        </w:rPr>
        <w:t>75%</w:t>
      </w:r>
      <w:r>
        <w:rPr>
          <w:rFonts w:ascii="宋体" w:hAnsi="宋体" w:cs="宋体" w:eastAsia="宋体" w:hint="default"/>
          <w:sz w:val="21"/>
          <w:szCs w:val="21"/>
        </w:rPr>
        <w:t>。公司法定代表</w:t>
      </w:r>
    </w:p>
    <w:p>
      <w:pPr>
        <w:spacing w:line="355" w:lineRule="auto" w:before="135"/>
        <w:ind w:left="122" w:right="1280" w:firstLine="0"/>
        <w:jc w:val="both"/>
        <w:rPr>
          <w:rFonts w:ascii="宋体" w:hAnsi="宋体" w:cs="宋体" w:eastAsia="宋体" w:hint="default"/>
          <w:sz w:val="21"/>
          <w:szCs w:val="21"/>
        </w:rPr>
      </w:pPr>
      <w:r>
        <w:rPr>
          <w:rFonts w:ascii="宋体" w:hAnsi="宋体" w:cs="宋体" w:eastAsia="宋体" w:hint="default"/>
          <w:spacing w:val="-3"/>
          <w:sz w:val="21"/>
          <w:szCs w:val="21"/>
        </w:rPr>
        <w:t>人：谷望江。注册地址：广州市高新技术产业开发区科学城南云五路</w:t>
      </w:r>
      <w:r>
        <w:rPr>
          <w:rFonts w:ascii="宋体" w:hAnsi="宋体" w:cs="宋体" w:eastAsia="宋体" w:hint="default"/>
          <w:spacing w:val="-16"/>
          <w:sz w:val="21"/>
          <w:szCs w:val="21"/>
        </w:rPr>
        <w:t> </w:t>
      </w:r>
      <w:r>
        <w:rPr>
          <w:rFonts w:ascii="宋体" w:hAnsi="宋体" w:cs="宋体" w:eastAsia="宋体" w:hint="default"/>
          <w:sz w:val="21"/>
          <w:szCs w:val="21"/>
        </w:rPr>
        <w:t>5</w:t>
      </w:r>
      <w:r>
        <w:rPr>
          <w:rFonts w:ascii="宋体" w:hAnsi="宋体" w:cs="宋体" w:eastAsia="宋体" w:hint="default"/>
          <w:spacing w:val="-20"/>
          <w:sz w:val="21"/>
          <w:szCs w:val="21"/>
        </w:rPr>
        <w:t> </w:t>
      </w:r>
      <w:r>
        <w:rPr>
          <w:rFonts w:ascii="宋体" w:hAnsi="宋体" w:cs="宋体" w:eastAsia="宋体" w:hint="default"/>
          <w:spacing w:val="-3"/>
          <w:sz w:val="21"/>
          <w:szCs w:val="21"/>
        </w:rPr>
        <w:t>号。经营范围：包装装潢及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其他类印刷品印刷，软件的开发及生产。</w:t>
      </w:r>
    </w:p>
    <w:p>
      <w:pPr>
        <w:spacing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732.52</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9,874.73</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）控股子公司—山东东港数据处理有限公司：</w:t>
      </w:r>
    </w:p>
    <w:p>
      <w:pPr>
        <w:spacing w:line="357" w:lineRule="auto" w:before="133"/>
        <w:ind w:left="122" w:right="1144" w:firstLine="419"/>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7"/>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27</w:t>
      </w:r>
      <w:r>
        <w:rPr>
          <w:rFonts w:ascii="宋体" w:hAnsi="宋体" w:cs="宋体" w:eastAsia="宋体" w:hint="default"/>
          <w:spacing w:val="-47"/>
          <w:sz w:val="21"/>
          <w:szCs w:val="21"/>
        </w:rPr>
        <w:t> </w:t>
      </w:r>
      <w:r>
        <w:rPr>
          <w:rFonts w:ascii="宋体" w:hAnsi="宋体" w:cs="宋体" w:eastAsia="宋体" w:hint="default"/>
          <w:spacing w:val="-3"/>
          <w:sz w:val="21"/>
          <w:szCs w:val="21"/>
        </w:rPr>
        <w:t>日独资设立了山东东港数据处理有限公司，注册资本</w:t>
      </w:r>
      <w:r>
        <w:rPr>
          <w:rFonts w:ascii="宋体" w:hAnsi="宋体" w:cs="宋体" w:eastAsia="宋体" w:hint="default"/>
          <w:spacing w:val="-50"/>
          <w:sz w:val="21"/>
          <w:szCs w:val="21"/>
        </w:rPr>
        <w:t> </w:t>
      </w:r>
      <w:r>
        <w:rPr>
          <w:rFonts w:ascii="宋体" w:hAnsi="宋体" w:cs="宋体" w:eastAsia="宋体" w:hint="default"/>
          <w:sz w:val="21"/>
          <w:szCs w:val="21"/>
        </w:rPr>
        <w:t>3,000</w:t>
      </w:r>
      <w:r>
        <w:rPr>
          <w:rFonts w:ascii="宋体" w:hAnsi="宋体" w:cs="宋体" w:eastAsia="宋体" w:hint="default"/>
          <w:spacing w:val="-50"/>
          <w:sz w:val="21"/>
          <w:szCs w:val="21"/>
        </w:rPr>
        <w:t> </w:t>
      </w:r>
      <w:r>
        <w:rPr>
          <w:rFonts w:ascii="宋体" w:hAnsi="宋体" w:cs="宋体" w:eastAsia="宋体" w:hint="default"/>
          <w:spacing w:val="-4"/>
          <w:sz w:val="21"/>
          <w:szCs w:val="21"/>
        </w:rPr>
        <w:t>万元，本公</w:t>
      </w:r>
      <w:r>
        <w:rPr>
          <w:rFonts w:ascii="宋体" w:hAnsi="宋体" w:cs="宋体" w:eastAsia="宋体" w:hint="default"/>
          <w:w w:val="100"/>
          <w:sz w:val="21"/>
          <w:szCs w:val="21"/>
        </w:rPr>
        <w:t> </w:t>
      </w:r>
      <w:r>
        <w:rPr>
          <w:rFonts w:ascii="宋体" w:hAnsi="宋体" w:cs="宋体" w:eastAsia="宋体" w:hint="default"/>
          <w:spacing w:val="-1"/>
          <w:sz w:val="21"/>
          <w:szCs w:val="21"/>
        </w:rPr>
        <w:t>司持股比例为</w:t>
      </w:r>
      <w:r>
        <w:rPr>
          <w:rFonts w:ascii="宋体" w:hAnsi="宋体" w:cs="宋体" w:eastAsia="宋体" w:hint="default"/>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。公司法定代表人：王爱先。注册地址：济南市临港开发区机场路。经营范围：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包装装潢印刷品印刷，其他印刷品印刷；软件开发、生产销售；纸制品加工、销售；纸张、油墨的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销售；信息服务、数据处理业务。</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z w:val="21"/>
          <w:szCs w:val="21"/>
        </w:rPr>
        <w:t>-6.24</w:t>
      </w:r>
      <w:r>
        <w:rPr>
          <w:rFonts w:ascii="宋体" w:hAnsi="宋体" w:cs="宋体" w:eastAsia="宋体" w:hint="default"/>
          <w:spacing w:val="-57"/>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3,653.46</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before="135"/>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）控股子公司—成都东港安全印刷有限公司：</w:t>
      </w:r>
    </w:p>
    <w:p>
      <w:pPr>
        <w:spacing w:line="355" w:lineRule="auto" w:before="133"/>
        <w:ind w:left="122" w:right="1144" w:firstLine="419"/>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4"/>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27</w:t>
      </w:r>
      <w:r>
        <w:rPr>
          <w:rFonts w:ascii="宋体" w:hAnsi="宋体" w:cs="宋体" w:eastAsia="宋体" w:hint="default"/>
          <w:spacing w:val="-46"/>
          <w:sz w:val="21"/>
          <w:szCs w:val="21"/>
        </w:rPr>
        <w:t> </w:t>
      </w:r>
      <w:r>
        <w:rPr>
          <w:rFonts w:ascii="宋体" w:hAnsi="宋体" w:cs="宋体" w:eastAsia="宋体" w:hint="default"/>
          <w:sz w:val="21"/>
          <w:szCs w:val="21"/>
        </w:rPr>
        <w:t>日独资设立了成都东港安全印刷有限公司，注册资本</w:t>
      </w:r>
      <w:r>
        <w:rPr>
          <w:rFonts w:ascii="宋体" w:hAnsi="宋体" w:cs="宋体" w:eastAsia="宋体" w:hint="default"/>
          <w:spacing w:val="-44"/>
          <w:sz w:val="21"/>
          <w:szCs w:val="21"/>
        </w:rPr>
        <w:t> </w:t>
      </w:r>
      <w:r>
        <w:rPr>
          <w:rFonts w:ascii="宋体" w:hAnsi="宋体" w:cs="宋体" w:eastAsia="宋体" w:hint="default"/>
          <w:sz w:val="21"/>
          <w:szCs w:val="21"/>
        </w:rPr>
        <w:t>500</w:t>
      </w:r>
      <w:r>
        <w:rPr>
          <w:rFonts w:ascii="宋体" w:hAnsi="宋体" w:cs="宋体" w:eastAsia="宋体" w:hint="default"/>
          <w:spacing w:val="-44"/>
          <w:sz w:val="21"/>
          <w:szCs w:val="21"/>
        </w:rPr>
        <w:t> </w:t>
      </w:r>
      <w:r>
        <w:rPr>
          <w:rFonts w:ascii="宋体" w:hAnsi="宋体" w:cs="宋体" w:eastAsia="宋体" w:hint="default"/>
          <w:sz w:val="21"/>
          <w:szCs w:val="21"/>
        </w:rPr>
        <w:t>万元，本公</w:t>
      </w:r>
      <w:r>
        <w:rPr>
          <w:rFonts w:ascii="宋体" w:hAnsi="宋体" w:cs="宋体" w:eastAsia="宋体" w:hint="default"/>
          <w:w w:val="100"/>
          <w:sz w:val="21"/>
          <w:szCs w:val="21"/>
        </w:rPr>
        <w:t> </w:t>
      </w:r>
      <w:r>
        <w:rPr>
          <w:rFonts w:ascii="宋体" w:hAnsi="宋体" w:cs="宋体" w:eastAsia="宋体" w:hint="default"/>
          <w:sz w:val="21"/>
          <w:szCs w:val="21"/>
        </w:rPr>
        <w:t>司持股比例为</w:t>
      </w:r>
      <w:r>
        <w:rPr>
          <w:rFonts w:ascii="宋体" w:hAnsi="宋体" w:cs="宋体" w:eastAsia="宋体" w:hint="default"/>
          <w:spacing w:val="-38"/>
          <w:sz w:val="21"/>
          <w:szCs w:val="21"/>
        </w:rPr>
        <w:t> </w:t>
      </w:r>
      <w:r>
        <w:rPr>
          <w:rFonts w:ascii="宋体" w:hAnsi="宋体" w:cs="宋体" w:eastAsia="宋体" w:hint="default"/>
          <w:spacing w:val="-4"/>
          <w:sz w:val="21"/>
          <w:szCs w:val="21"/>
        </w:rPr>
        <w:t>100%</w:t>
      </w:r>
      <w:r>
        <w:rPr>
          <w:rFonts w:ascii="宋体" w:hAnsi="宋体" w:cs="宋体" w:eastAsia="宋体" w:hint="default"/>
          <w:spacing w:val="-4"/>
          <w:sz w:val="21"/>
          <w:szCs w:val="21"/>
        </w:rPr>
        <w:t>。公司法定代表人：谷望江。注册地址：成都蛟龙工业港双流园区清江路</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座。</w:t>
      </w:r>
      <w:r>
        <w:rPr>
          <w:rFonts w:ascii="宋体" w:hAnsi="宋体" w:cs="宋体" w:eastAsia="宋体" w:hint="default"/>
          <w:spacing w:val="-99"/>
          <w:sz w:val="21"/>
          <w:szCs w:val="21"/>
        </w:rPr>
        <w:t> </w:t>
      </w:r>
      <w:r>
        <w:rPr>
          <w:rFonts w:ascii="宋体" w:hAnsi="宋体" w:cs="宋体" w:eastAsia="宋体" w:hint="default"/>
          <w:spacing w:val="-5"/>
          <w:sz w:val="21"/>
          <w:szCs w:val="21"/>
        </w:rPr>
        <w:t>经营范围：其他印刷品印刷；计算机软件的开发、生产；销售电子标签、纸制品、纸张、印刷器材；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印刷技术咨询服务。</w:t>
      </w:r>
    </w:p>
    <w:p>
      <w:pPr>
        <w:spacing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7"/>
          <w:sz w:val="21"/>
          <w:szCs w:val="21"/>
        </w:rPr>
        <w:t> </w:t>
      </w:r>
      <w:r>
        <w:rPr>
          <w:rFonts w:ascii="宋体" w:hAnsi="宋体" w:cs="宋体" w:eastAsia="宋体" w:hint="default"/>
          <w:sz w:val="21"/>
          <w:szCs w:val="21"/>
        </w:rPr>
        <w:t>237.65</w:t>
      </w:r>
      <w:r>
        <w:rPr>
          <w:rFonts w:ascii="宋体" w:hAnsi="宋体" w:cs="宋体" w:eastAsia="宋体" w:hint="default"/>
          <w:spacing w:val="-5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1,375.32</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12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）控股子公司－上海东港数据处理有限公司：</w:t>
      </w:r>
    </w:p>
    <w:p>
      <w:pPr>
        <w:spacing w:before="133"/>
        <w:ind w:left="0" w:right="631" w:firstLine="0"/>
        <w:jc w:val="center"/>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日设立，注册资本</w:t>
      </w:r>
      <w:r>
        <w:rPr>
          <w:rFonts w:ascii="宋体" w:hAnsi="宋体" w:cs="宋体" w:eastAsia="宋体" w:hint="default"/>
          <w:spacing w:val="-52"/>
          <w:sz w:val="21"/>
          <w:szCs w:val="21"/>
        </w:rPr>
        <w:t> </w:t>
      </w:r>
      <w:r>
        <w:rPr>
          <w:rFonts w:ascii="宋体" w:hAnsi="宋体" w:cs="宋体" w:eastAsia="宋体" w:hint="default"/>
          <w:sz w:val="21"/>
          <w:szCs w:val="21"/>
        </w:rPr>
        <w:t>15,000</w:t>
      </w:r>
      <w:r>
        <w:rPr>
          <w:rFonts w:ascii="宋体" w:hAnsi="宋体" w:cs="宋体" w:eastAsia="宋体" w:hint="default"/>
          <w:spacing w:val="-52"/>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2"/>
          <w:sz w:val="21"/>
          <w:szCs w:val="21"/>
        </w:rPr>
        <w:t> </w:t>
      </w:r>
      <w:r>
        <w:rPr>
          <w:rFonts w:ascii="宋体" w:hAnsi="宋体" w:cs="宋体" w:eastAsia="宋体" w:hint="default"/>
          <w:sz w:val="21"/>
          <w:szCs w:val="21"/>
        </w:rPr>
        <w:t>86.67%</w:t>
      </w:r>
      <w:r>
        <w:rPr>
          <w:rFonts w:ascii="宋体" w:hAnsi="宋体" w:cs="宋体" w:eastAsia="宋体" w:hint="default"/>
          <w:sz w:val="21"/>
          <w:szCs w:val="21"/>
        </w:rPr>
        <w:t>。公司法</w:t>
      </w:r>
    </w:p>
    <w:p>
      <w:pPr>
        <w:spacing w:line="357" w:lineRule="auto" w:before="133"/>
        <w:ind w:left="122" w:right="1277" w:firstLine="0"/>
        <w:jc w:val="both"/>
        <w:rPr>
          <w:rFonts w:ascii="宋体" w:hAnsi="宋体" w:cs="宋体" w:eastAsia="宋体" w:hint="default"/>
          <w:sz w:val="21"/>
          <w:szCs w:val="21"/>
        </w:rPr>
      </w:pPr>
      <w:r>
        <w:rPr>
          <w:rFonts w:ascii="宋体" w:hAnsi="宋体" w:cs="宋体" w:eastAsia="宋体" w:hint="default"/>
          <w:sz w:val="21"/>
          <w:szCs w:val="21"/>
        </w:rPr>
        <w:t>定代表人：史建中。注册地址：上海市闵行区华宁路</w:t>
      </w:r>
      <w:r>
        <w:rPr>
          <w:rFonts w:ascii="宋体" w:hAnsi="宋体" w:cs="宋体" w:eastAsia="宋体" w:hint="default"/>
          <w:spacing w:val="-36"/>
          <w:sz w:val="21"/>
          <w:szCs w:val="21"/>
        </w:rPr>
        <w:t> </w:t>
      </w:r>
      <w:r>
        <w:rPr>
          <w:rFonts w:ascii="宋体" w:hAnsi="宋体" w:cs="宋体" w:eastAsia="宋体" w:hint="default"/>
          <w:sz w:val="21"/>
          <w:szCs w:val="21"/>
        </w:rPr>
        <w:t>2888</w:t>
      </w:r>
      <w:r>
        <w:rPr>
          <w:rFonts w:ascii="宋体" w:hAnsi="宋体" w:cs="宋体" w:eastAsia="宋体" w:hint="default"/>
          <w:spacing w:val="-36"/>
          <w:sz w:val="21"/>
          <w:szCs w:val="21"/>
        </w:rPr>
        <w:t> </w:t>
      </w:r>
      <w:r>
        <w:rPr>
          <w:rFonts w:ascii="宋体" w:hAnsi="宋体" w:cs="宋体" w:eastAsia="宋体" w:hint="default"/>
          <w:sz w:val="21"/>
          <w:szCs w:val="21"/>
        </w:rPr>
        <w:t>弄</w:t>
      </w:r>
      <w:r>
        <w:rPr>
          <w:rFonts w:ascii="宋体" w:hAnsi="宋体" w:cs="宋体" w:eastAsia="宋体" w:hint="default"/>
          <w:spacing w:val="-36"/>
          <w:sz w:val="21"/>
          <w:szCs w:val="21"/>
        </w:rPr>
        <w:t> </w:t>
      </w:r>
      <w:r>
        <w:rPr>
          <w:rFonts w:ascii="宋体" w:hAnsi="宋体" w:cs="宋体" w:eastAsia="宋体" w:hint="default"/>
          <w:sz w:val="21"/>
          <w:szCs w:val="21"/>
        </w:rPr>
        <w:t>385</w:t>
      </w:r>
      <w:r>
        <w:rPr>
          <w:rFonts w:ascii="宋体" w:hAnsi="宋体" w:cs="宋体" w:eastAsia="宋体" w:hint="default"/>
          <w:spacing w:val="-38"/>
          <w:sz w:val="21"/>
          <w:szCs w:val="21"/>
        </w:rPr>
        <w:t> </w:t>
      </w:r>
      <w:r>
        <w:rPr>
          <w:rFonts w:ascii="宋体" w:hAnsi="宋体" w:cs="宋体" w:eastAsia="宋体" w:hint="default"/>
          <w:sz w:val="21"/>
          <w:szCs w:val="21"/>
        </w:rPr>
        <w:t>号第三幢厂房。经营范围：计算</w:t>
      </w:r>
      <w:r>
        <w:rPr>
          <w:rFonts w:ascii="宋体" w:hAnsi="宋体" w:cs="宋体" w:eastAsia="宋体" w:hint="default"/>
          <w:w w:val="100"/>
          <w:sz w:val="21"/>
          <w:szCs w:val="21"/>
        </w:rPr>
        <w:t> </w:t>
      </w:r>
      <w:r>
        <w:rPr>
          <w:rFonts w:ascii="宋体" w:hAnsi="宋体" w:cs="宋体" w:eastAsia="宋体" w:hint="default"/>
          <w:spacing w:val="-3"/>
          <w:w w:val="100"/>
          <w:sz w:val="21"/>
          <w:szCs w:val="21"/>
        </w:rPr>
        <w:t>机软件开发，电脑数据处理，商务咨询（除经纪），计算机技术领域内的技术服务，技术咨询，技</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术开发，技术转让，包装印刷，其他印刷。</w:t>
      </w:r>
    </w:p>
    <w:p>
      <w:pPr>
        <w:spacing w:line="355" w:lineRule="auto" w:before="30"/>
        <w:ind w:left="122" w:right="0" w:firstLine="419"/>
        <w:jc w:val="left"/>
        <w:rPr>
          <w:rFonts w:ascii="宋体" w:hAnsi="宋体" w:cs="宋体" w:eastAsia="宋体" w:hint="default"/>
          <w:sz w:val="21"/>
          <w:szCs w:val="21"/>
        </w:rPr>
      </w:pPr>
      <w:r>
        <w:rPr>
          <w:rFonts w:ascii="宋体" w:hAnsi="宋体" w:cs="宋体" w:eastAsia="宋体" w:hint="default"/>
          <w:spacing w:val="-3"/>
          <w:sz w:val="21"/>
          <w:szCs w:val="21"/>
        </w:rPr>
        <w:t>报告期内，由于该公司基建工程推迟，为提高集团资金使用效率，根据公司《控股子公司管理</w:t>
      </w:r>
      <w:r>
        <w:rPr>
          <w:rFonts w:ascii="宋体" w:hAnsi="宋体" w:cs="宋体" w:eastAsia="宋体" w:hint="default"/>
          <w:w w:val="100"/>
          <w:sz w:val="21"/>
          <w:szCs w:val="21"/>
        </w:rPr>
        <w:t> </w:t>
      </w:r>
      <w:r>
        <w:rPr>
          <w:rFonts w:ascii="宋体" w:hAnsi="宋体" w:cs="宋体" w:eastAsia="宋体" w:hint="default"/>
          <w:spacing w:val="-3"/>
          <w:sz w:val="21"/>
          <w:szCs w:val="21"/>
        </w:rPr>
        <w:t>办法》和《总经理工作细则》的规定，经股份公司总经理批准，上海东港数据处理有限公司分别向</w:t>
      </w:r>
    </w:p>
    <w:p>
      <w:pPr>
        <w:spacing w:after="0" w:line="355"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w w:val="100"/>
          <w:sz w:val="21"/>
          <w:szCs w:val="21"/>
        </w:rPr>
        <w:t>北京</w:t>
      </w:r>
      <w:r>
        <w:rPr>
          <w:rFonts w:ascii="宋体" w:hAnsi="宋体" w:cs="宋体" w:eastAsia="宋体" w:hint="default"/>
          <w:spacing w:val="-3"/>
          <w:w w:val="100"/>
          <w:sz w:val="21"/>
          <w:szCs w:val="21"/>
        </w:rPr>
        <w:t>东</w:t>
      </w:r>
      <w:r>
        <w:rPr>
          <w:rFonts w:ascii="宋体" w:hAnsi="宋体" w:cs="宋体" w:eastAsia="宋体" w:hint="default"/>
          <w:w w:val="100"/>
          <w:sz w:val="21"/>
          <w:szCs w:val="21"/>
        </w:rPr>
        <w:t>港</w:t>
      </w:r>
      <w:r>
        <w:rPr>
          <w:rFonts w:ascii="宋体" w:hAnsi="宋体" w:cs="宋体" w:eastAsia="宋体" w:hint="default"/>
          <w:spacing w:val="-3"/>
          <w:w w:val="100"/>
          <w:sz w:val="21"/>
          <w:szCs w:val="21"/>
        </w:rPr>
        <w:t>嘉</w:t>
      </w:r>
      <w:r>
        <w:rPr>
          <w:rFonts w:ascii="宋体" w:hAnsi="宋体" w:cs="宋体" w:eastAsia="宋体" w:hint="default"/>
          <w:w w:val="100"/>
          <w:sz w:val="21"/>
          <w:szCs w:val="21"/>
        </w:rPr>
        <w:t>华</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和</w:t>
      </w:r>
      <w:r>
        <w:rPr>
          <w:rFonts w:ascii="宋体" w:hAnsi="宋体" w:cs="宋体" w:eastAsia="宋体" w:hint="default"/>
          <w:spacing w:val="-3"/>
          <w:w w:val="100"/>
          <w:sz w:val="21"/>
          <w:szCs w:val="21"/>
        </w:rPr>
        <w:t>广</w:t>
      </w:r>
      <w:r>
        <w:rPr>
          <w:rFonts w:ascii="宋体" w:hAnsi="宋体" w:cs="宋体" w:eastAsia="宋体" w:hint="default"/>
          <w:w w:val="100"/>
          <w:sz w:val="21"/>
          <w:szCs w:val="21"/>
        </w:rPr>
        <w:t>州</w:t>
      </w:r>
      <w:r>
        <w:rPr>
          <w:rFonts w:ascii="宋体" w:hAnsi="宋体" w:cs="宋体" w:eastAsia="宋体" w:hint="default"/>
          <w:spacing w:val="-3"/>
          <w:w w:val="100"/>
          <w:sz w:val="21"/>
          <w:szCs w:val="21"/>
        </w:rPr>
        <w:t>东</w:t>
      </w:r>
      <w:r>
        <w:rPr>
          <w:rFonts w:ascii="宋体" w:hAnsi="宋体" w:cs="宋体" w:eastAsia="宋体" w:hint="default"/>
          <w:w w:val="100"/>
          <w:sz w:val="21"/>
          <w:szCs w:val="21"/>
        </w:rPr>
        <w:t>港</w:t>
      </w:r>
      <w:r>
        <w:rPr>
          <w:rFonts w:ascii="宋体" w:hAnsi="宋体" w:cs="宋体" w:eastAsia="宋体" w:hint="default"/>
          <w:spacing w:val="-3"/>
          <w:w w:val="100"/>
          <w:sz w:val="21"/>
          <w:szCs w:val="21"/>
        </w:rPr>
        <w:t>安</w:t>
      </w:r>
      <w:r>
        <w:rPr>
          <w:rFonts w:ascii="宋体" w:hAnsi="宋体" w:cs="宋体" w:eastAsia="宋体" w:hint="default"/>
          <w:w w:val="100"/>
          <w:sz w:val="21"/>
          <w:szCs w:val="21"/>
        </w:rPr>
        <w:t>全</w:t>
      </w:r>
      <w:r>
        <w:rPr>
          <w:rFonts w:ascii="宋体" w:hAnsi="宋体" w:cs="宋体" w:eastAsia="宋体" w:hint="default"/>
          <w:spacing w:val="-3"/>
          <w:w w:val="100"/>
          <w:sz w:val="21"/>
          <w:szCs w:val="21"/>
        </w:rPr>
        <w:t>印</w:t>
      </w:r>
      <w:r>
        <w:rPr>
          <w:rFonts w:ascii="宋体" w:hAnsi="宋体" w:cs="宋体" w:eastAsia="宋体" w:hint="default"/>
          <w:w w:val="100"/>
          <w:sz w:val="21"/>
          <w:szCs w:val="21"/>
        </w:rPr>
        <w:t>刷有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委</w:t>
      </w:r>
      <w:r>
        <w:rPr>
          <w:rFonts w:ascii="宋体" w:hAnsi="宋体" w:cs="宋体" w:eastAsia="宋体" w:hint="default"/>
          <w:w w:val="100"/>
          <w:sz w:val="21"/>
          <w:szCs w:val="21"/>
        </w:rPr>
        <w:t>托贷款</w:t>
      </w:r>
      <w:r>
        <w:rPr>
          <w:rFonts w:ascii="宋体" w:hAnsi="宋体" w:cs="宋体" w:eastAsia="宋体" w:hint="default"/>
          <w:spacing w:val="-62"/>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62"/>
          <w:sz w:val="21"/>
          <w:szCs w:val="21"/>
        </w:rPr>
        <w:t> </w:t>
      </w:r>
      <w:r>
        <w:rPr>
          <w:rFonts w:ascii="宋体" w:hAnsi="宋体" w:cs="宋体" w:eastAsia="宋体" w:hint="default"/>
          <w:w w:val="100"/>
          <w:sz w:val="21"/>
          <w:szCs w:val="21"/>
        </w:rPr>
        <w:t>万元和</w:t>
      </w:r>
      <w:r>
        <w:rPr>
          <w:rFonts w:ascii="宋体" w:hAnsi="宋体" w:cs="宋体" w:eastAsia="宋体" w:hint="default"/>
          <w:spacing w:val="-62"/>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,000</w:t>
      </w:r>
      <w:r>
        <w:rPr>
          <w:rFonts w:ascii="宋体" w:hAnsi="宋体" w:cs="宋体" w:eastAsia="宋体" w:hint="default"/>
          <w:spacing w:val="-62"/>
          <w:sz w:val="21"/>
          <w:szCs w:val="21"/>
        </w:rPr>
        <w:t> </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before="133"/>
        <w:ind w:left="0" w:right="2384" w:firstLine="0"/>
        <w:jc w:val="center"/>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56"/>
          <w:sz w:val="21"/>
          <w:szCs w:val="21"/>
        </w:rPr>
        <w:t> </w:t>
      </w:r>
      <w:r>
        <w:rPr>
          <w:rFonts w:ascii="宋体" w:hAnsi="宋体" w:cs="宋体" w:eastAsia="宋体" w:hint="default"/>
          <w:sz w:val="21"/>
          <w:szCs w:val="21"/>
        </w:rPr>
        <w:t>49.93</w:t>
      </w:r>
      <w:r>
        <w:rPr>
          <w:rFonts w:ascii="宋体" w:hAnsi="宋体" w:cs="宋体" w:eastAsia="宋体" w:hint="default"/>
          <w:spacing w:val="-56"/>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4"/>
          <w:sz w:val="21"/>
          <w:szCs w:val="21"/>
        </w:rPr>
        <w:t> </w:t>
      </w:r>
      <w:r>
        <w:rPr>
          <w:rFonts w:ascii="宋体" w:hAnsi="宋体" w:cs="宋体" w:eastAsia="宋体" w:hint="default"/>
          <w:sz w:val="21"/>
          <w:szCs w:val="21"/>
        </w:rPr>
        <w:t>15,069.31</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133"/>
        <w:ind w:left="122"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10</w:t>
      </w:r>
      <w:r>
        <w:rPr>
          <w:rFonts w:ascii="宋体" w:hAnsi="宋体" w:cs="宋体" w:eastAsia="宋体" w:hint="default"/>
          <w:spacing w:val="-2"/>
          <w:sz w:val="21"/>
          <w:szCs w:val="21"/>
        </w:rPr>
        <w:t>）对公司合并净利润影响达到</w:t>
      </w:r>
      <w:r>
        <w:rPr>
          <w:rFonts w:ascii="宋体" w:hAnsi="宋体" w:cs="宋体" w:eastAsia="宋体" w:hint="default"/>
          <w:spacing w:val="22"/>
          <w:sz w:val="21"/>
          <w:szCs w:val="21"/>
        </w:rPr>
        <w:t> </w:t>
      </w:r>
      <w:r>
        <w:rPr>
          <w:rFonts w:ascii="宋体" w:hAnsi="宋体" w:cs="宋体" w:eastAsia="宋体" w:hint="default"/>
          <w:spacing w:val="-2"/>
          <w:sz w:val="21"/>
          <w:szCs w:val="21"/>
        </w:rPr>
        <w:t>10%</w:t>
      </w:r>
      <w:r>
        <w:rPr>
          <w:rFonts w:ascii="宋体" w:hAnsi="宋体" w:cs="宋体" w:eastAsia="宋体" w:hint="default"/>
          <w:spacing w:val="-2"/>
          <w:sz w:val="21"/>
          <w:szCs w:val="21"/>
        </w:rPr>
        <w:t>的主要子公司或参股公司的经营情况及业绩情况</w:t>
      </w:r>
    </w:p>
    <w:p>
      <w:pPr>
        <w:spacing w:line="240" w:lineRule="auto" w:before="13"/>
        <w:rPr>
          <w:rFonts w:ascii="宋体" w:hAnsi="宋体" w:cs="宋体" w:eastAsia="宋体" w:hint="default"/>
          <w:sz w:val="12"/>
          <w:szCs w:val="12"/>
        </w:rPr>
      </w:pPr>
    </w:p>
    <w:tbl>
      <w:tblPr>
        <w:tblW w:w="0" w:type="auto"/>
        <w:jc w:val="left"/>
        <w:tblInd w:w="353" w:type="dxa"/>
        <w:tblLayout w:type="fixed"/>
        <w:tblCellMar>
          <w:top w:w="0" w:type="dxa"/>
          <w:left w:w="0" w:type="dxa"/>
          <w:bottom w:w="0" w:type="dxa"/>
          <w:right w:w="0" w:type="dxa"/>
        </w:tblCellMar>
        <w:tblLook w:val="01E0"/>
      </w:tblPr>
      <w:tblGrid>
        <w:gridCol w:w="2516"/>
        <w:gridCol w:w="1162"/>
        <w:gridCol w:w="1656"/>
        <w:gridCol w:w="1582"/>
        <w:gridCol w:w="1613"/>
      </w:tblGrid>
      <w:tr>
        <w:trPr>
          <w:trHeight w:val="329" w:hRule="exact"/>
        </w:trPr>
        <w:tc>
          <w:tcPr>
            <w:tcW w:w="25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年净利润</w:t>
            </w:r>
          </w:p>
        </w:tc>
        <w:tc>
          <w:tcPr>
            <w:tcW w:w="15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218"/>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年净利润</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同比变动比例</w:t>
            </w:r>
            <w:r>
              <w:rPr>
                <w:rFonts w:ascii="宋体" w:hAnsi="宋体" w:cs="宋体" w:eastAsia="宋体" w:hint="default"/>
                <w:sz w:val="18"/>
                <w:szCs w:val="18"/>
              </w:rPr>
              <w:t>%</w:t>
            </w:r>
          </w:p>
        </w:tc>
      </w:tr>
      <w:tr>
        <w:trPr>
          <w:trHeight w:val="374" w:hRule="exact"/>
        </w:trPr>
        <w:tc>
          <w:tcPr>
            <w:tcW w:w="25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142"/>
              <w:jc w:val="center"/>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24,151,206.01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9"/>
              <w:jc w:val="right"/>
              <w:rPr>
                <w:rFonts w:ascii="宋体" w:hAnsi="宋体" w:cs="宋体" w:eastAsia="宋体" w:hint="default"/>
                <w:sz w:val="18"/>
                <w:szCs w:val="18"/>
              </w:rPr>
            </w:pPr>
            <w:r>
              <w:rPr>
                <w:rFonts w:ascii="宋体"/>
                <w:spacing w:val="-1"/>
                <w:sz w:val="18"/>
              </w:rPr>
              <w:t>19,991,439.97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sz w:val="18"/>
              </w:rPr>
              <w:t>20.81</w:t>
            </w:r>
          </w:p>
        </w:tc>
      </w:tr>
      <w:tr>
        <w:trPr>
          <w:trHeight w:val="408" w:hRule="exact"/>
        </w:trPr>
        <w:tc>
          <w:tcPr>
            <w:tcW w:w="25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3"/>
              <w:ind w:right="142"/>
              <w:jc w:val="center"/>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10,225,565.82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5"/>
              <w:jc w:val="right"/>
              <w:rPr>
                <w:rFonts w:ascii="宋体" w:hAnsi="宋体" w:cs="宋体" w:eastAsia="宋体" w:hint="default"/>
                <w:sz w:val="18"/>
                <w:szCs w:val="18"/>
              </w:rPr>
            </w:pPr>
            <w:r>
              <w:rPr>
                <w:rFonts w:ascii="宋体"/>
                <w:spacing w:val="-1"/>
                <w:sz w:val="18"/>
              </w:rPr>
              <w:t>5,424,678.76</w:t>
            </w:r>
            <w:r>
              <w:rPr>
                <w:rFonts w:ascii="宋体"/>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88.50</w:t>
            </w:r>
          </w:p>
        </w:tc>
      </w:tr>
    </w:tbl>
    <w:p>
      <w:pPr>
        <w:spacing w:line="241" w:lineRule="exact" w:before="0"/>
        <w:ind w:left="542" w:right="0" w:firstLine="0"/>
        <w:jc w:val="left"/>
        <w:rPr>
          <w:rFonts w:ascii="宋体" w:hAnsi="宋体" w:cs="宋体" w:eastAsia="宋体" w:hint="default"/>
          <w:sz w:val="21"/>
          <w:szCs w:val="21"/>
        </w:rPr>
      </w:pPr>
      <w:r>
        <w:rPr>
          <w:rFonts w:ascii="宋体" w:hAnsi="宋体" w:cs="宋体" w:eastAsia="宋体" w:hint="default"/>
          <w:sz w:val="21"/>
          <w:szCs w:val="21"/>
        </w:rPr>
        <w:t>上海东港安全印刷有限公司本年度净利润增长 </w:t>
      </w:r>
      <w:r>
        <w:rPr>
          <w:rFonts w:ascii="宋体" w:hAnsi="宋体" w:cs="宋体" w:eastAsia="宋体" w:hint="default"/>
          <w:sz w:val="21"/>
          <w:szCs w:val="21"/>
        </w:rPr>
        <w:t>88.50%,</w:t>
      </w:r>
      <w:r>
        <w:rPr>
          <w:rFonts w:ascii="宋体" w:hAnsi="宋体" w:cs="宋体" w:eastAsia="宋体" w:hint="default"/>
          <w:sz w:val="21"/>
          <w:szCs w:val="21"/>
        </w:rPr>
        <w:t>主要是 </w:t>
      </w: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年该公司销售收入增加所</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致。</w:t>
      </w:r>
    </w:p>
    <w:p>
      <w:pPr>
        <w:spacing w:before="135"/>
        <w:ind w:left="122"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、报告期内公司无</w:t>
      </w:r>
      <w:r>
        <w:rPr>
          <w:rFonts w:ascii="宋体" w:hAnsi="宋体" w:cs="宋体" w:eastAsia="宋体" w:hint="default"/>
          <w:spacing w:val="-53"/>
          <w:sz w:val="21"/>
          <w:szCs w:val="21"/>
        </w:rPr>
        <w:t> </w:t>
      </w:r>
      <w:r>
        <w:rPr>
          <w:rFonts w:ascii="宋体" w:hAnsi="宋体" w:cs="宋体" w:eastAsia="宋体" w:hint="default"/>
          <w:sz w:val="21"/>
          <w:szCs w:val="21"/>
        </w:rPr>
        <w:t>PE</w:t>
      </w:r>
      <w:r>
        <w:rPr>
          <w:rFonts w:ascii="宋体" w:hAnsi="宋体" w:cs="宋体" w:eastAsia="宋体" w:hint="default"/>
          <w:spacing w:val="-51"/>
          <w:sz w:val="21"/>
          <w:szCs w:val="21"/>
        </w:rPr>
        <w:t> </w:t>
      </w:r>
      <w:r>
        <w:rPr>
          <w:rFonts w:ascii="宋体" w:hAnsi="宋体" w:cs="宋体" w:eastAsia="宋体" w:hint="default"/>
          <w:sz w:val="21"/>
          <w:szCs w:val="21"/>
        </w:rPr>
        <w:t>投资情况</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、主要债务及偿债能力分析</w:t>
      </w:r>
    </w:p>
    <w:p>
      <w:pPr>
        <w:tabs>
          <w:tab w:pos="6426" w:val="left" w:leader="none"/>
        </w:tabs>
        <w:spacing w:before="133"/>
        <w:ind w:left="334"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）主要债权债务</w:t>
        <w:tab/>
        <w:t>单位：元</w:t>
      </w:r>
    </w:p>
    <w:p>
      <w:pPr>
        <w:spacing w:line="240" w:lineRule="auto" w:before="10"/>
        <w:rPr>
          <w:rFonts w:ascii="宋体" w:hAnsi="宋体" w:cs="宋体" w:eastAsia="宋体" w:hint="default"/>
          <w:sz w:val="12"/>
          <w:szCs w:val="12"/>
        </w:rPr>
      </w:pPr>
    </w:p>
    <w:tbl>
      <w:tblPr>
        <w:tblW w:w="0" w:type="auto"/>
        <w:jc w:val="left"/>
        <w:tblInd w:w="725" w:type="dxa"/>
        <w:tblLayout w:type="fixed"/>
        <w:tblCellMar>
          <w:top w:w="0" w:type="dxa"/>
          <w:left w:w="0" w:type="dxa"/>
          <w:bottom w:w="0" w:type="dxa"/>
          <w:right w:w="0" w:type="dxa"/>
        </w:tblCellMar>
        <w:tblLook w:val="01E0"/>
      </w:tblPr>
      <w:tblGrid>
        <w:gridCol w:w="1037"/>
        <w:gridCol w:w="1477"/>
        <w:gridCol w:w="1476"/>
        <w:gridCol w:w="1476"/>
        <w:gridCol w:w="2317"/>
      </w:tblGrid>
      <w:tr>
        <w:trPr>
          <w:trHeight w:val="360" w:hRule="exact"/>
        </w:trPr>
        <w:tc>
          <w:tcPr>
            <w:tcW w:w="10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3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本年比上年增减幅度（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358" w:hRule="exact"/>
        </w:trPr>
        <w:tc>
          <w:tcPr>
            <w:tcW w:w="10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w:t>
            </w:r>
          </w:p>
        </w:tc>
      </w:tr>
      <w:tr>
        <w:trPr>
          <w:trHeight w:val="360" w:hRule="exact"/>
        </w:trPr>
        <w:tc>
          <w:tcPr>
            <w:tcW w:w="10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120,000,000.00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-100</w:t>
            </w:r>
          </w:p>
        </w:tc>
      </w:tr>
      <w:tr>
        <w:trPr>
          <w:trHeight w:val="360" w:hRule="exact"/>
        </w:trPr>
        <w:tc>
          <w:tcPr>
            <w:tcW w:w="10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102,999,782.68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60,239,795.90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37,634,767.69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70.98</w:t>
            </w:r>
          </w:p>
        </w:tc>
      </w:tr>
    </w:tbl>
    <w:p>
      <w:pPr>
        <w:spacing w:line="241" w:lineRule="exact" w:before="0"/>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应</w:t>
      </w:r>
      <w:r>
        <w:rPr>
          <w:rFonts w:ascii="宋体" w:hAnsi="宋体" w:cs="宋体" w:eastAsia="宋体" w:hint="default"/>
          <w:spacing w:val="-1"/>
          <w:w w:val="100"/>
          <w:sz w:val="21"/>
          <w:szCs w:val="21"/>
        </w:rPr>
        <w:t>收</w:t>
      </w:r>
      <w:r>
        <w:rPr>
          <w:rFonts w:ascii="宋体" w:hAnsi="宋体" w:cs="宋体" w:eastAsia="宋体" w:hint="default"/>
          <w:spacing w:val="-2"/>
          <w:w w:val="100"/>
          <w:sz w:val="21"/>
          <w:szCs w:val="21"/>
        </w:rPr>
        <w:t>账</w:t>
      </w:r>
      <w:r>
        <w:rPr>
          <w:rFonts w:ascii="宋体" w:hAnsi="宋体" w:cs="宋体" w:eastAsia="宋体" w:hint="default"/>
          <w:w w:val="100"/>
          <w:sz w:val="21"/>
          <w:szCs w:val="21"/>
        </w:rPr>
        <w:t>款</w:t>
      </w:r>
      <w:r>
        <w:rPr>
          <w:rFonts w:ascii="宋体" w:hAnsi="宋体" w:cs="宋体" w:eastAsia="宋体" w:hint="default"/>
          <w:spacing w:val="-3"/>
          <w:w w:val="100"/>
          <w:sz w:val="21"/>
          <w:szCs w:val="21"/>
        </w:rPr>
        <w:t>较</w:t>
      </w:r>
      <w:r>
        <w:rPr>
          <w:rFonts w:ascii="宋体" w:hAnsi="宋体" w:cs="宋体" w:eastAsia="宋体" w:hint="default"/>
          <w:w w:val="100"/>
          <w:sz w:val="21"/>
          <w:szCs w:val="21"/>
        </w:rPr>
        <w:t>上年</w:t>
      </w:r>
      <w:r>
        <w:rPr>
          <w:rFonts w:ascii="宋体" w:hAnsi="宋体" w:cs="宋体" w:eastAsia="宋体" w:hint="default"/>
          <w:spacing w:val="-3"/>
          <w:w w:val="100"/>
          <w:sz w:val="21"/>
          <w:szCs w:val="21"/>
        </w:rPr>
        <w:t>同</w:t>
      </w:r>
      <w:r>
        <w:rPr>
          <w:rFonts w:ascii="宋体" w:hAnsi="宋体" w:cs="宋体" w:eastAsia="宋体" w:hint="default"/>
          <w:w w:val="100"/>
          <w:sz w:val="21"/>
          <w:szCs w:val="21"/>
        </w:rPr>
        <w:t>比</w:t>
      </w:r>
      <w:r>
        <w:rPr>
          <w:rFonts w:ascii="宋体" w:hAnsi="宋体" w:cs="宋体" w:eastAsia="宋体" w:hint="default"/>
          <w:spacing w:val="-3"/>
          <w:w w:val="100"/>
          <w:sz w:val="21"/>
          <w:szCs w:val="21"/>
        </w:rPr>
        <w:t>增</w:t>
      </w:r>
      <w:r>
        <w:rPr>
          <w:rFonts w:ascii="宋体" w:hAnsi="宋体" w:cs="宋体" w:eastAsia="宋体" w:hint="default"/>
          <w:w w:val="100"/>
          <w:sz w:val="21"/>
          <w:szCs w:val="21"/>
        </w:rPr>
        <w:t>长</w:t>
      </w:r>
      <w:r>
        <w:rPr>
          <w:rFonts w:ascii="宋体" w:hAnsi="宋体" w:cs="宋体" w:eastAsia="宋体" w:hint="default"/>
          <w:spacing w:val="-53"/>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0.9</w:t>
      </w:r>
      <w:r>
        <w:rPr>
          <w:rFonts w:ascii="宋体" w:hAnsi="宋体" w:cs="宋体" w:eastAsia="宋体" w:hint="default"/>
          <w:spacing w:val="-3"/>
          <w:w w:val="100"/>
          <w:sz w:val="21"/>
          <w:szCs w:val="21"/>
        </w:rPr>
        <w:t>8</w:t>
      </w:r>
      <w:r>
        <w:rPr>
          <w:rFonts w:ascii="宋体" w:hAnsi="宋体" w:cs="宋体" w:eastAsia="宋体" w:hint="default"/>
          <w:w w:val="100"/>
          <w:sz w:val="21"/>
          <w:szCs w:val="21"/>
        </w:rPr>
        <w:t>％</w:t>
      </w:r>
      <w:r>
        <w:rPr>
          <w:rFonts w:ascii="宋体" w:hAnsi="宋体" w:cs="宋体" w:eastAsia="宋体" w:hint="default"/>
          <w:spacing w:val="-86"/>
          <w:w w:val="100"/>
          <w:sz w:val="21"/>
          <w:szCs w:val="21"/>
        </w:rPr>
        <w:t>，</w:t>
      </w:r>
      <w:r>
        <w:rPr>
          <w:rFonts w:ascii="宋体" w:hAnsi="宋体" w:cs="宋体" w:eastAsia="宋体" w:hint="default"/>
          <w:spacing w:val="-3"/>
          <w:w w:val="100"/>
          <w:sz w:val="21"/>
          <w:szCs w:val="21"/>
        </w:rPr>
        <w:t>主</w:t>
      </w:r>
      <w:r>
        <w:rPr>
          <w:rFonts w:ascii="宋体" w:hAnsi="宋体" w:cs="宋体" w:eastAsia="宋体" w:hint="default"/>
          <w:w w:val="100"/>
          <w:sz w:val="21"/>
          <w:szCs w:val="21"/>
        </w:rPr>
        <w:t>要原</w:t>
      </w:r>
      <w:r>
        <w:rPr>
          <w:rFonts w:ascii="宋体" w:hAnsi="宋体" w:cs="宋体" w:eastAsia="宋体" w:hint="default"/>
          <w:spacing w:val="-3"/>
          <w:w w:val="100"/>
          <w:sz w:val="21"/>
          <w:szCs w:val="21"/>
        </w:rPr>
        <w:t>因</w:t>
      </w:r>
      <w:r>
        <w:rPr>
          <w:rFonts w:ascii="宋体" w:hAnsi="宋体" w:cs="宋体" w:eastAsia="宋体" w:hint="default"/>
          <w:w w:val="100"/>
          <w:sz w:val="21"/>
          <w:szCs w:val="21"/>
        </w:rPr>
        <w:t>是</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销售</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3"/>
          <w:w w:val="100"/>
          <w:sz w:val="21"/>
          <w:szCs w:val="21"/>
        </w:rPr>
        <w:t>较</w:t>
      </w:r>
      <w:r>
        <w:rPr>
          <w:rFonts w:ascii="宋体" w:hAnsi="宋体" w:cs="宋体" w:eastAsia="宋体" w:hint="default"/>
          <w:w w:val="100"/>
          <w:sz w:val="21"/>
          <w:szCs w:val="21"/>
        </w:rPr>
        <w:t>上年</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有所增长，同时部分大客户未到付款期所致。</w:t>
      </w:r>
    </w:p>
    <w:p>
      <w:pPr>
        <w:spacing w:before="133"/>
        <w:ind w:left="3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）偿债能力分析</w:t>
      </w:r>
    </w:p>
    <w:p>
      <w:pPr>
        <w:spacing w:line="240" w:lineRule="auto" w:before="11"/>
        <w:rPr>
          <w:rFonts w:ascii="宋体" w:hAnsi="宋体" w:cs="宋体" w:eastAsia="宋体" w:hint="default"/>
          <w:sz w:val="12"/>
          <w:szCs w:val="12"/>
        </w:rPr>
      </w:pPr>
    </w:p>
    <w:tbl>
      <w:tblPr>
        <w:tblW w:w="0" w:type="auto"/>
        <w:jc w:val="left"/>
        <w:tblInd w:w="1517" w:type="dxa"/>
        <w:tblLayout w:type="fixed"/>
        <w:tblCellMar>
          <w:top w:w="0" w:type="dxa"/>
          <w:left w:w="0" w:type="dxa"/>
          <w:bottom w:w="0" w:type="dxa"/>
          <w:right w:w="0" w:type="dxa"/>
        </w:tblCellMar>
        <w:tblLook w:val="01E0"/>
      </w:tblPr>
      <w:tblGrid>
        <w:gridCol w:w="1445"/>
        <w:gridCol w:w="1080"/>
        <w:gridCol w:w="1080"/>
        <w:gridCol w:w="1078"/>
        <w:gridCol w:w="1515"/>
      </w:tblGrid>
      <w:tr>
        <w:trPr>
          <w:trHeight w:val="477" w:hRule="exact"/>
        </w:trPr>
        <w:tc>
          <w:tcPr>
            <w:tcW w:w="14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幅度</w:t>
            </w:r>
            <w:r>
              <w:rPr>
                <w:rFonts w:ascii="宋体" w:hAnsi="宋体" w:cs="宋体" w:eastAsia="宋体" w:hint="default"/>
                <w:sz w:val="18"/>
                <w:szCs w:val="18"/>
              </w:rPr>
              <w:t>(%)</w:t>
            </w:r>
          </w:p>
        </w:tc>
      </w:tr>
      <w:tr>
        <w:trPr>
          <w:trHeight w:val="360" w:hRule="exact"/>
        </w:trPr>
        <w:tc>
          <w:tcPr>
            <w:tcW w:w="14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sz w:val="18"/>
              </w:rPr>
              <w:t>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1.76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0.95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0.51</w:t>
            </w:r>
          </w:p>
        </w:tc>
      </w:tr>
      <w:tr>
        <w:trPr>
          <w:trHeight w:val="360" w:hRule="exact"/>
        </w:trPr>
        <w:tc>
          <w:tcPr>
            <w:tcW w:w="14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sz w:val="18"/>
              </w:rPr>
              <w:t>1.91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0.71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0.43</w:t>
            </w:r>
          </w:p>
        </w:tc>
      </w:tr>
      <w:tr>
        <w:trPr>
          <w:trHeight w:val="360" w:hRule="exact"/>
        </w:trPr>
        <w:tc>
          <w:tcPr>
            <w:tcW w:w="14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18.68%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24.43%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38.36%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-5.75</w:t>
            </w:r>
          </w:p>
        </w:tc>
      </w:tr>
    </w:tbl>
    <w:p>
      <w:pPr>
        <w:spacing w:line="241" w:lineRule="exact" w:before="0"/>
        <w:ind w:left="22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）资产营运能力分析</w:t>
      </w:r>
    </w:p>
    <w:p>
      <w:pPr>
        <w:spacing w:line="240" w:lineRule="auto" w:before="13"/>
        <w:rPr>
          <w:rFonts w:ascii="宋体" w:hAnsi="宋体" w:cs="宋体" w:eastAsia="宋体" w:hint="default"/>
          <w:sz w:val="12"/>
          <w:szCs w:val="12"/>
        </w:rPr>
      </w:pPr>
    </w:p>
    <w:tbl>
      <w:tblPr>
        <w:tblW w:w="0" w:type="auto"/>
        <w:jc w:val="left"/>
        <w:tblInd w:w="1306" w:type="dxa"/>
        <w:tblLayout w:type="fixed"/>
        <w:tblCellMar>
          <w:top w:w="0" w:type="dxa"/>
          <w:left w:w="0" w:type="dxa"/>
          <w:bottom w:w="0" w:type="dxa"/>
          <w:right w:w="0" w:type="dxa"/>
        </w:tblCellMar>
        <w:tblLook w:val="01E0"/>
      </w:tblPr>
      <w:tblGrid>
        <w:gridCol w:w="1868"/>
        <w:gridCol w:w="1080"/>
        <w:gridCol w:w="1078"/>
        <w:gridCol w:w="1080"/>
        <w:gridCol w:w="1515"/>
      </w:tblGrid>
      <w:tr>
        <w:trPr>
          <w:trHeight w:val="475" w:hRule="exact"/>
        </w:trPr>
        <w:tc>
          <w:tcPr>
            <w:tcW w:w="18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0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幅度（</w:t>
            </w:r>
            <w:r>
              <w:rPr>
                <w:rFonts w:ascii="宋体" w:hAnsi="宋体" w:cs="宋体" w:eastAsia="宋体" w:hint="default"/>
                <w:sz w:val="18"/>
                <w:szCs w:val="18"/>
              </w:rPr>
              <w:t>%</w:t>
            </w:r>
            <w:r>
              <w:rPr>
                <w:rFonts w:ascii="宋体" w:hAnsi="宋体" w:cs="宋体" w:eastAsia="宋体" w:hint="default"/>
                <w:sz w:val="18"/>
                <w:szCs w:val="18"/>
              </w:rPr>
              <w:t>）</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9.08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13.82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16.21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-4.74%</w:t>
            </w:r>
          </w:p>
        </w:tc>
      </w:tr>
      <w:tr>
        <w:trPr>
          <w:trHeight w:val="360" w:hRule="exact"/>
        </w:trPr>
        <w:tc>
          <w:tcPr>
            <w:tcW w:w="18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5" w:right="0"/>
              <w:jc w:val="left"/>
              <w:rPr>
                <w:rFonts w:ascii="宋体" w:hAnsi="宋体" w:cs="宋体" w:eastAsia="宋体" w:hint="default"/>
                <w:sz w:val="18"/>
                <w:szCs w:val="18"/>
              </w:rPr>
            </w:pPr>
            <w:r>
              <w:rPr>
                <w:rFonts w:ascii="宋体"/>
                <w:sz w:val="18"/>
              </w:rPr>
              <w:t>0.65%</w:t>
            </w:r>
          </w:p>
        </w:tc>
      </w:tr>
      <w:tr>
        <w:trPr>
          <w:trHeight w:val="362" w:hRule="exact"/>
        </w:trPr>
        <w:tc>
          <w:tcPr>
            <w:tcW w:w="18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流动资产周转率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18"/>
                <w:szCs w:val="18"/>
              </w:rPr>
            </w:pPr>
            <w:r>
              <w:rPr>
                <w:rFonts w:ascii="宋体"/>
                <w:sz w:val="18"/>
              </w:rPr>
              <w:t>-0.17%</w:t>
            </w:r>
          </w:p>
        </w:tc>
      </w:tr>
    </w:tbl>
    <w:p>
      <w:pPr>
        <w:spacing w:line="241" w:lineRule="exact" w:before="0"/>
        <w:ind w:left="542"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、研发情况</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）研发支出情况单位：万元</w:t>
      </w:r>
    </w:p>
    <w:p>
      <w:pPr>
        <w:spacing w:line="240" w:lineRule="auto" w:before="10"/>
        <w:rPr>
          <w:rFonts w:ascii="宋体" w:hAnsi="宋体" w:cs="宋体" w:eastAsia="宋体" w:hint="default"/>
          <w:sz w:val="12"/>
          <w:szCs w:val="12"/>
        </w:rPr>
      </w:pPr>
    </w:p>
    <w:tbl>
      <w:tblPr>
        <w:tblW w:w="0" w:type="auto"/>
        <w:jc w:val="left"/>
        <w:tblInd w:w="1306" w:type="dxa"/>
        <w:tblLayout w:type="fixed"/>
        <w:tblCellMar>
          <w:top w:w="0" w:type="dxa"/>
          <w:left w:w="0" w:type="dxa"/>
          <w:bottom w:w="0" w:type="dxa"/>
          <w:right w:w="0" w:type="dxa"/>
        </w:tblCellMar>
        <w:tblLook w:val="01E0"/>
      </w:tblPr>
      <w:tblGrid>
        <w:gridCol w:w="2422"/>
        <w:gridCol w:w="1400"/>
        <w:gridCol w:w="1399"/>
        <w:gridCol w:w="1400"/>
      </w:tblGrid>
      <w:tr>
        <w:trPr>
          <w:trHeight w:val="245" w:hRule="exact"/>
        </w:trPr>
        <w:tc>
          <w:tcPr>
            <w:tcW w:w="24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4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4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60" w:hRule="exact"/>
        </w:trPr>
        <w:tc>
          <w:tcPr>
            <w:tcW w:w="24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研发支出金额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3" w:right="0"/>
              <w:jc w:val="left"/>
              <w:rPr>
                <w:rFonts w:ascii="宋体" w:hAnsi="宋体" w:cs="宋体" w:eastAsia="宋体" w:hint="default"/>
                <w:sz w:val="18"/>
                <w:szCs w:val="18"/>
              </w:rPr>
            </w:pPr>
            <w:r>
              <w:rPr>
                <w:rFonts w:ascii="宋体"/>
                <w:sz w:val="18"/>
              </w:rPr>
              <w:t>3,595.14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3,813.77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3" w:right="0"/>
              <w:jc w:val="left"/>
              <w:rPr>
                <w:rFonts w:ascii="宋体" w:hAnsi="宋体" w:cs="宋体" w:eastAsia="宋体" w:hint="default"/>
                <w:sz w:val="18"/>
                <w:szCs w:val="18"/>
              </w:rPr>
            </w:pPr>
            <w:r>
              <w:rPr>
                <w:rFonts w:ascii="宋体"/>
                <w:sz w:val="18"/>
              </w:rPr>
              <w:t>2,116.92</w:t>
            </w:r>
          </w:p>
        </w:tc>
      </w:tr>
    </w:tbl>
    <w:p>
      <w:pPr>
        <w:spacing w:line="240" w:lineRule="auto" w:before="11"/>
        <w:rPr>
          <w:rFonts w:ascii="宋体" w:hAnsi="宋体" w:cs="宋体" w:eastAsia="宋体" w:hint="default"/>
          <w:sz w:val="25"/>
          <w:szCs w:val="25"/>
        </w:rPr>
      </w:pPr>
    </w:p>
    <w:p>
      <w:pPr>
        <w:spacing w:before="36"/>
        <w:ind w:left="5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）专利申请及获得情况</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报告期内公司共申请专利</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项，其中实用新型专利</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项，发明专利</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项。</w:t>
      </w:r>
    </w:p>
    <w:p>
      <w:pPr>
        <w:spacing w:after="0"/>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542" w:right="6628" w:hanging="420"/>
        <w:jc w:val="left"/>
        <w:rPr>
          <w:rFonts w:ascii="宋体" w:hAnsi="宋体" w:cs="宋体" w:eastAsia="宋体" w:hint="default"/>
          <w:sz w:val="21"/>
          <w:szCs w:val="21"/>
        </w:rPr>
      </w:pPr>
      <w:r>
        <w:rPr>
          <w:rFonts w:ascii="宋体" w:hAnsi="宋体" w:cs="宋体" w:eastAsia="宋体" w:hint="default"/>
          <w:b/>
          <w:bCs/>
          <w:sz w:val="21"/>
          <w:szCs w:val="21"/>
        </w:rPr>
        <w:t>（二）本公司未来发展的展望</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、外部环境对公司经营的影响</w:t>
      </w:r>
    </w:p>
    <w:p>
      <w:pPr>
        <w:spacing w:line="357" w:lineRule="auto" w:before="30"/>
        <w:ind w:left="122" w:right="1144" w:firstLine="419"/>
        <w:jc w:val="left"/>
        <w:rPr>
          <w:rFonts w:ascii="宋体" w:hAnsi="宋体" w:cs="宋体" w:eastAsia="宋体" w:hint="default"/>
          <w:sz w:val="21"/>
          <w:szCs w:val="21"/>
        </w:rPr>
      </w:pPr>
      <w:r>
        <w:rPr>
          <w:rFonts w:ascii="宋体" w:hAnsi="宋体" w:cs="宋体" w:eastAsia="宋体" w:hint="default"/>
          <w:spacing w:val="-3"/>
          <w:sz w:val="21"/>
          <w:szCs w:val="21"/>
        </w:rPr>
        <w:t>在我国宏观经济整体上处于持续、稳定、快速发展的阶段，商业票据印刷市场需求近年来保持</w:t>
      </w:r>
      <w:r>
        <w:rPr>
          <w:rFonts w:ascii="宋体" w:hAnsi="宋体" w:cs="宋体" w:eastAsia="宋体" w:hint="default"/>
          <w:w w:val="100"/>
          <w:sz w:val="21"/>
          <w:szCs w:val="21"/>
        </w:rPr>
        <w:t> </w:t>
      </w:r>
      <w:r>
        <w:rPr>
          <w:rFonts w:ascii="宋体" w:hAnsi="宋体" w:cs="宋体" w:eastAsia="宋体" w:hint="default"/>
          <w:spacing w:val="-3"/>
          <w:sz w:val="21"/>
          <w:szCs w:val="21"/>
        </w:rPr>
        <w:t>了稳定增长，市场由成长期进入了平稳增长阶段。在部分领域，如智能标签、个性化彩印、数据产</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品、特种票据等细分市场处于较快速增长阶段。</w:t>
      </w:r>
      <w:r>
        <w:rPr>
          <w:rFonts w:ascii="宋体" w:hAnsi="宋体" w:cs="宋体" w:eastAsia="宋体" w:hint="default"/>
          <w:spacing w:val="-2"/>
          <w:sz w:val="21"/>
          <w:szCs w:val="21"/>
        </w:rPr>
        <w:t>2011</w:t>
      </w:r>
      <w:r>
        <w:rPr>
          <w:rFonts w:ascii="宋体" w:hAnsi="宋体" w:cs="宋体" w:eastAsia="宋体" w:hint="default"/>
          <w:sz w:val="21"/>
          <w:szCs w:val="21"/>
        </w:rPr>
        <w:t> </w:t>
      </w:r>
      <w:r>
        <w:rPr>
          <w:rFonts w:ascii="宋体" w:hAnsi="宋体" w:cs="宋体" w:eastAsia="宋体" w:hint="default"/>
          <w:spacing w:val="-2"/>
          <w:sz w:val="21"/>
          <w:szCs w:val="21"/>
        </w:rPr>
        <w:t>年由于受到欧债危机等宏观经济因素的影响，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我国的宏观经济增速放缓，这在一定程度上影响了票据印刷业的增长，从而影响了公司业绩的增长</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速度。但随着金融</w:t>
      </w:r>
      <w:r>
        <w:rPr>
          <w:rFonts w:ascii="宋体" w:hAnsi="宋体" w:cs="宋体" w:eastAsia="宋体" w:hint="default"/>
          <w:spacing w:val="-34"/>
          <w:sz w:val="21"/>
          <w:szCs w:val="21"/>
        </w:rPr>
        <w:t> </w:t>
      </w:r>
      <w:r>
        <w:rPr>
          <w:rFonts w:ascii="宋体" w:hAnsi="宋体" w:cs="宋体" w:eastAsia="宋体" w:hint="default"/>
          <w:sz w:val="21"/>
          <w:szCs w:val="21"/>
        </w:rPr>
        <w:t>EMV</w:t>
      </w:r>
      <w:r>
        <w:rPr>
          <w:rFonts w:ascii="宋体" w:hAnsi="宋体" w:cs="宋体" w:eastAsia="宋体" w:hint="default"/>
          <w:spacing w:val="-36"/>
          <w:sz w:val="21"/>
          <w:szCs w:val="21"/>
        </w:rPr>
        <w:t> </w:t>
      </w:r>
      <w:r>
        <w:rPr>
          <w:rFonts w:ascii="宋体" w:hAnsi="宋体" w:cs="宋体" w:eastAsia="宋体" w:hint="default"/>
          <w:spacing w:val="-3"/>
          <w:sz w:val="21"/>
          <w:szCs w:val="21"/>
        </w:rPr>
        <w:t>卡、社保卡、居民健康卡等新型产品的不断推出，也给公司带来了新的增长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机遇。</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、公司所处行业的发展趋势及面临的市场竞争格局</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）行业的发展趋势</w:t>
      </w:r>
    </w:p>
    <w:p>
      <w:pPr>
        <w:spacing w:line="355" w:lineRule="auto" w:before="133"/>
        <w:ind w:left="542"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①印刷业转向服务业，“综合化服务”成为行业发展趋势</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3"/>
          <w:sz w:val="21"/>
          <w:szCs w:val="21"/>
        </w:rPr>
        <w:t>随着商业票据印刷市场的发展，客户提出了更高档次的“一站式”服务需求。在科技与需求的</w:t>
      </w:r>
    </w:p>
    <w:p>
      <w:pPr>
        <w:spacing w:line="355" w:lineRule="auto" w:before="34"/>
        <w:ind w:left="122" w:right="1277" w:firstLine="0"/>
        <w:jc w:val="both"/>
        <w:rPr>
          <w:rFonts w:ascii="宋体" w:hAnsi="宋体" w:cs="宋体" w:eastAsia="宋体" w:hint="default"/>
          <w:sz w:val="21"/>
          <w:szCs w:val="21"/>
        </w:rPr>
      </w:pPr>
      <w:r>
        <w:rPr>
          <w:rFonts w:ascii="宋体" w:hAnsi="宋体" w:cs="宋体" w:eastAsia="宋体" w:hint="default"/>
          <w:spacing w:val="-3"/>
          <w:sz w:val="21"/>
          <w:szCs w:val="21"/>
        </w:rPr>
        <w:t>推动下，西方发达国家的印刷企业目前已向“综合服务”或“整体解决方案”提供商方向转型。商</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业票据市场伴随表单、信函等需求快速增长，印刷企业开始介入到物流、封装、数据库管理、创意</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设计各类辅助服务，这种产品的价值或附加值可提高几倍。</w:t>
      </w:r>
    </w:p>
    <w:p>
      <w:pPr>
        <w:spacing w:line="355" w:lineRule="auto"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②高端印刷借力信息技术，防伪技术高科技化趋势明显</w:t>
      </w:r>
      <w:r>
        <w:rPr>
          <w:rFonts w:ascii="宋体" w:hAnsi="宋体" w:cs="宋体" w:eastAsia="宋体" w:hint="default"/>
          <w:w w:val="100"/>
          <w:sz w:val="21"/>
          <w:szCs w:val="21"/>
        </w:rPr>
        <w:t> </w:t>
      </w:r>
      <w:r>
        <w:rPr>
          <w:rFonts w:ascii="宋体" w:hAnsi="宋体" w:cs="宋体" w:eastAsia="宋体" w:hint="default"/>
          <w:spacing w:val="-3"/>
          <w:sz w:val="21"/>
          <w:szCs w:val="21"/>
        </w:rPr>
        <w:t>随着客户对保密性要求越来越高，印刷企业使用的防伪技术不断改进，目前防伪技术有设计制</w:t>
      </w:r>
    </w:p>
    <w:p>
      <w:pPr>
        <w:spacing w:line="357" w:lineRule="auto" w:before="34"/>
        <w:ind w:left="122" w:right="1277" w:firstLine="0"/>
        <w:jc w:val="both"/>
        <w:rPr>
          <w:rFonts w:ascii="宋体" w:hAnsi="宋体" w:cs="宋体" w:eastAsia="宋体" w:hint="default"/>
          <w:sz w:val="21"/>
          <w:szCs w:val="21"/>
        </w:rPr>
      </w:pPr>
      <w:r>
        <w:rPr>
          <w:rFonts w:ascii="宋体" w:hAnsi="宋体" w:cs="宋体" w:eastAsia="宋体" w:hint="default"/>
          <w:sz w:val="21"/>
          <w:szCs w:val="21"/>
        </w:rPr>
        <w:t>版防伪技术、印刷防伪技术、全息标识定位烫印防伪技术、印刷材料防伪技术以及 </w:t>
      </w:r>
      <w:r>
        <w:rPr>
          <w:rFonts w:ascii="宋体" w:hAnsi="宋体" w:cs="宋体" w:eastAsia="宋体" w:hint="default"/>
          <w:sz w:val="21"/>
          <w:szCs w:val="21"/>
        </w:rPr>
        <w:t>RFID</w:t>
      </w:r>
      <w:r>
        <w:rPr>
          <w:rFonts w:ascii="宋体" w:hAnsi="宋体" w:cs="宋体" w:eastAsia="宋体" w:hint="default"/>
          <w:spacing w:val="-39"/>
          <w:sz w:val="21"/>
          <w:szCs w:val="21"/>
        </w:rPr>
        <w:t> </w:t>
      </w:r>
      <w:r>
        <w:rPr>
          <w:rFonts w:ascii="宋体" w:hAnsi="宋体" w:cs="宋体" w:eastAsia="宋体" w:hint="default"/>
          <w:sz w:val="21"/>
          <w:szCs w:val="21"/>
        </w:rPr>
        <w:t>防伪技术</w:t>
      </w:r>
      <w:r>
        <w:rPr>
          <w:rFonts w:ascii="宋体" w:hAnsi="宋体" w:cs="宋体" w:eastAsia="宋体" w:hint="default"/>
          <w:w w:val="100"/>
          <w:sz w:val="21"/>
          <w:szCs w:val="21"/>
        </w:rPr>
        <w:t> </w:t>
      </w:r>
      <w:r>
        <w:rPr>
          <w:rFonts w:ascii="宋体" w:hAnsi="宋体" w:cs="宋体" w:eastAsia="宋体" w:hint="default"/>
          <w:spacing w:val="-3"/>
          <w:sz w:val="21"/>
          <w:szCs w:val="21"/>
        </w:rPr>
        <w:t>等。随着科技的发展，造假手段也越来越高，在商业票据印刷的各个环节，除在纸张和印刷油墨上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加强防伪技术的应用，印刷企业还必须不断开发高科技化的防伪手段方可满足客户的要求。</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③新型卡类产品的增长加速</w:t>
      </w:r>
    </w:p>
    <w:p>
      <w:pPr>
        <w:spacing w:line="355" w:lineRule="auto" w:before="135"/>
        <w:ind w:left="122" w:right="1279" w:firstLine="419"/>
        <w:jc w:val="both"/>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3</w:t>
      </w:r>
      <w:r>
        <w:rPr>
          <w:rFonts w:ascii="宋体" w:hAnsi="宋体" w:cs="宋体" w:eastAsia="宋体" w:hint="default"/>
          <w:spacing w:val="-54"/>
          <w:w w:val="100"/>
          <w:sz w:val="21"/>
          <w:szCs w:val="21"/>
        </w:rPr>
        <w:t> </w:t>
      </w:r>
      <w:r>
        <w:rPr>
          <w:rFonts w:ascii="宋体" w:hAnsi="宋体" w:cs="宋体" w:eastAsia="宋体" w:hint="default"/>
          <w:spacing w:val="-4"/>
          <w:w w:val="100"/>
          <w:sz w:val="21"/>
          <w:szCs w:val="21"/>
        </w:rPr>
        <w:t>月，中国人民银行发布了《中国人民银行关于推进金融</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IC</w:t>
      </w:r>
      <w:r>
        <w:rPr>
          <w:rFonts w:ascii="宋体" w:hAnsi="宋体" w:cs="宋体" w:eastAsia="宋体" w:hint="default"/>
          <w:spacing w:val="-51"/>
          <w:w w:val="100"/>
          <w:sz w:val="21"/>
          <w:szCs w:val="21"/>
        </w:rPr>
        <w:t> </w:t>
      </w:r>
      <w:r>
        <w:rPr>
          <w:rFonts w:ascii="宋体" w:hAnsi="宋体" w:cs="宋体" w:eastAsia="宋体" w:hint="default"/>
          <w:spacing w:val="-13"/>
          <w:w w:val="100"/>
          <w:sz w:val="21"/>
          <w:szCs w:val="21"/>
        </w:rPr>
        <w:t>卡应用工作的意见》，要求</w:t>
      </w:r>
      <w:r>
        <w:rPr>
          <w:rFonts w:ascii="宋体" w:hAnsi="宋体" w:cs="宋体" w:eastAsia="宋体" w:hint="default"/>
          <w:w w:val="100"/>
          <w:sz w:val="21"/>
          <w:szCs w:val="21"/>
        </w:rPr>
        <w:t> </w:t>
      </w:r>
      <w:r>
        <w:rPr>
          <w:rFonts w:ascii="宋体" w:hAnsi="宋体" w:cs="宋体" w:eastAsia="宋体" w:hint="default"/>
          <w:sz w:val="21"/>
          <w:szCs w:val="21"/>
        </w:rPr>
        <w:t>各金融机构积极推进金融</w:t>
      </w:r>
      <w:r>
        <w:rPr>
          <w:rFonts w:ascii="宋体" w:hAnsi="宋体" w:cs="宋体" w:eastAsia="宋体" w:hint="default"/>
          <w:spacing w:val="-48"/>
          <w:sz w:val="21"/>
          <w:szCs w:val="21"/>
        </w:rPr>
        <w:t> </w:t>
      </w:r>
      <w:r>
        <w:rPr>
          <w:rFonts w:ascii="宋体" w:hAnsi="宋体" w:cs="宋体" w:eastAsia="宋体" w:hint="default"/>
          <w:sz w:val="21"/>
          <w:szCs w:val="21"/>
        </w:rPr>
        <w:t>IC</w:t>
      </w:r>
      <w:r>
        <w:rPr>
          <w:rFonts w:ascii="宋体" w:hAnsi="宋体" w:cs="宋体" w:eastAsia="宋体" w:hint="default"/>
          <w:spacing w:val="-46"/>
          <w:sz w:val="21"/>
          <w:szCs w:val="21"/>
        </w:rPr>
        <w:t> </w:t>
      </w:r>
      <w:r>
        <w:rPr>
          <w:rFonts w:ascii="宋体" w:hAnsi="宋体" w:cs="宋体" w:eastAsia="宋体" w:hint="default"/>
          <w:spacing w:val="-3"/>
          <w:sz w:val="21"/>
          <w:szCs w:val="21"/>
        </w:rPr>
        <w:t>卡，并制定了各商业银行的推进时间表，这标志着金融</w:t>
      </w:r>
      <w:r>
        <w:rPr>
          <w:rFonts w:ascii="宋体" w:hAnsi="宋体" w:cs="宋体" w:eastAsia="宋体" w:hint="default"/>
          <w:spacing w:val="-44"/>
          <w:sz w:val="21"/>
          <w:szCs w:val="21"/>
        </w:rPr>
        <w:t> </w:t>
      </w:r>
      <w:r>
        <w:rPr>
          <w:rFonts w:ascii="宋体" w:hAnsi="宋体" w:cs="宋体" w:eastAsia="宋体" w:hint="default"/>
          <w:sz w:val="21"/>
          <w:szCs w:val="21"/>
        </w:rPr>
        <w:t>IC</w:t>
      </w:r>
      <w:r>
        <w:rPr>
          <w:rFonts w:ascii="宋体" w:hAnsi="宋体" w:cs="宋体" w:eastAsia="宋体" w:hint="default"/>
          <w:spacing w:val="-48"/>
          <w:sz w:val="21"/>
          <w:szCs w:val="21"/>
        </w:rPr>
        <w:t> </w:t>
      </w:r>
      <w:r>
        <w:rPr>
          <w:rFonts w:ascii="宋体" w:hAnsi="宋体" w:cs="宋体" w:eastAsia="宋体" w:hint="default"/>
          <w:sz w:val="21"/>
          <w:szCs w:val="21"/>
        </w:rPr>
        <w:t>的更新换代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进入实质性实施阶段。</w:t>
      </w:r>
    </w:p>
    <w:p>
      <w:pPr>
        <w:spacing w:line="357" w:lineRule="auto" w:before="32"/>
        <w:ind w:left="122" w:right="1277" w:firstLine="419"/>
        <w:jc w:val="both"/>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40"/>
          <w:w w:val="100"/>
          <w:sz w:val="21"/>
          <w:szCs w:val="21"/>
        </w:rPr>
        <w:t> </w:t>
      </w:r>
      <w:r>
        <w:rPr>
          <w:rFonts w:ascii="宋体" w:hAnsi="宋体" w:cs="宋体" w:eastAsia="宋体" w:hint="default"/>
          <w:w w:val="100"/>
          <w:sz w:val="21"/>
          <w:szCs w:val="21"/>
        </w:rPr>
        <w:t>年</w:t>
      </w:r>
      <w:r>
        <w:rPr>
          <w:rFonts w:ascii="宋体" w:hAnsi="宋体" w:cs="宋体" w:eastAsia="宋体" w:hint="default"/>
          <w:spacing w:val="-40"/>
          <w:w w:val="100"/>
          <w:sz w:val="21"/>
          <w:szCs w:val="21"/>
        </w:rPr>
        <w:t> </w:t>
      </w:r>
      <w:r>
        <w:rPr>
          <w:rFonts w:ascii="宋体" w:hAnsi="宋体" w:cs="宋体" w:eastAsia="宋体" w:hint="default"/>
          <w:w w:val="100"/>
          <w:sz w:val="21"/>
          <w:szCs w:val="21"/>
        </w:rPr>
        <w:t>7</w:t>
      </w:r>
      <w:r>
        <w:rPr>
          <w:rFonts w:ascii="宋体" w:hAnsi="宋体" w:cs="宋体" w:eastAsia="宋体" w:hint="default"/>
          <w:spacing w:val="-37"/>
          <w:w w:val="100"/>
          <w:sz w:val="21"/>
          <w:szCs w:val="21"/>
        </w:rPr>
        <w:t> </w:t>
      </w:r>
      <w:r>
        <w:rPr>
          <w:rFonts w:ascii="宋体" w:hAnsi="宋体" w:cs="宋体" w:eastAsia="宋体" w:hint="default"/>
          <w:spacing w:val="-5"/>
          <w:w w:val="100"/>
          <w:sz w:val="21"/>
          <w:szCs w:val="21"/>
        </w:rPr>
        <w:t>月人保部和央行联合发布了《关于社会保障卡加载金融功能的通知》，决定在社保卡</w:t>
      </w:r>
      <w:r>
        <w:rPr>
          <w:rFonts w:ascii="宋体" w:hAnsi="宋体" w:cs="宋体" w:eastAsia="宋体" w:hint="default"/>
          <w:w w:val="100"/>
          <w:sz w:val="21"/>
          <w:szCs w:val="21"/>
        </w:rPr>
        <w:t> </w:t>
      </w:r>
      <w:r>
        <w:rPr>
          <w:rFonts w:ascii="宋体" w:hAnsi="宋体" w:cs="宋体" w:eastAsia="宋体" w:hint="default"/>
          <w:sz w:val="21"/>
          <w:szCs w:val="21"/>
        </w:rPr>
        <w:t>上加载金融功能，根据推进计划，</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年为试点阶段，人社部和央行将共同制定社保卡</w:t>
      </w:r>
      <w:r>
        <w:rPr>
          <w:rFonts w:ascii="宋体" w:hAnsi="宋体" w:cs="宋体" w:eastAsia="宋体" w:hint="default"/>
          <w:w w:val="100"/>
          <w:sz w:val="21"/>
          <w:szCs w:val="21"/>
        </w:rPr>
        <w:t> </w:t>
      </w:r>
      <w:r>
        <w:rPr>
          <w:rFonts w:ascii="宋体" w:hAnsi="宋体" w:cs="宋体" w:eastAsia="宋体" w:hint="default"/>
          <w:spacing w:val="-3"/>
          <w:sz w:val="21"/>
          <w:szCs w:val="21"/>
        </w:rPr>
        <w:t>加载金融功能的总体方案、标准规范，确定应用模式和管理机制，并在具备条件的地区进行单一芯</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片卡应用试点。</w:t>
      </w:r>
      <w:r>
        <w:rPr>
          <w:rFonts w:ascii="宋体" w:hAnsi="宋体" w:cs="宋体" w:eastAsia="宋体" w:hint="default"/>
          <w:spacing w:val="-4"/>
          <w:sz w:val="21"/>
          <w:szCs w:val="21"/>
        </w:rPr>
        <w:t>2013 </w:t>
      </w:r>
      <w:r>
        <w:rPr>
          <w:rFonts w:ascii="宋体" w:hAnsi="宋体" w:cs="宋体" w:eastAsia="宋体" w:hint="default"/>
          <w:spacing w:val="-4"/>
          <w:sz w:val="21"/>
          <w:szCs w:val="21"/>
        </w:rPr>
        <w:t>年起全面推广，所有地区新发社保卡均采用单一芯片卡。力争用五年左右的时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间，基本实现社保卡普遍具有金融功能。社保卡的试点目前在多个省市开展。</w:t>
      </w:r>
    </w:p>
    <w:p>
      <w:pPr>
        <w:spacing w:before="30"/>
        <w:ind w:left="542" w:right="0" w:firstLine="0"/>
        <w:jc w:val="left"/>
        <w:rPr>
          <w:rFonts w:ascii="宋体" w:hAnsi="宋体" w:cs="宋体" w:eastAsia="宋体" w:hint="default"/>
          <w:sz w:val="21"/>
          <w:szCs w:val="21"/>
        </w:rPr>
      </w:pPr>
      <w:r>
        <w:rPr>
          <w:rFonts w:ascii="宋体" w:hAnsi="宋体" w:cs="宋体" w:eastAsia="宋体" w:hint="default"/>
          <w:spacing w:val="-5"/>
          <w:sz w:val="21"/>
          <w:szCs w:val="21"/>
        </w:rPr>
        <w:t>上述新型卡类产品的推出，扩大了卡类产品的市场容量，为公司未来的发展提供了较大的空间。</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④行业竞争由区域市场向全国性市场演变，优势企业将获得更大的发展空间</w:t>
      </w:r>
    </w:p>
    <w:p>
      <w:pPr>
        <w:spacing w:line="355" w:lineRule="auto" w:before="135"/>
        <w:ind w:left="122" w:right="0" w:firstLine="419"/>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3"/>
          <w:sz w:val="21"/>
          <w:szCs w:val="21"/>
        </w:rPr>
        <w:t> </w:t>
      </w:r>
      <w:r>
        <w:rPr>
          <w:rFonts w:ascii="宋体" w:hAnsi="宋体" w:cs="宋体" w:eastAsia="宋体" w:hint="default"/>
          <w:spacing w:val="-2"/>
          <w:sz w:val="21"/>
          <w:szCs w:val="21"/>
        </w:rPr>
        <w:t>年起行业客户普遍开始采用招标方式确定定点印刷供应商，行业的市场化水平逐渐提高，</w:t>
      </w:r>
      <w:r>
        <w:rPr>
          <w:rFonts w:ascii="宋体" w:hAnsi="宋体" w:cs="宋体" w:eastAsia="宋体" w:hint="default"/>
          <w:w w:val="100"/>
          <w:sz w:val="21"/>
          <w:szCs w:val="21"/>
        </w:rPr>
        <w:t> </w:t>
      </w:r>
      <w:r>
        <w:rPr>
          <w:rFonts w:ascii="宋体" w:hAnsi="宋体" w:cs="宋体" w:eastAsia="宋体" w:hint="default"/>
          <w:spacing w:val="-3"/>
          <w:sz w:val="21"/>
          <w:szCs w:val="21"/>
        </w:rPr>
        <w:t>区域性企业的生存空间受到压缩，行业竞争开始突破原有的区域化特征，向全国性的竞争演进。未</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来行业优势企业将利用其资本、品牌、销售网络、产品和服务等方面的优势加快在区域市场的产能</w:t>
      </w:r>
    </w:p>
    <w:p>
      <w:pPr>
        <w:spacing w:after="0" w:line="355"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122" w:right="1280" w:firstLine="0"/>
        <w:jc w:val="both"/>
        <w:rPr>
          <w:rFonts w:ascii="宋体" w:hAnsi="宋体" w:cs="宋体" w:eastAsia="宋体" w:hint="default"/>
          <w:sz w:val="21"/>
          <w:szCs w:val="21"/>
        </w:rPr>
      </w:pPr>
      <w:r>
        <w:rPr>
          <w:rFonts w:ascii="宋体" w:hAnsi="宋体" w:cs="宋体" w:eastAsia="宋体" w:hint="default"/>
          <w:spacing w:val="-3"/>
          <w:sz w:val="21"/>
          <w:szCs w:val="21"/>
        </w:rPr>
        <w:t>和营销网络布局；同时，行业优势企业将通过并购重组等方式加快行业整合的步伐。商业票据印刷</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市场集中度将进一步提升，优势企业将获得更大的发展空间。</w:t>
      </w:r>
    </w:p>
    <w:p>
      <w:pPr>
        <w:spacing w:line="357" w:lineRule="auto" w:before="30"/>
        <w:ind w:left="542" w:right="300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）面临的市场竞争格局</w:t>
      </w:r>
      <w:r>
        <w:rPr>
          <w:rFonts w:ascii="宋体" w:hAnsi="宋体" w:cs="宋体" w:eastAsia="宋体" w:hint="default"/>
          <w:w w:val="100"/>
          <w:sz w:val="21"/>
          <w:szCs w:val="21"/>
        </w:rPr>
        <w:t> </w:t>
      </w:r>
      <w:r>
        <w:rPr>
          <w:rFonts w:ascii="宋体" w:hAnsi="宋体" w:cs="宋体" w:eastAsia="宋体" w:hint="default"/>
          <w:spacing w:val="-2"/>
          <w:sz w:val="21"/>
          <w:szCs w:val="21"/>
        </w:rPr>
        <w:t>商业票据市场需求不断增长。产品供求状况呈现如下特点：</w:t>
      </w:r>
    </w:p>
    <w:p>
      <w:pPr>
        <w:spacing w:line="355" w:lineRule="auto" w:before="30"/>
        <w:ind w:left="122" w:right="1244" w:firstLine="419"/>
        <w:jc w:val="both"/>
        <w:rPr>
          <w:rFonts w:ascii="宋体" w:hAnsi="宋体" w:cs="宋体" w:eastAsia="宋体" w:hint="default"/>
          <w:sz w:val="21"/>
          <w:szCs w:val="21"/>
        </w:rPr>
      </w:pPr>
      <w:r>
        <w:rPr>
          <w:rFonts w:ascii="宋体" w:hAnsi="宋体" w:cs="宋体" w:eastAsia="宋体" w:hint="default"/>
          <w:spacing w:val="-2"/>
          <w:sz w:val="21"/>
          <w:szCs w:val="21"/>
        </w:rPr>
        <w:t>①低技术含量的票据（如存取款凭条、普通发票等）进入门槛低，对设备和技术的要求不高，</w:t>
      </w:r>
      <w:r>
        <w:rPr>
          <w:rFonts w:ascii="宋体" w:hAnsi="宋体" w:cs="宋体" w:eastAsia="宋体" w:hint="default"/>
          <w:w w:val="100"/>
          <w:sz w:val="21"/>
          <w:szCs w:val="21"/>
        </w:rPr>
        <w:t> </w:t>
      </w:r>
      <w:r>
        <w:rPr>
          <w:rFonts w:ascii="宋体" w:hAnsi="宋体" w:cs="宋体" w:eastAsia="宋体" w:hint="default"/>
          <w:spacing w:val="-3"/>
          <w:sz w:val="21"/>
          <w:szCs w:val="21"/>
        </w:rPr>
        <w:t>许多地方性的小型印刷企业逐步进入票据印刷领域，市场趋于饱和，竞争激烈，出现供大于求的现</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象。</w:t>
      </w:r>
    </w:p>
    <w:p>
      <w:pPr>
        <w:spacing w:line="355" w:lineRule="auto" w:before="34"/>
        <w:ind w:left="122" w:right="0" w:firstLine="419"/>
        <w:jc w:val="left"/>
        <w:rPr>
          <w:rFonts w:ascii="宋体" w:hAnsi="宋体" w:cs="宋体" w:eastAsia="宋体" w:hint="default"/>
          <w:sz w:val="21"/>
          <w:szCs w:val="21"/>
        </w:rPr>
      </w:pPr>
      <w:r>
        <w:rPr>
          <w:rFonts w:ascii="宋体" w:hAnsi="宋体" w:cs="宋体" w:eastAsia="宋体" w:hint="default"/>
          <w:spacing w:val="-5"/>
          <w:sz w:val="21"/>
          <w:szCs w:val="21"/>
        </w:rPr>
        <w:t>②高端商业票据工艺较为复杂，防伪技术要求较高，由于受到技术、资金、设备等条件的限制，</w:t>
      </w:r>
      <w:r>
        <w:rPr>
          <w:rFonts w:ascii="宋体" w:hAnsi="宋体" w:cs="宋体" w:eastAsia="宋体" w:hint="default"/>
          <w:w w:val="100"/>
          <w:sz w:val="21"/>
          <w:szCs w:val="21"/>
        </w:rPr>
        <w:t> </w:t>
      </w:r>
      <w:r>
        <w:rPr>
          <w:rFonts w:ascii="宋体" w:hAnsi="宋体" w:cs="宋体" w:eastAsia="宋体" w:hint="default"/>
          <w:sz w:val="21"/>
          <w:szCs w:val="21"/>
        </w:rPr>
        <w:t>小型企业很难进入中高端票据市场。因此，行业供需基本稳定。</w:t>
      </w:r>
    </w:p>
    <w:p>
      <w:pPr>
        <w:spacing w:line="357" w:lineRule="auto" w:before="32"/>
        <w:ind w:left="1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③随着数字印刷技术的进步，信息产业的快速发展以及金融、电信等行业客户需求逐渐向数字</w:t>
      </w:r>
      <w:r>
        <w:rPr>
          <w:rFonts w:ascii="宋体" w:hAnsi="宋体" w:cs="宋体" w:eastAsia="宋体" w:hint="default"/>
          <w:spacing w:val="-3"/>
          <w:w w:val="100"/>
          <w:sz w:val="21"/>
          <w:szCs w:val="21"/>
        </w:rPr>
        <w:t> </w:t>
      </w:r>
      <w:r>
        <w:rPr>
          <w:rFonts w:ascii="宋体" w:hAnsi="宋体" w:cs="宋体" w:eastAsia="宋体" w:hint="default"/>
          <w:sz w:val="21"/>
          <w:szCs w:val="21"/>
        </w:rPr>
        <w:t>化、个性化、彩色化方向发展，以 </w:t>
      </w:r>
      <w:r>
        <w:rPr>
          <w:rFonts w:ascii="宋体" w:hAnsi="宋体" w:cs="宋体" w:eastAsia="宋体" w:hint="default"/>
          <w:sz w:val="21"/>
          <w:szCs w:val="21"/>
        </w:rPr>
        <w:t>RFID</w:t>
      </w:r>
      <w:r>
        <w:rPr>
          <w:rFonts w:ascii="宋体" w:hAnsi="宋体" w:cs="宋体" w:eastAsia="宋体" w:hint="default"/>
          <w:spacing w:val="-40"/>
          <w:sz w:val="21"/>
          <w:szCs w:val="21"/>
        </w:rPr>
        <w:t> </w:t>
      </w:r>
      <w:r>
        <w:rPr>
          <w:rFonts w:ascii="宋体" w:hAnsi="宋体" w:cs="宋体" w:eastAsia="宋体" w:hint="default"/>
          <w:sz w:val="21"/>
          <w:szCs w:val="21"/>
        </w:rPr>
        <w:t>为代表的智能标签、个性化彩印为代表的彩印产品、以账</w:t>
      </w:r>
      <w:r>
        <w:rPr>
          <w:rFonts w:ascii="宋体" w:hAnsi="宋体" w:cs="宋体" w:eastAsia="宋体" w:hint="default"/>
          <w:w w:val="100"/>
          <w:sz w:val="21"/>
          <w:szCs w:val="21"/>
        </w:rPr>
        <w:t> </w:t>
      </w:r>
      <w:r>
        <w:rPr>
          <w:rFonts w:ascii="宋体" w:hAnsi="宋体" w:cs="宋体" w:eastAsia="宋体" w:hint="default"/>
          <w:spacing w:val="-3"/>
          <w:sz w:val="21"/>
          <w:szCs w:val="21"/>
        </w:rPr>
        <w:t>单打印和直邮为代表的数据产品、以智能卡为代表的卡类产品等细分行业需求快速增长。行业内主</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要企业近年来均加大了在上述领域的投资，总体上上述细分市场领域均处于高速成长初期，表现出</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需求拉动的特点。</w:t>
      </w:r>
    </w:p>
    <w:p>
      <w:pPr>
        <w:spacing w:line="355" w:lineRule="auto" w:before="30"/>
        <w:ind w:left="602" w:right="0" w:hanging="6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、公司的发展战略</w:t>
      </w:r>
      <w:r>
        <w:rPr>
          <w:rFonts w:ascii="宋体" w:hAnsi="宋体" w:cs="宋体" w:eastAsia="宋体" w:hint="default"/>
          <w:w w:val="100"/>
          <w:sz w:val="21"/>
          <w:szCs w:val="21"/>
        </w:rPr>
        <w:t> </w:t>
      </w:r>
      <w:r>
        <w:rPr>
          <w:rFonts w:ascii="宋体" w:hAnsi="宋体" w:cs="宋体" w:eastAsia="宋体" w:hint="default"/>
          <w:spacing w:val="-4"/>
          <w:sz w:val="21"/>
          <w:szCs w:val="21"/>
        </w:rPr>
        <w:t>本公司秉承“市场唯先、用户至上”经营思想，以市场为导向，以管理为后盾，依托电子信息</w:t>
      </w:r>
    </w:p>
    <w:p>
      <w:pPr>
        <w:spacing w:line="357" w:lineRule="auto" w:before="32"/>
        <w:ind w:left="122" w:right="1243" w:firstLine="0"/>
        <w:jc w:val="both"/>
        <w:rPr>
          <w:rFonts w:ascii="宋体" w:hAnsi="宋体" w:cs="宋体" w:eastAsia="宋体" w:hint="default"/>
          <w:sz w:val="21"/>
          <w:szCs w:val="21"/>
        </w:rPr>
      </w:pPr>
      <w:r>
        <w:rPr>
          <w:rFonts w:ascii="宋体" w:hAnsi="宋体" w:cs="宋体" w:eastAsia="宋体" w:hint="default"/>
          <w:sz w:val="21"/>
          <w:szCs w:val="21"/>
        </w:rPr>
        <w:t>产业发展，针对当前票据产品的发展趋势，不断加大科研创新力度，提高产品技术含量</w:t>
      </w:r>
      <w:r>
        <w:rPr>
          <w:rFonts w:ascii="宋体" w:hAnsi="宋体" w:cs="宋体" w:eastAsia="宋体" w:hint="default"/>
          <w:sz w:val="21"/>
          <w:szCs w:val="21"/>
        </w:rPr>
        <w:t>,</w:t>
      </w:r>
      <w:r>
        <w:rPr>
          <w:rFonts w:ascii="宋体" w:hAnsi="宋体" w:cs="宋体" w:eastAsia="宋体" w:hint="default"/>
          <w:sz w:val="21"/>
          <w:szCs w:val="21"/>
        </w:rPr>
        <w:t>通过开发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个性化彩印、智能卡、电子帐单等新产品，提高智能标签、数据处理、智能卡等产品的市场份额，</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全面提升公司的竞争能力，保持公司长期可持续发展。</w:t>
      </w:r>
    </w:p>
    <w:p>
      <w:pPr>
        <w:spacing w:line="357" w:lineRule="auto" w:before="30"/>
        <w:ind w:left="122" w:right="1277" w:firstLine="479"/>
        <w:jc w:val="both"/>
        <w:rPr>
          <w:rFonts w:ascii="宋体" w:hAnsi="宋体" w:cs="宋体" w:eastAsia="宋体" w:hint="default"/>
          <w:sz w:val="21"/>
          <w:szCs w:val="21"/>
        </w:rPr>
      </w:pPr>
      <w:r>
        <w:rPr>
          <w:rFonts w:ascii="宋体" w:hAnsi="宋体" w:cs="宋体" w:eastAsia="宋体" w:hint="default"/>
          <w:spacing w:val="-4"/>
          <w:w w:val="100"/>
          <w:sz w:val="21"/>
          <w:szCs w:val="21"/>
        </w:rPr>
        <w:t>公司的整体经营目标是进一步巩固公司在国内票据印刷行业内的领先地位，推进募集资金投资</w:t>
      </w:r>
      <w:r>
        <w:rPr>
          <w:rFonts w:ascii="宋体" w:hAnsi="宋体" w:cs="宋体" w:eastAsia="宋体" w:hint="default"/>
          <w:w w:val="100"/>
          <w:sz w:val="21"/>
          <w:szCs w:val="21"/>
        </w:rPr>
        <w:t> </w:t>
      </w:r>
      <w:r>
        <w:rPr>
          <w:rFonts w:ascii="宋体" w:hAnsi="宋体" w:cs="宋体" w:eastAsia="宋体" w:hint="default"/>
          <w:spacing w:val="-3"/>
          <w:sz w:val="21"/>
          <w:szCs w:val="21"/>
        </w:rPr>
        <w:t>项目的实施，不断开发新产品和新客户，实现由传统的商业票证供应商向综合服务商的转型，保持</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经营业绩的稳步增长。</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z w:val="21"/>
          <w:szCs w:val="21"/>
        </w:rPr>
        <w:t>年经营计划和主要目标</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
          <w:sz w:val="21"/>
          <w:szCs w:val="21"/>
        </w:rPr>
        <w:t> </w:t>
      </w:r>
      <w:r>
        <w:rPr>
          <w:rFonts w:ascii="宋体" w:hAnsi="宋体" w:cs="宋体" w:eastAsia="宋体" w:hint="default"/>
          <w:spacing w:val="-2"/>
          <w:sz w:val="21"/>
          <w:szCs w:val="21"/>
        </w:rPr>
        <w:t>年公司将进一步降低生产成本，调整经营思路，具体经营计划和目标如下：</w:t>
      </w:r>
    </w:p>
    <w:p>
      <w:pPr>
        <w:spacing w:line="355" w:lineRule="auto" w:before="133"/>
        <w:ind w:left="122" w:right="1279" w:firstLine="419"/>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）、积极推进募集资金项目的进展，大力开拓银行卡、社保卡、个性化彩印等新兴市场，尽</w:t>
      </w:r>
      <w:r>
        <w:rPr>
          <w:rFonts w:ascii="宋体" w:hAnsi="宋体" w:cs="宋体" w:eastAsia="宋体" w:hint="default"/>
          <w:w w:val="100"/>
          <w:sz w:val="21"/>
          <w:szCs w:val="21"/>
        </w:rPr>
        <w:t> </w:t>
      </w:r>
      <w:r>
        <w:rPr>
          <w:rFonts w:ascii="宋体" w:hAnsi="宋体" w:cs="宋体" w:eastAsia="宋体" w:hint="default"/>
          <w:sz w:val="21"/>
          <w:szCs w:val="21"/>
        </w:rPr>
        <w:t>早实现募投项目的盈利预期。</w:t>
      </w:r>
    </w:p>
    <w:p>
      <w:pPr>
        <w:spacing w:before="34"/>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高</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的</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能力</w:t>
      </w:r>
      <w:r>
        <w:rPr>
          <w:rFonts w:ascii="宋体" w:hAnsi="宋体" w:cs="宋体" w:eastAsia="宋体" w:hint="default"/>
          <w:spacing w:val="-3"/>
          <w:w w:val="100"/>
          <w:sz w:val="21"/>
          <w:szCs w:val="21"/>
        </w:rPr>
        <w:t>和</w:t>
      </w:r>
      <w:r>
        <w:rPr>
          <w:rFonts w:ascii="宋体" w:hAnsi="宋体" w:cs="宋体" w:eastAsia="宋体" w:hint="default"/>
          <w:w w:val="100"/>
          <w:sz w:val="21"/>
          <w:szCs w:val="21"/>
        </w:rPr>
        <w:t>各</w:t>
      </w:r>
      <w:r>
        <w:rPr>
          <w:rFonts w:ascii="宋体" w:hAnsi="宋体" w:cs="宋体" w:eastAsia="宋体" w:hint="default"/>
          <w:spacing w:val="-3"/>
          <w:w w:val="100"/>
          <w:sz w:val="21"/>
          <w:szCs w:val="21"/>
        </w:rPr>
        <w:t>区</w:t>
      </w:r>
      <w:r>
        <w:rPr>
          <w:rFonts w:ascii="宋体" w:hAnsi="宋体" w:cs="宋体" w:eastAsia="宋体" w:hint="default"/>
          <w:w w:val="100"/>
          <w:sz w:val="21"/>
          <w:szCs w:val="21"/>
        </w:rPr>
        <w:t>域</w:t>
      </w:r>
      <w:r>
        <w:rPr>
          <w:rFonts w:ascii="宋体" w:hAnsi="宋体" w:cs="宋体" w:eastAsia="宋体" w:hint="default"/>
          <w:spacing w:val="-3"/>
          <w:w w:val="100"/>
          <w:sz w:val="21"/>
          <w:szCs w:val="21"/>
        </w:rPr>
        <w:t>市</w:t>
      </w:r>
      <w:r>
        <w:rPr>
          <w:rFonts w:ascii="宋体" w:hAnsi="宋体" w:cs="宋体" w:eastAsia="宋体" w:hint="default"/>
          <w:w w:val="100"/>
          <w:sz w:val="21"/>
          <w:szCs w:val="21"/>
        </w:rPr>
        <w:t>场</w:t>
      </w:r>
      <w:r>
        <w:rPr>
          <w:rFonts w:ascii="宋体" w:hAnsi="宋体" w:cs="宋体" w:eastAsia="宋体" w:hint="default"/>
          <w:spacing w:val="-3"/>
          <w:w w:val="100"/>
          <w:sz w:val="21"/>
          <w:szCs w:val="21"/>
        </w:rPr>
        <w:t>的</w:t>
      </w:r>
      <w:r>
        <w:rPr>
          <w:rFonts w:ascii="宋体" w:hAnsi="宋体" w:cs="宋体" w:eastAsia="宋体" w:hint="default"/>
          <w:w w:val="100"/>
          <w:sz w:val="21"/>
          <w:szCs w:val="21"/>
        </w:rPr>
        <w:t>竞</w:t>
      </w:r>
      <w:r>
        <w:rPr>
          <w:rFonts w:ascii="宋体" w:hAnsi="宋体" w:cs="宋体" w:eastAsia="宋体" w:hint="default"/>
          <w:spacing w:val="-3"/>
          <w:w w:val="100"/>
          <w:sz w:val="21"/>
          <w:szCs w:val="21"/>
        </w:rPr>
        <w:t>争</w:t>
      </w:r>
      <w:r>
        <w:rPr>
          <w:rFonts w:ascii="宋体" w:hAnsi="宋体" w:cs="宋体" w:eastAsia="宋体" w:hint="default"/>
          <w:w w:val="100"/>
          <w:sz w:val="21"/>
          <w:szCs w:val="21"/>
        </w:rPr>
        <w:t>能力</w:t>
      </w:r>
      <w:r>
        <w:rPr>
          <w:rFonts w:ascii="宋体" w:hAnsi="宋体" w:cs="宋体" w:eastAsia="宋体" w:hint="default"/>
          <w:spacing w:val="-3"/>
          <w:w w:val="100"/>
          <w:sz w:val="21"/>
          <w:szCs w:val="21"/>
        </w:rPr>
        <w:t>，</w:t>
      </w:r>
      <w:r>
        <w:rPr>
          <w:rFonts w:ascii="宋体" w:hAnsi="宋体" w:cs="宋体" w:eastAsia="宋体" w:hint="default"/>
          <w:w w:val="100"/>
          <w:sz w:val="21"/>
          <w:szCs w:val="21"/>
        </w:rPr>
        <w:t>巩</w:t>
      </w:r>
      <w:r>
        <w:rPr>
          <w:rFonts w:ascii="宋体" w:hAnsi="宋体" w:cs="宋体" w:eastAsia="宋体" w:hint="default"/>
          <w:spacing w:val="-3"/>
          <w:w w:val="100"/>
          <w:sz w:val="21"/>
          <w:szCs w:val="21"/>
        </w:rPr>
        <w:t>固</w:t>
      </w:r>
      <w:r>
        <w:rPr>
          <w:rFonts w:ascii="宋体" w:hAnsi="宋体" w:cs="宋体" w:eastAsia="宋体" w:hint="default"/>
          <w:w w:val="100"/>
          <w:sz w:val="21"/>
          <w:szCs w:val="21"/>
        </w:rPr>
        <w:t>票</w:t>
      </w:r>
      <w:r>
        <w:rPr>
          <w:rFonts w:ascii="宋体" w:hAnsi="宋体" w:cs="宋体" w:eastAsia="宋体" w:hint="default"/>
          <w:spacing w:val="-3"/>
          <w:w w:val="100"/>
          <w:sz w:val="21"/>
          <w:szCs w:val="21"/>
        </w:rPr>
        <w:t>据</w:t>
      </w:r>
      <w:r>
        <w:rPr>
          <w:rFonts w:ascii="宋体" w:hAnsi="宋体" w:cs="宋体" w:eastAsia="宋体" w:hint="default"/>
          <w:w w:val="100"/>
          <w:sz w:val="21"/>
          <w:szCs w:val="21"/>
        </w:rPr>
        <w:t>市</w:t>
      </w:r>
      <w:r>
        <w:rPr>
          <w:rFonts w:ascii="宋体" w:hAnsi="宋体" w:cs="宋体" w:eastAsia="宋体" w:hint="default"/>
          <w:spacing w:val="-3"/>
          <w:w w:val="100"/>
          <w:sz w:val="21"/>
          <w:szCs w:val="21"/>
        </w:rPr>
        <w:t>场</w:t>
      </w:r>
      <w:r>
        <w:rPr>
          <w:rFonts w:ascii="宋体" w:hAnsi="宋体" w:cs="宋体" w:eastAsia="宋体" w:hint="default"/>
          <w:w w:val="100"/>
          <w:sz w:val="21"/>
          <w:szCs w:val="21"/>
        </w:rPr>
        <w:t>的</w:t>
      </w:r>
      <w:r>
        <w:rPr>
          <w:rFonts w:ascii="宋体" w:hAnsi="宋体" w:cs="宋体" w:eastAsia="宋体" w:hint="default"/>
          <w:spacing w:val="-3"/>
          <w:w w:val="100"/>
          <w:sz w:val="21"/>
          <w:szCs w:val="21"/>
        </w:rPr>
        <w:t>领</w:t>
      </w:r>
      <w:r>
        <w:rPr>
          <w:rFonts w:ascii="宋体" w:hAnsi="宋体" w:cs="宋体" w:eastAsia="宋体" w:hint="default"/>
          <w:w w:val="100"/>
          <w:sz w:val="21"/>
          <w:szCs w:val="21"/>
        </w:rPr>
        <w:t>先地</w:t>
      </w:r>
      <w:r>
        <w:rPr>
          <w:rFonts w:ascii="宋体" w:hAnsi="宋体" w:cs="宋体" w:eastAsia="宋体" w:hint="default"/>
          <w:spacing w:val="-3"/>
          <w:w w:val="100"/>
          <w:sz w:val="21"/>
          <w:szCs w:val="21"/>
        </w:rPr>
        <w:t>位</w:t>
      </w:r>
      <w:r>
        <w:rPr>
          <w:rFonts w:ascii="宋体" w:hAnsi="宋体" w:cs="宋体" w:eastAsia="宋体" w:hint="default"/>
          <w:w w:val="100"/>
          <w:sz w:val="21"/>
          <w:szCs w:val="21"/>
        </w:rPr>
        <w:t>。</w:t>
      </w:r>
    </w:p>
    <w:p>
      <w:pPr>
        <w:spacing w:line="355" w:lineRule="auto" w:before="133"/>
        <w:ind w:left="122" w:right="3000" w:firstLine="419"/>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3</w:t>
      </w:r>
      <w:r>
        <w:rPr>
          <w:rFonts w:ascii="宋体" w:hAnsi="宋体" w:cs="宋体" w:eastAsia="宋体" w:hint="default"/>
          <w:spacing w:val="-5"/>
          <w:w w:val="100"/>
          <w:sz w:val="21"/>
          <w:szCs w:val="21"/>
        </w:rPr>
        <w:t>）、调整销售模式，加强服务和技术支持，从而提高销售业绩。</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、为实现公司发展战略的资金使用安排</w:t>
      </w:r>
    </w:p>
    <w:p>
      <w:pPr>
        <w:spacing w:line="355" w:lineRule="auto" w:before="32"/>
        <w:ind w:left="122" w:right="1280" w:firstLine="479"/>
        <w:jc w:val="both"/>
        <w:rPr>
          <w:rFonts w:ascii="宋体" w:hAnsi="宋体" w:cs="宋体" w:eastAsia="宋体" w:hint="default"/>
          <w:sz w:val="21"/>
          <w:szCs w:val="21"/>
        </w:rPr>
      </w:pPr>
      <w:r>
        <w:rPr>
          <w:rFonts w:ascii="宋体" w:hAnsi="宋体" w:cs="宋体" w:eastAsia="宋体" w:hint="default"/>
          <w:spacing w:val="-8"/>
          <w:w w:val="100"/>
          <w:sz w:val="21"/>
          <w:szCs w:val="21"/>
        </w:rPr>
        <w:t>2012</w:t>
      </w:r>
      <w:r>
        <w:rPr>
          <w:rFonts w:ascii="宋体" w:hAnsi="宋体" w:cs="宋体" w:eastAsia="宋体" w:hint="default"/>
          <w:spacing w:val="-8"/>
          <w:w w:val="100"/>
          <w:sz w:val="21"/>
          <w:szCs w:val="21"/>
        </w:rPr>
        <w:t>年公司将根据新兴市场的发展情况，推进新募集资金项目的发展，根据项目计划安排，</w:t>
      </w:r>
      <w:r>
        <w:rPr>
          <w:rFonts w:ascii="宋体" w:hAnsi="宋体" w:cs="宋体" w:eastAsia="宋体" w:hint="default"/>
          <w:spacing w:val="-8"/>
          <w:w w:val="100"/>
          <w:sz w:val="21"/>
          <w:szCs w:val="21"/>
        </w:rPr>
        <w:t>2012</w:t>
      </w:r>
      <w:r>
        <w:rPr>
          <w:rFonts w:ascii="宋体" w:hAnsi="宋体" w:cs="宋体" w:eastAsia="宋体" w:hint="default"/>
          <w:w w:val="100"/>
          <w:sz w:val="21"/>
          <w:szCs w:val="21"/>
        </w:rPr>
        <w:t> </w:t>
      </w:r>
      <w:r>
        <w:rPr>
          <w:rFonts w:ascii="宋体" w:hAnsi="宋体" w:cs="宋体" w:eastAsia="宋体" w:hint="default"/>
          <w:sz w:val="21"/>
          <w:szCs w:val="21"/>
        </w:rPr>
        <w:t>年投资计划如下：</w:t>
      </w:r>
    </w:p>
    <w:p>
      <w:pPr>
        <w:spacing w:before="34"/>
        <w:ind w:left="602"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个</w:t>
      </w:r>
      <w:r>
        <w:rPr>
          <w:rFonts w:ascii="宋体" w:hAnsi="宋体" w:cs="宋体" w:eastAsia="宋体" w:hint="default"/>
          <w:spacing w:val="-3"/>
          <w:w w:val="100"/>
          <w:sz w:val="21"/>
          <w:szCs w:val="21"/>
        </w:rPr>
        <w:t>性</w:t>
      </w:r>
      <w:r>
        <w:rPr>
          <w:rFonts w:ascii="宋体" w:hAnsi="宋体" w:cs="宋体" w:eastAsia="宋体" w:hint="default"/>
          <w:w w:val="100"/>
          <w:sz w:val="21"/>
          <w:szCs w:val="21"/>
        </w:rPr>
        <w:t>化</w:t>
      </w:r>
      <w:r>
        <w:rPr>
          <w:rFonts w:ascii="宋体" w:hAnsi="宋体" w:cs="宋体" w:eastAsia="宋体" w:hint="default"/>
          <w:spacing w:val="-3"/>
          <w:w w:val="100"/>
          <w:sz w:val="21"/>
          <w:szCs w:val="21"/>
        </w:rPr>
        <w:t>彩</w:t>
      </w:r>
      <w:r>
        <w:rPr>
          <w:rFonts w:ascii="宋体" w:hAnsi="宋体" w:cs="宋体" w:eastAsia="宋体" w:hint="default"/>
          <w:w w:val="100"/>
          <w:sz w:val="21"/>
          <w:szCs w:val="21"/>
        </w:rPr>
        <w:t>印</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w:t>
      </w:r>
      <w:r>
        <w:rPr>
          <w:rFonts w:ascii="宋体" w:hAnsi="宋体" w:cs="宋体" w:eastAsia="宋体" w:hint="default"/>
          <w:w w:val="100"/>
          <w:sz w:val="21"/>
          <w:szCs w:val="21"/>
        </w:rPr>
        <w:t>计划</w:t>
      </w:r>
      <w:r>
        <w:rPr>
          <w:rFonts w:ascii="宋体" w:hAnsi="宋体" w:cs="宋体" w:eastAsia="宋体" w:hint="default"/>
          <w:spacing w:val="-3"/>
          <w:w w:val="100"/>
          <w:sz w:val="21"/>
          <w:szCs w:val="21"/>
        </w:rPr>
        <w:t>投</w:t>
      </w:r>
      <w:r>
        <w:rPr>
          <w:rFonts w:ascii="宋体" w:hAnsi="宋体" w:cs="宋体" w:eastAsia="宋体" w:hint="default"/>
          <w:spacing w:val="-1"/>
          <w:w w:val="100"/>
          <w:sz w:val="21"/>
          <w:szCs w:val="21"/>
        </w:rPr>
        <w:t>资</w:t>
      </w:r>
      <w:r>
        <w:rPr>
          <w:rFonts w:ascii="宋体" w:hAnsi="宋体" w:cs="宋体" w:eastAsia="宋体" w:hint="default"/>
          <w:w w:val="100"/>
          <w:sz w:val="21"/>
          <w:szCs w:val="21"/>
        </w:rPr>
        <w:t>2</w:t>
      </w:r>
      <w:r>
        <w:rPr>
          <w:rFonts w:ascii="宋体" w:hAnsi="宋体" w:cs="宋体" w:eastAsia="宋体" w:hint="default"/>
          <w:spacing w:val="-3"/>
          <w:w w:val="100"/>
          <w:sz w:val="21"/>
          <w:szCs w:val="21"/>
        </w:rPr>
        <w:t>,</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before="133"/>
        <w:ind w:left="602"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智</w:t>
      </w:r>
      <w:r>
        <w:rPr>
          <w:rFonts w:ascii="宋体" w:hAnsi="宋体" w:cs="宋体" w:eastAsia="宋体" w:hint="default"/>
          <w:spacing w:val="-3"/>
          <w:w w:val="100"/>
          <w:sz w:val="21"/>
          <w:szCs w:val="21"/>
        </w:rPr>
        <w:t>能</w:t>
      </w:r>
      <w:r>
        <w:rPr>
          <w:rFonts w:ascii="宋体" w:hAnsi="宋体" w:cs="宋体" w:eastAsia="宋体" w:hint="default"/>
          <w:w w:val="100"/>
          <w:sz w:val="21"/>
          <w:szCs w:val="21"/>
        </w:rPr>
        <w:t>卡</w:t>
      </w:r>
      <w:r>
        <w:rPr>
          <w:rFonts w:ascii="宋体" w:hAnsi="宋体" w:cs="宋体" w:eastAsia="宋体" w:hint="default"/>
          <w:spacing w:val="-3"/>
          <w:w w:val="100"/>
          <w:sz w:val="21"/>
          <w:szCs w:val="21"/>
        </w:rPr>
        <w:t>制</w:t>
      </w:r>
      <w:r>
        <w:rPr>
          <w:rFonts w:ascii="宋体" w:hAnsi="宋体" w:cs="宋体" w:eastAsia="宋体" w:hint="default"/>
          <w:w w:val="100"/>
          <w:sz w:val="21"/>
          <w:szCs w:val="21"/>
        </w:rPr>
        <w:t>造</w:t>
      </w:r>
      <w:r>
        <w:rPr>
          <w:rFonts w:ascii="宋体" w:hAnsi="宋体" w:cs="宋体" w:eastAsia="宋体" w:hint="default"/>
          <w:spacing w:val="-3"/>
          <w:w w:val="100"/>
          <w:sz w:val="21"/>
          <w:szCs w:val="21"/>
        </w:rPr>
        <w:t>与</w:t>
      </w:r>
      <w:r>
        <w:rPr>
          <w:rFonts w:ascii="宋体" w:hAnsi="宋体" w:cs="宋体" w:eastAsia="宋体" w:hint="default"/>
          <w:w w:val="100"/>
          <w:sz w:val="21"/>
          <w:szCs w:val="21"/>
        </w:rPr>
        <w:t>个</w:t>
      </w:r>
      <w:r>
        <w:rPr>
          <w:rFonts w:ascii="宋体" w:hAnsi="宋体" w:cs="宋体" w:eastAsia="宋体" w:hint="default"/>
          <w:spacing w:val="-3"/>
          <w:w w:val="100"/>
          <w:sz w:val="21"/>
          <w:szCs w:val="21"/>
        </w:rPr>
        <w:t>性</w:t>
      </w:r>
      <w:r>
        <w:rPr>
          <w:rFonts w:ascii="宋体" w:hAnsi="宋体" w:cs="宋体" w:eastAsia="宋体" w:hint="default"/>
          <w:w w:val="100"/>
          <w:sz w:val="21"/>
          <w:szCs w:val="21"/>
        </w:rPr>
        <w:t>化处</w:t>
      </w:r>
      <w:r>
        <w:rPr>
          <w:rFonts w:ascii="宋体" w:hAnsi="宋体" w:cs="宋体" w:eastAsia="宋体" w:hint="default"/>
          <w:spacing w:val="-3"/>
          <w:w w:val="100"/>
          <w:sz w:val="21"/>
          <w:szCs w:val="21"/>
        </w:rPr>
        <w:t>理</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w w:val="100"/>
          <w:sz w:val="21"/>
          <w:szCs w:val="21"/>
        </w:rPr>
        <w:t>4</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before="133"/>
        <w:ind w:left="602"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服</w:t>
      </w:r>
      <w:r>
        <w:rPr>
          <w:rFonts w:ascii="宋体" w:hAnsi="宋体" w:cs="宋体" w:eastAsia="宋体" w:hint="default"/>
          <w:spacing w:val="-3"/>
          <w:w w:val="100"/>
          <w:sz w:val="21"/>
          <w:szCs w:val="21"/>
        </w:rPr>
        <w:t>务</w:t>
      </w:r>
      <w:r>
        <w:rPr>
          <w:rFonts w:ascii="宋体" w:hAnsi="宋体" w:cs="宋体" w:eastAsia="宋体" w:hint="default"/>
          <w:w w:val="100"/>
          <w:sz w:val="21"/>
          <w:szCs w:val="21"/>
        </w:rPr>
        <w:t>外</w:t>
      </w:r>
      <w:r>
        <w:rPr>
          <w:rFonts w:ascii="宋体" w:hAnsi="宋体" w:cs="宋体" w:eastAsia="宋体" w:hint="default"/>
          <w:spacing w:val="-3"/>
          <w:w w:val="100"/>
          <w:sz w:val="21"/>
          <w:szCs w:val="21"/>
        </w:rPr>
        <w:t>包</w:t>
      </w:r>
      <w:r>
        <w:rPr>
          <w:rFonts w:ascii="宋体" w:hAnsi="宋体" w:cs="宋体" w:eastAsia="宋体" w:hint="default"/>
          <w:w w:val="100"/>
          <w:sz w:val="21"/>
          <w:szCs w:val="21"/>
        </w:rPr>
        <w:t>项目</w:t>
      </w:r>
      <w:r>
        <w:rPr>
          <w:rFonts w:ascii="宋体" w:hAnsi="宋体" w:cs="宋体" w:eastAsia="宋体" w:hint="default"/>
          <w:spacing w:val="-3"/>
          <w:w w:val="100"/>
          <w:sz w:val="21"/>
          <w:szCs w:val="21"/>
        </w:rPr>
        <w:t>，</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1,5</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spacing w:after="0"/>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602"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济</w:t>
      </w:r>
      <w:r>
        <w:rPr>
          <w:rFonts w:ascii="宋体" w:hAnsi="宋体" w:cs="宋体" w:eastAsia="宋体" w:hint="default"/>
          <w:spacing w:val="-3"/>
          <w:w w:val="100"/>
          <w:sz w:val="21"/>
          <w:szCs w:val="21"/>
        </w:rPr>
        <w:t>南</w:t>
      </w:r>
      <w:r>
        <w:rPr>
          <w:rFonts w:ascii="宋体" w:hAnsi="宋体" w:cs="宋体" w:eastAsia="宋体" w:hint="default"/>
          <w:w w:val="100"/>
          <w:sz w:val="21"/>
          <w:szCs w:val="21"/>
        </w:rPr>
        <w:t>临</w:t>
      </w:r>
      <w:r>
        <w:rPr>
          <w:rFonts w:ascii="宋体" w:hAnsi="宋体" w:cs="宋体" w:eastAsia="宋体" w:hint="default"/>
          <w:spacing w:val="-3"/>
          <w:w w:val="100"/>
          <w:sz w:val="21"/>
          <w:szCs w:val="21"/>
        </w:rPr>
        <w:t>港</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区</w:t>
      </w:r>
      <w:r>
        <w:rPr>
          <w:rFonts w:ascii="宋体" w:hAnsi="宋体" w:cs="宋体" w:eastAsia="宋体" w:hint="default"/>
          <w:spacing w:val="-3"/>
          <w:w w:val="100"/>
          <w:sz w:val="21"/>
          <w:szCs w:val="21"/>
        </w:rPr>
        <w:t>二</w:t>
      </w:r>
      <w:r>
        <w:rPr>
          <w:rFonts w:ascii="宋体" w:hAnsi="宋体" w:cs="宋体" w:eastAsia="宋体" w:hint="default"/>
          <w:w w:val="100"/>
          <w:sz w:val="21"/>
          <w:szCs w:val="21"/>
        </w:rPr>
        <w:t>期项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建</w:t>
      </w:r>
      <w:r>
        <w:rPr>
          <w:rFonts w:ascii="宋体" w:hAnsi="宋体" w:cs="宋体" w:eastAsia="宋体" w:hint="default"/>
          <w:spacing w:val="-3"/>
          <w:w w:val="100"/>
          <w:sz w:val="21"/>
          <w:szCs w:val="21"/>
        </w:rPr>
        <w:t>设</w:t>
      </w:r>
      <w:r>
        <w:rPr>
          <w:rFonts w:ascii="宋体" w:hAnsi="宋体" w:cs="宋体" w:eastAsia="宋体" w:hint="default"/>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w w:val="100"/>
          <w:sz w:val="21"/>
          <w:szCs w:val="21"/>
        </w:rPr>
        <w:t>2</w:t>
      </w:r>
      <w:r>
        <w:rPr>
          <w:rFonts w:ascii="宋体" w:hAnsi="宋体" w:cs="宋体" w:eastAsia="宋体" w:hint="default"/>
          <w:spacing w:val="-3"/>
          <w:w w:val="100"/>
          <w:sz w:val="21"/>
          <w:szCs w:val="21"/>
        </w:rPr>
        <w:t>,5</w:t>
      </w:r>
      <w:r>
        <w:rPr>
          <w:rFonts w:ascii="宋体" w:hAnsi="宋体" w:cs="宋体" w:eastAsia="宋体" w:hint="default"/>
          <w:w w:val="100"/>
          <w:sz w:val="21"/>
          <w:szCs w:val="21"/>
        </w:rPr>
        <w:t>0</w:t>
      </w:r>
      <w:r>
        <w:rPr>
          <w:rFonts w:ascii="宋体" w:hAnsi="宋体" w:cs="宋体" w:eastAsia="宋体" w:hint="default"/>
          <w:spacing w:val="-1"/>
          <w:w w:val="100"/>
          <w:sz w:val="21"/>
          <w:szCs w:val="21"/>
        </w:rPr>
        <w:t>0</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357" w:lineRule="auto" w:before="133"/>
        <w:ind w:left="602" w:right="1844" w:firstLine="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5</w:t>
      </w:r>
      <w:r>
        <w:rPr>
          <w:rFonts w:ascii="宋体" w:hAnsi="宋体" w:cs="宋体" w:eastAsia="宋体" w:hint="default"/>
          <w:spacing w:val="-5"/>
          <w:w w:val="100"/>
          <w:sz w:val="21"/>
          <w:szCs w:val="21"/>
        </w:rPr>
        <w:t>）、上海东港数据处理公司购置土地及前期建设，计划投资</w:t>
      </w:r>
      <w:r>
        <w:rPr>
          <w:rFonts w:ascii="宋体" w:hAnsi="宋体" w:cs="宋体" w:eastAsia="宋体" w:hint="default"/>
          <w:spacing w:val="-5"/>
          <w:w w:val="100"/>
          <w:sz w:val="21"/>
          <w:szCs w:val="21"/>
        </w:rPr>
        <w:t>5,000</w:t>
      </w:r>
      <w:r>
        <w:rPr>
          <w:rFonts w:ascii="宋体" w:hAnsi="宋体" w:cs="宋体" w:eastAsia="宋体" w:hint="default"/>
          <w:spacing w:val="-5"/>
          <w:w w:val="100"/>
          <w:sz w:val="21"/>
          <w:szCs w:val="21"/>
        </w:rPr>
        <w:t>万元；</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(6)</w:t>
      </w:r>
      <w:r>
        <w:rPr>
          <w:rFonts w:ascii="宋体" w:hAnsi="宋体" w:cs="宋体" w:eastAsia="宋体" w:hint="default"/>
          <w:sz w:val="21"/>
          <w:szCs w:val="21"/>
        </w:rPr>
        <w:t>、郑州东港扩建改造项目，计划投资</w:t>
      </w:r>
      <w:r>
        <w:rPr>
          <w:rFonts w:ascii="宋体" w:hAnsi="宋体" w:cs="宋体" w:eastAsia="宋体" w:hint="default"/>
          <w:sz w:val="21"/>
          <w:szCs w:val="21"/>
        </w:rPr>
        <w:t>2,000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z w:val="21"/>
          <w:szCs w:val="21"/>
        </w:rPr>
        <w:t>年预计投资总额</w:t>
      </w:r>
      <w:r>
        <w:rPr>
          <w:rFonts w:ascii="宋体" w:hAnsi="宋体" w:cs="宋体" w:eastAsia="宋体" w:hint="default"/>
          <w:sz w:val="21"/>
          <w:szCs w:val="21"/>
        </w:rPr>
        <w:t>17,000</w:t>
      </w:r>
      <w:r>
        <w:rPr>
          <w:rFonts w:ascii="宋体" w:hAnsi="宋体" w:cs="宋体" w:eastAsia="宋体" w:hint="default"/>
          <w:sz w:val="21"/>
          <w:szCs w:val="21"/>
        </w:rPr>
        <w:t>万元。</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、公司面临的风险</w:t>
      </w:r>
    </w:p>
    <w:p>
      <w:pPr>
        <w:spacing w:line="355" w:lineRule="auto" w:before="133"/>
        <w:ind w:left="52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宏观经济增长趋缓，影响公司业绩的提升</w:t>
      </w:r>
      <w:r>
        <w:rPr>
          <w:rFonts w:ascii="宋体" w:hAnsi="宋体" w:cs="宋体" w:eastAsia="宋体" w:hint="default"/>
          <w:w w:val="100"/>
          <w:sz w:val="21"/>
          <w:szCs w:val="21"/>
        </w:rPr>
        <w:t> </w:t>
      </w:r>
      <w:r>
        <w:rPr>
          <w:rFonts w:ascii="宋体" w:hAnsi="宋体" w:cs="宋体" w:eastAsia="宋体" w:hint="default"/>
          <w:spacing w:val="-2"/>
          <w:sz w:val="21"/>
          <w:szCs w:val="21"/>
        </w:rPr>
        <w:t>应对措施：加强市场开拓力度，通过开发新客户、新产品，提高销售业绩。</w:t>
      </w:r>
    </w:p>
    <w:p>
      <w:pPr>
        <w:spacing w:line="355" w:lineRule="auto"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）市场竞争日趋激烈，产品价格存在下降的趋势</w:t>
      </w:r>
      <w:r>
        <w:rPr>
          <w:rFonts w:ascii="宋体" w:hAnsi="宋体" w:cs="宋体" w:eastAsia="宋体" w:hint="default"/>
          <w:w w:val="100"/>
          <w:sz w:val="21"/>
          <w:szCs w:val="21"/>
        </w:rPr>
        <w:t> </w:t>
      </w:r>
      <w:r>
        <w:rPr>
          <w:rFonts w:ascii="宋体" w:hAnsi="宋体" w:cs="宋体" w:eastAsia="宋体" w:hint="default"/>
          <w:spacing w:val="-3"/>
          <w:sz w:val="21"/>
          <w:szCs w:val="21"/>
        </w:rPr>
        <w:t>应对措施：控制原材料消耗及各项费用，降低产品成本，提供差异化和综合化服务，优化产品</w:t>
      </w:r>
    </w:p>
    <w:p>
      <w:pPr>
        <w:spacing w:before="32"/>
        <w:ind w:left="122" w:right="0" w:firstLine="0"/>
        <w:jc w:val="left"/>
        <w:rPr>
          <w:rFonts w:ascii="宋体" w:hAnsi="宋体" w:cs="宋体" w:eastAsia="宋体" w:hint="default"/>
          <w:sz w:val="21"/>
          <w:szCs w:val="21"/>
        </w:rPr>
      </w:pPr>
      <w:r>
        <w:rPr>
          <w:rFonts w:ascii="宋体" w:hAnsi="宋体" w:cs="宋体" w:eastAsia="宋体" w:hint="default"/>
          <w:sz w:val="21"/>
          <w:szCs w:val="21"/>
        </w:rPr>
        <w:t>结构，稳定产品盈利水平。</w:t>
      </w:r>
    </w:p>
    <w:p>
      <w:pPr>
        <w:spacing w:line="355" w:lineRule="auto"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）智能卡、彩印等新业务在市场竞争中仍处于不利地位</w:t>
      </w:r>
      <w:r>
        <w:rPr>
          <w:rFonts w:ascii="宋体" w:hAnsi="宋体" w:cs="宋体" w:eastAsia="宋体" w:hint="default"/>
          <w:w w:val="100"/>
          <w:sz w:val="21"/>
          <w:szCs w:val="21"/>
        </w:rPr>
        <w:t> </w:t>
      </w:r>
      <w:r>
        <w:rPr>
          <w:rFonts w:ascii="宋体" w:hAnsi="宋体" w:cs="宋体" w:eastAsia="宋体" w:hint="default"/>
          <w:spacing w:val="-2"/>
          <w:sz w:val="21"/>
          <w:szCs w:val="21"/>
        </w:rPr>
        <w:t>应对措施：调集公司优势资源，从资金、人才、技术等多个方面，完善新产品的研发、销售、</w:t>
      </w:r>
    </w:p>
    <w:p>
      <w:pPr>
        <w:spacing w:before="34"/>
        <w:ind w:left="122" w:right="0" w:firstLine="0"/>
        <w:jc w:val="left"/>
        <w:rPr>
          <w:rFonts w:ascii="宋体" w:hAnsi="宋体" w:cs="宋体" w:eastAsia="宋体" w:hint="default"/>
          <w:sz w:val="21"/>
          <w:szCs w:val="21"/>
        </w:rPr>
      </w:pPr>
      <w:r>
        <w:rPr>
          <w:rFonts w:ascii="宋体" w:hAnsi="宋体" w:cs="宋体" w:eastAsia="宋体" w:hint="default"/>
          <w:sz w:val="21"/>
          <w:szCs w:val="21"/>
        </w:rPr>
        <w:t>生产、质量等各个环节，完善内部管理流程，促进新业务的发展。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二、公司投资情况</w:t>
      </w:r>
      <w:r>
        <w:rPr>
          <w:rFonts w:ascii="宋体" w:hAnsi="宋体" w:cs="宋体" w:eastAsia="宋体" w:hint="default"/>
          <w:sz w:val="21"/>
          <w:szCs w:val="21"/>
        </w:rPr>
      </w:r>
    </w:p>
    <w:p>
      <w:pPr>
        <w:spacing w:line="357" w:lineRule="auto" w:before="133"/>
        <w:ind w:left="545" w:right="6365" w:hanging="423"/>
        <w:jc w:val="left"/>
        <w:rPr>
          <w:rFonts w:ascii="宋体" w:hAnsi="宋体" w:cs="宋体" w:eastAsia="宋体" w:hint="default"/>
          <w:sz w:val="21"/>
          <w:szCs w:val="21"/>
        </w:rPr>
      </w:pPr>
      <w:r>
        <w:rPr>
          <w:rFonts w:ascii="宋体" w:hAnsi="宋体" w:cs="宋体" w:eastAsia="宋体" w:hint="default"/>
          <w:b/>
          <w:bCs/>
          <w:spacing w:val="-6"/>
          <w:w w:val="100"/>
          <w:sz w:val="21"/>
          <w:szCs w:val="21"/>
        </w:rPr>
        <w:t>（一）、报告期内，主要投资项目情况说明</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、募投资金项目</w:t>
      </w:r>
      <w:r>
        <w:rPr>
          <w:rFonts w:ascii="宋体" w:hAnsi="宋体" w:cs="宋体" w:eastAsia="宋体" w:hint="default"/>
          <w:b/>
          <w:bCs/>
          <w:w w:val="100"/>
          <w:sz w:val="21"/>
          <w:szCs w:val="21"/>
        </w:rPr>
        <w:t> </w:t>
      </w:r>
      <w:r>
        <w:rPr>
          <w:rFonts w:ascii="宋体" w:hAnsi="宋体" w:cs="宋体" w:eastAsia="宋体" w:hint="default"/>
          <w:b/>
          <w:bCs/>
          <w:sz w:val="21"/>
          <w:szCs w:val="21"/>
        </w:rPr>
        <w:t>一、募集资金基本情况</w:t>
      </w:r>
      <w:r>
        <w:rPr>
          <w:rFonts w:ascii="宋体" w:hAnsi="宋体" w:cs="宋体" w:eastAsia="宋体" w:hint="default"/>
          <w:sz w:val="21"/>
          <w:szCs w:val="21"/>
        </w:rPr>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宋体" w:hAnsi="宋体" w:cs="宋体" w:eastAsia="宋体" w:hint="default"/>
          <w:sz w:val="21"/>
          <w:szCs w:val="21"/>
        </w:rPr>
        <w:t>[2010]1210</w:t>
      </w:r>
      <w:r>
        <w:rPr>
          <w:rFonts w:ascii="宋体" w:hAnsi="宋体" w:cs="宋体" w:eastAsia="宋体" w:hint="default"/>
          <w:spacing w:val="-43"/>
          <w:sz w:val="21"/>
          <w:szCs w:val="21"/>
        </w:rPr>
        <w:t> </w:t>
      </w:r>
      <w:r>
        <w:rPr>
          <w:rFonts w:ascii="宋体" w:hAnsi="宋体" w:cs="宋体" w:eastAsia="宋体" w:hint="default"/>
          <w:sz w:val="21"/>
          <w:szCs w:val="21"/>
        </w:rPr>
        <w:t>号文件核准，公司于</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日向社</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会公开增发人民币普通股（</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pacing w:val="-4"/>
          <w:sz w:val="21"/>
          <w:szCs w:val="21"/>
        </w:rPr>
        <w:t>股）股票</w:t>
      </w:r>
      <w:r>
        <w:rPr>
          <w:rFonts w:ascii="宋体" w:hAnsi="宋体" w:cs="宋体" w:eastAsia="宋体" w:hint="default"/>
          <w:spacing w:val="-52"/>
          <w:sz w:val="21"/>
          <w:szCs w:val="21"/>
        </w:rPr>
        <w:t> </w:t>
      </w:r>
      <w:r>
        <w:rPr>
          <w:rFonts w:ascii="宋体" w:hAnsi="宋体" w:cs="宋体" w:eastAsia="宋体" w:hint="default"/>
          <w:sz w:val="21"/>
          <w:szCs w:val="21"/>
        </w:rPr>
        <w:t>14,124,172</w:t>
      </w:r>
      <w:r>
        <w:rPr>
          <w:rFonts w:ascii="宋体" w:hAnsi="宋体" w:cs="宋体" w:eastAsia="宋体" w:hint="default"/>
          <w:spacing w:val="-54"/>
          <w:sz w:val="21"/>
          <w:szCs w:val="21"/>
        </w:rPr>
        <w:t> </w:t>
      </w:r>
      <w:r>
        <w:rPr>
          <w:rFonts w:ascii="宋体" w:hAnsi="宋体" w:cs="宋体" w:eastAsia="宋体" w:hint="default"/>
          <w:sz w:val="21"/>
          <w:szCs w:val="21"/>
        </w:rPr>
        <w:t>股，每股面值为人民币</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元，增发价格为</w:t>
      </w:r>
      <w:r>
        <w:rPr>
          <w:rFonts w:ascii="宋体" w:hAnsi="宋体" w:cs="宋体" w:eastAsia="宋体" w:hint="default"/>
          <w:spacing w:val="-51"/>
          <w:sz w:val="21"/>
          <w:szCs w:val="21"/>
        </w:rPr>
        <w:t> </w:t>
      </w:r>
      <w:r>
        <w:rPr>
          <w:rFonts w:ascii="宋体" w:hAnsi="宋体" w:cs="宋体" w:eastAsia="宋体" w:hint="default"/>
          <w:sz w:val="21"/>
          <w:szCs w:val="21"/>
        </w:rPr>
        <w:t>25.69</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股，总计募集资金 </w:t>
      </w:r>
      <w:r>
        <w:rPr>
          <w:rFonts w:ascii="宋体" w:hAnsi="宋体" w:cs="宋体" w:eastAsia="宋体" w:hint="default"/>
          <w:sz w:val="21"/>
          <w:szCs w:val="21"/>
        </w:rPr>
        <w:t>362,849,978.68 </w:t>
      </w:r>
      <w:r>
        <w:rPr>
          <w:rFonts w:ascii="宋体" w:hAnsi="宋体" w:cs="宋体" w:eastAsia="宋体" w:hint="default"/>
          <w:sz w:val="21"/>
          <w:szCs w:val="21"/>
        </w:rPr>
        <w:t>元，扣除发行费用 </w:t>
      </w:r>
      <w:r>
        <w:rPr>
          <w:rFonts w:ascii="宋体" w:hAnsi="宋体" w:cs="宋体" w:eastAsia="宋体" w:hint="default"/>
          <w:sz w:val="21"/>
          <w:szCs w:val="21"/>
        </w:rPr>
        <w:t>17,741,364.15</w:t>
      </w:r>
      <w:r>
        <w:rPr>
          <w:rFonts w:ascii="宋体" w:hAnsi="宋体" w:cs="宋体" w:eastAsia="宋体" w:hint="default"/>
          <w:spacing w:val="-39"/>
          <w:sz w:val="21"/>
          <w:szCs w:val="21"/>
        </w:rPr>
        <w:t> </w:t>
      </w:r>
      <w:r>
        <w:rPr>
          <w:rFonts w:ascii="宋体" w:hAnsi="宋体" w:cs="宋体" w:eastAsia="宋体" w:hint="default"/>
          <w:sz w:val="21"/>
          <w:szCs w:val="21"/>
        </w:rPr>
        <w:t>元后，募集资金净额为</w:t>
      </w:r>
    </w:p>
    <w:p>
      <w:pPr>
        <w:spacing w:before="135"/>
        <w:ind w:left="122" w:right="0" w:firstLine="0"/>
        <w:jc w:val="left"/>
        <w:rPr>
          <w:rFonts w:ascii="宋体" w:hAnsi="宋体" w:cs="宋体" w:eastAsia="宋体" w:hint="default"/>
          <w:sz w:val="21"/>
          <w:szCs w:val="21"/>
        </w:rPr>
      </w:pPr>
      <w:r>
        <w:rPr>
          <w:rFonts w:ascii="宋体" w:hAnsi="宋体" w:cs="宋体" w:eastAsia="宋体" w:hint="default"/>
          <w:sz w:val="21"/>
          <w:szCs w:val="21"/>
        </w:rPr>
        <w:t>345,108,614.53</w:t>
      </w:r>
      <w:r>
        <w:rPr>
          <w:rFonts w:ascii="宋体" w:hAnsi="宋体" w:cs="宋体" w:eastAsia="宋体" w:hint="default"/>
          <w:spacing w:val="-46"/>
          <w:sz w:val="21"/>
          <w:szCs w:val="21"/>
        </w:rPr>
        <w:t> </w:t>
      </w:r>
      <w:r>
        <w:rPr>
          <w:rFonts w:ascii="宋体" w:hAnsi="宋体" w:cs="宋体" w:eastAsia="宋体" w:hint="default"/>
          <w:spacing w:val="-7"/>
          <w:sz w:val="21"/>
          <w:szCs w:val="21"/>
        </w:rPr>
        <w:t>元。募集资金已于</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16</w:t>
      </w:r>
      <w:r>
        <w:rPr>
          <w:rFonts w:ascii="宋体" w:hAnsi="宋体" w:cs="宋体" w:eastAsia="宋体" w:hint="default"/>
          <w:spacing w:val="-48"/>
          <w:sz w:val="21"/>
          <w:szCs w:val="21"/>
        </w:rPr>
        <w:t> </w:t>
      </w:r>
      <w:r>
        <w:rPr>
          <w:rFonts w:ascii="宋体" w:hAnsi="宋体" w:cs="宋体" w:eastAsia="宋体" w:hint="default"/>
          <w:spacing w:val="-4"/>
          <w:sz w:val="21"/>
          <w:szCs w:val="21"/>
        </w:rPr>
        <w:t>日划至公司指定账户。中瑞岳华会计师事务所有</w:t>
      </w:r>
    </w:p>
    <w:p>
      <w:pPr>
        <w:spacing w:line="355" w:lineRule="auto" w:before="133"/>
        <w:ind w:left="542" w:right="1274" w:hanging="420"/>
        <w:jc w:val="left"/>
        <w:rPr>
          <w:rFonts w:ascii="宋体" w:hAnsi="宋体" w:cs="宋体" w:eastAsia="宋体" w:hint="default"/>
          <w:sz w:val="21"/>
          <w:szCs w:val="21"/>
        </w:rPr>
      </w:pPr>
      <w:r>
        <w:rPr>
          <w:rFonts w:ascii="宋体" w:hAnsi="宋体" w:cs="宋体" w:eastAsia="宋体" w:hint="default"/>
          <w:spacing w:val="-2"/>
          <w:w w:val="100"/>
          <w:sz w:val="21"/>
          <w:szCs w:val="21"/>
        </w:rPr>
        <w:t>限公司已对上述资金进行了验证，并出具了中瑞岳华验字</w:t>
      </w:r>
      <w:r>
        <w:rPr>
          <w:rFonts w:ascii="宋体" w:hAnsi="宋体" w:cs="宋体" w:eastAsia="宋体" w:hint="default"/>
          <w:spacing w:val="-2"/>
          <w:w w:val="100"/>
          <w:sz w:val="21"/>
          <w:szCs w:val="21"/>
        </w:rPr>
        <w:t>[2010]</w:t>
      </w:r>
      <w:r>
        <w:rPr>
          <w:rFonts w:ascii="宋体" w:hAnsi="宋体" w:cs="宋体" w:eastAsia="宋体" w:hint="default"/>
          <w:spacing w:val="-2"/>
          <w:w w:val="100"/>
          <w:sz w:val="21"/>
          <w:szCs w:val="21"/>
        </w:rPr>
        <w:t>第</w:t>
      </w:r>
      <w:r>
        <w:rPr>
          <w:rFonts w:ascii="宋体" w:hAnsi="宋体" w:cs="宋体" w:eastAsia="宋体" w:hint="default"/>
          <w:spacing w:val="-52"/>
          <w:w w:val="100"/>
          <w:sz w:val="21"/>
          <w:szCs w:val="21"/>
        </w:rPr>
        <w:t> </w:t>
      </w:r>
      <w:r>
        <w:rPr>
          <w:rFonts w:ascii="宋体" w:hAnsi="宋体" w:cs="宋体" w:eastAsia="宋体" w:hint="default"/>
          <w:w w:val="100"/>
          <w:sz w:val="21"/>
          <w:szCs w:val="21"/>
        </w:rPr>
        <w:t>243</w:t>
      </w:r>
      <w:r>
        <w:rPr>
          <w:rFonts w:ascii="宋体" w:hAnsi="宋体" w:cs="宋体" w:eastAsia="宋体" w:hint="default"/>
          <w:spacing w:val="-55"/>
          <w:w w:val="100"/>
          <w:sz w:val="21"/>
          <w:szCs w:val="21"/>
        </w:rPr>
        <w:t> </w:t>
      </w:r>
      <w:r>
        <w:rPr>
          <w:rFonts w:ascii="宋体" w:hAnsi="宋体" w:cs="宋体" w:eastAsia="宋体" w:hint="default"/>
          <w:spacing w:val="-15"/>
          <w:w w:val="100"/>
          <w:sz w:val="21"/>
          <w:szCs w:val="21"/>
        </w:rPr>
        <w:t>号《验资报告》。</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b/>
          <w:bCs/>
          <w:sz w:val="21"/>
          <w:szCs w:val="21"/>
        </w:rPr>
        <w:t>二、募集资金管理情况</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为规范募集资金的管理和使用，保护投资者利益，根据《深圳证券交易所股票上市规则》、《中</w:t>
      </w:r>
    </w:p>
    <w:p>
      <w:pPr>
        <w:spacing w:line="357" w:lineRule="auto" w:before="32"/>
        <w:ind w:left="122" w:right="0" w:firstLine="0"/>
        <w:jc w:val="left"/>
        <w:rPr>
          <w:rFonts w:ascii="宋体" w:hAnsi="宋体" w:cs="宋体" w:eastAsia="宋体" w:hint="default"/>
          <w:sz w:val="21"/>
          <w:szCs w:val="21"/>
        </w:rPr>
      </w:pPr>
      <w:r>
        <w:rPr>
          <w:rFonts w:ascii="宋体" w:hAnsi="宋体" w:cs="宋体" w:eastAsia="宋体" w:hint="default"/>
          <w:spacing w:val="-3"/>
          <w:sz w:val="21"/>
          <w:szCs w:val="21"/>
        </w:rPr>
        <w:t>小企业板上市公司募集资金管理细则》及相关法律、法规和规范性文件的规定，结合公司的实际情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7"/>
          <w:w w:val="100"/>
          <w:sz w:val="21"/>
          <w:szCs w:val="21"/>
        </w:rPr>
        <w:t>况，公司制定了《募集资金管理办法》，于</w:t>
      </w:r>
      <w:r>
        <w:rPr>
          <w:rFonts w:ascii="宋体" w:hAnsi="宋体" w:cs="宋体" w:eastAsia="宋体" w:hint="default"/>
          <w:spacing w:val="-40"/>
          <w:w w:val="100"/>
          <w:sz w:val="21"/>
          <w:szCs w:val="21"/>
        </w:rPr>
        <w:t> </w:t>
      </w:r>
      <w:r>
        <w:rPr>
          <w:rFonts w:ascii="宋体" w:hAnsi="宋体" w:cs="宋体" w:eastAsia="宋体" w:hint="default"/>
          <w:spacing w:val="-1"/>
          <w:w w:val="100"/>
          <w:sz w:val="21"/>
          <w:szCs w:val="21"/>
        </w:rPr>
        <w:t>2007</w:t>
      </w:r>
      <w:r>
        <w:rPr>
          <w:rFonts w:ascii="宋体" w:hAnsi="宋体" w:cs="宋体" w:eastAsia="宋体" w:hint="default"/>
          <w:spacing w:val="-42"/>
          <w:w w:val="100"/>
          <w:sz w:val="21"/>
          <w:szCs w:val="21"/>
        </w:rPr>
        <w:t> </w:t>
      </w:r>
      <w:r>
        <w:rPr>
          <w:rFonts w:ascii="宋体" w:hAnsi="宋体" w:cs="宋体" w:eastAsia="宋体" w:hint="default"/>
          <w:w w:val="100"/>
          <w:sz w:val="21"/>
          <w:szCs w:val="21"/>
        </w:rPr>
        <w:t>年</w:t>
      </w:r>
      <w:r>
        <w:rPr>
          <w:rFonts w:ascii="宋体" w:hAnsi="宋体" w:cs="宋体" w:eastAsia="宋体" w:hint="default"/>
          <w:spacing w:val="-42"/>
          <w:w w:val="100"/>
          <w:sz w:val="21"/>
          <w:szCs w:val="21"/>
        </w:rPr>
        <w:t> </w:t>
      </w:r>
      <w:r>
        <w:rPr>
          <w:rFonts w:ascii="宋体" w:hAnsi="宋体" w:cs="宋体" w:eastAsia="宋体" w:hint="default"/>
          <w:w w:val="100"/>
          <w:sz w:val="21"/>
          <w:szCs w:val="21"/>
        </w:rPr>
        <w:t>3</w:t>
      </w:r>
      <w:r>
        <w:rPr>
          <w:rFonts w:ascii="宋体" w:hAnsi="宋体" w:cs="宋体" w:eastAsia="宋体" w:hint="default"/>
          <w:spacing w:val="-40"/>
          <w:w w:val="100"/>
          <w:sz w:val="21"/>
          <w:szCs w:val="21"/>
        </w:rPr>
        <w:t> </w:t>
      </w:r>
      <w:r>
        <w:rPr>
          <w:rFonts w:ascii="宋体" w:hAnsi="宋体" w:cs="宋体" w:eastAsia="宋体" w:hint="default"/>
          <w:w w:val="100"/>
          <w:sz w:val="21"/>
          <w:szCs w:val="21"/>
        </w:rPr>
        <w:t>月</w:t>
      </w:r>
      <w:r>
        <w:rPr>
          <w:rFonts w:ascii="宋体" w:hAnsi="宋体" w:cs="宋体" w:eastAsia="宋体" w:hint="default"/>
          <w:spacing w:val="-40"/>
          <w:w w:val="100"/>
          <w:sz w:val="21"/>
          <w:szCs w:val="21"/>
        </w:rPr>
        <w:t> </w:t>
      </w:r>
      <w:r>
        <w:rPr>
          <w:rFonts w:ascii="宋体" w:hAnsi="宋体" w:cs="宋体" w:eastAsia="宋体" w:hint="default"/>
          <w:spacing w:val="-2"/>
          <w:w w:val="100"/>
          <w:sz w:val="21"/>
          <w:szCs w:val="21"/>
        </w:rPr>
        <w:t>15</w:t>
      </w:r>
      <w:r>
        <w:rPr>
          <w:rFonts w:ascii="宋体" w:hAnsi="宋体" w:cs="宋体" w:eastAsia="宋体" w:hint="default"/>
          <w:spacing w:val="-40"/>
          <w:w w:val="100"/>
          <w:sz w:val="21"/>
          <w:szCs w:val="21"/>
        </w:rPr>
        <w:t> </w:t>
      </w:r>
      <w:r>
        <w:rPr>
          <w:rFonts w:ascii="宋体" w:hAnsi="宋体" w:cs="宋体" w:eastAsia="宋体" w:hint="default"/>
          <w:spacing w:val="-2"/>
          <w:w w:val="100"/>
          <w:sz w:val="21"/>
          <w:szCs w:val="21"/>
        </w:rPr>
        <w:t>日经公司第二届董事会第五次会议审议</w:t>
      </w:r>
    </w:p>
    <w:p>
      <w:pPr>
        <w:spacing w:line="355" w:lineRule="auto" w:before="31"/>
        <w:ind w:left="122" w:right="0" w:firstLine="0"/>
        <w:jc w:val="left"/>
        <w:rPr>
          <w:rFonts w:ascii="宋体" w:hAnsi="宋体" w:cs="宋体" w:eastAsia="宋体" w:hint="default"/>
          <w:sz w:val="21"/>
          <w:szCs w:val="21"/>
        </w:rPr>
      </w:pPr>
      <w:r>
        <w:rPr>
          <w:rFonts w:ascii="宋体" w:hAnsi="宋体" w:cs="宋体" w:eastAsia="宋体" w:hint="default"/>
          <w:sz w:val="21"/>
          <w:szCs w:val="21"/>
        </w:rPr>
        <w:t>通过，并于</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13</w:t>
      </w:r>
      <w:r>
        <w:rPr>
          <w:rFonts w:ascii="宋体" w:hAnsi="宋体" w:cs="宋体" w:eastAsia="宋体" w:hint="default"/>
          <w:spacing w:val="-48"/>
          <w:sz w:val="21"/>
          <w:szCs w:val="21"/>
        </w:rPr>
        <w:t> </w:t>
      </w:r>
      <w:r>
        <w:rPr>
          <w:rFonts w:ascii="宋体" w:hAnsi="宋体" w:cs="宋体" w:eastAsia="宋体" w:hint="default"/>
          <w:sz w:val="21"/>
          <w:szCs w:val="21"/>
        </w:rPr>
        <w:t>日在公司第二届董事会第九次会议和</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日公司第三届董</w:t>
      </w:r>
      <w:r>
        <w:rPr>
          <w:rFonts w:ascii="宋体" w:hAnsi="宋体" w:cs="宋体" w:eastAsia="宋体" w:hint="default"/>
          <w:w w:val="100"/>
          <w:sz w:val="21"/>
          <w:szCs w:val="21"/>
        </w:rPr>
        <w:t> </w:t>
      </w:r>
      <w:r>
        <w:rPr>
          <w:rFonts w:ascii="宋体" w:hAnsi="宋体" w:cs="宋体" w:eastAsia="宋体" w:hint="default"/>
          <w:sz w:val="21"/>
          <w:szCs w:val="21"/>
        </w:rPr>
        <w:t>事会第三次会议上进行了修订和完善。</w:t>
      </w:r>
    </w:p>
    <w:p>
      <w:pPr>
        <w:spacing w:line="357" w:lineRule="auto" w:before="32"/>
        <w:ind w:left="122" w:right="1277" w:firstLine="419"/>
        <w:jc w:val="both"/>
        <w:rPr>
          <w:rFonts w:ascii="宋体" w:hAnsi="宋体" w:cs="宋体" w:eastAsia="宋体" w:hint="default"/>
          <w:sz w:val="21"/>
          <w:szCs w:val="21"/>
        </w:rPr>
      </w:pPr>
      <w:r>
        <w:rPr>
          <w:rFonts w:ascii="宋体" w:hAnsi="宋体" w:cs="宋体" w:eastAsia="宋体" w:hint="default"/>
          <w:spacing w:val="2"/>
          <w:w w:val="100"/>
          <w:sz w:val="21"/>
          <w:szCs w:val="21"/>
        </w:rPr>
        <w:t>公</w:t>
      </w:r>
      <w:r>
        <w:rPr>
          <w:rFonts w:ascii="宋体" w:hAnsi="宋体" w:cs="宋体" w:eastAsia="宋体" w:hint="default"/>
          <w:w w:val="100"/>
          <w:sz w:val="21"/>
          <w:szCs w:val="21"/>
        </w:rPr>
        <w:t>司募集</w:t>
      </w:r>
      <w:r>
        <w:rPr>
          <w:rFonts w:ascii="宋体" w:hAnsi="宋体" w:cs="宋体" w:eastAsia="宋体" w:hint="default"/>
          <w:spacing w:val="2"/>
          <w:w w:val="100"/>
          <w:sz w:val="21"/>
          <w:szCs w:val="21"/>
        </w:rPr>
        <w:t>资</w:t>
      </w:r>
      <w:r>
        <w:rPr>
          <w:rFonts w:ascii="宋体" w:hAnsi="宋体" w:cs="宋体" w:eastAsia="宋体" w:hint="default"/>
          <w:w w:val="100"/>
          <w:sz w:val="21"/>
          <w:szCs w:val="21"/>
        </w:rPr>
        <w:t>金到位</w:t>
      </w:r>
      <w:r>
        <w:rPr>
          <w:rFonts w:ascii="宋体" w:hAnsi="宋体" w:cs="宋体" w:eastAsia="宋体" w:hint="default"/>
          <w:spacing w:val="2"/>
          <w:w w:val="100"/>
          <w:sz w:val="21"/>
          <w:szCs w:val="21"/>
        </w:rPr>
        <w:t>后</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和保荐</w:t>
      </w:r>
      <w:r>
        <w:rPr>
          <w:rFonts w:ascii="宋体" w:hAnsi="宋体" w:cs="宋体" w:eastAsia="宋体" w:hint="default"/>
          <w:spacing w:val="2"/>
          <w:w w:val="100"/>
          <w:sz w:val="21"/>
          <w:szCs w:val="21"/>
        </w:rPr>
        <w:t>机</w:t>
      </w:r>
      <w:r>
        <w:rPr>
          <w:rFonts w:ascii="宋体" w:hAnsi="宋体" w:cs="宋体" w:eastAsia="宋体" w:hint="default"/>
          <w:w w:val="100"/>
          <w:sz w:val="21"/>
          <w:szCs w:val="21"/>
        </w:rPr>
        <w:t>构东方</w:t>
      </w:r>
      <w:r>
        <w:rPr>
          <w:rFonts w:ascii="宋体" w:hAnsi="宋体" w:cs="宋体" w:eastAsia="宋体" w:hint="default"/>
          <w:spacing w:val="2"/>
          <w:w w:val="100"/>
          <w:sz w:val="21"/>
          <w:szCs w:val="21"/>
        </w:rPr>
        <w:t>证</w:t>
      </w:r>
      <w:r>
        <w:rPr>
          <w:rFonts w:ascii="宋体" w:hAnsi="宋体" w:cs="宋体" w:eastAsia="宋体" w:hint="default"/>
          <w:w w:val="100"/>
          <w:sz w:val="21"/>
          <w:szCs w:val="21"/>
        </w:rPr>
        <w:t>券股</w:t>
      </w:r>
      <w:r>
        <w:rPr>
          <w:rFonts w:ascii="宋体" w:hAnsi="宋体" w:cs="宋体" w:eastAsia="宋体" w:hint="default"/>
          <w:spacing w:val="2"/>
          <w:w w:val="100"/>
          <w:sz w:val="21"/>
          <w:szCs w:val="21"/>
        </w:rPr>
        <w:t>份</w:t>
      </w:r>
      <w:r>
        <w:rPr>
          <w:rFonts w:ascii="宋体" w:hAnsi="宋体" w:cs="宋体" w:eastAsia="宋体" w:hint="default"/>
          <w:w w:val="100"/>
          <w:sz w:val="21"/>
          <w:szCs w:val="21"/>
        </w:rPr>
        <w:t>有限公</w:t>
      </w:r>
      <w:r>
        <w:rPr>
          <w:rFonts w:ascii="宋体" w:hAnsi="宋体" w:cs="宋体" w:eastAsia="宋体" w:hint="default"/>
          <w:spacing w:val="2"/>
          <w:w w:val="100"/>
          <w:sz w:val="21"/>
          <w:szCs w:val="21"/>
        </w:rPr>
        <w:t>司</w:t>
      </w:r>
      <w:r>
        <w:rPr>
          <w:rFonts w:ascii="宋体" w:hAnsi="宋体" w:cs="宋体" w:eastAsia="宋体" w:hint="default"/>
          <w:w w:val="100"/>
          <w:sz w:val="21"/>
          <w:szCs w:val="21"/>
        </w:rPr>
        <w:t>（以下</w:t>
      </w:r>
      <w:r>
        <w:rPr>
          <w:rFonts w:ascii="宋体" w:hAnsi="宋体" w:cs="宋体" w:eastAsia="宋体" w:hint="default"/>
          <w:spacing w:val="2"/>
          <w:w w:val="100"/>
          <w:sz w:val="21"/>
          <w:szCs w:val="21"/>
        </w:rPr>
        <w:t>统</w:t>
      </w:r>
      <w:r>
        <w:rPr>
          <w:rFonts w:ascii="宋体" w:hAnsi="宋体" w:cs="宋体" w:eastAsia="宋体" w:hint="default"/>
          <w:w w:val="100"/>
          <w:sz w:val="21"/>
          <w:szCs w:val="21"/>
        </w:rPr>
        <w:t>称为</w:t>
      </w:r>
      <w:r>
        <w:rPr>
          <w:rFonts w:ascii="宋体" w:hAnsi="宋体" w:cs="宋体" w:eastAsia="宋体" w:hint="default"/>
          <w:spacing w:val="2"/>
          <w:w w:val="100"/>
          <w:sz w:val="21"/>
          <w:szCs w:val="21"/>
        </w:rPr>
        <w:t>“</w:t>
      </w:r>
      <w:r>
        <w:rPr>
          <w:rFonts w:ascii="宋体" w:hAnsi="宋体" w:cs="宋体" w:eastAsia="宋体" w:hint="default"/>
          <w:w w:val="100"/>
          <w:sz w:val="21"/>
          <w:szCs w:val="21"/>
        </w:rPr>
        <w:t>东方证</w:t>
      </w:r>
      <w:r>
        <w:rPr>
          <w:rFonts w:ascii="宋体" w:hAnsi="宋体" w:cs="宋体" w:eastAsia="宋体" w:hint="default"/>
          <w:spacing w:val="2"/>
          <w:w w:val="100"/>
          <w:sz w:val="21"/>
          <w:szCs w:val="21"/>
        </w:rPr>
        <w:t>券</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分</w:t>
      </w:r>
      <w:r>
        <w:rPr>
          <w:rFonts w:ascii="宋体" w:hAnsi="宋体" w:cs="宋体" w:eastAsia="宋体" w:hint="default"/>
          <w:w w:val="100"/>
          <w:sz w:val="21"/>
          <w:szCs w:val="21"/>
        </w:rPr>
        <w:t> 别与</w:t>
      </w:r>
      <w:r>
        <w:rPr>
          <w:rFonts w:ascii="宋体" w:hAnsi="宋体" w:cs="宋体" w:eastAsia="宋体" w:hint="default"/>
          <w:spacing w:val="-3"/>
          <w:w w:val="100"/>
          <w:sz w:val="21"/>
          <w:szCs w:val="21"/>
        </w:rPr>
        <w:t>招</w:t>
      </w:r>
      <w:r>
        <w:rPr>
          <w:rFonts w:ascii="宋体" w:hAnsi="宋体" w:cs="宋体" w:eastAsia="宋体" w:hint="default"/>
          <w:w w:val="100"/>
          <w:sz w:val="21"/>
          <w:szCs w:val="21"/>
        </w:rPr>
        <w:t>商</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济</w:t>
      </w:r>
      <w:r>
        <w:rPr>
          <w:rFonts w:ascii="宋体" w:hAnsi="宋体" w:cs="宋体" w:eastAsia="宋体" w:hint="default"/>
          <w:w w:val="100"/>
          <w:sz w:val="21"/>
          <w:szCs w:val="21"/>
        </w:rPr>
        <w:t>南</w:t>
      </w:r>
      <w:r>
        <w:rPr>
          <w:rFonts w:ascii="宋体" w:hAnsi="宋体" w:cs="宋体" w:eastAsia="宋体" w:hint="default"/>
          <w:spacing w:val="-3"/>
          <w:w w:val="100"/>
          <w:sz w:val="21"/>
          <w:szCs w:val="21"/>
        </w:rPr>
        <w:t>分</w:t>
      </w:r>
      <w:r>
        <w:rPr>
          <w:rFonts w:ascii="宋体" w:hAnsi="宋体" w:cs="宋体" w:eastAsia="宋体" w:hint="default"/>
          <w:w w:val="100"/>
          <w:sz w:val="21"/>
          <w:szCs w:val="21"/>
        </w:rPr>
        <w:t>行</w:t>
      </w:r>
      <w:r>
        <w:rPr>
          <w:rFonts w:ascii="宋体" w:hAnsi="宋体" w:cs="宋体" w:eastAsia="宋体" w:hint="default"/>
          <w:spacing w:val="-3"/>
          <w:w w:val="100"/>
          <w:sz w:val="21"/>
          <w:szCs w:val="21"/>
        </w:rPr>
        <w:t>槐</w:t>
      </w:r>
      <w:r>
        <w:rPr>
          <w:rFonts w:ascii="宋体" w:hAnsi="宋体" w:cs="宋体" w:eastAsia="宋体" w:hint="default"/>
          <w:w w:val="100"/>
          <w:sz w:val="21"/>
          <w:szCs w:val="21"/>
        </w:rPr>
        <w:t>荫支</w:t>
      </w:r>
      <w:r>
        <w:rPr>
          <w:rFonts w:ascii="宋体" w:hAnsi="宋体" w:cs="宋体" w:eastAsia="宋体" w:hint="default"/>
          <w:spacing w:val="-10"/>
          <w:w w:val="100"/>
          <w:sz w:val="21"/>
          <w:szCs w:val="21"/>
        </w:rPr>
        <w:t>行</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统</w:t>
      </w:r>
      <w:r>
        <w:rPr>
          <w:rFonts w:ascii="宋体" w:hAnsi="宋体" w:cs="宋体" w:eastAsia="宋体" w:hint="default"/>
          <w:spacing w:val="-3"/>
          <w:w w:val="100"/>
          <w:sz w:val="21"/>
          <w:szCs w:val="21"/>
        </w:rPr>
        <w:t>称</w:t>
      </w:r>
      <w:r>
        <w:rPr>
          <w:rFonts w:ascii="宋体" w:hAnsi="宋体" w:cs="宋体" w:eastAsia="宋体" w:hint="default"/>
          <w:spacing w:val="-10"/>
          <w:w w:val="100"/>
          <w:sz w:val="21"/>
          <w:szCs w:val="21"/>
        </w:rPr>
        <w:t>为</w:t>
      </w:r>
      <w:r>
        <w:rPr>
          <w:rFonts w:ascii="宋体" w:hAnsi="宋体" w:cs="宋体" w:eastAsia="宋体" w:hint="default"/>
          <w:w w:val="100"/>
          <w:sz w:val="21"/>
          <w:szCs w:val="21"/>
        </w:rPr>
        <w:t>“</w:t>
      </w:r>
      <w:r>
        <w:rPr>
          <w:rFonts w:ascii="宋体" w:hAnsi="宋体" w:cs="宋体" w:eastAsia="宋体" w:hint="default"/>
          <w:spacing w:val="-3"/>
          <w:w w:val="100"/>
          <w:sz w:val="21"/>
          <w:szCs w:val="21"/>
        </w:rPr>
        <w:t>招</w:t>
      </w:r>
      <w:r>
        <w:rPr>
          <w:rFonts w:ascii="宋体" w:hAnsi="宋体" w:cs="宋体" w:eastAsia="宋体" w:hint="default"/>
          <w:w w:val="100"/>
          <w:sz w:val="21"/>
          <w:szCs w:val="21"/>
        </w:rPr>
        <w:t>商银</w:t>
      </w:r>
      <w:r>
        <w:rPr>
          <w:rFonts w:ascii="宋体" w:hAnsi="宋体" w:cs="宋体" w:eastAsia="宋体" w:hint="default"/>
          <w:spacing w:val="-3"/>
          <w:w w:val="100"/>
          <w:sz w:val="21"/>
          <w:szCs w:val="21"/>
        </w:rPr>
        <w:t>行</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工</w:t>
      </w:r>
      <w:r>
        <w:rPr>
          <w:rFonts w:ascii="宋体" w:hAnsi="宋体" w:cs="宋体" w:eastAsia="宋体" w:hint="default"/>
          <w:w w:val="100"/>
          <w:sz w:val="21"/>
          <w:szCs w:val="21"/>
        </w:rPr>
        <w:t>商</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济南</w:t>
      </w:r>
      <w:r>
        <w:rPr>
          <w:rFonts w:ascii="宋体" w:hAnsi="宋体" w:cs="宋体" w:eastAsia="宋体" w:hint="default"/>
          <w:w w:val="100"/>
          <w:sz w:val="21"/>
          <w:szCs w:val="21"/>
        </w:rPr>
        <w:t>市历</w:t>
      </w:r>
      <w:r>
        <w:rPr>
          <w:rFonts w:ascii="宋体" w:hAnsi="宋体" w:cs="宋体" w:eastAsia="宋体" w:hint="default"/>
          <w:spacing w:val="-3"/>
          <w:w w:val="100"/>
          <w:sz w:val="21"/>
          <w:szCs w:val="21"/>
        </w:rPr>
        <w:t>城</w:t>
      </w:r>
      <w:r>
        <w:rPr>
          <w:rFonts w:ascii="宋体" w:hAnsi="宋体" w:cs="宋体" w:eastAsia="宋体" w:hint="default"/>
          <w:w w:val="100"/>
          <w:sz w:val="21"/>
          <w:szCs w:val="21"/>
        </w:rPr>
        <w:t>支</w:t>
      </w:r>
      <w:r>
        <w:rPr>
          <w:rFonts w:ascii="宋体" w:hAnsi="宋体" w:cs="宋体" w:eastAsia="宋体" w:hint="default"/>
          <w:spacing w:val="-10"/>
          <w:w w:val="100"/>
          <w:sz w:val="21"/>
          <w:szCs w:val="21"/>
        </w:rPr>
        <w:t>行</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统称</w:t>
      </w:r>
      <w:r>
        <w:rPr>
          <w:rFonts w:ascii="宋体" w:hAnsi="宋体" w:cs="宋体" w:eastAsia="宋体" w:hint="default"/>
          <w:w w:val="100"/>
          <w:sz w:val="21"/>
          <w:szCs w:val="21"/>
        </w:rPr>
        <w:t> </w:t>
      </w:r>
      <w:r>
        <w:rPr>
          <w:rFonts w:ascii="宋体" w:hAnsi="宋体" w:cs="宋体" w:eastAsia="宋体" w:hint="default"/>
          <w:spacing w:val="-5"/>
          <w:w w:val="100"/>
          <w:sz w:val="21"/>
          <w:szCs w:val="21"/>
        </w:rPr>
        <w:t>为</w:t>
      </w:r>
      <w:r>
        <w:rPr>
          <w:rFonts w:ascii="宋体" w:hAnsi="宋体" w:cs="宋体" w:eastAsia="宋体" w:hint="default"/>
          <w:spacing w:val="-3"/>
          <w:w w:val="100"/>
          <w:sz w:val="21"/>
          <w:szCs w:val="21"/>
        </w:rPr>
        <w:t>“</w:t>
      </w:r>
      <w:r>
        <w:rPr>
          <w:rFonts w:ascii="宋体" w:hAnsi="宋体" w:cs="宋体" w:eastAsia="宋体" w:hint="default"/>
          <w:w w:val="100"/>
          <w:sz w:val="21"/>
          <w:szCs w:val="21"/>
        </w:rPr>
        <w:t>工</w:t>
      </w:r>
      <w:r>
        <w:rPr>
          <w:rFonts w:ascii="宋体" w:hAnsi="宋体" w:cs="宋体" w:eastAsia="宋体" w:hint="default"/>
          <w:spacing w:val="-3"/>
          <w:w w:val="100"/>
          <w:sz w:val="21"/>
          <w:szCs w:val="21"/>
        </w:rPr>
        <w:t>商</w:t>
      </w:r>
      <w:r>
        <w:rPr>
          <w:rFonts w:ascii="宋体" w:hAnsi="宋体" w:cs="宋体" w:eastAsia="宋体" w:hint="default"/>
          <w:w w:val="100"/>
          <w:sz w:val="21"/>
          <w:szCs w:val="21"/>
        </w:rPr>
        <w:t>银行</w:t>
      </w:r>
      <w:r>
        <w:rPr>
          <w:rFonts w:ascii="宋体" w:hAnsi="宋体" w:cs="宋体" w:eastAsia="宋体" w:hint="default"/>
          <w:spacing w:val="-108"/>
          <w:w w:val="100"/>
          <w:sz w:val="21"/>
          <w:szCs w:val="21"/>
        </w:rPr>
        <w:t>”</w:t>
      </w:r>
      <w:r>
        <w:rPr>
          <w:rFonts w:ascii="宋体" w:hAnsi="宋体" w:cs="宋体" w:eastAsia="宋体" w:hint="default"/>
          <w:spacing w:val="-8"/>
          <w:w w:val="100"/>
          <w:sz w:val="21"/>
          <w:szCs w:val="21"/>
        </w:rPr>
        <w:t>）</w:t>
      </w:r>
      <w:r>
        <w:rPr>
          <w:rFonts w:ascii="宋体" w:hAnsi="宋体" w:cs="宋体" w:eastAsia="宋体" w:hint="default"/>
          <w:w w:val="100"/>
          <w:sz w:val="21"/>
          <w:szCs w:val="21"/>
        </w:rPr>
        <w:t>和</w:t>
      </w:r>
      <w:r>
        <w:rPr>
          <w:rFonts w:ascii="宋体" w:hAnsi="宋体" w:cs="宋体" w:eastAsia="宋体" w:hint="default"/>
          <w:spacing w:val="-3"/>
          <w:w w:val="100"/>
          <w:sz w:val="21"/>
          <w:szCs w:val="21"/>
        </w:rPr>
        <w:t>齐</w:t>
      </w:r>
      <w:r>
        <w:rPr>
          <w:rFonts w:ascii="宋体" w:hAnsi="宋体" w:cs="宋体" w:eastAsia="宋体" w:hint="default"/>
          <w:w w:val="100"/>
          <w:sz w:val="21"/>
          <w:szCs w:val="21"/>
        </w:rPr>
        <w:t>鲁</w:t>
      </w:r>
      <w:r>
        <w:rPr>
          <w:rFonts w:ascii="宋体" w:hAnsi="宋体" w:cs="宋体" w:eastAsia="宋体" w:hint="default"/>
          <w:spacing w:val="-3"/>
          <w:w w:val="100"/>
          <w:sz w:val="21"/>
          <w:szCs w:val="21"/>
        </w:rPr>
        <w:t>银</w:t>
      </w:r>
      <w:r>
        <w:rPr>
          <w:rFonts w:ascii="宋体" w:hAnsi="宋体" w:cs="宋体" w:eastAsia="宋体" w:hint="default"/>
          <w:w w:val="100"/>
          <w:sz w:val="21"/>
          <w:szCs w:val="21"/>
        </w:rPr>
        <w:t>行济</w:t>
      </w:r>
      <w:r>
        <w:rPr>
          <w:rFonts w:ascii="宋体" w:hAnsi="宋体" w:cs="宋体" w:eastAsia="宋体" w:hint="default"/>
          <w:spacing w:val="-3"/>
          <w:w w:val="100"/>
          <w:sz w:val="21"/>
          <w:szCs w:val="21"/>
        </w:rPr>
        <w:t>南</w:t>
      </w:r>
      <w:r>
        <w:rPr>
          <w:rFonts w:ascii="宋体" w:hAnsi="宋体" w:cs="宋体" w:eastAsia="宋体" w:hint="default"/>
          <w:w w:val="100"/>
          <w:sz w:val="21"/>
          <w:szCs w:val="21"/>
        </w:rPr>
        <w:t>洪</w:t>
      </w:r>
      <w:r>
        <w:rPr>
          <w:rFonts w:ascii="宋体" w:hAnsi="宋体" w:cs="宋体" w:eastAsia="宋体" w:hint="default"/>
          <w:spacing w:val="-3"/>
          <w:w w:val="100"/>
          <w:sz w:val="21"/>
          <w:szCs w:val="21"/>
        </w:rPr>
        <w:t>楼</w:t>
      </w:r>
      <w:r>
        <w:rPr>
          <w:rFonts w:ascii="宋体" w:hAnsi="宋体" w:cs="宋体" w:eastAsia="宋体" w:hint="default"/>
          <w:w w:val="100"/>
          <w:sz w:val="21"/>
          <w:szCs w:val="21"/>
        </w:rPr>
        <w:t>支</w:t>
      </w:r>
      <w:r>
        <w:rPr>
          <w:rFonts w:ascii="宋体" w:hAnsi="宋体" w:cs="宋体" w:eastAsia="宋体" w:hint="default"/>
          <w:spacing w:val="-8"/>
          <w:w w:val="100"/>
          <w:sz w:val="21"/>
          <w:szCs w:val="21"/>
        </w:rPr>
        <w:t>行</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下统</w:t>
      </w:r>
      <w:r>
        <w:rPr>
          <w:rFonts w:ascii="宋体" w:hAnsi="宋体" w:cs="宋体" w:eastAsia="宋体" w:hint="default"/>
          <w:spacing w:val="-5"/>
          <w:w w:val="100"/>
          <w:sz w:val="21"/>
          <w:szCs w:val="21"/>
        </w:rPr>
        <w:t>称</w:t>
      </w:r>
      <w:r>
        <w:rPr>
          <w:rFonts w:ascii="宋体" w:hAnsi="宋体" w:cs="宋体" w:eastAsia="宋体" w:hint="default"/>
          <w:spacing w:val="-3"/>
          <w:w w:val="100"/>
          <w:sz w:val="21"/>
          <w:szCs w:val="21"/>
        </w:rPr>
        <w:t>“</w:t>
      </w:r>
      <w:r>
        <w:rPr>
          <w:rFonts w:ascii="宋体" w:hAnsi="宋体" w:cs="宋体" w:eastAsia="宋体" w:hint="default"/>
          <w:w w:val="100"/>
          <w:sz w:val="21"/>
          <w:szCs w:val="21"/>
        </w:rPr>
        <w:t>齐</w:t>
      </w:r>
      <w:r>
        <w:rPr>
          <w:rFonts w:ascii="宋体" w:hAnsi="宋体" w:cs="宋体" w:eastAsia="宋体" w:hint="default"/>
          <w:spacing w:val="-3"/>
          <w:w w:val="100"/>
          <w:sz w:val="21"/>
          <w:szCs w:val="21"/>
        </w:rPr>
        <w:t>鲁</w:t>
      </w:r>
      <w:r>
        <w:rPr>
          <w:rFonts w:ascii="宋体" w:hAnsi="宋体" w:cs="宋体" w:eastAsia="宋体" w:hint="default"/>
          <w:w w:val="100"/>
          <w:sz w:val="21"/>
          <w:szCs w:val="21"/>
        </w:rPr>
        <w:t>银行</w:t>
      </w:r>
      <w:r>
        <w:rPr>
          <w:rFonts w:ascii="宋体" w:hAnsi="宋体" w:cs="宋体" w:eastAsia="宋体" w:hint="default"/>
          <w:spacing w:val="-108"/>
          <w:w w:val="100"/>
          <w:sz w:val="21"/>
          <w:szCs w:val="21"/>
        </w:rPr>
        <w:t>”</w:t>
      </w:r>
      <w:r>
        <w:rPr>
          <w:rFonts w:ascii="宋体" w:hAnsi="宋体" w:cs="宋体" w:eastAsia="宋体" w:hint="default"/>
          <w:spacing w:val="-8"/>
          <w:w w:val="100"/>
          <w:sz w:val="21"/>
          <w:szCs w:val="21"/>
        </w:rPr>
        <w:t>）</w:t>
      </w:r>
      <w:r>
        <w:rPr>
          <w:rFonts w:ascii="宋体" w:hAnsi="宋体" w:cs="宋体" w:eastAsia="宋体" w:hint="default"/>
          <w:w w:val="100"/>
          <w:sz w:val="21"/>
          <w:szCs w:val="21"/>
        </w:rPr>
        <w:t>签</w:t>
      </w:r>
      <w:r>
        <w:rPr>
          <w:rFonts w:ascii="宋体" w:hAnsi="宋体" w:cs="宋体" w:eastAsia="宋体" w:hint="default"/>
          <w:spacing w:val="-3"/>
          <w:w w:val="100"/>
          <w:sz w:val="21"/>
          <w:szCs w:val="21"/>
        </w:rPr>
        <w:t>订</w:t>
      </w:r>
      <w:r>
        <w:rPr>
          <w:rFonts w:ascii="宋体" w:hAnsi="宋体" w:cs="宋体" w:eastAsia="宋体" w:hint="default"/>
          <w:spacing w:val="-8"/>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募集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三</w:t>
      </w:r>
      <w:r>
        <w:rPr>
          <w:rFonts w:ascii="宋体" w:hAnsi="宋体" w:cs="宋体" w:eastAsia="宋体" w:hint="default"/>
          <w:w w:val="100"/>
          <w:sz w:val="21"/>
          <w:szCs w:val="21"/>
        </w:rPr>
        <w:t>方</w:t>
      </w:r>
      <w:r>
        <w:rPr>
          <w:rFonts w:ascii="宋体" w:hAnsi="宋体" w:cs="宋体" w:eastAsia="宋体" w:hint="default"/>
          <w:spacing w:val="-3"/>
          <w:w w:val="100"/>
          <w:sz w:val="21"/>
          <w:szCs w:val="21"/>
        </w:rPr>
        <w:t>监</w:t>
      </w:r>
      <w:r>
        <w:rPr>
          <w:rFonts w:ascii="宋体" w:hAnsi="宋体" w:cs="宋体" w:eastAsia="宋体" w:hint="default"/>
          <w:w w:val="100"/>
          <w:sz w:val="21"/>
          <w:szCs w:val="21"/>
        </w:rPr>
        <w:t>管协</w:t>
      </w:r>
      <w:r>
        <w:rPr>
          <w:rFonts w:ascii="宋体" w:hAnsi="宋体" w:cs="宋体" w:eastAsia="宋体" w:hint="default"/>
          <w:w w:val="100"/>
          <w:sz w:val="21"/>
          <w:szCs w:val="21"/>
        </w:rPr>
        <w:t> 议</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在</w:t>
      </w:r>
      <w:r>
        <w:rPr>
          <w:rFonts w:ascii="宋体" w:hAnsi="宋体" w:cs="宋体" w:eastAsia="宋体" w:hint="default"/>
          <w:spacing w:val="-3"/>
          <w:w w:val="100"/>
          <w:sz w:val="21"/>
          <w:szCs w:val="21"/>
        </w:rPr>
        <w:t>招</w:t>
      </w:r>
      <w:r>
        <w:rPr>
          <w:rFonts w:ascii="宋体" w:hAnsi="宋体" w:cs="宋体" w:eastAsia="宋体" w:hint="default"/>
          <w:w w:val="100"/>
          <w:sz w:val="21"/>
          <w:szCs w:val="21"/>
        </w:rPr>
        <w:t>商</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、工</w:t>
      </w:r>
      <w:r>
        <w:rPr>
          <w:rFonts w:ascii="宋体" w:hAnsi="宋体" w:cs="宋体" w:eastAsia="宋体" w:hint="default"/>
          <w:w w:val="100"/>
          <w:sz w:val="21"/>
          <w:szCs w:val="21"/>
        </w:rPr>
        <w:t>商银</w:t>
      </w:r>
      <w:r>
        <w:rPr>
          <w:rFonts w:ascii="宋体" w:hAnsi="宋体" w:cs="宋体" w:eastAsia="宋体" w:hint="default"/>
          <w:spacing w:val="-3"/>
          <w:w w:val="100"/>
          <w:sz w:val="21"/>
          <w:szCs w:val="21"/>
        </w:rPr>
        <w:t>行</w:t>
      </w:r>
      <w:r>
        <w:rPr>
          <w:rFonts w:ascii="宋体" w:hAnsi="宋体" w:cs="宋体" w:eastAsia="宋体" w:hint="default"/>
          <w:w w:val="100"/>
          <w:sz w:val="21"/>
          <w:szCs w:val="21"/>
        </w:rPr>
        <w:t>和</w:t>
      </w:r>
      <w:r>
        <w:rPr>
          <w:rFonts w:ascii="宋体" w:hAnsi="宋体" w:cs="宋体" w:eastAsia="宋体" w:hint="default"/>
          <w:spacing w:val="-3"/>
          <w:w w:val="100"/>
          <w:sz w:val="21"/>
          <w:szCs w:val="21"/>
        </w:rPr>
        <w:t>齐</w:t>
      </w:r>
      <w:r>
        <w:rPr>
          <w:rFonts w:ascii="宋体" w:hAnsi="宋体" w:cs="宋体" w:eastAsia="宋体" w:hint="default"/>
          <w:w w:val="100"/>
          <w:sz w:val="21"/>
          <w:szCs w:val="21"/>
        </w:rPr>
        <w:t>鲁</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开</w:t>
      </w:r>
      <w:r>
        <w:rPr>
          <w:rFonts w:ascii="宋体" w:hAnsi="宋体" w:cs="宋体" w:eastAsia="宋体" w:hint="default"/>
          <w:w w:val="100"/>
          <w:sz w:val="21"/>
          <w:szCs w:val="21"/>
        </w:rPr>
        <w:t>设</w:t>
      </w:r>
      <w:r>
        <w:rPr>
          <w:rFonts w:ascii="宋体" w:hAnsi="宋体" w:cs="宋体" w:eastAsia="宋体" w:hint="default"/>
          <w:spacing w:val="-3"/>
          <w:w w:val="100"/>
          <w:sz w:val="21"/>
          <w:szCs w:val="21"/>
        </w:rPr>
        <w:t>各</w:t>
      </w:r>
      <w:r>
        <w:rPr>
          <w:rFonts w:ascii="宋体" w:hAnsi="宋体" w:cs="宋体" w:eastAsia="宋体" w:hint="default"/>
          <w:w w:val="100"/>
          <w:sz w:val="21"/>
          <w:szCs w:val="21"/>
        </w:rPr>
        <w:t>项目</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的</w:t>
      </w:r>
      <w:r>
        <w:rPr>
          <w:rFonts w:ascii="宋体" w:hAnsi="宋体" w:cs="宋体" w:eastAsia="宋体" w:hint="default"/>
          <w:w w:val="100"/>
          <w:sz w:val="21"/>
          <w:szCs w:val="21"/>
        </w:rPr>
        <w:t>存</w:t>
      </w:r>
      <w:r>
        <w:rPr>
          <w:rFonts w:ascii="宋体" w:hAnsi="宋体" w:cs="宋体" w:eastAsia="宋体" w:hint="default"/>
          <w:spacing w:val="-3"/>
          <w:w w:val="100"/>
          <w:sz w:val="21"/>
          <w:szCs w:val="21"/>
        </w:rPr>
        <w:t>储</w:t>
      </w:r>
      <w:r>
        <w:rPr>
          <w:rFonts w:ascii="宋体" w:hAnsi="宋体" w:cs="宋体" w:eastAsia="宋体" w:hint="default"/>
          <w:w w:val="100"/>
          <w:sz w:val="21"/>
          <w:szCs w:val="21"/>
        </w:rPr>
        <w:t>和</w:t>
      </w:r>
      <w:r>
        <w:rPr>
          <w:rFonts w:ascii="宋体" w:hAnsi="宋体" w:cs="宋体" w:eastAsia="宋体" w:hint="default"/>
          <w:spacing w:val="-3"/>
          <w:w w:val="100"/>
          <w:sz w:val="21"/>
          <w:szCs w:val="21"/>
        </w:rPr>
        <w:t>使</w:t>
      </w:r>
      <w:r>
        <w:rPr>
          <w:rFonts w:ascii="宋体" w:hAnsi="宋体" w:cs="宋体" w:eastAsia="宋体" w:hint="default"/>
          <w:w w:val="100"/>
          <w:sz w:val="21"/>
          <w:szCs w:val="21"/>
        </w:rPr>
        <w:t>用的</w:t>
      </w:r>
      <w:r>
        <w:rPr>
          <w:rFonts w:ascii="宋体" w:hAnsi="宋体" w:cs="宋体" w:eastAsia="宋体" w:hint="default"/>
          <w:spacing w:val="-3"/>
          <w:w w:val="100"/>
          <w:sz w:val="21"/>
          <w:szCs w:val="21"/>
        </w:rPr>
        <w:t>专</w:t>
      </w:r>
      <w:r>
        <w:rPr>
          <w:rFonts w:ascii="宋体" w:hAnsi="宋体" w:cs="宋体" w:eastAsia="宋体" w:hint="default"/>
          <w:w w:val="100"/>
          <w:sz w:val="21"/>
          <w:szCs w:val="21"/>
        </w:rPr>
        <w:t>用</w:t>
      </w:r>
      <w:r>
        <w:rPr>
          <w:rFonts w:ascii="宋体" w:hAnsi="宋体" w:cs="宋体" w:eastAsia="宋体" w:hint="default"/>
          <w:spacing w:val="-3"/>
          <w:w w:val="100"/>
          <w:sz w:val="21"/>
          <w:szCs w:val="21"/>
        </w:rPr>
        <w:t>账</w:t>
      </w:r>
      <w:r>
        <w:rPr>
          <w:rFonts w:ascii="宋体" w:hAnsi="宋体" w:cs="宋体" w:eastAsia="宋体" w:hint="default"/>
          <w:w w:val="100"/>
          <w:sz w:val="21"/>
          <w:szCs w:val="21"/>
        </w:rPr>
        <w:t>户。</w:t>
      </w:r>
    </w:p>
    <w:p>
      <w:pPr>
        <w:spacing w:before="30"/>
        <w:ind w:left="542" w:right="0" w:firstLine="0"/>
        <w:jc w:val="left"/>
        <w:rPr>
          <w:rFonts w:ascii="宋体" w:hAnsi="宋体" w:cs="宋体" w:eastAsia="宋体" w:hint="default"/>
          <w:sz w:val="21"/>
          <w:szCs w:val="21"/>
        </w:rPr>
      </w:pPr>
      <w:r>
        <w:rPr>
          <w:rFonts w:ascii="宋体" w:hAnsi="宋体" w:cs="宋体" w:eastAsia="宋体" w:hint="default"/>
          <w:spacing w:val="-3"/>
          <w:sz w:val="21"/>
          <w:szCs w:val="21"/>
        </w:rPr>
        <w:t>为提高募集资金使用效率，增加存储收益，公司、东方证券和募集资金存放银行签订了《募集</w:t>
      </w:r>
    </w:p>
    <w:p>
      <w:pPr>
        <w:spacing w:after="0"/>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522" w:right="794" w:firstLine="0"/>
        <w:jc w:val="left"/>
        <w:rPr>
          <w:rFonts w:ascii="宋体" w:hAnsi="宋体" w:cs="宋体" w:eastAsia="宋体" w:hint="default"/>
          <w:sz w:val="21"/>
          <w:szCs w:val="21"/>
        </w:rPr>
      </w:pPr>
      <w:r>
        <w:rPr>
          <w:rFonts w:ascii="宋体" w:hAnsi="宋体" w:cs="宋体" w:eastAsia="宋体" w:hint="default"/>
          <w:spacing w:val="-3"/>
          <w:w w:val="100"/>
          <w:sz w:val="21"/>
          <w:szCs w:val="21"/>
        </w:rPr>
        <w:t>资金管理三方监管之补充协议》，一致同意公司在不影响募集资金使用的前提下，部分募集资金以</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定期存单的方式存放。各银行的具体存放情况如下：</w:t>
      </w:r>
    </w:p>
    <w:p>
      <w:pPr>
        <w:spacing w:line="357" w:lineRule="auto" w:before="30"/>
        <w:ind w:left="522" w:right="1280"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）在招商银行开立智能卡制造与个性化处理项目的专用账户，账号：</w:t>
      </w:r>
      <w:r>
        <w:rPr>
          <w:rFonts w:ascii="宋体" w:hAnsi="宋体" w:cs="宋体" w:eastAsia="宋体" w:hint="default"/>
          <w:spacing w:val="-4"/>
          <w:sz w:val="21"/>
          <w:szCs w:val="21"/>
        </w:rPr>
        <w:t>531900094510401</w:t>
      </w:r>
      <w:r>
        <w:rPr>
          <w:rFonts w:ascii="宋体" w:hAnsi="宋体" w:cs="宋体" w:eastAsia="宋体" w:hint="default"/>
          <w:spacing w:val="-4"/>
          <w:sz w:val="21"/>
          <w:szCs w:val="21"/>
        </w:rPr>
        <w:t>。</w:t>
      </w:r>
      <w:r>
        <w:rPr>
          <w:rFonts w:ascii="宋体" w:hAnsi="宋体" w:cs="宋体" w:eastAsia="宋体" w:hint="default"/>
          <w:spacing w:val="25"/>
          <w:sz w:val="21"/>
          <w:szCs w:val="21"/>
        </w:rPr>
        <w:t> </w:t>
      </w:r>
      <w:r>
        <w:rPr>
          <w:rFonts w:ascii="宋体" w:hAnsi="宋体" w:cs="宋体" w:eastAsia="宋体" w:hint="default"/>
          <w:sz w:val="21"/>
          <w:szCs w:val="21"/>
        </w:rPr>
        <w:t>截</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日，专户余额为：</w:t>
      </w:r>
      <w:r>
        <w:rPr>
          <w:rFonts w:ascii="宋体" w:hAnsi="宋体" w:cs="宋体" w:eastAsia="宋体" w:hint="default"/>
          <w:sz w:val="21"/>
          <w:szCs w:val="21"/>
        </w:rPr>
        <w:t>17,423,630.73</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355" w:lineRule="auto" w:before="30"/>
        <w:ind w:left="522" w:right="1277"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）在工商银行开立综合金融服务外包项目的专用账户，账号：</w:t>
      </w:r>
      <w:r>
        <w:rPr>
          <w:rFonts w:ascii="宋体" w:hAnsi="宋体" w:cs="宋体" w:eastAsia="宋体" w:hint="default"/>
          <w:spacing w:val="-2"/>
          <w:sz w:val="21"/>
          <w:szCs w:val="21"/>
        </w:rPr>
        <w:t>1602004519024641277</w:t>
      </w:r>
      <w:r>
        <w:rPr>
          <w:rFonts w:ascii="宋体" w:hAnsi="宋体" w:cs="宋体" w:eastAsia="宋体" w:hint="default"/>
          <w:spacing w:val="-2"/>
          <w:sz w:val="21"/>
          <w:szCs w:val="21"/>
        </w:rPr>
        <w:t>。截止</w:t>
      </w:r>
      <w:r>
        <w:rPr>
          <w:rFonts w:ascii="宋体" w:hAnsi="宋体" w:cs="宋体" w:eastAsia="宋体" w:hint="default"/>
          <w:w w:val="100"/>
          <w:sz w:val="21"/>
          <w:szCs w:val="21"/>
        </w:rPr>
        <w:t> </w:t>
      </w:r>
      <w:r>
        <w:rPr>
          <w:rFonts w:ascii="宋体" w:hAnsi="宋体" w:cs="宋体" w:eastAsia="宋体" w:hint="default"/>
          <w:sz w:val="21"/>
          <w:szCs w:val="21"/>
        </w:rPr>
        <w:t>2011</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31</w:t>
      </w:r>
      <w:r>
        <w:rPr>
          <w:rFonts w:ascii="宋体" w:hAnsi="宋体" w:cs="宋体" w:eastAsia="宋体" w:hint="default"/>
          <w:spacing w:val="-36"/>
          <w:sz w:val="21"/>
          <w:szCs w:val="21"/>
        </w:rPr>
        <w:t> </w:t>
      </w:r>
      <w:r>
        <w:rPr>
          <w:rFonts w:ascii="宋体" w:hAnsi="宋体" w:cs="宋体" w:eastAsia="宋体" w:hint="default"/>
          <w:sz w:val="21"/>
          <w:szCs w:val="21"/>
        </w:rPr>
        <w:t>日，专户余额为：</w:t>
      </w:r>
      <w:r>
        <w:rPr>
          <w:rFonts w:ascii="宋体" w:hAnsi="宋体" w:cs="宋体" w:eastAsia="宋体" w:hint="default"/>
          <w:sz w:val="21"/>
          <w:szCs w:val="21"/>
        </w:rPr>
        <w:t>3,917,535.60</w:t>
      </w:r>
      <w:r>
        <w:rPr>
          <w:rFonts w:ascii="宋体" w:hAnsi="宋体" w:cs="宋体" w:eastAsia="宋体" w:hint="default"/>
          <w:spacing w:val="-36"/>
          <w:sz w:val="21"/>
          <w:szCs w:val="21"/>
        </w:rPr>
        <w:t> </w:t>
      </w:r>
      <w:r>
        <w:rPr>
          <w:rFonts w:ascii="宋体" w:hAnsi="宋体" w:cs="宋体" w:eastAsia="宋体" w:hint="default"/>
          <w:sz w:val="21"/>
          <w:szCs w:val="21"/>
        </w:rPr>
        <w:t>元，其中以存单方式存放的募集资金</w:t>
      </w:r>
      <w:r>
        <w:rPr>
          <w:rFonts w:ascii="宋体" w:hAnsi="宋体" w:cs="宋体" w:eastAsia="宋体" w:hint="default"/>
          <w:spacing w:val="-35"/>
          <w:sz w:val="21"/>
          <w:szCs w:val="21"/>
        </w:rPr>
        <w:t> </w:t>
      </w:r>
      <w:r>
        <w:rPr>
          <w:rFonts w:ascii="宋体" w:hAnsi="宋体" w:cs="宋体" w:eastAsia="宋体" w:hint="default"/>
          <w:sz w:val="21"/>
          <w:szCs w:val="21"/>
        </w:rPr>
        <w:t>3,000,000</w:t>
      </w:r>
      <w:r>
        <w:rPr>
          <w:rFonts w:ascii="宋体" w:hAnsi="宋体" w:cs="宋体" w:eastAsia="宋体" w:hint="default"/>
          <w:w w:val="100"/>
          <w:sz w:val="21"/>
          <w:szCs w:val="21"/>
        </w:rPr>
        <w:t> </w:t>
      </w:r>
      <w:r>
        <w:rPr>
          <w:rFonts w:ascii="宋体" w:hAnsi="宋体" w:cs="宋体" w:eastAsia="宋体" w:hint="default"/>
          <w:sz w:val="21"/>
          <w:szCs w:val="21"/>
        </w:rPr>
        <w:t>元。</w:t>
      </w:r>
    </w:p>
    <w:p>
      <w:pPr>
        <w:spacing w:before="34"/>
        <w:ind w:left="942" w:right="794"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）在齐鲁银行开立个性化彩色印刷项目的专用账户，账号：</w:t>
      </w:r>
      <w:r>
        <w:rPr>
          <w:rFonts w:ascii="宋体" w:hAnsi="宋体" w:cs="宋体" w:eastAsia="宋体" w:hint="default"/>
          <w:spacing w:val="-7"/>
          <w:sz w:val="21"/>
          <w:szCs w:val="21"/>
        </w:rPr>
        <w:t>1174114000000006772</w:t>
      </w:r>
      <w:r>
        <w:rPr>
          <w:rFonts w:ascii="宋体" w:hAnsi="宋体" w:cs="宋体" w:eastAsia="宋体" w:hint="default"/>
          <w:spacing w:val="-7"/>
          <w:sz w:val="21"/>
          <w:szCs w:val="21"/>
        </w:rPr>
        <w:t>。截止</w:t>
      </w:r>
      <w:r>
        <w:rPr>
          <w:rFonts w:ascii="宋体" w:hAnsi="宋体" w:cs="宋体" w:eastAsia="宋体" w:hint="default"/>
          <w:spacing w:val="-6"/>
          <w:sz w:val="21"/>
          <w:szCs w:val="21"/>
        </w:rPr>
        <w:t> </w:t>
      </w:r>
      <w:r>
        <w:rPr>
          <w:rFonts w:ascii="宋体" w:hAnsi="宋体" w:cs="宋体" w:eastAsia="宋体" w:hint="default"/>
          <w:sz w:val="21"/>
          <w:szCs w:val="21"/>
        </w:rPr>
        <w:t>2011</w:t>
      </w:r>
    </w:p>
    <w:p>
      <w:pPr>
        <w:tabs>
          <w:tab w:pos="7798" w:val="left" w:leader="none"/>
        </w:tabs>
        <w:spacing w:line="712" w:lineRule="auto" w:before="133"/>
        <w:ind w:left="945" w:right="1176" w:hanging="423"/>
        <w:jc w:val="left"/>
        <w:rPr>
          <w:rFonts w:ascii="宋体" w:hAnsi="宋体" w:cs="宋体" w:eastAsia="宋体" w:hint="default"/>
          <w:sz w:val="21"/>
          <w:szCs w:val="21"/>
        </w:rPr>
      </w:pPr>
      <w:r>
        <w:rPr/>
        <w:pict>
          <v:shape style="position:absolute;margin-left:60.119999pt;margin-top:69.583687pt;width:492.25pt;height:462.0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559"/>
                    <w:gridCol w:w="633"/>
                    <w:gridCol w:w="966"/>
                    <w:gridCol w:w="962"/>
                    <w:gridCol w:w="130"/>
                    <w:gridCol w:w="494"/>
                    <w:gridCol w:w="856"/>
                    <w:gridCol w:w="1120"/>
                    <w:gridCol w:w="209"/>
                    <w:gridCol w:w="575"/>
                    <w:gridCol w:w="650"/>
                    <w:gridCol w:w="855"/>
                  </w:tblGrid>
                  <w:tr>
                    <w:trPr>
                      <w:trHeight w:val="127" w:hRule="exact"/>
                    </w:trPr>
                    <w:tc>
                      <w:tcPr>
                        <w:tcW w:w="3011"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8" w:lineRule="exact"/>
                          <w:ind w:left="96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
                          <w:ind w:left="1292" w:right="0"/>
                          <w:jc w:val="left"/>
                          <w:rPr>
                            <w:rFonts w:ascii="Times New Roman" w:hAnsi="Times New Roman" w:cs="Times New Roman" w:eastAsia="Times New Roman" w:hint="default"/>
                            <w:sz w:val="18"/>
                            <w:szCs w:val="18"/>
                          </w:rPr>
                        </w:pPr>
                        <w:r>
                          <w:rPr>
                            <w:rFonts w:ascii="Times New Roman"/>
                            <w:sz w:val="18"/>
                          </w:rPr>
                          <w:t>34,510.86</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w w:val="95"/>
                            <w:sz w:val="18"/>
                          </w:rPr>
                          <w:t>6,832.17</w:t>
                        </w:r>
                      </w:p>
                    </w:tc>
                  </w:tr>
                  <w:tr>
                    <w:trPr>
                      <w:trHeight w:val="118" w:hRule="exact"/>
                    </w:trPr>
                    <w:tc>
                      <w:tcPr>
                        <w:tcW w:w="3011"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10" w:space="0" w:color="DCDCDC"/>
                          <w:right w:val="single" w:sz="4" w:space="0" w:color="000000"/>
                        </w:tcBorders>
                      </w:tcPr>
                      <w:p>
                        <w:pPr/>
                      </w:p>
                    </w:tc>
                  </w:tr>
                  <w:tr>
                    <w:trPr>
                      <w:trHeight w:val="242" w:hRule="exact"/>
                    </w:trPr>
                    <w:tc>
                      <w:tcPr>
                        <w:tcW w:w="301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8" w:type="dxa"/>
                        <w:gridSpan w:val="3"/>
                        <w:tcBorders>
                          <w:top w:val="single" w:sz="4" w:space="0" w:color="000000"/>
                          <w:left w:val="single" w:sz="13" w:space="0" w:color="DCDCDC"/>
                          <w:bottom w:val="single" w:sz="4" w:space="0" w:color="000000"/>
                          <w:right w:val="single" w:sz="10" w:space="0" w:color="DCDCDC"/>
                        </w:tcBorders>
                      </w:tcPr>
                      <w:p>
                        <w:pPr>
                          <w:pStyle w:val="TableParagraph"/>
                          <w:spacing w:line="240" w:lineRule="auto" w:before="7"/>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vMerge/>
                        <w:tcBorders>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127" w:hRule="exact"/>
                    </w:trPr>
                    <w:tc>
                      <w:tcPr>
                        <w:tcW w:w="3011"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8"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0" w:space="0" w:color="DCDCDC"/>
                          <w:right w:val="single" w:sz="4" w:space="0" w:color="000000"/>
                        </w:tcBorders>
                      </w:tcPr>
                      <w:p>
                        <w:pPr>
                          <w:pStyle w:val="TableParagraph"/>
                          <w:spacing w:line="240" w:lineRule="auto" w:before="132"/>
                          <w:ind w:left="1319" w:right="0"/>
                          <w:jc w:val="left"/>
                          <w:rPr>
                            <w:rFonts w:ascii="Times New Roman" w:hAnsi="Times New Roman" w:cs="Times New Roman" w:eastAsia="Times New Roman" w:hint="default"/>
                            <w:sz w:val="18"/>
                            <w:szCs w:val="18"/>
                          </w:rPr>
                        </w:pPr>
                        <w:r>
                          <w:rPr>
                            <w:rFonts w:ascii="Times New Roman"/>
                            <w:sz w:val="18"/>
                          </w:rPr>
                          <w:t>23,945.18</w:t>
                        </w:r>
                      </w:p>
                    </w:tc>
                  </w:tr>
                  <w:tr>
                    <w:trPr>
                      <w:trHeight w:val="118" w:hRule="exact"/>
                    </w:trPr>
                    <w:tc>
                      <w:tcPr>
                        <w:tcW w:w="3011" w:type="dxa"/>
                        <w:gridSpan w:val="3"/>
                        <w:vMerge/>
                        <w:tcBorders>
                          <w:left w:val="single" w:sz="4" w:space="0" w:color="000000"/>
                          <w:bottom w:val="single" w:sz="4" w:space="0" w:color="000000"/>
                          <w:right w:val="single" w:sz="4" w:space="0" w:color="000000"/>
                        </w:tcBorders>
                        <w:shd w:val="clear" w:color="auto" w:fill="DCDCDC"/>
                      </w:tcPr>
                      <w:p>
                        <w:pPr/>
                      </w:p>
                    </w:tc>
                    <w:tc>
                      <w:tcPr>
                        <w:tcW w:w="2058" w:type="dxa"/>
                        <w:gridSpan w:val="3"/>
                        <w:vMerge/>
                        <w:tcBorders>
                          <w:left w:val="single" w:sz="13" w:space="0" w:color="DCDCDC"/>
                          <w:bottom w:val="single" w:sz="4" w:space="0" w:color="000000"/>
                          <w:right w:val="single" w:sz="10"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10" w:space="0" w:color="DCDCDC"/>
                          <w:right w:val="single" w:sz="4" w:space="0" w:color="000000"/>
                        </w:tcBorders>
                      </w:tcPr>
                      <w:p>
                        <w:pPr/>
                      </w:p>
                    </w:tc>
                  </w:tr>
                  <w:tr>
                    <w:trPr>
                      <w:trHeight w:val="242" w:hRule="exact"/>
                    </w:trPr>
                    <w:tc>
                      <w:tcPr>
                        <w:tcW w:w="301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8" w:type="dxa"/>
                        <w:gridSpan w:val="3"/>
                        <w:tcBorders>
                          <w:top w:val="single" w:sz="4" w:space="0" w:color="000000"/>
                          <w:left w:val="single" w:sz="13" w:space="0" w:color="DCDCDC"/>
                          <w:bottom w:val="single" w:sz="4" w:space="0" w:color="000000"/>
                          <w:right w:val="single" w:sz="10" w:space="0" w:color="DCDCDC"/>
                        </w:tcBorders>
                      </w:tcPr>
                      <w:p>
                        <w:pPr>
                          <w:pStyle w:val="TableParagraph"/>
                          <w:spacing w:line="240" w:lineRule="auto" w:before="7"/>
                          <w:ind w:right="13"/>
                          <w:jc w:val="right"/>
                          <w:rPr>
                            <w:rFonts w:ascii="Times New Roman" w:hAnsi="Times New Roman" w:cs="Times New Roman" w:eastAsia="Times New Roman" w:hint="default"/>
                            <w:sz w:val="18"/>
                            <w:szCs w:val="18"/>
                          </w:rPr>
                        </w:pPr>
                        <w:r>
                          <w:rPr>
                            <w:rFonts w:ascii="Times New Roman"/>
                            <w:sz w:val="18"/>
                          </w:rPr>
                          <w:t>0.00%</w:t>
                        </w:r>
                      </w:p>
                    </w:tc>
                    <w:tc>
                      <w:tcPr>
                        <w:tcW w:w="2679" w:type="dxa"/>
                        <w:gridSpan w:val="4"/>
                        <w:vMerge/>
                        <w:tcBorders>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0" w:space="0" w:color="DCDCDC"/>
                          <w:bottom w:val="single" w:sz="4" w:space="0" w:color="000000"/>
                          <w:right w:val="single" w:sz="4" w:space="0" w:color="000000"/>
                        </w:tcBorders>
                      </w:tcPr>
                      <w:p>
                        <w:pPr/>
                      </w:p>
                    </w:tc>
                  </w:tr>
                  <w:tr>
                    <w:trPr>
                      <w:trHeight w:val="246"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5" w:lineRule="auto" w:before="4"/>
                          <w:ind w:left="62" w:right="64"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3"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2" w:type="dxa"/>
                        <w:vMerge w:val="restart"/>
                        <w:tcBorders>
                          <w:top w:val="single" w:sz="4" w:space="0" w:color="000000"/>
                          <w:left w:val="single" w:sz="4" w:space="0" w:color="000000"/>
                          <w:right w:val="single" w:sz="4" w:space="0" w:color="000000"/>
                        </w:tcBorders>
                        <w:shd w:val="clear" w:color="auto" w:fill="DCDCDC"/>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0" w:type="dxa"/>
                        <w:vMerge w:val="restart"/>
                        <w:tcBorders>
                          <w:top w:val="single" w:sz="4" w:space="0" w:color="000000"/>
                          <w:left w:val="single" w:sz="4" w:space="0" w:color="000000"/>
                          <w:right w:val="single" w:sz="4" w:space="0" w:color="000000"/>
                        </w:tcBorders>
                        <w:shd w:val="clear" w:color="auto" w:fill="DCDCDC"/>
                      </w:tcPr>
                      <w:p>
                        <w:pPr/>
                      </w:p>
                    </w:tc>
                    <w:tc>
                      <w:tcPr>
                        <w:tcW w:w="785"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募集资</w:t>
                        </w:r>
                      </w:p>
                      <w:p>
                        <w:pPr>
                          <w:pStyle w:val="TableParagraph"/>
                          <w:spacing w:line="232" w:lineRule="exact" w:before="23"/>
                          <w:ind w:left="41" w:right="40"/>
                          <w:jc w:val="center"/>
                          <w:rPr>
                            <w:rFonts w:ascii="宋体" w:hAnsi="宋体" w:cs="宋体" w:eastAsia="宋体" w:hint="default"/>
                            <w:sz w:val="18"/>
                            <w:szCs w:val="18"/>
                          </w:rPr>
                        </w:pPr>
                        <w:r>
                          <w:rPr>
                            <w:rFonts w:ascii="宋体" w:hAnsi="宋体" w:cs="宋体" w:eastAsia="宋体" w:hint="default"/>
                            <w:sz w:val="18"/>
                            <w:szCs w:val="18"/>
                          </w:rPr>
                          <w:t>金承诺 投资总 额</w:t>
                        </w:r>
                      </w:p>
                    </w:tc>
                    <w:tc>
                      <w:tcPr>
                        <w:tcW w:w="966" w:type="dxa"/>
                        <w:vMerge/>
                        <w:tcBorders>
                          <w:left w:val="single" w:sz="4" w:space="0" w:color="000000"/>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62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01" w:lineRule="exact"/>
                          <w:ind w:left="36" w:right="0"/>
                          <w:jc w:val="both"/>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32" w:lineRule="exact" w:before="23"/>
                          <w:ind w:left="36"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末累计 投入金 额</w:t>
                        </w:r>
                        <w:r>
                          <w:rPr>
                            <w:rFonts w:ascii="Times New Roman" w:hAnsi="Times New Roman" w:cs="Times New Roman" w:eastAsia="Times New Roman" w:hint="default"/>
                            <w:sz w:val="18"/>
                            <w:szCs w:val="18"/>
                          </w:rPr>
                          <w:t>(2)</w:t>
                        </w:r>
                      </w:p>
                    </w:tc>
                    <w:tc>
                      <w:tcPr>
                        <w:tcW w:w="856"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
                          <w:ind w:left="62" w:right="61"/>
                          <w:jc w:val="center"/>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28" w:lineRule="exact"/>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(2)/(1)</w:t>
                        </w:r>
                      </w:p>
                    </w:tc>
                    <w:tc>
                      <w:tcPr>
                        <w:tcW w:w="1120"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201" w:lineRule="exact"/>
                          <w:ind w:right="2"/>
                          <w:jc w:val="center"/>
                          <w:rPr>
                            <w:rFonts w:ascii="宋体" w:hAnsi="宋体" w:cs="宋体" w:eastAsia="宋体" w:hint="default"/>
                            <w:sz w:val="18"/>
                            <w:szCs w:val="18"/>
                          </w:rPr>
                        </w:pPr>
                        <w:r>
                          <w:rPr>
                            <w:rFonts w:ascii="宋体" w:hAnsi="宋体" w:cs="宋体" w:eastAsia="宋体" w:hint="default"/>
                            <w:sz w:val="18"/>
                            <w:szCs w:val="18"/>
                          </w:rPr>
                          <w:t>项目可行</w:t>
                        </w:r>
                      </w:p>
                      <w:p>
                        <w:pPr>
                          <w:pStyle w:val="TableParagraph"/>
                          <w:spacing w:line="232" w:lineRule="exact" w:before="23"/>
                          <w:ind w:left="60" w:right="62"/>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118"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2" w:type="dxa"/>
                        <w:vMerge/>
                        <w:tcBorders>
                          <w:left w:val="single" w:sz="4" w:space="0" w:color="000000"/>
                          <w:bottom w:val="nil" w:sz="6" w:space="0" w:color="auto"/>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c>
                      <w:tcPr>
                        <w:tcW w:w="1120"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项目达到预</w:t>
                        </w:r>
                      </w:p>
                      <w:p>
                        <w:pPr>
                          <w:pStyle w:val="TableParagraph"/>
                          <w:spacing w:line="240" w:lineRule="auto"/>
                          <w:ind w:left="287" w:right="101" w:hanging="180"/>
                          <w:jc w:val="left"/>
                          <w:rPr>
                            <w:rFonts w:ascii="宋体" w:hAnsi="宋体" w:cs="宋体" w:eastAsia="宋体" w:hint="default"/>
                            <w:sz w:val="18"/>
                            <w:szCs w:val="18"/>
                          </w:rPr>
                        </w:pPr>
                        <w:r>
                          <w:rPr>
                            <w:rFonts w:ascii="宋体" w:hAnsi="宋体" w:cs="宋体" w:eastAsia="宋体" w:hint="default"/>
                            <w:sz w:val="18"/>
                            <w:szCs w:val="18"/>
                          </w:rPr>
                          <w:t>定可使用状 态日期</w:t>
                        </w: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46" w:right="0"/>
                          <w:jc w:val="left"/>
                          <w:rPr>
                            <w:rFonts w:ascii="宋体" w:hAnsi="宋体" w:cs="宋体" w:eastAsia="宋体" w:hint="default"/>
                            <w:sz w:val="18"/>
                            <w:szCs w:val="18"/>
                          </w:rPr>
                        </w:pPr>
                        <w:r>
                          <w:rPr>
                            <w:rFonts w:ascii="宋体" w:hAnsi="宋体" w:cs="宋体" w:eastAsia="宋体" w:hint="default"/>
                            <w:sz w:val="18"/>
                            <w:szCs w:val="18"/>
                          </w:rPr>
                          <w:t>是否达</w:t>
                        </w:r>
                      </w:p>
                      <w:p>
                        <w:pPr>
                          <w:pStyle w:val="TableParagraph"/>
                          <w:spacing w:line="240" w:lineRule="auto"/>
                          <w:ind w:left="135" w:right="52" w:hanging="89"/>
                          <w:jc w:val="left"/>
                          <w:rPr>
                            <w:rFonts w:ascii="宋体" w:hAnsi="宋体" w:cs="宋体" w:eastAsia="宋体" w:hint="default"/>
                            <w:sz w:val="18"/>
                            <w:szCs w:val="18"/>
                          </w:rPr>
                        </w:pPr>
                        <w:r>
                          <w:rPr>
                            <w:rFonts w:ascii="宋体" w:hAnsi="宋体" w:cs="宋体" w:eastAsia="宋体" w:hint="default"/>
                            <w:sz w:val="18"/>
                            <w:szCs w:val="18"/>
                          </w:rPr>
                          <w:t>到预计 效益</w:t>
                        </w:r>
                      </w:p>
                    </w:tc>
                    <w:tc>
                      <w:tcPr>
                        <w:tcW w:w="855" w:type="dxa"/>
                        <w:vMerge/>
                        <w:tcBorders>
                          <w:left w:val="single" w:sz="4" w:space="0" w:color="000000"/>
                          <w:right w:val="single" w:sz="4" w:space="0" w:color="000000"/>
                        </w:tcBorders>
                        <w:shd w:val="clear" w:color="auto" w:fill="DCDCDC"/>
                      </w:tcPr>
                      <w:p>
                        <w:pPr/>
                      </w:p>
                    </w:tc>
                  </w:tr>
                  <w:tr>
                    <w:trPr>
                      <w:trHeight w:val="466"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承诺投资项目和超募</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调整后投资</w:t>
                        </w:r>
                      </w:p>
                      <w:p>
                        <w:pPr>
                          <w:pStyle w:val="TableParagraph"/>
                          <w:spacing w:line="248" w:lineRule="exact"/>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本年度投入</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4" w:type="dxa"/>
                        <w:gridSpan w:val="2"/>
                        <w:vMerge/>
                        <w:tcBorders>
                          <w:left w:val="single" w:sz="4" w:space="0" w:color="000000"/>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c>
                      <w:tcPr>
                        <w:tcW w:w="1120" w:type="dxa"/>
                        <w:vMerge/>
                        <w:tcBorders>
                          <w:left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650" w:type="dxa"/>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r>
                  <w:tr>
                    <w:trPr>
                      <w:trHeight w:val="118"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2" w:type="dxa"/>
                        <w:vMerge w:val="restart"/>
                        <w:tcBorders>
                          <w:top w:val="nil" w:sz="6" w:space="0" w:color="auto"/>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6" w:type="dxa"/>
                        <w:vMerge/>
                        <w:tcBorders>
                          <w:left w:val="single" w:sz="4" w:space="0" w:color="000000"/>
                          <w:right w:val="single" w:sz="4" w:space="0" w:color="000000"/>
                        </w:tcBorders>
                        <w:shd w:val="clear" w:color="auto" w:fill="DCDCDC"/>
                      </w:tcPr>
                      <w:p>
                        <w:pPr/>
                      </w:p>
                    </w:tc>
                    <w:tc>
                      <w:tcPr>
                        <w:tcW w:w="1120"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r>
                  <w:tr>
                    <w:trPr>
                      <w:trHeight w:val="110"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3"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bottom w:val="nil" w:sz="6" w:space="0" w:color="auto"/>
                          <w:right w:val="single" w:sz="4" w:space="0" w:color="000000"/>
                        </w:tcBorders>
                        <w:shd w:val="clear" w:color="auto" w:fill="DCDCDC"/>
                      </w:tcPr>
                      <w:p>
                        <w:pPr/>
                      </w:p>
                    </w:tc>
                    <w:tc>
                      <w:tcPr>
                        <w:tcW w:w="856" w:type="dxa"/>
                        <w:vMerge/>
                        <w:tcBorders>
                          <w:left w:val="single" w:sz="4" w:space="0" w:color="000000"/>
                          <w:bottom w:val="nil" w:sz="6" w:space="0" w:color="auto"/>
                          <w:right w:val="single" w:sz="4" w:space="0" w:color="000000"/>
                        </w:tcBorders>
                        <w:shd w:val="clear" w:color="auto" w:fill="DCDCDC"/>
                      </w:tcPr>
                      <w:p>
                        <w:pPr/>
                      </w:p>
                    </w:tc>
                    <w:tc>
                      <w:tcPr>
                        <w:tcW w:w="1120" w:type="dxa"/>
                        <w:vMerge w:val="restart"/>
                        <w:tcBorders>
                          <w:top w:val="nil" w:sz="6" w:space="0" w:color="auto"/>
                          <w:left w:val="single" w:sz="4" w:space="0" w:color="000000"/>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r>
                  <w:tr>
                    <w:trPr>
                      <w:trHeight w:val="241"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9" w:type="dxa"/>
                        <w:vMerge/>
                        <w:tcBorders>
                          <w:left w:val="single" w:sz="4" w:space="0" w:color="000000"/>
                          <w:bottom w:val="single" w:sz="4" w:space="0" w:color="000000"/>
                          <w:right w:val="single" w:sz="4" w:space="0" w:color="000000"/>
                        </w:tcBorders>
                        <w:shd w:val="clear" w:color="auto" w:fill="DCDCDC"/>
                      </w:tcPr>
                      <w:p>
                        <w:pPr/>
                      </w:p>
                    </w:tc>
                    <w:tc>
                      <w:tcPr>
                        <w:tcW w:w="633"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2" w:type="dxa"/>
                        <w:vMerge/>
                        <w:tcBorders>
                          <w:left w:val="single" w:sz="4" w:space="0" w:color="000000"/>
                          <w:bottom w:val="single" w:sz="4" w:space="0" w:color="000000"/>
                          <w:right w:val="single" w:sz="4" w:space="0" w:color="000000"/>
                        </w:tcBorders>
                        <w:shd w:val="clear" w:color="auto" w:fill="DCDCDC"/>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0" w:type="dxa"/>
                        <w:vMerge/>
                        <w:tcBorders>
                          <w:left w:val="single" w:sz="4" w:space="0" w:color="000000"/>
                          <w:bottom w:val="single" w:sz="4" w:space="0" w:color="000000"/>
                          <w:right w:val="single" w:sz="4" w:space="0" w:color="000000"/>
                        </w:tcBorders>
                        <w:shd w:val="clear" w:color="auto" w:fill="DCDCDC"/>
                      </w:tcPr>
                      <w:p>
                        <w:pPr/>
                      </w:p>
                    </w:tc>
                    <w:tc>
                      <w:tcPr>
                        <w:tcW w:w="785"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010" w:type="dxa"/>
                        <w:gridSpan w:val="12"/>
                        <w:tcBorders>
                          <w:top w:val="single" w:sz="4" w:space="0" w:color="000000"/>
                          <w:left w:val="single" w:sz="10" w:space="0" w:color="DCDCDC"/>
                          <w:bottom w:val="single" w:sz="4" w:space="0" w:color="000000"/>
                          <w:right w:val="single" w:sz="4" w:space="0" w:color="000000"/>
                        </w:tcBorders>
                      </w:tcPr>
                      <w:p>
                        <w:pP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、个性化彩色印刷项</w:t>
                        </w:r>
                      </w:p>
                      <w:p>
                        <w:pPr>
                          <w:pStyle w:val="TableParagraph"/>
                          <w:spacing w:line="229" w:lineRule="exact"/>
                          <w:ind w:left="2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Times New Roman" w:hAnsi="Times New Roman" w:cs="Times New Roman" w:eastAsia="Times New Roman" w:hint="default"/>
                            <w:sz w:val="18"/>
                            <w:szCs w:val="18"/>
                          </w:rPr>
                        </w:pPr>
                        <w:r>
                          <w:rPr>
                            <w:rFonts w:ascii="Times New Roman"/>
                            <w:sz w:val="18"/>
                          </w:rPr>
                          <w:t>15,796.</w:t>
                        </w:r>
                      </w:p>
                      <w:p>
                        <w:pPr>
                          <w:pStyle w:val="TableParagraph"/>
                          <w:spacing w:line="240" w:lineRule="auto" w:before="2"/>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15,796.00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w w:val="95"/>
                            <w:sz w:val="18"/>
                          </w:rPr>
                          <w:t>1,941.32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13,288.</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30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84.12%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2" w:lineRule="exact"/>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4" w:right="0"/>
                          <w:jc w:val="left"/>
                          <w:rPr>
                            <w:rFonts w:ascii="Times New Roman" w:hAnsi="Times New Roman" w:cs="Times New Roman" w:eastAsia="Times New Roman" w:hint="default"/>
                            <w:sz w:val="18"/>
                            <w:szCs w:val="18"/>
                          </w:rPr>
                        </w:pPr>
                        <w:r>
                          <w:rPr>
                            <w:rFonts w:ascii="Times New Roman"/>
                            <w:sz w:val="18"/>
                          </w:rPr>
                          <w:t>181.96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、智能卡制造和个性</w:t>
                        </w:r>
                      </w:p>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化处理项目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7"/>
                          <w:jc w:val="right"/>
                          <w:rPr>
                            <w:rFonts w:ascii="Times New Roman" w:hAnsi="Times New Roman" w:cs="Times New Roman" w:eastAsia="Times New Roman" w:hint="default"/>
                            <w:sz w:val="18"/>
                            <w:szCs w:val="18"/>
                          </w:rPr>
                        </w:pPr>
                        <w:r>
                          <w:rPr>
                            <w:rFonts w:ascii="Times New Roman"/>
                            <w:sz w:val="18"/>
                          </w:rPr>
                          <w:t>13,272.</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13,272.00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w w:val="95"/>
                            <w:sz w:val="18"/>
                          </w:rPr>
                          <w:t>3,936.64</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8,600.7</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64.80%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4" w:right="0"/>
                          <w:jc w:val="left"/>
                          <w:rPr>
                            <w:rFonts w:ascii="Times New Roman" w:hAnsi="Times New Roman" w:cs="Times New Roman" w:eastAsia="Times New Roman" w:hint="default"/>
                            <w:sz w:val="18"/>
                            <w:szCs w:val="18"/>
                          </w:rPr>
                        </w:pPr>
                        <w:r>
                          <w:rPr>
                            <w:rFonts w:ascii="Times New Roman"/>
                            <w:sz w:val="18"/>
                          </w:rPr>
                          <w:t>-663.49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、综合金融服务外包</w:t>
                        </w:r>
                      </w:p>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业务项目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8"/>
                          <w:jc w:val="right"/>
                          <w:rPr>
                            <w:rFonts w:ascii="Times New Roman" w:hAnsi="Times New Roman" w:cs="Times New Roman" w:eastAsia="Times New Roman" w:hint="default"/>
                            <w:sz w:val="18"/>
                            <w:szCs w:val="18"/>
                          </w:rPr>
                        </w:pPr>
                        <w:r>
                          <w:rPr>
                            <w:rFonts w:ascii="Times New Roman"/>
                            <w:spacing w:val="-1"/>
                            <w:sz w:val="18"/>
                          </w:rPr>
                          <w:t>5,417.0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5,417.00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954.21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2,056.1</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37.96%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3" w:right="0"/>
                          <w:jc w:val="left"/>
                          <w:rPr>
                            <w:rFonts w:ascii="Times New Roman" w:hAnsi="Times New Roman" w:cs="Times New Roman" w:eastAsia="Times New Roman" w:hint="default"/>
                            <w:sz w:val="18"/>
                            <w:szCs w:val="18"/>
                          </w:rPr>
                        </w:pPr>
                        <w:r>
                          <w:rPr>
                            <w:rFonts w:ascii="Times New Roman"/>
                            <w:sz w:val="18"/>
                          </w:rPr>
                          <w:t>28.64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7"/>
                          <w:jc w:val="right"/>
                          <w:rPr>
                            <w:rFonts w:ascii="Times New Roman" w:hAnsi="Times New Roman" w:cs="Times New Roman" w:eastAsia="Times New Roman" w:hint="default"/>
                            <w:sz w:val="18"/>
                            <w:szCs w:val="18"/>
                          </w:rPr>
                        </w:pPr>
                        <w:r>
                          <w:rPr>
                            <w:rFonts w:ascii="Times New Roman"/>
                            <w:sz w:val="18"/>
                          </w:rPr>
                          <w:t>34,485.</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34,485.00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w w:val="95"/>
                            <w:sz w:val="18"/>
                          </w:rPr>
                          <w:t>6,832.17</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Times New Roman" w:hAnsi="Times New Roman" w:cs="Times New Roman" w:eastAsia="Times New Roman" w:hint="default"/>
                            <w:sz w:val="18"/>
                            <w:szCs w:val="18"/>
                          </w:rPr>
                        </w:pPr>
                        <w:r>
                          <w:rPr>
                            <w:rFonts w:ascii="Times New Roman"/>
                            <w:sz w:val="18"/>
                          </w:rPr>
                          <w:t>23,945.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4" w:right="0"/>
                          <w:jc w:val="left"/>
                          <w:rPr>
                            <w:rFonts w:ascii="Times New Roman" w:hAnsi="Times New Roman" w:cs="Times New Roman" w:eastAsia="Times New Roman" w:hint="default"/>
                            <w:sz w:val="18"/>
                            <w:szCs w:val="18"/>
                          </w:rPr>
                        </w:pPr>
                        <w:r>
                          <w:rPr>
                            <w:rFonts w:ascii="Times New Roman"/>
                            <w:sz w:val="18"/>
                          </w:rPr>
                          <w:t>-452.89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10" w:type="dxa"/>
                        <w:gridSpan w:val="12"/>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1" w:right="-12"/>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12"/>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8" w:right="0"/>
                          <w:jc w:val="lef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6" w:right="0"/>
                          <w:jc w:val="left"/>
                          <w:rPr>
                            <w:rFonts w:ascii="Times New Roman" w:hAnsi="Times New Roman" w:cs="Times New Roman" w:eastAsia="Times New Roman" w:hint="default"/>
                            <w:sz w:val="18"/>
                            <w:szCs w:val="18"/>
                          </w:rPr>
                        </w:pPr>
                        <w:r>
                          <w:rPr>
                            <w:rFonts w:ascii="Times New Roman"/>
                            <w:sz w:val="18"/>
                          </w:rPr>
                          <w:t>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z w:val="18"/>
                          </w:rPr>
                          <w:t>34,485.</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z w:val="18"/>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34,485.00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w w:val="95"/>
                            <w:sz w:val="18"/>
                          </w:rPr>
                          <w:t>6,832.17</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23,945.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94" w:right="0"/>
                          <w:jc w:val="left"/>
                          <w:rPr>
                            <w:rFonts w:ascii="Times New Roman" w:hAnsi="Times New Roman" w:cs="Times New Roman" w:eastAsia="Times New Roman" w:hint="default"/>
                            <w:sz w:val="18"/>
                            <w:szCs w:val="18"/>
                          </w:rPr>
                        </w:pPr>
                        <w:r>
                          <w:rPr>
                            <w:rFonts w:ascii="Times New Roman"/>
                            <w:sz w:val="18"/>
                          </w:rPr>
                          <w:t>-452.89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未达到计划进度或预</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变化的情况说明</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公司无项目可行性发生重大变化的情况。</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超募资金的金额、用途</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及使用进展情况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2"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6"/>
                          <w:ind w:left="274" w:right="93"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78"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为更好的开拓市场，满足业务进一步发展的需求，经公司第三届董事会第十四次会议审议，同意增加</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综合金融服务外包项目的实施地点，将实施地点增加为济南、北京、上海三地实施。</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施方式调整情况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2"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182" w:right="0" w:hanging="89"/>
                          <w:jc w:val="left"/>
                          <w:rPr>
                            <w:rFonts w:ascii="宋体" w:hAnsi="宋体" w:cs="宋体" w:eastAsia="宋体" w:hint="default"/>
                            <w:sz w:val="18"/>
                            <w:szCs w:val="18"/>
                          </w:rPr>
                        </w:pPr>
                        <w:r>
                          <w:rPr>
                            <w:rFonts w:ascii="宋体" w:hAnsi="宋体" w:cs="宋体" w:eastAsia="宋体" w:hint="default"/>
                            <w:sz w:val="18"/>
                            <w:szCs w:val="18"/>
                          </w:rPr>
                          <w:t>募集资金投资项目先</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45"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2" w:right="0"/>
                          <w:jc w:val="left"/>
                          <w:rPr>
                            <w:rFonts w:ascii="宋体" w:hAnsi="宋体" w:cs="宋体" w:eastAsia="宋体" w:hint="default"/>
                            <w:sz w:val="18"/>
                            <w:szCs w:val="18"/>
                          </w:rPr>
                        </w:pPr>
                        <w:r>
                          <w:rPr>
                            <w:rFonts w:ascii="宋体" w:hAnsi="宋体" w:cs="宋体" w:eastAsia="宋体" w:hint="default"/>
                            <w:sz w:val="18"/>
                            <w:szCs w:val="18"/>
                          </w:rPr>
                          <w:t>根据三届董事会第十一次会议决议，公司以募集资金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12,744.71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万元置换预先已投入募集资金项目的</w:t>
                        </w:r>
                      </w:p>
                    </w:tc>
                  </w:tr>
                </w:tbl>
                <w:p>
                  <w:pPr/>
                </w:p>
              </w:txbxContent>
            </v:textbox>
            <w10:wrap type="none"/>
          </v:shape>
        </w:pic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4"/>
          <w:sz w:val="21"/>
          <w:szCs w:val="21"/>
        </w:rPr>
        <w:t>日，专户余额为：</w:t>
      </w:r>
      <w:r>
        <w:rPr>
          <w:rFonts w:ascii="宋体" w:hAnsi="宋体" w:cs="宋体" w:eastAsia="宋体" w:hint="default"/>
          <w:spacing w:val="-4"/>
          <w:sz w:val="21"/>
          <w:szCs w:val="21"/>
        </w:rPr>
        <w:t>5,988,816.62</w:t>
      </w:r>
      <w:r>
        <w:rPr>
          <w:rFonts w:ascii="宋体" w:hAnsi="宋体" w:cs="宋体" w:eastAsia="宋体" w:hint="default"/>
          <w:spacing w:val="-45"/>
          <w:sz w:val="21"/>
          <w:szCs w:val="21"/>
        </w:rPr>
        <w:t> </w:t>
      </w:r>
      <w:r>
        <w:rPr>
          <w:rFonts w:ascii="宋体" w:hAnsi="宋体" w:cs="宋体" w:eastAsia="宋体" w:hint="default"/>
          <w:spacing w:val="-4"/>
          <w:sz w:val="21"/>
          <w:szCs w:val="21"/>
        </w:rPr>
        <w:t>元，其中以存单方式存放的募集资金</w:t>
      </w:r>
      <w:r>
        <w:rPr>
          <w:rFonts w:ascii="宋体" w:hAnsi="宋体" w:cs="宋体" w:eastAsia="宋体" w:hint="default"/>
          <w:spacing w:val="-44"/>
          <w:sz w:val="21"/>
          <w:szCs w:val="21"/>
        </w:rPr>
        <w:t> </w:t>
      </w:r>
      <w:r>
        <w:rPr>
          <w:rFonts w:ascii="宋体" w:hAnsi="宋体" w:cs="宋体" w:eastAsia="宋体" w:hint="default"/>
          <w:sz w:val="21"/>
          <w:szCs w:val="21"/>
        </w:rPr>
        <w:t>5,132,025.29</w:t>
      </w:r>
      <w:r>
        <w:rPr>
          <w:rFonts w:ascii="宋体" w:hAnsi="宋体" w:cs="宋体" w:eastAsia="宋体" w:hint="default"/>
          <w:spacing w:val="-48"/>
          <w:sz w:val="21"/>
          <w:szCs w:val="21"/>
        </w:rPr>
        <w:t> </w:t>
      </w:r>
      <w:r>
        <w:rPr>
          <w:rFonts w:ascii="宋体" w:hAnsi="宋体" w:cs="宋体" w:eastAsia="宋体" w:hint="default"/>
          <w:spacing w:val="-3"/>
          <w:sz w:val="21"/>
          <w:szCs w:val="21"/>
        </w:rPr>
        <w:t>元。</w:t>
      </w:r>
      <w:r>
        <w:rPr>
          <w:rFonts w:ascii="宋体" w:hAnsi="宋体" w:cs="宋体" w:eastAsia="宋体" w:hint="default"/>
          <w:spacing w:val="-102"/>
          <w:sz w:val="21"/>
          <w:szCs w:val="21"/>
        </w:rPr>
        <w:t> </w:t>
      </w:r>
      <w:r>
        <w:rPr>
          <w:rFonts w:ascii="宋体" w:hAnsi="宋体" w:cs="宋体" w:eastAsia="宋体" w:hint="default"/>
          <w:b/>
          <w:bCs/>
          <w:spacing w:val="-1"/>
          <w:sz w:val="21"/>
          <w:szCs w:val="21"/>
        </w:rPr>
        <w:t>三、本年度募集资金使用情况</w:t>
        <w:tab/>
      </w:r>
      <w:r>
        <w:rPr>
          <w:rFonts w:ascii="宋体" w:hAnsi="宋体" w:cs="宋体" w:eastAsia="宋体" w:hint="default"/>
          <w:spacing w:val="-2"/>
          <w:sz w:val="21"/>
          <w:szCs w:val="21"/>
        </w:rPr>
        <w:t>单位：万元</w:t>
      </w:r>
    </w:p>
    <w:p>
      <w:pPr>
        <w:spacing w:after="0" w:line="712" w:lineRule="auto"/>
        <w:jc w:val="left"/>
        <w:rPr>
          <w:rFonts w:ascii="宋体" w:hAnsi="宋体" w:cs="宋体" w:eastAsia="宋体" w:hint="default"/>
          <w:sz w:val="21"/>
          <w:szCs w:val="21"/>
        </w:rPr>
        <w:sectPr>
          <w:pgSz w:w="11910" w:h="16840"/>
          <w:pgMar w:header="737" w:footer="1153" w:top="1060" w:bottom="1340" w:left="11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807" w:firstLine="0"/>
        <w:jc w:val="right"/>
        <w:rPr>
          <w:rFonts w:ascii="宋体" w:hAnsi="宋体" w:cs="宋体" w:eastAsia="宋体" w:hint="default"/>
          <w:sz w:val="18"/>
          <w:szCs w:val="18"/>
        </w:rPr>
      </w:pPr>
      <w:r>
        <w:rPr/>
        <w:pict>
          <v:shape style="position:absolute;margin-left:60.119999pt;margin-top:-91.228302pt;width:492.25pt;height:260.350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8010"/>
                  </w:tblGrid>
                  <w:tr>
                    <w:trPr>
                      <w:trHeight w:val="24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245"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82" w:right="93"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43"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①经公司第三届董事会第十三次会议审议，并经</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年第三次临时股东大会批准，同意使用闲置募集</w:t>
                        </w:r>
                      </w:p>
                      <w:p>
                        <w:pPr>
                          <w:pStyle w:val="TableParagraph"/>
                          <w:spacing w:line="234"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资金暂时补充流动资金，总额不超过人民币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日起到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日止，到期归还到募集资金专用账户。此次暂时补充流动资金的募集资金已于</w:t>
                        </w:r>
                      </w:p>
                      <w:p>
                        <w:pPr>
                          <w:pStyle w:val="TableParagraph"/>
                          <w:spacing w:line="233"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日归还募集资金账户。</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②经公司第三届董事会第十七次会议审议，并经</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年度股东大会批准，同意在归还前次暂时补充流</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动资金的募集资金后，继续使用闲置募集资金暂时补充流动资金，总额不超过人民币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万元，使</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用期限不超过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17"/>
                            <w:sz w:val="18"/>
                            <w:szCs w:val="18"/>
                          </w:rPr>
                          <w:t>个月，从</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日起到</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日止，到期归还到募集资金专用账户</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此次暂时补充流动资金的募集资金已于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日归还募集资金账户。</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③经公司第三届董事会第二十二次会议审议，并经</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年第三次临时股东大会批准，同意在归还前次</w:t>
                        </w:r>
                      </w:p>
                      <w:p>
                        <w:pPr>
                          <w:pStyle w:val="TableParagraph"/>
                          <w:spacing w:line="234"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暂时补充流动资金的募集资金后，继续使用闲置募集资金暂时补充流动资金，总额不超过人民币</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8,000</w:t>
                        </w:r>
                      </w:p>
                      <w:p>
                        <w:pPr>
                          <w:pStyle w:val="TableParagraph"/>
                          <w:spacing w:line="232" w:lineRule="exact" w:before="17"/>
                          <w:ind w:left="21" w:right="21"/>
                          <w:jc w:val="left"/>
                          <w:rPr>
                            <w:rFonts w:ascii="宋体" w:hAnsi="宋体" w:cs="宋体" w:eastAsia="宋体" w:hint="default"/>
                            <w:sz w:val="18"/>
                            <w:szCs w:val="18"/>
                          </w:rPr>
                        </w:pPr>
                        <w:r>
                          <w:rPr>
                            <w:rFonts w:ascii="宋体" w:hAnsi="宋体" w:cs="宋体" w:eastAsia="宋体" w:hint="default"/>
                            <w:sz w:val="18"/>
                            <w:szCs w:val="18"/>
                          </w:rPr>
                          <w:t>万元，使用期限不超过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日止，到期归还到募集资金 专用账户。</w:t>
                        </w:r>
                      </w:p>
                      <w:p>
                        <w:pPr>
                          <w:pStyle w:val="TableParagraph"/>
                          <w:spacing w:line="212" w:lineRule="exact"/>
                          <w:ind w:left="21" w:right="0"/>
                          <w:jc w:val="left"/>
                          <w:rPr>
                            <w:rFonts w:ascii="宋体" w:hAnsi="宋体" w:cs="宋体" w:eastAsia="宋体" w:hint="default"/>
                            <w:sz w:val="18"/>
                            <w:szCs w:val="18"/>
                          </w:rPr>
                        </w:pPr>
                        <w:r>
                          <w:rPr>
                            <w:rFonts w:ascii="宋体" w:hAnsi="宋体" w:cs="宋体" w:eastAsia="宋体" w:hint="default"/>
                            <w:sz w:val="18"/>
                            <w:szCs w:val="18"/>
                          </w:rPr>
                          <w:t>上述使用闲置募集资金暂时补充流动资金未影响募集资金投资项目的正常进行。</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尚未使用的募集资金</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1" w:right="0"/>
                          <w:jc w:val="left"/>
                          <w:rPr>
                            <w:rFonts w:ascii="宋体" w:hAnsi="宋体" w:cs="宋体" w:eastAsia="宋体" w:hint="default"/>
                            <w:sz w:val="18"/>
                            <w:szCs w:val="18"/>
                          </w:rPr>
                        </w:pPr>
                        <w:r>
                          <w:rPr>
                            <w:rFonts w:ascii="宋体" w:hAnsi="宋体" w:cs="宋体" w:eastAsia="宋体" w:hint="default"/>
                            <w:spacing w:val="-4"/>
                            <w:sz w:val="18"/>
                            <w:szCs w:val="18"/>
                          </w:rPr>
                          <w:t>公司尚未使用的资金除暂时补充流动资金外，全部存放于募集资金专用账户。截止</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2" w:lineRule="exact"/>
                          <w:ind w:left="21" w:right="0"/>
                          <w:jc w:val="left"/>
                          <w:rPr>
                            <w:rFonts w:ascii="宋体" w:hAnsi="宋体" w:cs="宋体" w:eastAsia="宋体" w:hint="default"/>
                            <w:sz w:val="18"/>
                            <w:szCs w:val="18"/>
                          </w:rPr>
                        </w:pPr>
                        <w:r>
                          <w:rPr>
                            <w:rFonts w:ascii="宋体" w:hAnsi="宋体" w:cs="宋体" w:eastAsia="宋体" w:hint="default"/>
                            <w:sz w:val="18"/>
                            <w:szCs w:val="18"/>
                          </w:rPr>
                          <w:t>募集资金专用账户余额为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0"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94"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p>
                        <w:pPr>
                          <w:pStyle w:val="TableParagraph"/>
                          <w:spacing w:line="240" w:lineRule="auto"/>
                          <w:ind w:left="722" w:right="93" w:hanging="629"/>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公司无募集资金使用及披露中存在的问题或其他情况。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44"/>
        <w:ind w:left="0" w:right="80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36"/>
        <w:ind w:left="628" w:right="79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公司不存在未及时、真实、准确、完整披露募集资金使用的情况。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55" w:lineRule="auto" w:before="0"/>
        <w:ind w:left="522" w:right="2583" w:firstLine="0"/>
        <w:jc w:val="left"/>
        <w:rPr>
          <w:rFonts w:ascii="宋体" w:hAnsi="宋体" w:cs="宋体" w:eastAsia="宋体" w:hint="default"/>
          <w:sz w:val="21"/>
          <w:szCs w:val="21"/>
        </w:rPr>
      </w:pPr>
      <w:r>
        <w:rPr>
          <w:rFonts w:ascii="宋体" w:hAnsi="宋体" w:cs="宋体" w:eastAsia="宋体" w:hint="default"/>
          <w:b/>
          <w:bCs/>
          <w:sz w:val="21"/>
          <w:szCs w:val="21"/>
        </w:rPr>
        <w:t>２、非募集资金项目</w:t>
      </w:r>
      <w:r>
        <w:rPr>
          <w:rFonts w:ascii="宋体" w:hAnsi="宋体" w:cs="宋体" w:eastAsia="宋体" w:hint="default"/>
          <w:b/>
          <w:bCs/>
          <w:spacing w:val="-103"/>
          <w:sz w:val="21"/>
          <w:szCs w:val="21"/>
        </w:rPr>
        <w:t> </w:t>
      </w:r>
      <w:r>
        <w:rPr>
          <w:rFonts w:ascii="宋体" w:hAnsi="宋体" w:cs="宋体" w:eastAsia="宋体" w:hint="default"/>
          <w:spacing w:val="-2"/>
          <w:sz w:val="21"/>
          <w:szCs w:val="21"/>
        </w:rPr>
        <w:t>除募集资金项目外，报告期内公司还投资了以下非募集资金项目</w:t>
      </w:r>
    </w:p>
    <w:p>
      <w:pPr>
        <w:spacing w:line="240" w:lineRule="auto" w:before="3"/>
        <w:rPr>
          <w:rFonts w:ascii="宋体" w:hAnsi="宋体" w:cs="宋体" w:eastAsia="宋体" w:hint="default"/>
          <w:sz w:val="5"/>
          <w:szCs w:val="5"/>
        </w:rPr>
      </w:pPr>
    </w:p>
    <w:tbl>
      <w:tblPr>
        <w:tblW w:w="0" w:type="auto"/>
        <w:jc w:val="left"/>
        <w:tblInd w:w="402" w:type="dxa"/>
        <w:tblLayout w:type="fixed"/>
        <w:tblCellMar>
          <w:top w:w="0" w:type="dxa"/>
          <w:left w:w="0" w:type="dxa"/>
          <w:bottom w:w="0" w:type="dxa"/>
          <w:right w:w="0" w:type="dxa"/>
        </w:tblCellMar>
        <w:tblLook w:val="01E0"/>
      </w:tblPr>
      <w:tblGrid>
        <w:gridCol w:w="2861"/>
        <w:gridCol w:w="958"/>
        <w:gridCol w:w="2600"/>
        <w:gridCol w:w="2809"/>
      </w:tblGrid>
      <w:tr>
        <w:trPr>
          <w:trHeight w:val="242" w:hRule="exact"/>
        </w:trPr>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56"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78"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增资上海东港数据处理有限公司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13,000.00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报告期内上述增资已实施完毕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目前该项目尚处于土地购置和规划</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阶段，尚未产生收益。</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临港开发区二期建设项目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w w:val="95"/>
                <w:sz w:val="18"/>
              </w:rPr>
              <w:t>5,000.00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目前该项目尚处于行政审批阶段</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25"/>
          <w:szCs w:val="25"/>
        </w:rPr>
      </w:pPr>
    </w:p>
    <w:p>
      <w:pPr>
        <w:spacing w:before="36"/>
        <w:ind w:left="522" w:right="794" w:firstLine="0"/>
        <w:jc w:val="left"/>
        <w:rPr>
          <w:rFonts w:ascii="宋体" w:hAnsi="宋体" w:cs="宋体" w:eastAsia="宋体" w:hint="default"/>
          <w:sz w:val="21"/>
          <w:szCs w:val="21"/>
        </w:rPr>
      </w:pPr>
      <w:r>
        <w:rPr>
          <w:rFonts w:ascii="宋体" w:hAnsi="宋体" w:cs="宋体" w:eastAsia="宋体" w:hint="default"/>
          <w:b/>
          <w:bCs/>
          <w:sz w:val="21"/>
          <w:szCs w:val="21"/>
        </w:rPr>
        <w:t>三、公司董事会日常工作情况</w:t>
      </w:r>
      <w:r>
        <w:rPr>
          <w:rFonts w:ascii="宋体" w:hAnsi="宋体" w:cs="宋体" w:eastAsia="宋体" w:hint="default"/>
          <w:sz w:val="21"/>
          <w:szCs w:val="21"/>
        </w:rPr>
      </w:r>
    </w:p>
    <w:p>
      <w:pPr>
        <w:spacing w:before="133"/>
        <w:ind w:left="522" w:right="794" w:firstLine="0"/>
        <w:jc w:val="left"/>
        <w:rPr>
          <w:rFonts w:ascii="宋体" w:hAnsi="宋体" w:cs="宋体" w:eastAsia="宋体" w:hint="default"/>
          <w:sz w:val="21"/>
          <w:szCs w:val="21"/>
        </w:rPr>
      </w:pPr>
      <w:r>
        <w:rPr>
          <w:rFonts w:ascii="宋体" w:hAnsi="宋体" w:cs="宋体" w:eastAsia="宋体" w:hint="default"/>
          <w:b/>
          <w:bCs/>
          <w:sz w:val="21"/>
          <w:szCs w:val="21"/>
        </w:rPr>
        <w:t>（一）董事会会议情况</w:t>
      </w:r>
      <w:r>
        <w:rPr>
          <w:rFonts w:ascii="宋体" w:hAnsi="宋体" w:cs="宋体" w:eastAsia="宋体" w:hint="default"/>
          <w:sz w:val="21"/>
          <w:szCs w:val="21"/>
        </w:rPr>
      </w:r>
    </w:p>
    <w:p>
      <w:pPr>
        <w:spacing w:before="133"/>
        <w:ind w:left="837" w:right="794" w:firstLine="0"/>
        <w:jc w:val="left"/>
        <w:rPr>
          <w:rFonts w:ascii="宋体" w:hAnsi="宋体" w:cs="宋体" w:eastAsia="宋体" w:hint="default"/>
          <w:sz w:val="21"/>
          <w:szCs w:val="21"/>
        </w:rPr>
      </w:pPr>
      <w:r>
        <w:rPr>
          <w:rFonts w:ascii="宋体" w:hAnsi="宋体" w:cs="宋体" w:eastAsia="宋体" w:hint="default"/>
          <w:sz w:val="21"/>
          <w:szCs w:val="21"/>
        </w:rPr>
        <w:t>报告期内公司董事会共召开</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次会议，会议情况如下：</w:t>
      </w:r>
    </w:p>
    <w:p>
      <w:pPr>
        <w:spacing w:before="135"/>
        <w:ind w:left="837" w:right="79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25</w:t>
      </w:r>
      <w:r>
        <w:rPr>
          <w:rFonts w:ascii="宋体" w:hAnsi="宋体" w:cs="宋体" w:eastAsia="宋体" w:hint="default"/>
          <w:spacing w:val="-30"/>
          <w:sz w:val="21"/>
          <w:szCs w:val="21"/>
        </w:rPr>
        <w:t> </w:t>
      </w:r>
      <w:r>
        <w:rPr>
          <w:rFonts w:ascii="宋体" w:hAnsi="宋体" w:cs="宋体" w:eastAsia="宋体" w:hint="default"/>
          <w:sz w:val="21"/>
          <w:szCs w:val="21"/>
        </w:rPr>
        <w:t>日召开第三届董事会第十四次会议，该次会议的决议公告刊登在</w:t>
      </w:r>
      <w:r>
        <w:rPr>
          <w:rFonts w:ascii="宋体" w:hAnsi="宋体" w:cs="宋体" w:eastAsia="宋体" w:hint="default"/>
          <w:spacing w:val="-31"/>
          <w:sz w:val="21"/>
          <w:szCs w:val="21"/>
        </w:rPr>
        <w:t> </w:t>
      </w:r>
      <w:r>
        <w:rPr>
          <w:rFonts w:ascii="宋体" w:hAnsi="宋体" w:cs="宋体" w:eastAsia="宋体" w:hint="default"/>
          <w:sz w:val="21"/>
          <w:szCs w:val="21"/>
        </w:rPr>
        <w:t>2011</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w:t>
      </w:r>
    </w:p>
    <w:p>
      <w:pPr>
        <w:spacing w:before="133"/>
        <w:ind w:left="522" w:right="794"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837" w:right="79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10</w:t>
      </w:r>
      <w:r>
        <w:rPr>
          <w:rFonts w:ascii="宋体" w:hAnsi="宋体" w:cs="宋体" w:eastAsia="宋体" w:hint="default"/>
          <w:spacing w:val="-31"/>
          <w:sz w:val="21"/>
          <w:szCs w:val="21"/>
        </w:rPr>
        <w:t> </w:t>
      </w:r>
      <w:r>
        <w:rPr>
          <w:rFonts w:ascii="宋体" w:hAnsi="宋体" w:cs="宋体" w:eastAsia="宋体" w:hint="default"/>
          <w:sz w:val="21"/>
          <w:szCs w:val="21"/>
        </w:rPr>
        <w:t>日召开第三届董事会第十五次会议，该次会议的决议公告刊登在</w:t>
      </w:r>
      <w:r>
        <w:rPr>
          <w:rFonts w:ascii="宋体" w:hAnsi="宋体" w:cs="宋体" w:eastAsia="宋体" w:hint="default"/>
          <w:spacing w:val="-32"/>
          <w:sz w:val="21"/>
          <w:szCs w:val="21"/>
        </w:rPr>
        <w:t> </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2</w:t>
      </w:r>
    </w:p>
    <w:p>
      <w:pPr>
        <w:spacing w:before="133"/>
        <w:ind w:left="522" w:right="794"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5"/>
        <w:ind w:left="837" w:right="79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28</w:t>
      </w:r>
      <w:r>
        <w:rPr>
          <w:rFonts w:ascii="宋体" w:hAnsi="宋体" w:cs="宋体" w:eastAsia="宋体" w:hint="default"/>
          <w:spacing w:val="-31"/>
          <w:sz w:val="21"/>
          <w:szCs w:val="21"/>
        </w:rPr>
        <w:t> </w:t>
      </w:r>
      <w:r>
        <w:rPr>
          <w:rFonts w:ascii="宋体" w:hAnsi="宋体" w:cs="宋体" w:eastAsia="宋体" w:hint="default"/>
          <w:sz w:val="21"/>
          <w:szCs w:val="21"/>
        </w:rPr>
        <w:t>日召开第三届董事会第十六次会议，该次会议的决议公告刊登在</w:t>
      </w:r>
      <w:r>
        <w:rPr>
          <w:rFonts w:ascii="宋体" w:hAnsi="宋体" w:cs="宋体" w:eastAsia="宋体" w:hint="default"/>
          <w:spacing w:val="-32"/>
          <w:sz w:val="21"/>
          <w:szCs w:val="21"/>
        </w:rPr>
        <w:t> </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p>
    <w:p>
      <w:pPr>
        <w:spacing w:before="133"/>
        <w:ind w:left="522" w:right="794"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837" w:right="79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24</w:t>
      </w:r>
      <w:r>
        <w:rPr>
          <w:rFonts w:ascii="宋体" w:hAnsi="宋体" w:cs="宋体" w:eastAsia="宋体" w:hint="default"/>
          <w:spacing w:val="-31"/>
          <w:sz w:val="21"/>
          <w:szCs w:val="21"/>
        </w:rPr>
        <w:t> </w:t>
      </w:r>
      <w:r>
        <w:rPr>
          <w:rFonts w:ascii="宋体" w:hAnsi="宋体" w:cs="宋体" w:eastAsia="宋体" w:hint="default"/>
          <w:sz w:val="21"/>
          <w:szCs w:val="21"/>
        </w:rPr>
        <w:t>日召开第三届董事会第十七次会议，该次会议的决议公告刊登在</w:t>
      </w:r>
      <w:r>
        <w:rPr>
          <w:rFonts w:ascii="宋体" w:hAnsi="宋体" w:cs="宋体" w:eastAsia="宋体" w:hint="default"/>
          <w:spacing w:val="-32"/>
          <w:sz w:val="21"/>
          <w:szCs w:val="21"/>
        </w:rPr>
        <w:t> </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p>
    <w:p>
      <w:pPr>
        <w:spacing w:before="133"/>
        <w:ind w:left="522" w:right="794"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7" w:lineRule="auto" w:before="133"/>
        <w:ind w:left="522" w:right="794" w:firstLine="314"/>
        <w:jc w:val="left"/>
        <w:rPr>
          <w:rFonts w:ascii="宋体" w:hAnsi="宋体" w:cs="宋体" w:eastAsia="宋体" w:hint="default"/>
          <w:sz w:val="21"/>
          <w:szCs w:val="21"/>
        </w:rPr>
      </w:pPr>
      <w:r>
        <w:rPr>
          <w:rFonts w:ascii="宋体" w:hAnsi="宋体" w:cs="宋体" w:eastAsia="宋体" w:hint="default"/>
          <w:spacing w:val="-3"/>
          <w:sz w:val="21"/>
          <w:szCs w:val="21"/>
        </w:rPr>
        <w:t>5</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日召开第三届董事会第十八次会议，该次会议审议通过了《</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年一季度报</w:t>
      </w:r>
      <w:r>
        <w:rPr>
          <w:rFonts w:ascii="宋体" w:hAnsi="宋体" w:cs="宋体" w:eastAsia="宋体" w:hint="default"/>
          <w:w w:val="100"/>
          <w:sz w:val="21"/>
          <w:szCs w:val="21"/>
        </w:rPr>
        <w:t> </w:t>
      </w:r>
      <w:r>
        <w:rPr>
          <w:rFonts w:ascii="宋体" w:hAnsi="宋体" w:cs="宋体" w:eastAsia="宋体" w:hint="default"/>
          <w:spacing w:val="-36"/>
          <w:w w:val="100"/>
          <w:sz w:val="21"/>
          <w:szCs w:val="21"/>
        </w:rPr>
        <w:t>告》。</w:t>
      </w:r>
    </w:p>
    <w:p>
      <w:pPr>
        <w:spacing w:after="0" w:line="357" w:lineRule="auto"/>
        <w:jc w:val="left"/>
        <w:rPr>
          <w:rFonts w:ascii="宋体" w:hAnsi="宋体" w:cs="宋体" w:eastAsia="宋体" w:hint="default"/>
          <w:sz w:val="21"/>
          <w:szCs w:val="21"/>
        </w:rPr>
        <w:sectPr>
          <w:pgSz w:w="11910" w:h="16840"/>
          <w:pgMar w:header="737" w:footer="1153" w:top="1060" w:bottom="1340" w:left="1100" w:right="0"/>
        </w:sectPr>
      </w:pPr>
    </w:p>
    <w:p>
      <w:pPr>
        <w:spacing w:line="240" w:lineRule="auto" w:before="2"/>
        <w:rPr>
          <w:rFonts w:ascii="宋体" w:hAnsi="宋体" w:cs="宋体" w:eastAsia="宋体" w:hint="default"/>
          <w:sz w:val="23"/>
          <w:szCs w:val="23"/>
        </w:rPr>
      </w:pPr>
    </w:p>
    <w:p>
      <w:pPr>
        <w:spacing w:before="36"/>
        <w:ind w:left="0" w:right="840" w:firstLine="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5</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28</w:t>
      </w:r>
      <w:r>
        <w:rPr>
          <w:rFonts w:ascii="宋体" w:hAnsi="宋体" w:cs="宋体" w:eastAsia="宋体" w:hint="default"/>
          <w:spacing w:val="-31"/>
          <w:sz w:val="21"/>
          <w:szCs w:val="21"/>
        </w:rPr>
        <w:t> </w:t>
      </w:r>
      <w:r>
        <w:rPr>
          <w:rFonts w:ascii="宋体" w:hAnsi="宋体" w:cs="宋体" w:eastAsia="宋体" w:hint="default"/>
          <w:sz w:val="21"/>
          <w:szCs w:val="21"/>
        </w:rPr>
        <w:t>日召开第三届董事会第十九次会议，该次会议的决议公告刊登在</w:t>
      </w:r>
      <w:r>
        <w:rPr>
          <w:rFonts w:ascii="宋体" w:hAnsi="宋体" w:cs="宋体" w:eastAsia="宋体" w:hint="default"/>
          <w:spacing w:val="-32"/>
          <w:sz w:val="21"/>
          <w:szCs w:val="21"/>
        </w:rPr>
        <w:t> </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5</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7" w:lineRule="auto" w:before="133"/>
        <w:ind w:left="122" w:right="1274" w:firstLine="314"/>
        <w:jc w:val="left"/>
        <w:rPr>
          <w:rFonts w:ascii="宋体" w:hAnsi="宋体" w:cs="宋体" w:eastAsia="宋体" w:hint="default"/>
          <w:sz w:val="21"/>
          <w:szCs w:val="21"/>
        </w:rPr>
      </w:pPr>
      <w:r>
        <w:rPr>
          <w:rFonts w:ascii="宋体" w:hAnsi="宋体" w:cs="宋体" w:eastAsia="宋体" w:hint="default"/>
          <w:spacing w:val="-3"/>
          <w:sz w:val="21"/>
          <w:szCs w:val="21"/>
        </w:rPr>
        <w:t>7</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日召开第三届董事会第二十次会议，该次会议审议通过了《</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年半年度报</w:t>
      </w:r>
      <w:r>
        <w:rPr>
          <w:rFonts w:ascii="宋体" w:hAnsi="宋体" w:cs="宋体" w:eastAsia="宋体" w:hint="default"/>
          <w:w w:val="100"/>
          <w:sz w:val="21"/>
          <w:szCs w:val="21"/>
        </w:rPr>
        <w:t> </w:t>
      </w:r>
      <w:r>
        <w:rPr>
          <w:rFonts w:ascii="宋体" w:hAnsi="宋体" w:cs="宋体" w:eastAsia="宋体" w:hint="default"/>
          <w:spacing w:val="-36"/>
          <w:w w:val="100"/>
          <w:sz w:val="21"/>
          <w:szCs w:val="21"/>
        </w:rPr>
        <w:t>告》。</w:t>
      </w:r>
    </w:p>
    <w:p>
      <w:pPr>
        <w:spacing w:before="30"/>
        <w:ind w:left="0" w:right="842" w:firstLine="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日召开第三届董事会第二十一次会议，该次会议的决议公告刊登在</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0" w:right="840" w:firstLine="0"/>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日召开第三届董事会第二十二次会议，该次会议的决议公告刊登在</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p>
    <w:p>
      <w:pPr>
        <w:spacing w:before="135"/>
        <w:ind w:left="122" w:right="0" w:firstLine="0"/>
        <w:jc w:val="left"/>
        <w:rPr>
          <w:rFonts w:ascii="宋体" w:hAnsi="宋体" w:cs="宋体" w:eastAsia="宋体" w:hint="default"/>
          <w:sz w:val="21"/>
          <w:szCs w:val="21"/>
        </w:rPr>
      </w:pPr>
      <w:r>
        <w:rPr>
          <w:rFonts w:ascii="宋体" w:hAnsi="宋体" w:cs="宋体" w:eastAsia="宋体" w:hint="default"/>
          <w:w w:val="100"/>
          <w:sz w:val="21"/>
          <w:szCs w:val="21"/>
        </w:rPr>
        <w:t>10</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w w:val="100"/>
          <w:sz w:val="21"/>
          <w:szCs w:val="21"/>
        </w:rPr>
        <w:t>》和</w:t>
      </w:r>
      <w:r>
        <w:rPr>
          <w:rFonts w:ascii="宋体" w:hAnsi="宋体" w:cs="宋体" w:eastAsia="宋体" w:hint="default"/>
          <w:spacing w:val="-3"/>
          <w:w w:val="100"/>
          <w:sz w:val="21"/>
          <w:szCs w:val="21"/>
        </w:rPr>
        <w:t>巨</w:t>
      </w:r>
      <w:r>
        <w:rPr>
          <w:rFonts w:ascii="宋体" w:hAnsi="宋体" w:cs="宋体" w:eastAsia="宋体" w:hint="default"/>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hyperlink r:id="rId13">
        <w:r>
          <w:rPr>
            <w:rFonts w:ascii="宋体" w:hAnsi="宋体" w:cs="宋体" w:eastAsia="宋体" w:hint="default"/>
            <w:w w:val="100"/>
            <w:sz w:val="21"/>
            <w:szCs w:val="21"/>
          </w:rPr>
          <w:t>w</w:t>
        </w:r>
        <w:r>
          <w:rPr>
            <w:rFonts w:ascii="宋体" w:hAnsi="宋体" w:cs="宋体" w:eastAsia="宋体" w:hint="default"/>
            <w:spacing w:val="-3"/>
            <w:w w:val="100"/>
            <w:sz w:val="21"/>
            <w:szCs w:val="21"/>
          </w:rPr>
          <w:t>w</w:t>
        </w:r>
        <w:r>
          <w:rPr>
            <w:rFonts w:ascii="宋体" w:hAnsi="宋体" w:cs="宋体" w:eastAsia="宋体" w:hint="default"/>
            <w:w w:val="100"/>
            <w:sz w:val="21"/>
            <w:szCs w:val="21"/>
          </w:rPr>
          <w:t>w.c</w:t>
        </w:r>
        <w:r>
          <w:rPr>
            <w:rFonts w:ascii="宋体" w:hAnsi="宋体" w:cs="宋体" w:eastAsia="宋体" w:hint="default"/>
            <w:spacing w:val="-3"/>
            <w:w w:val="100"/>
            <w:sz w:val="21"/>
            <w:szCs w:val="21"/>
          </w:rPr>
          <w:t>ni</w:t>
        </w:r>
        <w:r>
          <w:rPr>
            <w:rFonts w:ascii="宋体" w:hAnsi="宋体" w:cs="宋体" w:eastAsia="宋体" w:hint="default"/>
            <w:w w:val="100"/>
            <w:sz w:val="21"/>
            <w:szCs w:val="21"/>
          </w:rPr>
          <w:t>nfo.c</w:t>
        </w:r>
        <w:r>
          <w:rPr>
            <w:rFonts w:ascii="宋体" w:hAnsi="宋体" w:cs="宋体" w:eastAsia="宋体" w:hint="default"/>
            <w:spacing w:val="-3"/>
            <w:w w:val="100"/>
            <w:sz w:val="21"/>
            <w:szCs w:val="21"/>
          </w:rPr>
          <w:t>o</w:t>
        </w:r>
        <w:r>
          <w:rPr>
            <w:rFonts w:ascii="宋体" w:hAnsi="宋体" w:cs="宋体" w:eastAsia="宋体" w:hint="default"/>
            <w:w w:val="100"/>
            <w:sz w:val="21"/>
            <w:szCs w:val="21"/>
          </w:rPr>
          <w:t>m.c</w:t>
        </w:r>
        <w:r>
          <w:rPr>
            <w:rFonts w:ascii="宋体" w:hAnsi="宋体" w:cs="宋体" w:eastAsia="宋体" w:hint="default"/>
            <w:spacing w:val="-3"/>
            <w:w w:val="100"/>
            <w:sz w:val="21"/>
            <w:szCs w:val="21"/>
          </w:rPr>
          <w:t>n</w:t>
        </w:r>
      </w:hyperlink>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33"/>
        <w:ind w:left="0" w:right="842" w:firstLine="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10</w:t>
      </w:r>
      <w:r>
        <w:rPr>
          <w:rFonts w:ascii="宋体" w:hAnsi="宋体" w:cs="宋体" w:eastAsia="宋体"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19</w:t>
      </w:r>
      <w:r>
        <w:rPr>
          <w:rFonts w:ascii="宋体" w:hAnsi="宋体" w:cs="宋体" w:eastAsia="宋体" w:hint="default"/>
          <w:spacing w:val="-26"/>
          <w:sz w:val="21"/>
          <w:szCs w:val="21"/>
        </w:rPr>
        <w:t> </w:t>
      </w:r>
      <w:r>
        <w:rPr>
          <w:rFonts w:ascii="宋体" w:hAnsi="宋体" w:cs="宋体" w:eastAsia="宋体" w:hint="default"/>
          <w:sz w:val="21"/>
          <w:szCs w:val="21"/>
        </w:rPr>
        <w:t>日召开第三届董事会第二十三次会议，该次会议的决议公告刊登在</w:t>
      </w:r>
      <w:r>
        <w:rPr>
          <w:rFonts w:ascii="宋体" w:hAnsi="宋体" w:cs="宋体" w:eastAsia="宋体" w:hint="default"/>
          <w:spacing w:val="-24"/>
          <w:sz w:val="21"/>
          <w:szCs w:val="21"/>
        </w:rPr>
        <w:t> </w:t>
      </w:r>
      <w:r>
        <w:rPr>
          <w:rFonts w:ascii="宋体" w:hAnsi="宋体" w:cs="宋体" w:eastAsia="宋体" w:hint="default"/>
          <w:sz w:val="21"/>
          <w:szCs w:val="21"/>
        </w:rPr>
        <w:t>2011</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（二）董事会对股东大会决议的执行情况</w:t>
      </w:r>
      <w:r>
        <w:rPr>
          <w:rFonts w:ascii="宋体" w:hAnsi="宋体" w:cs="宋体" w:eastAsia="宋体" w:hint="default"/>
          <w:sz w:val="21"/>
          <w:szCs w:val="21"/>
        </w:rPr>
      </w:r>
    </w:p>
    <w:p>
      <w:pPr>
        <w:spacing w:before="133"/>
        <w:ind w:left="0" w:right="736" w:firstLine="0"/>
        <w:jc w:val="center"/>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、根据</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28</w:t>
      </w:r>
      <w:r>
        <w:rPr>
          <w:rFonts w:ascii="宋体" w:hAnsi="宋体" w:cs="宋体" w:eastAsia="宋体" w:hint="default"/>
          <w:spacing w:val="-49"/>
          <w:sz w:val="21"/>
          <w:szCs w:val="21"/>
        </w:rPr>
        <w:t> </w:t>
      </w:r>
      <w:r>
        <w:rPr>
          <w:rFonts w:ascii="宋体" w:hAnsi="宋体" w:cs="宋体" w:eastAsia="宋体" w:hint="default"/>
          <w:sz w:val="21"/>
          <w:szCs w:val="21"/>
        </w:rPr>
        <w:t>日召开的</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pacing w:val="-3"/>
          <w:sz w:val="21"/>
          <w:szCs w:val="21"/>
        </w:rPr>
        <w:t>年第一次临时股东大会审议通过的《关于调整上海东港</w:t>
      </w:r>
    </w:p>
    <w:p>
      <w:pPr>
        <w:spacing w:line="355" w:lineRule="auto" w:before="135"/>
        <w:ind w:left="122" w:right="1278" w:firstLine="0"/>
        <w:jc w:val="left"/>
        <w:rPr>
          <w:rFonts w:ascii="宋体" w:hAnsi="宋体" w:cs="宋体" w:eastAsia="宋体" w:hint="default"/>
          <w:sz w:val="21"/>
          <w:szCs w:val="21"/>
        </w:rPr>
      </w:pPr>
      <w:r>
        <w:rPr>
          <w:rFonts w:ascii="宋体" w:hAnsi="宋体" w:cs="宋体" w:eastAsia="宋体" w:hint="default"/>
          <w:spacing w:val="-5"/>
          <w:w w:val="100"/>
          <w:sz w:val="21"/>
          <w:szCs w:val="21"/>
        </w:rPr>
        <w:t>数据处理有限公司增资计划的议案》，公司向上海东港数据处理有限公司增资</w:t>
      </w:r>
      <w:r>
        <w:rPr>
          <w:rFonts w:ascii="宋体" w:hAnsi="宋体" w:cs="宋体" w:eastAsia="宋体" w:hint="default"/>
          <w:spacing w:val="-10"/>
          <w:w w:val="100"/>
          <w:sz w:val="21"/>
          <w:szCs w:val="21"/>
        </w:rPr>
        <w:t> </w:t>
      </w:r>
      <w:r>
        <w:rPr>
          <w:rFonts w:ascii="宋体" w:hAnsi="宋体" w:cs="宋体" w:eastAsia="宋体" w:hint="default"/>
          <w:w w:val="100"/>
          <w:sz w:val="21"/>
          <w:szCs w:val="21"/>
        </w:rPr>
        <w:t>1.3</w:t>
      </w:r>
      <w:r>
        <w:rPr>
          <w:rFonts w:ascii="宋体" w:hAnsi="宋体" w:cs="宋体" w:eastAsia="宋体" w:hint="default"/>
          <w:spacing w:val="-7"/>
          <w:w w:val="100"/>
          <w:sz w:val="21"/>
          <w:szCs w:val="21"/>
        </w:rPr>
        <w:t> </w:t>
      </w:r>
      <w:r>
        <w:rPr>
          <w:rFonts w:ascii="宋体" w:hAnsi="宋体" w:cs="宋体" w:eastAsia="宋体" w:hint="default"/>
          <w:spacing w:val="-2"/>
          <w:w w:val="100"/>
          <w:sz w:val="21"/>
          <w:szCs w:val="21"/>
        </w:rPr>
        <w:t>亿元。报告期内</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上述增资计划已实施完毕。</w:t>
      </w:r>
    </w:p>
    <w:p>
      <w:pPr>
        <w:spacing w:before="32"/>
        <w:ind w:left="0" w:right="736" w:firstLine="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、根据</w:t>
      </w:r>
      <w:r>
        <w:rPr>
          <w:rFonts w:ascii="宋体" w:hAnsi="宋体" w:cs="宋体" w:eastAsia="宋体" w:hint="default"/>
          <w:spacing w:val="-31"/>
          <w:sz w:val="21"/>
          <w:szCs w:val="21"/>
        </w:rPr>
        <w:t> </w:t>
      </w:r>
      <w:r>
        <w:rPr>
          <w:rFonts w:ascii="宋体" w:hAnsi="宋体" w:cs="宋体" w:eastAsia="宋体" w:hint="default"/>
          <w:sz w:val="21"/>
          <w:szCs w:val="21"/>
        </w:rPr>
        <w:t>2011</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11</w:t>
      </w:r>
      <w:r>
        <w:rPr>
          <w:rFonts w:ascii="宋体" w:hAnsi="宋体" w:cs="宋体" w:eastAsia="宋体" w:hint="default"/>
          <w:spacing w:val="-33"/>
          <w:sz w:val="21"/>
          <w:szCs w:val="21"/>
        </w:rPr>
        <w:t> </w:t>
      </w:r>
      <w:r>
        <w:rPr>
          <w:rFonts w:ascii="宋体" w:hAnsi="宋体" w:cs="宋体" w:eastAsia="宋体" w:hint="default"/>
          <w:sz w:val="21"/>
          <w:szCs w:val="21"/>
        </w:rPr>
        <w:t>日召开的</w:t>
      </w:r>
      <w:r>
        <w:rPr>
          <w:rFonts w:ascii="宋体" w:hAnsi="宋体" w:cs="宋体" w:eastAsia="宋体" w:hint="default"/>
          <w:spacing w:val="-31"/>
          <w:sz w:val="21"/>
          <w:szCs w:val="21"/>
        </w:rPr>
        <w:t> </w:t>
      </w:r>
      <w:r>
        <w:rPr>
          <w:rFonts w:ascii="宋体" w:hAnsi="宋体" w:cs="宋体" w:eastAsia="宋体" w:hint="default"/>
          <w:sz w:val="21"/>
          <w:szCs w:val="21"/>
        </w:rPr>
        <w:t>2010</w:t>
      </w:r>
      <w:r>
        <w:rPr>
          <w:rFonts w:ascii="宋体" w:hAnsi="宋体" w:cs="宋体" w:eastAsia="宋体" w:hint="default"/>
          <w:spacing w:val="-31"/>
          <w:sz w:val="21"/>
          <w:szCs w:val="21"/>
        </w:rPr>
        <w:t> </w:t>
      </w:r>
      <w:r>
        <w:rPr>
          <w:rFonts w:ascii="宋体" w:hAnsi="宋体" w:cs="宋体" w:eastAsia="宋体" w:hint="default"/>
          <w:sz w:val="21"/>
          <w:szCs w:val="21"/>
        </w:rPr>
        <w:t>年度股东大会的通过的利润分配决议，以公司总股本</w:t>
      </w:r>
    </w:p>
    <w:p>
      <w:pPr>
        <w:spacing w:line="350" w:lineRule="auto" w:before="133"/>
        <w:ind w:left="122"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124,124,172</w:t>
      </w:r>
      <w:r>
        <w:rPr>
          <w:rFonts w:ascii="宋体" w:hAnsi="宋体" w:cs="宋体" w:eastAsia="宋体" w:hint="default"/>
          <w:spacing w:val="-50"/>
          <w:w w:val="100"/>
          <w:sz w:val="21"/>
          <w:szCs w:val="21"/>
        </w:rPr>
        <w:t> </w:t>
      </w:r>
      <w:r>
        <w:rPr>
          <w:rFonts w:ascii="宋体" w:hAnsi="宋体" w:cs="宋体" w:eastAsia="宋体" w:hint="default"/>
          <w:spacing w:val="-14"/>
          <w:w w:val="100"/>
          <w:sz w:val="21"/>
          <w:szCs w:val="21"/>
        </w:rPr>
        <w:t>股为基数，按每</w:t>
      </w:r>
      <w:r>
        <w:rPr>
          <w:rFonts w:ascii="宋体" w:hAnsi="宋体" w:cs="宋体" w:eastAsia="宋体" w:hint="default"/>
          <w:spacing w:val="-49"/>
          <w:w w:val="100"/>
          <w:sz w:val="21"/>
          <w:szCs w:val="21"/>
        </w:rPr>
        <w:t> </w:t>
      </w:r>
      <w:r>
        <w:rPr>
          <w:rFonts w:ascii="宋体" w:hAnsi="宋体" w:cs="宋体" w:eastAsia="宋体" w:hint="default"/>
          <w:w w:val="100"/>
          <w:sz w:val="21"/>
          <w:szCs w:val="21"/>
        </w:rPr>
        <w:t>10</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股派发现金红利</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2.00</w:t>
      </w:r>
      <w:r>
        <w:rPr>
          <w:rFonts w:ascii="宋体" w:hAnsi="宋体" w:cs="宋体" w:eastAsia="宋体" w:hint="default"/>
          <w:spacing w:val="-49"/>
          <w:w w:val="100"/>
          <w:sz w:val="21"/>
          <w:szCs w:val="21"/>
        </w:rPr>
        <w:t> </w:t>
      </w:r>
      <w:r>
        <w:rPr>
          <w:rFonts w:ascii="宋体" w:hAnsi="宋体" w:cs="宋体" w:eastAsia="宋体" w:hint="default"/>
          <w:spacing w:val="-21"/>
          <w:w w:val="100"/>
          <w:sz w:val="21"/>
          <w:szCs w:val="21"/>
        </w:rPr>
        <w:t>元（含税），向股东派现人民币</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24,824,834.40</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3"/>
          <w:szCs w:val="23"/>
        </w:rPr>
        <w:t>。</w:t>
      </w:r>
      <w:r>
        <w:rPr>
          <w:rFonts w:ascii="宋体" w:hAnsi="宋体" w:cs="宋体" w:eastAsia="宋体" w:hint="default"/>
          <w:sz w:val="21"/>
          <w:szCs w:val="21"/>
        </w:rPr>
        <w:t>报告期内上述股利已分配完毕。</w:t>
      </w:r>
    </w:p>
    <w:p>
      <w:pPr>
        <w:spacing w:line="357" w:lineRule="auto" w:before="48"/>
        <w:ind w:left="122" w:right="1277" w:firstLine="419"/>
        <w:jc w:val="both"/>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、根据</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日召开的</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pacing w:val="-3"/>
          <w:sz w:val="21"/>
          <w:szCs w:val="21"/>
        </w:rPr>
        <w:t>年度股东大会审议通过的《关于办理银行授信业务的议</w:t>
      </w:r>
      <w:r>
        <w:rPr>
          <w:rFonts w:ascii="宋体" w:hAnsi="宋体" w:cs="宋体" w:eastAsia="宋体" w:hint="default"/>
          <w:w w:val="100"/>
          <w:sz w:val="21"/>
          <w:szCs w:val="21"/>
        </w:rPr>
        <w:t> </w:t>
      </w:r>
      <w:r>
        <w:rPr>
          <w:rFonts w:ascii="宋体" w:hAnsi="宋体" w:cs="宋体" w:eastAsia="宋体" w:hint="default"/>
          <w:spacing w:val="-3"/>
          <w:w w:val="100"/>
          <w:sz w:val="21"/>
          <w:szCs w:val="21"/>
        </w:rPr>
        <w:t>案》，报告期内公司向招商银行、齐鲁银行、中国民生银行、兴业银行、中国光大银行、中国建设</w:t>
      </w:r>
      <w:r>
        <w:rPr>
          <w:rFonts w:ascii="宋体" w:hAnsi="宋体" w:cs="宋体" w:eastAsia="宋体" w:hint="default"/>
          <w:spacing w:val="-66"/>
          <w:w w:val="100"/>
          <w:sz w:val="21"/>
          <w:szCs w:val="21"/>
        </w:rPr>
        <w:t> </w:t>
      </w:r>
      <w:r>
        <w:rPr>
          <w:rFonts w:ascii="宋体" w:hAnsi="宋体" w:cs="宋体" w:eastAsia="宋体" w:hint="default"/>
          <w:spacing w:val="-66"/>
          <w:w w:val="100"/>
          <w:sz w:val="21"/>
          <w:szCs w:val="21"/>
        </w:rPr>
      </w:r>
      <w:r>
        <w:rPr>
          <w:rFonts w:ascii="宋体" w:hAnsi="宋体" w:cs="宋体" w:eastAsia="宋体" w:hint="default"/>
          <w:sz w:val="21"/>
          <w:szCs w:val="21"/>
        </w:rPr>
        <w:t>银行六家商业银行申请共计 </w:t>
      </w:r>
      <w:r>
        <w:rPr>
          <w:rFonts w:ascii="宋体" w:hAnsi="宋体" w:cs="宋体" w:eastAsia="宋体" w:hint="default"/>
          <w:sz w:val="21"/>
          <w:szCs w:val="21"/>
        </w:rPr>
        <w:t>78,000</w:t>
      </w:r>
      <w:r>
        <w:rPr>
          <w:rFonts w:ascii="宋体" w:hAnsi="宋体" w:cs="宋体" w:eastAsia="宋体" w:hint="default"/>
          <w:spacing w:val="-40"/>
          <w:sz w:val="21"/>
          <w:szCs w:val="21"/>
        </w:rPr>
        <w:t> </w:t>
      </w:r>
      <w:r>
        <w:rPr>
          <w:rFonts w:ascii="宋体" w:hAnsi="宋体" w:cs="宋体" w:eastAsia="宋体" w:hint="default"/>
          <w:sz w:val="21"/>
          <w:szCs w:val="21"/>
        </w:rPr>
        <w:t>万元的综合授信额度，用于办理银行承兑汇票、国际信用证、</w:t>
      </w:r>
      <w:r>
        <w:rPr>
          <w:rFonts w:ascii="宋体" w:hAnsi="宋体" w:cs="宋体" w:eastAsia="宋体" w:hint="default"/>
          <w:w w:val="100"/>
          <w:sz w:val="21"/>
          <w:szCs w:val="21"/>
        </w:rPr>
        <w:t> </w:t>
      </w:r>
      <w:r>
        <w:rPr>
          <w:rFonts w:ascii="宋体" w:hAnsi="宋体" w:cs="宋体" w:eastAsia="宋体" w:hint="default"/>
          <w:sz w:val="21"/>
          <w:szCs w:val="21"/>
        </w:rPr>
        <w:t>商业票据贴现、银行保函、流动资金贷款等业务。</w:t>
      </w:r>
    </w:p>
    <w:p>
      <w:pPr>
        <w:spacing w:line="345" w:lineRule="auto" w:before="30"/>
        <w:ind w:left="122" w:right="1280"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、根据</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年度股东大会审议通过的《关于使用部分闲置募集资金</w:t>
      </w:r>
      <w:r>
        <w:rPr>
          <w:rFonts w:ascii="宋体" w:hAnsi="宋体" w:cs="宋体" w:eastAsia="宋体" w:hint="default"/>
          <w:w w:val="100"/>
          <w:sz w:val="21"/>
          <w:szCs w:val="21"/>
        </w:rPr>
        <w:t> </w:t>
      </w:r>
      <w:r>
        <w:rPr>
          <w:rFonts w:ascii="宋体" w:hAnsi="宋体" w:cs="宋体" w:eastAsia="宋体" w:hint="default"/>
          <w:spacing w:val="-7"/>
          <w:w w:val="100"/>
          <w:sz w:val="21"/>
          <w:szCs w:val="21"/>
        </w:rPr>
        <w:t>暂时补充流动资金的议案》，公司使用募集资金</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10,000</w:t>
      </w:r>
      <w:r>
        <w:rPr>
          <w:rFonts w:ascii="宋体" w:hAnsi="宋体" w:cs="宋体" w:eastAsia="宋体" w:hint="default"/>
          <w:spacing w:val="-49"/>
          <w:w w:val="100"/>
          <w:sz w:val="21"/>
          <w:szCs w:val="21"/>
        </w:rPr>
        <w:t> </w:t>
      </w:r>
      <w:r>
        <w:rPr>
          <w:rFonts w:ascii="宋体" w:hAnsi="宋体" w:cs="宋体" w:eastAsia="宋体" w:hint="default"/>
          <w:spacing w:val="-3"/>
          <w:w w:val="100"/>
          <w:sz w:val="21"/>
          <w:szCs w:val="21"/>
        </w:rPr>
        <w:t>万元，暂时补充流动资金，此次暂时补充流</w:t>
      </w:r>
      <w:r>
        <w:rPr>
          <w:rFonts w:ascii="宋体" w:hAnsi="宋体" w:cs="宋体" w:eastAsia="宋体" w:hint="default"/>
          <w:w w:val="100"/>
          <w:sz w:val="21"/>
          <w:szCs w:val="21"/>
        </w:rPr>
        <w:t> </w:t>
      </w:r>
      <w:r>
        <w:rPr>
          <w:rFonts w:ascii="宋体" w:hAnsi="宋体" w:cs="宋体" w:eastAsia="宋体" w:hint="default"/>
          <w:sz w:val="21"/>
          <w:szCs w:val="21"/>
        </w:rPr>
        <w:t>动资金的募集资金已于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日归还募集资金账户。</w:t>
      </w:r>
    </w:p>
    <w:p>
      <w:pPr>
        <w:spacing w:line="357" w:lineRule="auto" w:before="40"/>
        <w:ind w:left="122" w:right="1280" w:firstLine="419"/>
        <w:jc w:val="both"/>
        <w:rPr>
          <w:rFonts w:ascii="宋体" w:hAnsi="宋体" w:cs="宋体" w:eastAsia="宋体" w:hint="default"/>
          <w:sz w:val="21"/>
          <w:szCs w:val="21"/>
        </w:rPr>
      </w:pPr>
      <w:r>
        <w:rPr>
          <w:rFonts w:ascii="宋体" w:hAnsi="宋体" w:cs="宋体" w:eastAsia="宋体" w:hint="default"/>
          <w:spacing w:val="-5"/>
          <w:sz w:val="21"/>
          <w:szCs w:val="21"/>
        </w:rPr>
        <w:t>4</w:t>
      </w:r>
      <w:r>
        <w:rPr>
          <w:rFonts w:ascii="宋体" w:hAnsi="宋体" w:cs="宋体" w:eastAsia="宋体" w:hint="default"/>
          <w:spacing w:val="-5"/>
          <w:sz w:val="21"/>
          <w:szCs w:val="21"/>
        </w:rPr>
        <w:t>、根据</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29</w:t>
      </w:r>
      <w:r>
        <w:rPr>
          <w:rFonts w:ascii="宋体" w:hAnsi="宋体" w:cs="宋体" w:eastAsia="宋体" w:hint="default"/>
          <w:spacing w:val="-49"/>
          <w:sz w:val="21"/>
          <w:szCs w:val="21"/>
        </w:rPr>
        <w:t> </w:t>
      </w:r>
      <w:r>
        <w:rPr>
          <w:rFonts w:ascii="宋体" w:hAnsi="宋体" w:cs="宋体" w:eastAsia="宋体" w:hint="default"/>
          <w:sz w:val="21"/>
          <w:szCs w:val="21"/>
        </w:rPr>
        <w:t>日召开的</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pacing w:val="-3"/>
          <w:sz w:val="21"/>
          <w:szCs w:val="21"/>
        </w:rPr>
        <w:t>年第二次临时股东大会审议通过的《限制性股票激励计</w:t>
      </w:r>
      <w:r>
        <w:rPr>
          <w:rFonts w:ascii="宋体" w:hAnsi="宋体" w:cs="宋体" w:eastAsia="宋体" w:hint="default"/>
          <w:w w:val="100"/>
          <w:sz w:val="21"/>
          <w:szCs w:val="21"/>
        </w:rPr>
        <w:t> </w:t>
      </w:r>
      <w:r>
        <w:rPr>
          <w:rFonts w:ascii="宋体" w:hAnsi="宋体" w:cs="宋体" w:eastAsia="宋体" w:hint="default"/>
          <w:spacing w:val="-3"/>
          <w:w w:val="100"/>
          <w:sz w:val="21"/>
          <w:szCs w:val="21"/>
        </w:rPr>
        <w:t>划（修订稿）》及其摘要和《关于提请股东大会授权董事会办理公司限制性股票激励计划有关事项</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11"/>
          <w:w w:val="100"/>
          <w:sz w:val="21"/>
          <w:szCs w:val="21"/>
        </w:rPr>
        <w:t>的议案》，公司董事会于</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10</w:t>
      </w:r>
      <w:r>
        <w:rPr>
          <w:rFonts w:ascii="宋体" w:hAnsi="宋体" w:cs="宋体" w:eastAsia="宋体" w:hint="default"/>
          <w:spacing w:val="-54"/>
          <w:w w:val="100"/>
          <w:sz w:val="21"/>
          <w:szCs w:val="21"/>
        </w:rPr>
        <w:t> </w:t>
      </w:r>
      <w:r>
        <w:rPr>
          <w:rFonts w:ascii="宋体" w:hAnsi="宋体" w:cs="宋体" w:eastAsia="宋体" w:hint="default"/>
          <w:w w:val="100"/>
          <w:sz w:val="21"/>
          <w:szCs w:val="21"/>
        </w:rPr>
        <w:t>月向</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123</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名激励对象授予了</w:t>
      </w:r>
      <w:r>
        <w:rPr>
          <w:rFonts w:ascii="宋体" w:hAnsi="宋体" w:cs="宋体" w:eastAsia="宋体" w:hint="default"/>
          <w:spacing w:val="-52"/>
          <w:w w:val="100"/>
          <w:sz w:val="21"/>
          <w:szCs w:val="21"/>
        </w:rPr>
        <w:t> </w:t>
      </w:r>
      <w:r>
        <w:rPr>
          <w:rFonts w:ascii="宋体" w:hAnsi="宋体" w:cs="宋体" w:eastAsia="宋体" w:hint="default"/>
          <w:w w:val="100"/>
          <w:sz w:val="21"/>
          <w:szCs w:val="21"/>
        </w:rPr>
        <w:t>229</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万股限制性股票。</w:t>
      </w:r>
    </w:p>
    <w:p>
      <w:pPr>
        <w:spacing w:before="31"/>
        <w:ind w:left="0" w:right="734"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、根据</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日召开的</w:t>
      </w:r>
      <w:r>
        <w:rPr>
          <w:rFonts w:ascii="宋体" w:hAnsi="宋体" w:cs="宋体" w:eastAsia="宋体" w:hint="default"/>
          <w:spacing w:val="-40"/>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年第三次临时股东大会审议通过的《关于使用部分闲</w:t>
      </w:r>
    </w:p>
    <w:p>
      <w:pPr>
        <w:spacing w:before="117"/>
        <w:ind w:left="122" w:right="0" w:firstLine="0"/>
        <w:jc w:val="left"/>
        <w:rPr>
          <w:rFonts w:ascii="宋体" w:hAnsi="宋体" w:cs="宋体" w:eastAsia="宋体" w:hint="default"/>
          <w:sz w:val="21"/>
          <w:szCs w:val="21"/>
        </w:rPr>
      </w:pPr>
      <w:r>
        <w:rPr>
          <w:rFonts w:ascii="宋体" w:hAnsi="宋体" w:cs="宋体" w:eastAsia="宋体" w:hint="default"/>
          <w:w w:val="100"/>
          <w:sz w:val="21"/>
          <w:szCs w:val="21"/>
        </w:rPr>
        <w:t>置募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暂</w:t>
      </w:r>
      <w:r>
        <w:rPr>
          <w:rFonts w:ascii="宋体" w:hAnsi="宋体" w:cs="宋体" w:eastAsia="宋体" w:hint="default"/>
          <w:spacing w:val="-3"/>
          <w:w w:val="100"/>
          <w:sz w:val="21"/>
          <w:szCs w:val="21"/>
        </w:rPr>
        <w:t>时</w:t>
      </w:r>
      <w:r>
        <w:rPr>
          <w:rFonts w:ascii="宋体" w:hAnsi="宋体" w:cs="宋体" w:eastAsia="宋体" w:hint="default"/>
          <w:w w:val="100"/>
          <w:sz w:val="21"/>
          <w:szCs w:val="21"/>
        </w:rPr>
        <w:t>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46"/>
          <w:w w:val="100"/>
          <w:sz w:val="21"/>
          <w:szCs w:val="21"/>
        </w:rPr>
        <w: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闲</w:t>
      </w:r>
      <w:r>
        <w:rPr>
          <w:rFonts w:ascii="宋体" w:hAnsi="宋体" w:cs="宋体" w:eastAsia="宋体" w:hint="default"/>
          <w:w w:val="100"/>
          <w:sz w:val="21"/>
          <w:szCs w:val="21"/>
        </w:rPr>
        <w:t>置募</w:t>
      </w:r>
      <w:r>
        <w:rPr>
          <w:rFonts w:ascii="宋体" w:hAnsi="宋体" w:cs="宋体" w:eastAsia="宋体" w:hint="default"/>
          <w:spacing w:val="-3"/>
          <w:w w:val="100"/>
          <w:sz w:val="21"/>
          <w:szCs w:val="21"/>
        </w:rPr>
        <w:t>集资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8,0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用</w:t>
      </w:r>
      <w:r>
        <w:rPr>
          <w:rFonts w:ascii="宋体" w:hAnsi="宋体" w:cs="宋体" w:eastAsia="宋体" w:hint="default"/>
          <w:w w:val="100"/>
          <w:sz w:val="21"/>
          <w:szCs w:val="21"/>
        </w:rPr>
        <w:t>于补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期</w:t>
      </w:r>
      <w:r>
        <w:rPr>
          <w:rFonts w:ascii="宋体" w:hAnsi="宋体" w:cs="宋体" w:eastAsia="宋体" w:hint="default"/>
          <w:w w:val="100"/>
          <w:sz w:val="21"/>
          <w:szCs w:val="21"/>
        </w:rPr>
        <w:t>限</w:t>
      </w:r>
    </w:p>
    <w:p>
      <w:pPr>
        <w:spacing w:before="117"/>
        <w:ind w:left="122" w:right="0" w:firstLine="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个月，期满后将归还募集资金账户。</w:t>
      </w:r>
    </w:p>
    <w:p>
      <w:pPr>
        <w:spacing w:before="119"/>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（三）董事会审计委员会履职情况</w:t>
      </w:r>
      <w:r>
        <w:rPr>
          <w:rFonts w:ascii="宋体" w:hAnsi="宋体" w:cs="宋体" w:eastAsia="宋体" w:hint="default"/>
          <w:sz w:val="21"/>
          <w:szCs w:val="21"/>
        </w:rPr>
      </w:r>
    </w:p>
    <w:p>
      <w:pPr>
        <w:spacing w:line="355" w:lineRule="auto" w:before="133"/>
        <w:ind w:left="122" w:right="0" w:firstLine="419"/>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、审计委员会认真审议了公司编制的 </w:t>
      </w:r>
      <w:r>
        <w:rPr>
          <w:rFonts w:ascii="宋体" w:hAnsi="宋体" w:cs="宋体" w:eastAsia="宋体" w:hint="default"/>
          <w:sz w:val="21"/>
          <w:szCs w:val="21"/>
        </w:rPr>
        <w:t>2011</w:t>
      </w:r>
      <w:r>
        <w:rPr>
          <w:rFonts w:ascii="宋体" w:hAnsi="宋体" w:cs="宋体" w:eastAsia="宋体" w:hint="default"/>
          <w:spacing w:val="-70"/>
          <w:sz w:val="21"/>
          <w:szCs w:val="21"/>
        </w:rPr>
        <w:t> </w:t>
      </w:r>
      <w:r>
        <w:rPr>
          <w:rFonts w:ascii="宋体" w:hAnsi="宋体" w:cs="宋体" w:eastAsia="宋体" w:hint="default"/>
          <w:spacing w:val="-3"/>
          <w:sz w:val="21"/>
          <w:szCs w:val="21"/>
        </w:rPr>
        <w:t>年各期的财务报表，审议认为公司的财务报表符合</w:t>
      </w:r>
      <w:r>
        <w:rPr>
          <w:rFonts w:ascii="宋体" w:hAnsi="宋体" w:cs="宋体" w:eastAsia="宋体" w:hint="default"/>
          <w:w w:val="100"/>
          <w:sz w:val="21"/>
          <w:szCs w:val="21"/>
        </w:rPr>
        <w:t> </w:t>
      </w:r>
      <w:r>
        <w:rPr>
          <w:rFonts w:ascii="宋体" w:hAnsi="宋体" w:cs="宋体" w:eastAsia="宋体" w:hint="default"/>
          <w:spacing w:val="-5"/>
          <w:sz w:val="21"/>
          <w:szCs w:val="21"/>
        </w:rPr>
        <w:t>会计准则和《企业会计制度》的相关规定，能够如实反映企业的生产经营状况，财务数据准确无误，</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不存在重大遗漏或篡改财务数据的情况。</w:t>
      </w:r>
    </w:p>
    <w:p>
      <w:pPr>
        <w:spacing w:after="0" w:line="355"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122" w:right="1277"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、在中瑞岳华会计师事务所对公司 </w:t>
      </w:r>
      <w:r>
        <w:rPr>
          <w:rFonts w:ascii="宋体" w:hAnsi="宋体" w:cs="宋体" w:eastAsia="宋体" w:hint="default"/>
          <w:sz w:val="21"/>
          <w:szCs w:val="21"/>
        </w:rPr>
        <w:t>2011</w:t>
      </w:r>
      <w:r>
        <w:rPr>
          <w:rFonts w:ascii="宋体" w:hAnsi="宋体" w:cs="宋体" w:eastAsia="宋体" w:hint="default"/>
          <w:spacing w:val="-84"/>
          <w:sz w:val="21"/>
          <w:szCs w:val="21"/>
        </w:rPr>
        <w:t> </w:t>
      </w:r>
      <w:r>
        <w:rPr>
          <w:rFonts w:ascii="宋体" w:hAnsi="宋体" w:cs="宋体" w:eastAsia="宋体" w:hint="default"/>
          <w:spacing w:val="-3"/>
          <w:sz w:val="21"/>
          <w:szCs w:val="21"/>
        </w:rPr>
        <w:t>年度财务状况的审计过程中，审计委员会按照《审计</w:t>
      </w:r>
      <w:r>
        <w:rPr>
          <w:rFonts w:ascii="宋体" w:hAnsi="宋体" w:cs="宋体" w:eastAsia="宋体" w:hint="default"/>
          <w:w w:val="100"/>
          <w:sz w:val="21"/>
          <w:szCs w:val="21"/>
        </w:rPr>
        <w:t> </w:t>
      </w:r>
      <w:r>
        <w:rPr>
          <w:rFonts w:ascii="宋体" w:hAnsi="宋体" w:cs="宋体" w:eastAsia="宋体" w:hint="default"/>
          <w:spacing w:val="-3"/>
          <w:sz w:val="21"/>
          <w:szCs w:val="21"/>
        </w:rPr>
        <w:t>委员会年度财务报告审议工作规则》的要求，在审计前审阅了公司编制的财务报表，并出具了“公</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司编制的财务报表，符合会计准则的相关规定，反映了公司的财务状况，不存在重大偏差或重大遗</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漏”的审阅意见。</w:t>
      </w:r>
    </w:p>
    <w:p>
      <w:pPr>
        <w:spacing w:line="357" w:lineRule="auto" w:before="30"/>
        <w:ind w:left="122" w:right="1277"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、审计委员与会计师事务所的审计人员就审计计划和工作安排进行了沟通，确定了审计报告</w:t>
      </w:r>
      <w:r>
        <w:rPr>
          <w:rFonts w:ascii="宋体" w:hAnsi="宋体" w:cs="宋体" w:eastAsia="宋体" w:hint="default"/>
          <w:w w:val="100"/>
          <w:sz w:val="21"/>
          <w:szCs w:val="21"/>
        </w:rPr>
        <w:t> </w:t>
      </w:r>
      <w:r>
        <w:rPr>
          <w:rFonts w:ascii="宋体" w:hAnsi="宋体" w:cs="宋体" w:eastAsia="宋体" w:hint="default"/>
          <w:spacing w:val="-3"/>
          <w:sz w:val="21"/>
          <w:szCs w:val="21"/>
        </w:rPr>
        <w:t>的出具日期。在审计过程中，审计委员会根据审计计划，督促会计师事务所在约定的时间内提交审</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计报告，并在审计会计师出具初步审计意见后和董事会审议年报前，与注册会计师沟通，了解到在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审计过程中未发现重大问题。通过审阅经会计师审计的公司财务报表，审计委员会认为公司在审计</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前编制的财务报表与审计后的财务报表没有重大出入，经审计的财务报表如实反映了公司的财务状</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况。</w:t>
      </w:r>
    </w:p>
    <w:p>
      <w:pPr>
        <w:spacing w:line="357" w:lineRule="auto" w:before="31"/>
        <w:ind w:left="122" w:right="1244" w:firstLine="419"/>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、审计委员会开会表决认为，经审计的财务报表和公司财务报告符合会计准则和《企业会计</w:t>
      </w:r>
      <w:r>
        <w:rPr>
          <w:rFonts w:ascii="宋体" w:hAnsi="宋体" w:cs="宋体" w:eastAsia="宋体" w:hint="default"/>
          <w:w w:val="100"/>
          <w:sz w:val="21"/>
          <w:szCs w:val="21"/>
        </w:rPr>
        <w:t> </w:t>
      </w:r>
      <w:r>
        <w:rPr>
          <w:rFonts w:ascii="宋体" w:hAnsi="宋体" w:cs="宋体" w:eastAsia="宋体" w:hint="default"/>
          <w:spacing w:val="-3"/>
          <w:sz w:val="21"/>
          <w:szCs w:val="21"/>
        </w:rPr>
        <w:t>制度》的相关规定，能够如实反映企业的生产经营状况，财务数据准确无误，不存在重大遗漏，同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意提交董事会审议。审计委员会就审计师事务所的审计工作出具了总结报告，认为审计人员认真、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尽责的完成了年度审计工作，并向董事会提议，在 </w:t>
      </w: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年度续聘中瑞岳华会计师事务所作为我公</w:t>
      </w:r>
      <w:r>
        <w:rPr>
          <w:rFonts w:ascii="宋体" w:hAnsi="宋体" w:cs="宋体" w:eastAsia="宋体" w:hint="default"/>
          <w:w w:val="100"/>
          <w:sz w:val="21"/>
          <w:szCs w:val="21"/>
        </w:rPr>
        <w:t> </w:t>
      </w:r>
      <w:r>
        <w:rPr>
          <w:rFonts w:ascii="宋体" w:hAnsi="宋体" w:cs="宋体" w:eastAsia="宋体" w:hint="default"/>
          <w:sz w:val="21"/>
          <w:szCs w:val="21"/>
        </w:rPr>
        <w:t>司的审计机构。</w:t>
      </w:r>
    </w:p>
    <w:p>
      <w:pPr>
        <w:spacing w:line="355" w:lineRule="auto" w:before="3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（四）董事会薪酬与考核委员会履职情况</w:t>
      </w:r>
      <w:r>
        <w:rPr>
          <w:rFonts w:ascii="宋体" w:hAnsi="宋体" w:cs="宋体" w:eastAsia="宋体" w:hint="default"/>
          <w:b/>
          <w:bCs/>
          <w:w w:val="100"/>
          <w:sz w:val="21"/>
          <w:szCs w:val="21"/>
        </w:rPr>
        <w:t> </w:t>
      </w:r>
      <w:r>
        <w:rPr>
          <w:rFonts w:ascii="宋体" w:hAnsi="宋体" w:cs="宋体" w:eastAsia="宋体" w:hint="default"/>
          <w:spacing w:val="-3"/>
          <w:sz w:val="21"/>
          <w:szCs w:val="21"/>
        </w:rPr>
        <w:t>本年度薪酬委员会对公司董事、监事和高级管理人员所披露的薪酬情况进行了审核，经审核认</w:t>
      </w:r>
    </w:p>
    <w:p>
      <w:pPr>
        <w:spacing w:line="357" w:lineRule="auto" w:before="34"/>
        <w:ind w:left="122" w:right="0" w:firstLine="0"/>
        <w:jc w:val="left"/>
        <w:rPr>
          <w:rFonts w:ascii="宋体" w:hAnsi="宋体" w:cs="宋体" w:eastAsia="宋体" w:hint="default"/>
          <w:sz w:val="21"/>
          <w:szCs w:val="21"/>
        </w:rPr>
      </w:pPr>
      <w:r>
        <w:rPr>
          <w:rFonts w:ascii="宋体" w:hAnsi="宋体" w:cs="宋体" w:eastAsia="宋体" w:hint="default"/>
          <w:sz w:val="21"/>
          <w:szCs w:val="21"/>
        </w:rPr>
        <w:t>为，所披露的薪酬数据真实，公司为董事、独立董事、监事所发放的津贴</w:t>
      </w:r>
      <w:r>
        <w:rPr>
          <w:rFonts w:ascii="宋体" w:hAnsi="宋体" w:cs="宋体" w:eastAsia="宋体" w:hint="default"/>
          <w:sz w:val="21"/>
          <w:szCs w:val="21"/>
        </w:rPr>
        <w:t>,</w:t>
      </w:r>
      <w:r>
        <w:rPr>
          <w:rFonts w:ascii="宋体" w:hAnsi="宋体" w:cs="宋体" w:eastAsia="宋体" w:hint="default"/>
          <w:sz w:val="21"/>
          <w:szCs w:val="21"/>
        </w:rPr>
        <w:t>为高级管理人员所发放</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的年薪，符合董事会和股东大会的决议内容。</w:t>
      </w:r>
    </w:p>
    <w:p>
      <w:pPr>
        <w:spacing w:line="357" w:lineRule="auto" w:before="30"/>
        <w:ind w:left="122" w:right="1277" w:firstLine="419"/>
        <w:jc w:val="both"/>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7"/>
          <w:w w:val="100"/>
          <w:sz w:val="21"/>
          <w:szCs w:val="21"/>
        </w:rPr>
        <w:t> </w:t>
      </w:r>
      <w:r>
        <w:rPr>
          <w:rFonts w:ascii="宋体" w:hAnsi="宋体" w:cs="宋体" w:eastAsia="宋体" w:hint="default"/>
          <w:spacing w:val="-5"/>
          <w:w w:val="100"/>
          <w:sz w:val="21"/>
          <w:szCs w:val="21"/>
        </w:rPr>
        <w:t>年公司实施了《限制性股票激励计划》，薪酬与考核委员会在激励方案的制定过程中，认</w:t>
      </w:r>
      <w:r>
        <w:rPr>
          <w:rFonts w:ascii="宋体" w:hAnsi="宋体" w:cs="宋体" w:eastAsia="宋体" w:hint="default"/>
          <w:w w:val="100"/>
          <w:sz w:val="21"/>
          <w:szCs w:val="21"/>
        </w:rPr>
        <w:t> </w:t>
      </w:r>
      <w:r>
        <w:rPr>
          <w:rFonts w:ascii="宋体" w:hAnsi="宋体" w:cs="宋体" w:eastAsia="宋体" w:hint="default"/>
          <w:spacing w:val="-3"/>
          <w:sz w:val="21"/>
          <w:szCs w:val="21"/>
        </w:rPr>
        <w:t>真审议了相关议案，并对激励对象的合理性和实施条件的成就情况进行了审核，薪酬委员会认为公</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4"/>
          <w:w w:val="100"/>
          <w:sz w:val="21"/>
          <w:szCs w:val="21"/>
        </w:rPr>
        <w:t>司股权激励计划的实施，符合《上市公司股权激励管理办法（试行）》等法律法规的规定。</w:t>
      </w:r>
      <w:r>
        <w:rPr>
          <w:rFonts w:ascii="宋体" w:hAnsi="宋体" w:cs="宋体" w:eastAsia="宋体" w:hint="default"/>
          <w:spacing w:val="-4"/>
          <w:w w:val="100"/>
          <w:sz w:val="21"/>
          <w:szCs w:val="21"/>
        </w:rPr>
        <w:t>2011</w:t>
      </w:r>
      <w:r>
        <w:rPr>
          <w:rFonts w:ascii="宋体" w:hAnsi="宋体" w:cs="宋体" w:eastAsia="宋体" w:hint="default"/>
          <w:spacing w:val="-25"/>
          <w:w w:val="100"/>
          <w:sz w:val="21"/>
          <w:szCs w:val="21"/>
        </w:rPr>
        <w:t> </w:t>
      </w:r>
      <w:r>
        <w:rPr>
          <w:rFonts w:ascii="宋体" w:hAnsi="宋体" w:cs="宋体" w:eastAsia="宋体" w:hint="default"/>
          <w:w w:val="100"/>
          <w:sz w:val="21"/>
          <w:szCs w:val="21"/>
        </w:rPr>
        <w:t>年</w:t>
      </w:r>
      <w:r>
        <w:rPr>
          <w:rFonts w:ascii="宋体" w:hAnsi="宋体" w:cs="宋体" w:eastAsia="宋体" w:hint="default"/>
          <w:spacing w:val="-103"/>
          <w:w w:val="100"/>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月，薪酬与考核委员会经审议认为，公司已经成就限制股票的授予条件，所有授予对象</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度业绩考核结果均在合格标准以上，同意向激励对象授予限制性股票，并提交董事会审议。</w:t>
      </w:r>
    </w:p>
    <w:p>
      <w:pPr>
        <w:spacing w:before="3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（五）内幕知情人管理制度建立和执行情况</w:t>
      </w:r>
      <w:r>
        <w:rPr>
          <w:rFonts w:ascii="宋体" w:hAnsi="宋体" w:cs="宋体" w:eastAsia="宋体" w:hint="default"/>
          <w:sz w:val="21"/>
          <w:szCs w:val="21"/>
        </w:rPr>
      </w:r>
    </w:p>
    <w:p>
      <w:pPr>
        <w:spacing w:line="357" w:lineRule="auto" w:before="133"/>
        <w:ind w:left="122" w:right="1277" w:firstLine="419"/>
        <w:jc w:val="both"/>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3</w:t>
      </w:r>
      <w:r>
        <w:rPr>
          <w:rFonts w:ascii="宋体" w:hAnsi="宋体" w:cs="宋体" w:eastAsia="宋体" w:hint="default"/>
          <w:spacing w:val="-50"/>
          <w:w w:val="100"/>
          <w:sz w:val="21"/>
          <w:szCs w:val="21"/>
        </w:rPr>
        <w:t> </w:t>
      </w:r>
      <w:r>
        <w:rPr>
          <w:rFonts w:ascii="宋体" w:hAnsi="宋体" w:cs="宋体" w:eastAsia="宋体" w:hint="default"/>
          <w:spacing w:val="-6"/>
          <w:w w:val="100"/>
          <w:sz w:val="21"/>
          <w:szCs w:val="21"/>
        </w:rPr>
        <w:t>月制定了《内幕信息知情人管理制度》，界定了内幕信息的范围、内幕信息知</w:t>
      </w:r>
      <w:r>
        <w:rPr>
          <w:rFonts w:ascii="宋体" w:hAnsi="宋体" w:cs="宋体" w:eastAsia="宋体" w:hint="default"/>
          <w:w w:val="100"/>
          <w:sz w:val="21"/>
          <w:szCs w:val="21"/>
        </w:rPr>
        <w:t> </w:t>
      </w:r>
      <w:r>
        <w:rPr>
          <w:rFonts w:ascii="宋体" w:hAnsi="宋体" w:cs="宋体" w:eastAsia="宋体" w:hint="default"/>
          <w:spacing w:val="-3"/>
          <w:sz w:val="21"/>
          <w:szCs w:val="21"/>
        </w:rPr>
        <w:t>情人的范围和相关管理制度，并将内幕知情人名单向山东证监局备案。报告期内，公司未发生内幕</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信息知情人在影响公司股价的重大敏感信息披露前利用内幕信息买卖公司股份的情况，也不存在监</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8"/>
          <w:w w:val="100"/>
          <w:sz w:val="21"/>
          <w:szCs w:val="21"/>
        </w:rPr>
        <w:t>管部门的查处和整改情况。公司董事会于</w:t>
      </w:r>
      <w:r>
        <w:rPr>
          <w:rFonts w:ascii="宋体" w:hAnsi="宋体" w:cs="宋体" w:eastAsia="宋体" w:hint="default"/>
          <w:spacing w:val="-56"/>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宋体" w:hAnsi="宋体" w:cs="宋体" w:eastAsia="宋体" w:hint="default"/>
          <w:w w:val="100"/>
          <w:sz w:val="21"/>
          <w:szCs w:val="21"/>
        </w:rPr>
        <w:t>28</w:t>
      </w:r>
      <w:r>
        <w:rPr>
          <w:rFonts w:ascii="宋体" w:hAnsi="宋体" w:cs="宋体" w:eastAsia="宋体" w:hint="default"/>
          <w:spacing w:val="-53"/>
          <w:w w:val="100"/>
          <w:sz w:val="21"/>
          <w:szCs w:val="21"/>
        </w:rPr>
        <w:t> </w:t>
      </w:r>
      <w:r>
        <w:rPr>
          <w:rFonts w:ascii="宋体" w:hAnsi="宋体" w:cs="宋体" w:eastAsia="宋体" w:hint="default"/>
          <w:spacing w:val="-18"/>
          <w:w w:val="100"/>
          <w:sz w:val="21"/>
          <w:szCs w:val="21"/>
        </w:rPr>
        <w:t>日审议修订了《内幕信息知情人管理制度》。</w:t>
      </w:r>
      <w:r>
        <w:rPr>
          <w:rFonts w:ascii="宋体" w:hAnsi="宋体" w:cs="宋体" w:eastAsia="宋体" w:hint="default"/>
          <w:w w:val="100"/>
          <w:sz w:val="21"/>
          <w:szCs w:val="21"/>
        </w:rPr>
      </w:r>
    </w:p>
    <w:p>
      <w:pPr>
        <w:spacing w:before="3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（六）外部信息使用人管理制度建立和执行情况</w:t>
      </w:r>
      <w:r>
        <w:rPr>
          <w:rFonts w:ascii="宋体" w:hAnsi="宋体" w:cs="宋体" w:eastAsia="宋体" w:hint="default"/>
          <w:sz w:val="21"/>
          <w:szCs w:val="21"/>
        </w:rPr>
      </w:r>
    </w:p>
    <w:p>
      <w:pPr>
        <w:spacing w:line="357" w:lineRule="auto" w:before="133"/>
        <w:ind w:left="122" w:right="1174" w:firstLine="419"/>
        <w:jc w:val="both"/>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2</w:t>
      </w:r>
      <w:r>
        <w:rPr>
          <w:rFonts w:ascii="宋体" w:hAnsi="宋体" w:cs="宋体" w:eastAsia="宋体" w:hint="default"/>
          <w:spacing w:val="-51"/>
          <w:w w:val="100"/>
          <w:sz w:val="21"/>
          <w:szCs w:val="21"/>
        </w:rPr>
        <w:t> </w:t>
      </w:r>
      <w:r>
        <w:rPr>
          <w:rFonts w:ascii="宋体" w:hAnsi="宋体" w:cs="宋体" w:eastAsia="宋体" w:hint="default"/>
          <w:spacing w:val="-5"/>
          <w:w w:val="100"/>
          <w:sz w:val="21"/>
          <w:szCs w:val="21"/>
        </w:rPr>
        <w:t>月制定了《外部信息报送和使用管理制度》，该制度对外部信息的使用范围、</w:t>
      </w:r>
      <w:r>
        <w:rPr>
          <w:rFonts w:ascii="宋体" w:hAnsi="宋体" w:cs="宋体" w:eastAsia="宋体" w:hint="default"/>
          <w:w w:val="100"/>
          <w:sz w:val="21"/>
          <w:szCs w:val="21"/>
        </w:rPr>
        <w:t> </w:t>
      </w:r>
      <w:r>
        <w:rPr>
          <w:rFonts w:ascii="宋体" w:hAnsi="宋体" w:cs="宋体" w:eastAsia="宋体" w:hint="default"/>
          <w:spacing w:val="-5"/>
          <w:sz w:val="21"/>
          <w:szCs w:val="21"/>
        </w:rPr>
        <w:t>控制流程及保密义务做了规定。报告期内，公司未发生因外部信息使用不当造成的信息泄露等事项。</w:t>
      </w:r>
    </w:p>
    <w:p>
      <w:pPr>
        <w:spacing w:after="0" w:line="357"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四、利润分配</w:t>
      </w:r>
      <w:r>
        <w:rPr>
          <w:rFonts w:ascii="宋体" w:hAnsi="宋体" w:cs="宋体" w:eastAsia="宋体" w:hint="default"/>
          <w:sz w:val="21"/>
          <w:szCs w:val="21"/>
        </w:rPr>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年度利润分配预案</w:t>
      </w:r>
    </w:p>
    <w:p>
      <w:pPr>
        <w:spacing w:line="357" w:lineRule="auto" w:before="133"/>
        <w:ind w:left="122" w:right="1275" w:firstLine="419"/>
        <w:jc w:val="left"/>
        <w:rPr>
          <w:rFonts w:ascii="宋体" w:hAnsi="宋体" w:cs="宋体" w:eastAsia="宋体" w:hint="default"/>
          <w:sz w:val="21"/>
          <w:szCs w:val="21"/>
        </w:rPr>
      </w:pPr>
      <w:r>
        <w:rPr>
          <w:rFonts w:ascii="宋体" w:hAnsi="宋体" w:cs="宋体" w:eastAsia="宋体" w:hint="default"/>
          <w:spacing w:val="-3"/>
          <w:sz w:val="21"/>
          <w:szCs w:val="21"/>
        </w:rPr>
        <w:t>根据北京中瑞岳华会计师事务所出具的审计报告，</w:t>
      </w:r>
      <w:r>
        <w:rPr>
          <w:rFonts w:ascii="宋体" w:hAnsi="宋体" w:cs="宋体" w:eastAsia="宋体" w:hint="default"/>
          <w:spacing w:val="-3"/>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年度母公司实现净利润</w:t>
      </w:r>
      <w:r>
        <w:rPr>
          <w:rFonts w:ascii="宋体" w:hAnsi="宋体" w:cs="宋体" w:eastAsia="宋体" w:hint="default"/>
          <w:spacing w:val="-41"/>
          <w:sz w:val="21"/>
          <w:szCs w:val="21"/>
        </w:rPr>
        <w:t> </w:t>
      </w:r>
      <w:r>
        <w:rPr>
          <w:rFonts w:ascii="宋体" w:hAnsi="宋体" w:cs="宋体" w:eastAsia="宋体" w:hint="default"/>
          <w:sz w:val="21"/>
          <w:szCs w:val="21"/>
        </w:rPr>
        <w:t>8,027</w:t>
      </w:r>
      <w:r>
        <w:rPr>
          <w:rFonts w:ascii="宋体" w:hAnsi="宋体" w:cs="宋体" w:eastAsia="宋体" w:hint="default"/>
          <w:spacing w:val="-42"/>
          <w:sz w:val="21"/>
          <w:szCs w:val="21"/>
        </w:rPr>
        <w:t> </w:t>
      </w:r>
      <w:r>
        <w:rPr>
          <w:rFonts w:ascii="宋体" w:hAnsi="宋体" w:cs="宋体" w:eastAsia="宋体" w:hint="default"/>
          <w:spacing w:val="-13"/>
          <w:sz w:val="21"/>
          <w:szCs w:val="21"/>
        </w:rPr>
        <w:t>万元，按</w:t>
      </w:r>
      <w:r>
        <w:rPr>
          <w:rFonts w:ascii="宋体" w:hAnsi="宋体" w:cs="宋体" w:eastAsia="宋体" w:hint="default"/>
          <w:w w:val="100"/>
          <w:sz w:val="21"/>
          <w:szCs w:val="21"/>
        </w:rPr>
        <w:t> </w:t>
      </w:r>
      <w:r>
        <w:rPr>
          <w:rFonts w:ascii="宋体" w:hAnsi="宋体" w:cs="宋体" w:eastAsia="宋体" w:hint="default"/>
          <w:sz w:val="21"/>
          <w:szCs w:val="21"/>
        </w:rPr>
        <w:t>10%</w:t>
      </w:r>
      <w:r>
        <w:rPr>
          <w:rFonts w:ascii="宋体" w:hAnsi="宋体" w:cs="宋体" w:eastAsia="宋体" w:hint="default"/>
          <w:sz w:val="21"/>
          <w:szCs w:val="21"/>
        </w:rPr>
        <w:t>提取法定盈余公积后，当年可供股东分配的利润为 </w:t>
      </w:r>
      <w:r>
        <w:rPr>
          <w:rFonts w:ascii="宋体" w:hAnsi="宋体" w:cs="宋体" w:eastAsia="宋体" w:hint="default"/>
          <w:sz w:val="21"/>
          <w:szCs w:val="21"/>
        </w:rPr>
        <w:t>7,224</w:t>
      </w:r>
      <w:r>
        <w:rPr>
          <w:rFonts w:ascii="宋体" w:hAnsi="宋体" w:cs="宋体" w:eastAsia="宋体" w:hint="default"/>
          <w:spacing w:val="-41"/>
          <w:sz w:val="21"/>
          <w:szCs w:val="21"/>
        </w:rPr>
        <w:t> </w:t>
      </w:r>
      <w:r>
        <w:rPr>
          <w:rFonts w:ascii="宋体" w:hAnsi="宋体" w:cs="宋体" w:eastAsia="宋体" w:hint="default"/>
          <w:sz w:val="21"/>
          <w:szCs w:val="21"/>
        </w:rPr>
        <w:t>万元，以前年度滚存的可供股东分配</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的利润为</w:t>
      </w:r>
      <w:r>
        <w:rPr>
          <w:rFonts w:ascii="宋体" w:hAnsi="宋体" w:cs="宋体" w:eastAsia="宋体" w:hint="default"/>
          <w:spacing w:val="-55"/>
          <w:sz w:val="21"/>
          <w:szCs w:val="21"/>
        </w:rPr>
        <w:t> </w:t>
      </w:r>
      <w:r>
        <w:rPr>
          <w:rFonts w:ascii="宋体" w:hAnsi="宋体" w:cs="宋体" w:eastAsia="宋体" w:hint="default"/>
          <w:sz w:val="21"/>
          <w:szCs w:val="21"/>
        </w:rPr>
        <w:t>10,858</w:t>
      </w:r>
      <w:r>
        <w:rPr>
          <w:rFonts w:ascii="宋体" w:hAnsi="宋体" w:cs="宋体" w:eastAsia="宋体" w:hint="default"/>
          <w:spacing w:val="-55"/>
          <w:sz w:val="21"/>
          <w:szCs w:val="21"/>
        </w:rPr>
        <w:t> </w:t>
      </w:r>
      <w:r>
        <w:rPr>
          <w:rFonts w:ascii="宋体" w:hAnsi="宋体" w:cs="宋体" w:eastAsia="宋体" w:hint="default"/>
          <w:sz w:val="21"/>
          <w:szCs w:val="21"/>
        </w:rPr>
        <w:t>万元，公司目前可供股东分配的利润为</w:t>
      </w:r>
      <w:r>
        <w:rPr>
          <w:rFonts w:ascii="宋体" w:hAnsi="宋体" w:cs="宋体" w:eastAsia="宋体" w:hint="default"/>
          <w:spacing w:val="-54"/>
          <w:sz w:val="21"/>
          <w:szCs w:val="21"/>
        </w:rPr>
        <w:t> </w:t>
      </w:r>
      <w:r>
        <w:rPr>
          <w:rFonts w:ascii="宋体" w:hAnsi="宋体" w:cs="宋体" w:eastAsia="宋体" w:hint="default"/>
          <w:sz w:val="21"/>
          <w:szCs w:val="21"/>
        </w:rPr>
        <w:t>18,082</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355" w:lineRule="auto" w:before="133"/>
        <w:ind w:left="542" w:right="4494" w:hanging="420"/>
        <w:jc w:val="left"/>
        <w:rPr>
          <w:rFonts w:ascii="宋体" w:hAnsi="宋体" w:cs="宋体" w:eastAsia="宋体" w:hint="default"/>
          <w:sz w:val="21"/>
          <w:szCs w:val="21"/>
        </w:rPr>
      </w:pPr>
      <w:r>
        <w:rPr>
          <w:rFonts w:ascii="宋体" w:hAnsi="宋体" w:cs="宋体" w:eastAsia="宋体" w:hint="default"/>
          <w:sz w:val="21"/>
          <w:szCs w:val="21"/>
        </w:rPr>
        <w:t>根据公司生产经营的需要，建议</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年度利润分配预案如下：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、按净利润的</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％提取任意盈余公积</w:t>
      </w:r>
      <w:r>
        <w:rPr>
          <w:rFonts w:ascii="宋体" w:hAnsi="宋体" w:cs="宋体" w:eastAsia="宋体" w:hint="default"/>
          <w:spacing w:val="-52"/>
          <w:sz w:val="21"/>
          <w:szCs w:val="21"/>
        </w:rPr>
        <w:t> </w:t>
      </w:r>
      <w:r>
        <w:rPr>
          <w:rFonts w:ascii="宋体" w:hAnsi="宋体" w:cs="宋体" w:eastAsia="宋体" w:hint="default"/>
          <w:sz w:val="21"/>
          <w:szCs w:val="21"/>
        </w:rPr>
        <w:t>401</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34"/>
        <w:ind w:left="542" w:right="0" w:firstLine="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、按</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年末公司总股本</w:t>
      </w:r>
      <w:r>
        <w:rPr>
          <w:rFonts w:ascii="宋体" w:hAnsi="宋体" w:cs="宋体" w:eastAsia="宋体" w:hint="default"/>
          <w:spacing w:val="-50"/>
          <w:sz w:val="21"/>
          <w:szCs w:val="21"/>
        </w:rPr>
        <w:t> </w:t>
      </w:r>
      <w:r>
        <w:rPr>
          <w:rFonts w:ascii="宋体" w:hAnsi="宋体" w:cs="宋体" w:eastAsia="宋体" w:hint="default"/>
          <w:sz w:val="21"/>
          <w:szCs w:val="21"/>
        </w:rPr>
        <w:t>126,414,172</w:t>
      </w:r>
      <w:r>
        <w:rPr>
          <w:rFonts w:ascii="宋体" w:hAnsi="宋体" w:cs="宋体" w:eastAsia="宋体" w:hint="default"/>
          <w:spacing w:val="-53"/>
          <w:sz w:val="21"/>
          <w:szCs w:val="21"/>
        </w:rPr>
        <w:t> </w:t>
      </w:r>
      <w:r>
        <w:rPr>
          <w:rFonts w:ascii="宋体" w:hAnsi="宋体" w:cs="宋体" w:eastAsia="宋体" w:hint="default"/>
          <w:spacing w:val="-3"/>
          <w:sz w:val="21"/>
          <w:szCs w:val="21"/>
        </w:rPr>
        <w:t>股为基数，向全体股东每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股派发现金股利</w:t>
      </w:r>
      <w:r>
        <w:rPr>
          <w:rFonts w:ascii="宋体" w:hAnsi="宋体" w:cs="宋体" w:eastAsia="宋体" w:hint="default"/>
          <w:spacing w:val="-50"/>
          <w:sz w:val="21"/>
          <w:szCs w:val="21"/>
        </w:rPr>
        <w:t> </w:t>
      </w: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before="133"/>
        <w:ind w:left="122"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1"/>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金股</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0</w:t>
      </w:r>
      <w:r>
        <w:rPr>
          <w:rFonts w:ascii="宋体" w:hAnsi="宋体" w:cs="宋体" w:eastAsia="宋体" w:hint="default"/>
          <w:w w:val="100"/>
          <w:sz w:val="21"/>
          <w:szCs w:val="21"/>
        </w:rPr>
        <w:t>56.</w:t>
      </w:r>
      <w:r>
        <w:rPr>
          <w:rFonts w:ascii="宋体" w:hAnsi="宋体" w:cs="宋体" w:eastAsia="宋体" w:hint="default"/>
          <w:spacing w:val="-3"/>
          <w:w w:val="100"/>
          <w:sz w:val="21"/>
          <w:szCs w:val="21"/>
        </w:rPr>
        <w:t>5</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时进</w:t>
      </w:r>
      <w:r>
        <w:rPr>
          <w:rFonts w:ascii="宋体" w:hAnsi="宋体" w:cs="宋体" w:eastAsia="宋体" w:hint="default"/>
          <w:w w:val="100"/>
          <w:sz w:val="21"/>
          <w:szCs w:val="21"/>
        </w:rPr>
        <w:t>行资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3"/>
          <w:w w:val="100"/>
          <w:sz w:val="21"/>
          <w:szCs w:val="21"/>
        </w:rPr>
        <w:t>，</w:t>
      </w: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p>
    <w:p>
      <w:pPr>
        <w:spacing w:line="357" w:lineRule="auto" w:before="133"/>
        <w:ind w:left="545" w:right="0" w:hanging="423"/>
        <w:jc w:val="left"/>
        <w:rPr>
          <w:rFonts w:ascii="宋体" w:hAnsi="宋体" w:cs="宋体" w:eastAsia="宋体" w:hint="default"/>
          <w:sz w:val="21"/>
          <w:szCs w:val="21"/>
        </w:rPr>
      </w:pPr>
      <w:r>
        <w:rPr>
          <w:rFonts w:ascii="宋体" w:hAnsi="宋体" w:cs="宋体" w:eastAsia="宋体" w:hint="default"/>
          <w:sz w:val="21"/>
          <w:szCs w:val="21"/>
        </w:rPr>
        <w:t>共计转增</w:t>
      </w:r>
      <w:r>
        <w:rPr>
          <w:rFonts w:ascii="宋体" w:hAnsi="宋体" w:cs="宋体" w:eastAsia="宋体" w:hint="default"/>
          <w:spacing w:val="-53"/>
          <w:sz w:val="21"/>
          <w:szCs w:val="21"/>
        </w:rPr>
        <w:t> </w:t>
      </w:r>
      <w:r>
        <w:rPr>
          <w:rFonts w:ascii="宋体" w:hAnsi="宋体" w:cs="宋体" w:eastAsia="宋体" w:hint="default"/>
          <w:sz w:val="21"/>
          <w:szCs w:val="21"/>
        </w:rPr>
        <w:t>126,414,172</w:t>
      </w:r>
      <w:r>
        <w:rPr>
          <w:rFonts w:ascii="宋体" w:hAnsi="宋体" w:cs="宋体" w:eastAsia="宋体" w:hint="default"/>
          <w:spacing w:val="-53"/>
          <w:sz w:val="21"/>
          <w:szCs w:val="21"/>
        </w:rPr>
        <w:t> </w:t>
      </w:r>
      <w:r>
        <w:rPr>
          <w:rFonts w:ascii="宋体" w:hAnsi="宋体" w:cs="宋体" w:eastAsia="宋体" w:hint="default"/>
          <w:sz w:val="21"/>
          <w:szCs w:val="21"/>
        </w:rPr>
        <w:t>股，转增后公司总股本增至</w:t>
      </w:r>
      <w:r>
        <w:rPr>
          <w:rFonts w:ascii="宋体" w:hAnsi="宋体" w:cs="宋体" w:eastAsia="宋体" w:hint="default"/>
          <w:spacing w:val="-55"/>
          <w:sz w:val="21"/>
          <w:szCs w:val="21"/>
        </w:rPr>
        <w:t> </w:t>
      </w:r>
      <w:r>
        <w:rPr>
          <w:rFonts w:ascii="宋体" w:hAnsi="宋体" w:cs="宋体" w:eastAsia="宋体" w:hint="default"/>
          <w:sz w:val="21"/>
          <w:szCs w:val="21"/>
        </w:rPr>
        <w:t>252,828,344</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pacing w:val="-3"/>
          <w:w w:val="100"/>
          <w:sz w:val="21"/>
          <w:szCs w:val="21"/>
        </w:rPr>
        <w:t> </w:t>
      </w:r>
      <w:r>
        <w:rPr>
          <w:rFonts w:ascii="宋体" w:hAnsi="宋体" w:cs="宋体" w:eastAsia="宋体" w:hint="default"/>
          <w:spacing w:val="-3"/>
          <w:sz w:val="21"/>
          <w:szCs w:val="21"/>
        </w:rPr>
        <w:t>该利润方案，符合公司章程的规定，审议程序合法有效，不存在侵犯中小投资者利益、报告期</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内盈利但未提出现金分配预案等情形，因此独立董事未就此事项单独出具意见。</w:t>
      </w:r>
    </w:p>
    <w:p>
      <w:pPr>
        <w:spacing w:before="135"/>
        <w:ind w:left="122" w:right="0" w:firstLine="0"/>
        <w:jc w:val="left"/>
        <w:rPr>
          <w:rFonts w:ascii="宋体" w:hAnsi="宋体" w:cs="宋体" w:eastAsia="宋体" w:hint="default"/>
          <w:sz w:val="21"/>
          <w:szCs w:val="21"/>
        </w:rPr>
      </w:pPr>
      <w:r>
        <w:rPr>
          <w:rFonts w:ascii="宋体" w:hAnsi="宋体" w:cs="宋体" w:eastAsia="宋体" w:hint="default"/>
          <w:sz w:val="21"/>
          <w:szCs w:val="21"/>
        </w:rPr>
        <w:t>（二）公司近三年现金利润分配情况</w:t>
      </w:r>
    </w:p>
    <w:p>
      <w:pPr>
        <w:spacing w:before="133"/>
        <w:ind w:left="0" w:right="1279"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324" w:type="dxa"/>
        <w:tblLayout w:type="fixed"/>
        <w:tblCellMar>
          <w:top w:w="0" w:type="dxa"/>
          <w:left w:w="0" w:type="dxa"/>
          <w:bottom w:w="0" w:type="dxa"/>
          <w:right w:w="0" w:type="dxa"/>
        </w:tblCellMar>
        <w:tblLook w:val="01E0"/>
      </w:tblPr>
      <w:tblGrid>
        <w:gridCol w:w="919"/>
        <w:gridCol w:w="2336"/>
        <w:gridCol w:w="2470"/>
        <w:gridCol w:w="2861"/>
      </w:tblGrid>
      <w:tr>
        <w:trPr>
          <w:trHeight w:val="122" w:hRule="exact"/>
        </w:trPr>
        <w:tc>
          <w:tcPr>
            <w:tcW w:w="919" w:type="dxa"/>
            <w:tcBorders>
              <w:top w:val="single" w:sz="4" w:space="0" w:color="000000"/>
              <w:left w:val="single" w:sz="4" w:space="0" w:color="000000"/>
              <w:bottom w:val="nil" w:sz="6" w:space="0" w:color="auto"/>
              <w:right w:val="single" w:sz="4" w:space="0" w:color="000000"/>
            </w:tcBorders>
            <w:shd w:val="clear" w:color="auto" w:fill="DCDCDC"/>
          </w:tcPr>
          <w:p>
            <w:pPr/>
          </w:p>
        </w:tc>
        <w:tc>
          <w:tcPr>
            <w:tcW w:w="2336" w:type="dxa"/>
            <w:tcBorders>
              <w:top w:val="single" w:sz="4" w:space="0" w:color="000000"/>
              <w:left w:val="single" w:sz="4" w:space="0" w:color="000000"/>
              <w:bottom w:val="nil" w:sz="6" w:space="0" w:color="auto"/>
              <w:right w:val="single" w:sz="4" w:space="0" w:color="000000"/>
            </w:tcBorders>
            <w:shd w:val="clear" w:color="auto" w:fill="DCDCDC"/>
          </w:tcPr>
          <w:p>
            <w:pPr/>
          </w:p>
        </w:tc>
        <w:tc>
          <w:tcPr>
            <w:tcW w:w="247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合并报表中归属于母公司所有</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者的净利润</w:t>
            </w:r>
          </w:p>
        </w:tc>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占合并报表中归属于母公司所有者</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的净利润的比率</w:t>
            </w:r>
          </w:p>
        </w:tc>
      </w:tr>
      <w:tr>
        <w:trPr>
          <w:trHeight w:val="355" w:hRule="exact"/>
        </w:trPr>
        <w:tc>
          <w:tcPr>
            <w:tcW w:w="919" w:type="dxa"/>
            <w:tcBorders>
              <w:top w:val="nil" w:sz="6" w:space="0" w:color="auto"/>
              <w:left w:val="single" w:sz="4" w:space="0" w:color="000000"/>
              <w:bottom w:val="single" w:sz="4" w:space="0" w:color="000000"/>
              <w:right w:val="single" w:sz="4" w:space="0" w:color="000000"/>
            </w:tcBorders>
            <w:shd w:val="clear" w:color="auto" w:fill="DCDCDC"/>
          </w:tcPr>
          <w:p>
            <w:pPr/>
          </w:p>
        </w:tc>
        <w:tc>
          <w:tcPr>
            <w:tcW w:w="233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70" w:type="dxa"/>
            <w:vMerge/>
            <w:tcBorders>
              <w:left w:val="single" w:sz="4" w:space="0" w:color="000000"/>
              <w:bottom w:val="single" w:sz="4" w:space="0" w:color="000000"/>
              <w:right w:val="single" w:sz="4" w:space="0" w:color="000000"/>
            </w:tcBorders>
            <w:shd w:val="clear" w:color="auto" w:fill="DCDCDC"/>
          </w:tcPr>
          <w:p>
            <w:pPr/>
          </w:p>
        </w:tc>
        <w:tc>
          <w:tcPr>
            <w:tcW w:w="2861" w:type="dxa"/>
            <w:vMerge/>
            <w:tcBorders>
              <w:left w:val="single" w:sz="4" w:space="0" w:color="000000"/>
              <w:bottom w:val="single" w:sz="4" w:space="0" w:color="000000"/>
              <w:right w:val="single" w:sz="4" w:space="0" w:color="000000"/>
            </w:tcBorders>
            <w:shd w:val="clear" w:color="auto" w:fill="DCDCDC"/>
          </w:tcPr>
          <w:p>
            <w:pPr/>
          </w:p>
        </w:tc>
      </w:tr>
      <w:tr>
        <w:trPr>
          <w:trHeight w:val="242" w:hRule="exact"/>
        </w:trPr>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36" w:type="dxa"/>
            <w:tcBorders>
              <w:top w:val="single" w:sz="47" w:space="0" w:color="DCDCDC"/>
              <w:left w:val="single" w:sz="13" w:space="0" w:color="DCDCDC"/>
              <w:bottom w:val="single" w:sz="4" w:space="0" w:color="000000"/>
              <w:right w:val="single" w:sz="4" w:space="0" w:color="000000"/>
            </w:tcBorders>
          </w:tcPr>
          <w:p>
            <w:pPr>
              <w:pStyle w:val="TableParagraph"/>
              <w:spacing w:line="163" w:lineRule="exact"/>
              <w:ind w:right="22"/>
              <w:jc w:val="right"/>
              <w:rPr>
                <w:rFonts w:ascii="Times New Roman" w:hAnsi="Times New Roman" w:cs="Times New Roman" w:eastAsia="Times New Roman" w:hint="default"/>
                <w:sz w:val="18"/>
                <w:szCs w:val="18"/>
              </w:rPr>
            </w:pPr>
            <w:r>
              <w:rPr>
                <w:rFonts w:ascii="Times New Roman"/>
                <w:spacing w:val="-1"/>
                <w:sz w:val="18"/>
              </w:rPr>
              <w:t>50,565,668.80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86,964,360.30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58.15%</w:t>
            </w:r>
          </w:p>
        </w:tc>
      </w:tr>
      <w:tr>
        <w:trPr>
          <w:trHeight w:val="245" w:hRule="exact"/>
        </w:trPr>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24,824,834.40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79,194,442.06</w:t>
            </w:r>
            <w:r>
              <w:rPr>
                <w:rFonts w:ascii="Times New Roman"/>
                <w:sz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31.35</w:t>
            </w:r>
            <w:r>
              <w:rPr>
                <w:rFonts w:ascii="宋体" w:hAnsi="宋体" w:cs="宋体" w:eastAsia="宋体" w:hint="default"/>
                <w:sz w:val="18"/>
                <w:szCs w:val="18"/>
              </w:rPr>
              <w:t>％</w:t>
            </w:r>
          </w:p>
        </w:tc>
      </w:tr>
      <w:tr>
        <w:trPr>
          <w:trHeight w:val="242" w:hRule="exact"/>
        </w:trPr>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74,026,819.95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44.58%</w:t>
            </w:r>
          </w:p>
        </w:tc>
      </w:tr>
    </w:tbl>
    <w:p>
      <w:pPr>
        <w:spacing w:line="240" w:lineRule="auto" w:before="13"/>
        <w:rPr>
          <w:rFonts w:ascii="宋体" w:hAnsi="宋体" w:cs="宋体" w:eastAsia="宋体" w:hint="default"/>
          <w:sz w:val="25"/>
          <w:szCs w:val="25"/>
        </w:rPr>
      </w:pPr>
    </w:p>
    <w:p>
      <w:pPr>
        <w:spacing w:line="357" w:lineRule="auto" w:before="36"/>
        <w:ind w:left="542" w:right="6628" w:hanging="420"/>
        <w:jc w:val="left"/>
        <w:rPr>
          <w:rFonts w:ascii="宋体" w:hAnsi="宋体" w:cs="宋体" w:eastAsia="宋体" w:hint="default"/>
          <w:sz w:val="21"/>
          <w:szCs w:val="21"/>
        </w:rPr>
      </w:pPr>
      <w:r>
        <w:rPr>
          <w:rFonts w:ascii="宋体" w:hAnsi="宋体" w:cs="宋体" w:eastAsia="宋体" w:hint="default"/>
          <w:b/>
          <w:bCs/>
          <w:sz w:val="21"/>
          <w:szCs w:val="21"/>
        </w:rPr>
        <w:t>五、其它需要披露的事项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、公司投资者关系管理</w:t>
      </w:r>
    </w:p>
    <w:p>
      <w:pPr>
        <w:spacing w:line="333" w:lineRule="auto" w:before="30"/>
        <w:ind w:left="122" w:right="0" w:firstLine="419"/>
        <w:jc w:val="left"/>
        <w:rPr>
          <w:rFonts w:ascii="宋体" w:hAnsi="宋体" w:cs="宋体" w:eastAsia="宋体" w:hint="default"/>
          <w:sz w:val="21"/>
          <w:szCs w:val="21"/>
        </w:rPr>
      </w:pPr>
      <w:r>
        <w:rPr>
          <w:rFonts w:ascii="宋体" w:hAnsi="宋体" w:cs="宋体" w:eastAsia="宋体" w:hint="default"/>
          <w:spacing w:val="-3"/>
          <w:sz w:val="21"/>
          <w:szCs w:val="21"/>
        </w:rPr>
        <w:t>公司董事会秘书齐利国先生为投资者关系管理负责人，公司证券事务办公室负责投资者关系管</w:t>
      </w:r>
      <w:r>
        <w:rPr>
          <w:rFonts w:ascii="宋体" w:hAnsi="宋体" w:cs="宋体" w:eastAsia="宋体" w:hint="default"/>
          <w:w w:val="100"/>
          <w:sz w:val="21"/>
          <w:szCs w:val="21"/>
        </w:rPr>
        <w:t> </w:t>
      </w:r>
      <w:r>
        <w:rPr>
          <w:rFonts w:ascii="宋体" w:hAnsi="宋体" w:cs="宋体" w:eastAsia="宋体" w:hint="default"/>
          <w:sz w:val="21"/>
          <w:szCs w:val="21"/>
        </w:rPr>
        <w:t>理的日常事务。</w:t>
      </w:r>
    </w:p>
    <w:p>
      <w:pPr>
        <w:spacing w:line="333" w:lineRule="auto" w:before="25"/>
        <w:ind w:left="122" w:right="0" w:firstLine="479"/>
        <w:jc w:val="left"/>
        <w:rPr>
          <w:rFonts w:ascii="宋体" w:hAnsi="宋体" w:cs="宋体" w:eastAsia="宋体" w:hint="default"/>
          <w:sz w:val="21"/>
          <w:szCs w:val="21"/>
        </w:rPr>
      </w:pPr>
      <w:r>
        <w:rPr>
          <w:rFonts w:ascii="宋体" w:hAnsi="宋体" w:cs="宋体" w:eastAsia="宋体" w:hint="default"/>
          <w:spacing w:val="-4"/>
          <w:sz w:val="21"/>
          <w:szCs w:val="21"/>
        </w:rPr>
        <w:t>公司重视投资者关系管理，积极接待投资者、新闻媒体的咨询和来访，加强同投资者和新闻媒</w:t>
      </w:r>
      <w:r>
        <w:rPr>
          <w:rFonts w:ascii="宋体" w:hAnsi="宋体" w:cs="宋体" w:eastAsia="宋体" w:hint="default"/>
          <w:w w:val="100"/>
          <w:sz w:val="21"/>
          <w:szCs w:val="21"/>
        </w:rPr>
        <w:t> </w:t>
      </w:r>
      <w:r>
        <w:rPr>
          <w:rFonts w:ascii="宋体" w:hAnsi="宋体" w:cs="宋体" w:eastAsia="宋体" w:hint="default"/>
          <w:sz w:val="21"/>
          <w:szCs w:val="21"/>
        </w:rPr>
        <w:t>体的交流和沟通，及时准确完整披露应该披露的信息。</w:t>
      </w:r>
    </w:p>
    <w:p>
      <w:pPr>
        <w:spacing w:line="336" w:lineRule="auto" w:before="18"/>
        <w:ind w:left="122" w:right="0" w:firstLine="47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、公司指定《证券时报》和巨潮网（</w:t>
      </w:r>
      <w:r>
        <w:rPr>
          <w:rFonts w:ascii="宋体" w:hAnsi="宋体" w:cs="宋体" w:eastAsia="宋体" w:hint="default"/>
          <w:color w:val="0000FF"/>
          <w:sz w:val="24"/>
          <w:szCs w:val="24"/>
        </w:rPr>
      </w:r>
      <w:hyperlink r:id="rId13">
        <w:r>
          <w:rPr>
            <w:rFonts w:ascii="宋体" w:hAnsi="宋体" w:cs="宋体" w:eastAsia="宋体" w:hint="default"/>
            <w:color w:val="0000FF"/>
            <w:sz w:val="24"/>
            <w:szCs w:val="24"/>
            <w:u w:val="single" w:color="0000FF"/>
          </w:rPr>
          <w:t>http://www.cninfo.com.cn</w:t>
        </w:r>
        <w:r>
          <w:rPr>
            <w:rFonts w:ascii="宋体" w:hAnsi="宋体" w:cs="宋体" w:eastAsia="宋体" w:hint="default"/>
            <w:color w:val="0000FF"/>
            <w:sz w:val="24"/>
            <w:szCs w:val="24"/>
          </w:rPr>
        </w:r>
      </w:hyperlink>
      <w:r>
        <w:rPr>
          <w:rFonts w:ascii="宋体" w:hAnsi="宋体" w:cs="宋体" w:eastAsia="宋体" w:hint="default"/>
          <w:sz w:val="21"/>
          <w:szCs w:val="21"/>
        </w:rPr>
        <w:t>）为刊登公司公告和其</w:t>
      </w:r>
      <w:r>
        <w:rPr>
          <w:rFonts w:ascii="宋体" w:hAnsi="宋体" w:cs="宋体" w:eastAsia="宋体" w:hint="default"/>
          <w:w w:val="100"/>
          <w:sz w:val="21"/>
          <w:szCs w:val="21"/>
        </w:rPr>
        <w:t> </w:t>
      </w:r>
      <w:r>
        <w:rPr>
          <w:rFonts w:ascii="宋体" w:hAnsi="宋体" w:cs="宋体" w:eastAsia="宋体" w:hint="default"/>
          <w:sz w:val="21"/>
          <w:szCs w:val="21"/>
        </w:rPr>
        <w:t>他需要披露信息的媒体。</w:t>
      </w:r>
    </w:p>
    <w:p>
      <w:pPr>
        <w:spacing w:after="0" w:line="336"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1"/>
        <w:rPr>
          <w:rFonts w:ascii="宋体" w:hAnsi="宋体" w:cs="宋体" w:eastAsia="宋体" w:hint="default"/>
          <w:sz w:val="24"/>
          <w:szCs w:val="24"/>
        </w:rPr>
      </w:pPr>
    </w:p>
    <w:p>
      <w:pPr>
        <w:pStyle w:val="Heading1"/>
        <w:tabs>
          <w:tab w:pos="4472" w:val="left" w:leader="none"/>
        </w:tabs>
        <w:spacing w:line="240" w:lineRule="auto"/>
        <w:ind w:left="3267" w:right="0"/>
        <w:jc w:val="left"/>
        <w:rPr>
          <w:b w:val="0"/>
          <w:bCs w:val="0"/>
        </w:rPr>
      </w:pPr>
      <w:bookmarkStart w:name="_TOC_250003" w:id="9"/>
      <w:r>
        <w:rPr>
          <w:w w:val="95"/>
        </w:rPr>
        <w:t>第九节</w:t>
        <w:tab/>
      </w:r>
      <w:r>
        <w:rPr/>
        <w:t>监事会报告</w:t>
      </w:r>
      <w:bookmarkEnd w:id="9"/>
      <w:r>
        <w:rPr>
          <w:b w:val="0"/>
          <w:bCs w:val="0"/>
        </w:rPr>
      </w:r>
    </w:p>
    <w:p>
      <w:pPr>
        <w:spacing w:line="240" w:lineRule="auto" w:before="0"/>
        <w:rPr>
          <w:rFonts w:ascii="宋体" w:hAnsi="宋体" w:cs="宋体" w:eastAsia="宋体" w:hint="default"/>
          <w:b/>
          <w:bCs/>
          <w:sz w:val="30"/>
          <w:szCs w:val="30"/>
        </w:rPr>
      </w:pPr>
    </w:p>
    <w:p>
      <w:pPr>
        <w:spacing w:line="357" w:lineRule="auto" w:before="222"/>
        <w:ind w:left="602" w:right="0" w:hanging="480"/>
        <w:jc w:val="left"/>
        <w:rPr>
          <w:rFonts w:ascii="宋体" w:hAnsi="宋体" w:cs="宋体" w:eastAsia="宋体" w:hint="default"/>
          <w:sz w:val="21"/>
          <w:szCs w:val="21"/>
        </w:rPr>
      </w:pPr>
      <w:r>
        <w:rPr>
          <w:rFonts w:ascii="宋体" w:hAnsi="宋体" w:cs="宋体" w:eastAsia="宋体" w:hint="default"/>
          <w:b/>
          <w:bCs/>
          <w:sz w:val="21"/>
          <w:szCs w:val="21"/>
        </w:rPr>
        <w:t>一、监事会工作情况</w:t>
      </w:r>
      <w:r>
        <w:rPr>
          <w:rFonts w:ascii="宋体" w:hAnsi="宋体" w:cs="宋体" w:eastAsia="宋体" w:hint="default"/>
          <w:b/>
          <w:bCs/>
          <w:spacing w:val="-103"/>
          <w:sz w:val="21"/>
          <w:szCs w:val="21"/>
        </w:rPr>
        <w:t> </w:t>
      </w:r>
      <w:r>
        <w:rPr>
          <w:rFonts w:ascii="宋体" w:hAnsi="宋体" w:cs="宋体" w:eastAsia="宋体" w:hint="default"/>
          <w:spacing w:val="-14"/>
          <w:w w:val="100"/>
          <w:sz w:val="21"/>
          <w:szCs w:val="21"/>
        </w:rPr>
        <w:t>报告期内，监事会严格按照《公司法》、《公司章程》、《监事会议事规则》和有关法律、法规的</w:t>
      </w:r>
    </w:p>
    <w:p>
      <w:pPr>
        <w:spacing w:line="355" w:lineRule="auto" w:before="30"/>
        <w:ind w:left="122" w:right="1277" w:firstLine="0"/>
        <w:jc w:val="both"/>
        <w:rPr>
          <w:rFonts w:ascii="宋体" w:hAnsi="宋体" w:cs="宋体" w:eastAsia="宋体" w:hint="default"/>
          <w:sz w:val="21"/>
          <w:szCs w:val="21"/>
        </w:rPr>
      </w:pPr>
      <w:r>
        <w:rPr>
          <w:rFonts w:ascii="宋体" w:hAnsi="宋体" w:cs="宋体" w:eastAsia="宋体" w:hint="default"/>
          <w:spacing w:val="-3"/>
          <w:sz w:val="21"/>
          <w:szCs w:val="21"/>
        </w:rPr>
        <w:t>要求，遵守诚信原则，从切实维护公司利益和全体股东权益出发，认真履行监督职责，通过列席和</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出席董事会、股东大会、经理办公会，了解和掌握公司的经营决策、投资方案、生产经营情况，对</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公司董事、总经理和其他高级管理人员的尽职尽责情况进行了监督，维护了公司利益和全体股东的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合法权益。报告期内，监事会运行情况如下：</w:t>
      </w:r>
    </w:p>
    <w:p>
      <w:pPr>
        <w:spacing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、报告期内，监事会成员列席了现场召开的董事会会议。</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、报告期内，各次股东大会均有监事出席，并作为监票人进行了监票。</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、报告期内，公司监事会共召开了</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次会议，各次会议情况如下：</w:t>
      </w:r>
    </w:p>
    <w:p>
      <w:pPr>
        <w:spacing w:before="133"/>
        <w:ind w:left="43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第三届监事会第九次会议于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日以现场会议方式召开，形成如下决议：</w:t>
      </w:r>
    </w:p>
    <w:p>
      <w:pPr>
        <w:spacing w:before="135"/>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a</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事会</w:t>
      </w:r>
      <w:r>
        <w:rPr>
          <w:rFonts w:ascii="宋体" w:hAnsi="宋体" w:cs="宋体" w:eastAsia="宋体" w:hint="default"/>
          <w:spacing w:val="-5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7" w:lineRule="auto" w:before="133"/>
        <w:ind w:left="542" w:right="3801" w:firstLine="0"/>
        <w:jc w:val="left"/>
        <w:rPr>
          <w:rFonts w:ascii="宋体" w:hAnsi="宋体" w:cs="宋体" w:eastAsia="宋体" w:hint="default"/>
          <w:sz w:val="21"/>
          <w:szCs w:val="21"/>
        </w:rPr>
      </w:pPr>
      <w:r>
        <w:rPr>
          <w:rFonts w:ascii="宋体" w:hAnsi="宋体" w:cs="宋体" w:eastAsia="宋体" w:hint="default"/>
          <w:spacing w:val="-2"/>
          <w:w w:val="100"/>
          <w:sz w:val="21"/>
          <w:szCs w:val="21"/>
        </w:rPr>
        <w:t>b</w:t>
      </w:r>
      <w:r>
        <w:rPr>
          <w:rFonts w:ascii="宋体" w:hAnsi="宋体" w:cs="宋体" w:eastAsia="宋体" w:hint="default"/>
          <w:spacing w:val="-2"/>
          <w:w w:val="100"/>
          <w:sz w:val="21"/>
          <w:szCs w:val="21"/>
        </w:rPr>
        <w:t>、审议通过了《董事会</w:t>
      </w:r>
      <w:r>
        <w:rPr>
          <w:rFonts w:ascii="宋体" w:hAnsi="宋体" w:cs="宋体" w:eastAsia="宋体" w:hint="default"/>
          <w:spacing w:val="-56"/>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4"/>
          <w:w w:val="100"/>
          <w:sz w:val="21"/>
          <w:szCs w:val="21"/>
        </w:rPr>
        <w:t> </w:t>
      </w:r>
      <w:r>
        <w:rPr>
          <w:rFonts w:ascii="宋体" w:hAnsi="宋体" w:cs="宋体" w:eastAsia="宋体" w:hint="default"/>
          <w:spacing w:val="-15"/>
          <w:w w:val="100"/>
          <w:sz w:val="21"/>
          <w:szCs w:val="21"/>
        </w:rPr>
        <w:t>年度工作报告》；</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c</w:t>
      </w:r>
      <w:r>
        <w:rPr>
          <w:rFonts w:ascii="宋体" w:hAnsi="宋体" w:cs="宋体" w:eastAsia="宋体" w:hint="default"/>
          <w:sz w:val="21"/>
          <w:szCs w:val="21"/>
        </w:rPr>
        <w:t>、审议通过了《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年年度报告》及其摘要；</w:t>
      </w:r>
      <w:r>
        <w:rPr>
          <w:rFonts w:ascii="宋体" w:hAnsi="宋体" w:cs="宋体" w:eastAsia="宋体" w:hint="default"/>
          <w:w w:val="100"/>
          <w:sz w:val="21"/>
          <w:szCs w:val="21"/>
        </w:rPr>
        <w:t> </w:t>
      </w:r>
      <w:r>
        <w:rPr>
          <w:rFonts w:ascii="宋体" w:hAnsi="宋体" w:cs="宋体" w:eastAsia="宋体" w:hint="default"/>
          <w:spacing w:val="-9"/>
          <w:w w:val="100"/>
          <w:sz w:val="21"/>
          <w:szCs w:val="21"/>
        </w:rPr>
        <w:t>d</w:t>
      </w:r>
      <w:r>
        <w:rPr>
          <w:rFonts w:ascii="宋体" w:hAnsi="宋体" w:cs="宋体" w:eastAsia="宋体" w:hint="default"/>
          <w:spacing w:val="-9"/>
          <w:w w:val="100"/>
          <w:sz w:val="21"/>
          <w:szCs w:val="21"/>
        </w:rPr>
        <w:t>、审议通过了《关于募集资金年度存放与使用情况的专项报告》；</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2"/>
          <w:w w:val="100"/>
          <w:sz w:val="21"/>
          <w:szCs w:val="21"/>
        </w:rPr>
        <w:t>e</w:t>
      </w:r>
      <w:r>
        <w:rPr>
          <w:rFonts w:ascii="宋体" w:hAnsi="宋体" w:cs="宋体" w:eastAsia="宋体" w:hint="default"/>
          <w:spacing w:val="-2"/>
          <w:w w:val="100"/>
          <w:sz w:val="21"/>
          <w:szCs w:val="21"/>
        </w:rPr>
        <w:t>、审议通过了《</w:t>
      </w:r>
      <w:r>
        <w:rPr>
          <w:rFonts w:ascii="宋体" w:hAnsi="宋体" w:cs="宋体" w:eastAsia="宋体" w:hint="default"/>
          <w:spacing w:val="-2"/>
          <w:w w:val="100"/>
          <w:sz w:val="21"/>
          <w:szCs w:val="21"/>
        </w:rPr>
        <w:t>2010</w:t>
      </w:r>
      <w:r>
        <w:rPr>
          <w:rFonts w:ascii="宋体" w:hAnsi="宋体" w:cs="宋体" w:eastAsia="宋体" w:hint="default"/>
          <w:spacing w:val="-54"/>
          <w:w w:val="100"/>
          <w:sz w:val="21"/>
          <w:szCs w:val="21"/>
        </w:rPr>
        <w:t> </w:t>
      </w:r>
      <w:r>
        <w:rPr>
          <w:rFonts w:ascii="宋体" w:hAnsi="宋体" w:cs="宋体" w:eastAsia="宋体" w:hint="default"/>
          <w:spacing w:val="-18"/>
          <w:w w:val="100"/>
          <w:sz w:val="21"/>
          <w:szCs w:val="21"/>
        </w:rPr>
        <w:t>年内部控制自我评价报告》；</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f</w:t>
      </w:r>
      <w:r>
        <w:rPr>
          <w:rFonts w:ascii="宋体" w:hAnsi="宋体" w:cs="宋体" w:eastAsia="宋体" w:hint="default"/>
          <w:sz w:val="21"/>
          <w:szCs w:val="21"/>
        </w:rPr>
        <w:t>、审议通过了《关于申请银行授信业务的议案》</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7"/>
          <w:w w:val="100"/>
          <w:sz w:val="21"/>
          <w:szCs w:val="21"/>
        </w:rPr>
        <w:t>h</w:t>
      </w:r>
      <w:r>
        <w:rPr>
          <w:rFonts w:ascii="宋体" w:hAnsi="宋体" w:cs="宋体" w:eastAsia="宋体" w:hint="default"/>
          <w:spacing w:val="-7"/>
          <w:w w:val="100"/>
          <w:sz w:val="21"/>
          <w:szCs w:val="21"/>
        </w:rPr>
        <w:t>、审议并通过了《独立董事述职报告》。</w:t>
      </w:r>
    </w:p>
    <w:p>
      <w:pPr>
        <w:spacing w:line="355" w:lineRule="auto" w:before="30"/>
        <w:ind w:left="122" w:right="1144" w:firstLine="419"/>
        <w:jc w:val="left"/>
        <w:rPr>
          <w:rFonts w:ascii="宋体" w:hAnsi="宋体" w:cs="宋体" w:eastAsia="宋体" w:hint="default"/>
          <w:sz w:val="21"/>
          <w:szCs w:val="21"/>
        </w:rPr>
      </w:pPr>
      <w:r>
        <w:rPr>
          <w:rFonts w:ascii="宋体" w:hAnsi="宋体" w:cs="宋体" w:eastAsia="宋体" w:hint="default"/>
          <w:spacing w:val="-2"/>
          <w:w w:val="100"/>
          <w:sz w:val="21"/>
          <w:szCs w:val="21"/>
        </w:rPr>
        <w:t>该次会议的决议公告刊登在</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8"/>
          <w:w w:val="100"/>
          <w:sz w:val="21"/>
          <w:szCs w:val="21"/>
        </w:rPr>
        <w:t> </w:t>
      </w:r>
      <w:r>
        <w:rPr>
          <w:rFonts w:ascii="宋体" w:hAnsi="宋体" w:cs="宋体" w:eastAsia="宋体" w:hint="default"/>
          <w:w w:val="100"/>
          <w:sz w:val="21"/>
          <w:szCs w:val="21"/>
        </w:rPr>
        <w:t>年</w:t>
      </w:r>
      <w:r>
        <w:rPr>
          <w:rFonts w:ascii="宋体" w:hAnsi="宋体" w:cs="宋体" w:eastAsia="宋体" w:hint="default"/>
          <w:spacing w:val="-58"/>
          <w:w w:val="100"/>
          <w:sz w:val="21"/>
          <w:szCs w:val="21"/>
        </w:rPr>
        <w:t> </w:t>
      </w:r>
      <w:r>
        <w:rPr>
          <w:rFonts w:ascii="宋体" w:hAnsi="宋体" w:cs="宋体" w:eastAsia="宋体" w:hint="default"/>
          <w:w w:val="100"/>
          <w:sz w:val="21"/>
          <w:szCs w:val="21"/>
        </w:rPr>
        <w:t>3</w:t>
      </w:r>
      <w:r>
        <w:rPr>
          <w:rFonts w:ascii="宋体" w:hAnsi="宋体" w:cs="宋体" w:eastAsia="宋体" w:hint="default"/>
          <w:spacing w:val="-58"/>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宋体" w:hAnsi="宋体" w:cs="宋体" w:eastAsia="宋体" w:hint="default"/>
          <w:w w:val="100"/>
          <w:sz w:val="21"/>
          <w:szCs w:val="21"/>
        </w:rPr>
        <w:t>2</w:t>
      </w:r>
      <w:r>
        <w:rPr>
          <w:rFonts w:ascii="宋体" w:hAnsi="宋体" w:cs="宋体" w:eastAsia="宋体" w:hint="default"/>
          <w:spacing w:val="-58"/>
          <w:w w:val="100"/>
          <w:sz w:val="21"/>
          <w:szCs w:val="21"/>
        </w:rPr>
        <w:t> </w:t>
      </w:r>
      <w:r>
        <w:rPr>
          <w:rFonts w:ascii="宋体" w:hAnsi="宋体" w:cs="宋体" w:eastAsia="宋体" w:hint="default"/>
          <w:spacing w:val="-11"/>
          <w:w w:val="100"/>
          <w:sz w:val="21"/>
          <w:szCs w:val="21"/>
        </w:rPr>
        <w:t>日的《证券时报》和巨潮资讯网（</w:t>
      </w:r>
      <w:hyperlink r:id="rId13">
        <w:r>
          <w:rPr>
            <w:rFonts w:ascii="宋体" w:hAnsi="宋体" w:cs="宋体" w:eastAsia="宋体" w:hint="default"/>
            <w:spacing w:val="-11"/>
            <w:w w:val="100"/>
            <w:sz w:val="21"/>
            <w:szCs w:val="21"/>
          </w:rPr>
          <w:t>www.cninfo.com.cn</w:t>
        </w:r>
      </w:hyperlink>
      <w:r>
        <w:rPr>
          <w:rFonts w:ascii="宋体" w:hAnsi="宋体" w:cs="宋体" w:eastAsia="宋体" w:hint="default"/>
          <w:spacing w:val="-1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上。</w:t>
      </w:r>
    </w:p>
    <w:p>
      <w:pPr>
        <w:spacing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第三届监事会第十次会议于</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24</w:t>
      </w:r>
      <w:r>
        <w:rPr>
          <w:rFonts w:ascii="宋体" w:hAnsi="宋体" w:cs="宋体" w:eastAsia="宋体" w:hint="default"/>
          <w:spacing w:val="-43"/>
          <w:sz w:val="21"/>
          <w:szCs w:val="21"/>
        </w:rPr>
        <w:t> </w:t>
      </w:r>
      <w:r>
        <w:rPr>
          <w:rFonts w:ascii="宋体" w:hAnsi="宋体" w:cs="宋体" w:eastAsia="宋体" w:hint="default"/>
          <w:sz w:val="21"/>
          <w:szCs w:val="21"/>
        </w:rPr>
        <w:t>日以通讯表决的方式召开，审议并通过了《关</w:t>
      </w:r>
    </w:p>
    <w:p>
      <w:pPr>
        <w:spacing w:line="355" w:lineRule="auto" w:before="135"/>
        <w:ind w:left="122" w:right="1277" w:firstLine="0"/>
        <w:jc w:val="both"/>
        <w:rPr>
          <w:rFonts w:ascii="宋体" w:hAnsi="宋体" w:cs="宋体" w:eastAsia="宋体" w:hint="default"/>
          <w:sz w:val="21"/>
          <w:szCs w:val="21"/>
        </w:rPr>
      </w:pPr>
      <w:r>
        <w:rPr>
          <w:rFonts w:ascii="宋体" w:hAnsi="宋体" w:cs="宋体" w:eastAsia="宋体" w:hint="default"/>
          <w:spacing w:val="-5"/>
          <w:w w:val="100"/>
          <w:sz w:val="21"/>
          <w:szCs w:val="21"/>
        </w:rPr>
        <w:t>于使用部分闲置募集资金暂时补充流动资金的议案》，该次会议的决议公告刊登在</w:t>
      </w:r>
      <w:r>
        <w:rPr>
          <w:rFonts w:ascii="宋体" w:hAnsi="宋体" w:cs="宋体" w:eastAsia="宋体" w:hint="default"/>
          <w:spacing w:val="-24"/>
          <w:w w:val="100"/>
          <w:sz w:val="21"/>
          <w:szCs w:val="21"/>
        </w:rPr>
        <w:t> </w:t>
      </w:r>
      <w:r>
        <w:rPr>
          <w:rFonts w:ascii="宋体" w:hAnsi="宋体" w:cs="宋体" w:eastAsia="宋体" w:hint="default"/>
          <w:w w:val="100"/>
          <w:sz w:val="21"/>
          <w:szCs w:val="21"/>
        </w:rPr>
        <w:t>2011</w:t>
      </w:r>
      <w:r>
        <w:rPr>
          <w:rFonts w:ascii="宋体" w:hAnsi="宋体" w:cs="宋体" w:eastAsia="宋体" w:hint="default"/>
          <w:spacing w:val="-27"/>
          <w:w w:val="100"/>
          <w:sz w:val="21"/>
          <w:szCs w:val="21"/>
        </w:rPr>
        <w:t> </w:t>
      </w:r>
      <w:r>
        <w:rPr>
          <w:rFonts w:ascii="宋体" w:hAnsi="宋体" w:cs="宋体" w:eastAsia="宋体" w:hint="default"/>
          <w:w w:val="100"/>
          <w:sz w:val="21"/>
          <w:szCs w:val="21"/>
        </w:rPr>
        <w:t>年</w:t>
      </w:r>
      <w:r>
        <w:rPr>
          <w:rFonts w:ascii="宋体" w:hAnsi="宋体" w:cs="宋体" w:eastAsia="宋体" w:hint="default"/>
          <w:spacing w:val="-25"/>
          <w:w w:val="100"/>
          <w:sz w:val="21"/>
          <w:szCs w:val="21"/>
        </w:rPr>
        <w:t> </w:t>
      </w:r>
      <w:r>
        <w:rPr>
          <w:rFonts w:ascii="宋体" w:hAnsi="宋体" w:cs="宋体" w:eastAsia="宋体" w:hint="default"/>
          <w:w w:val="100"/>
          <w:sz w:val="21"/>
          <w:szCs w:val="21"/>
        </w:rPr>
        <w:t>3</w:t>
      </w:r>
      <w:r>
        <w:rPr>
          <w:rFonts w:ascii="宋体" w:hAnsi="宋体" w:cs="宋体" w:eastAsia="宋体" w:hint="default"/>
          <w:spacing w:val="-25"/>
          <w:w w:val="100"/>
          <w:sz w:val="21"/>
          <w:szCs w:val="21"/>
        </w:rPr>
        <w:t> </w:t>
      </w:r>
      <w:r>
        <w:rPr>
          <w:rFonts w:ascii="宋体" w:hAnsi="宋体" w:cs="宋体" w:eastAsia="宋体" w:hint="default"/>
          <w:w w:val="100"/>
          <w:sz w:val="21"/>
          <w:szCs w:val="21"/>
        </w:rPr>
        <w:t>月</w:t>
      </w:r>
      <w:r>
        <w:rPr>
          <w:rFonts w:ascii="宋体" w:hAnsi="宋体" w:cs="宋体" w:eastAsia="宋体" w:hint="default"/>
          <w:spacing w:val="-25"/>
          <w:w w:val="100"/>
          <w:sz w:val="21"/>
          <w:szCs w:val="21"/>
        </w:rPr>
        <w:t> </w:t>
      </w:r>
      <w:r>
        <w:rPr>
          <w:rFonts w:ascii="宋体" w:hAnsi="宋体" w:cs="宋体" w:eastAsia="宋体" w:hint="default"/>
          <w:w w:val="100"/>
          <w:sz w:val="21"/>
          <w:szCs w:val="21"/>
        </w:rPr>
        <w:t>25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5" w:lineRule="auto" w:before="32"/>
        <w:ind w:left="122" w:right="0" w:firstLine="419"/>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届</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2"/>
          <w:w w:val="100"/>
          <w:sz w:val="21"/>
          <w:szCs w:val="21"/>
        </w:rPr>
        <w:t>第</w:t>
      </w:r>
      <w:r>
        <w:rPr>
          <w:rFonts w:ascii="宋体" w:hAnsi="宋体" w:cs="宋体" w:eastAsia="宋体" w:hint="default"/>
          <w:w w:val="100"/>
          <w:sz w:val="21"/>
          <w:szCs w:val="21"/>
        </w:rPr>
        <w:t>十</w:t>
      </w:r>
      <w:r>
        <w:rPr>
          <w:rFonts w:ascii="宋体" w:hAnsi="宋体" w:cs="宋体" w:eastAsia="宋体" w:hint="default"/>
          <w:spacing w:val="-3"/>
          <w:w w:val="100"/>
          <w:sz w:val="21"/>
          <w:szCs w:val="21"/>
        </w:rPr>
        <w:t>一次</w:t>
      </w:r>
      <w:r>
        <w:rPr>
          <w:rFonts w:ascii="宋体" w:hAnsi="宋体" w:cs="宋体" w:eastAsia="宋体" w:hint="default"/>
          <w:w w:val="100"/>
          <w:sz w:val="21"/>
          <w:szCs w:val="21"/>
        </w:rPr>
        <w:t>会议于</w:t>
      </w:r>
      <w:r>
        <w:rPr>
          <w:rFonts w:ascii="宋体" w:hAnsi="宋体" w:cs="宋体" w:eastAsia="宋体" w:hint="default"/>
          <w:spacing w:val="-7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77"/>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4</w:t>
      </w:r>
      <w:r>
        <w:rPr>
          <w:rFonts w:ascii="宋体" w:hAnsi="宋体" w:cs="宋体" w:eastAsia="宋体" w:hint="default"/>
          <w:spacing w:val="-77"/>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20</w:t>
      </w:r>
      <w:r>
        <w:rPr>
          <w:rFonts w:ascii="宋体" w:hAnsi="宋体" w:cs="宋体" w:eastAsia="宋体" w:hint="default"/>
          <w:spacing w:val="-7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以</w:t>
      </w:r>
      <w:r>
        <w:rPr>
          <w:rFonts w:ascii="宋体" w:hAnsi="宋体" w:cs="宋体" w:eastAsia="宋体" w:hint="default"/>
          <w:w w:val="100"/>
          <w:sz w:val="21"/>
          <w:szCs w:val="21"/>
        </w:rPr>
        <w:t>通讯</w:t>
      </w:r>
      <w:r>
        <w:rPr>
          <w:rFonts w:ascii="宋体" w:hAnsi="宋体" w:cs="宋体" w:eastAsia="宋体" w:hint="default"/>
          <w:spacing w:val="-3"/>
          <w:w w:val="100"/>
          <w:sz w:val="21"/>
          <w:szCs w:val="21"/>
        </w:rPr>
        <w:t>表</w:t>
      </w:r>
      <w:r>
        <w:rPr>
          <w:rFonts w:ascii="宋体" w:hAnsi="宋体" w:cs="宋体" w:eastAsia="宋体" w:hint="default"/>
          <w:w w:val="100"/>
          <w:sz w:val="21"/>
          <w:szCs w:val="21"/>
        </w:rPr>
        <w:t>决</w:t>
      </w:r>
      <w:r>
        <w:rPr>
          <w:rFonts w:ascii="宋体" w:hAnsi="宋体" w:cs="宋体" w:eastAsia="宋体" w:hint="default"/>
          <w:spacing w:val="-3"/>
          <w:w w:val="100"/>
          <w:sz w:val="21"/>
          <w:szCs w:val="21"/>
        </w:rPr>
        <w:t>的</w:t>
      </w:r>
      <w:r>
        <w:rPr>
          <w:rFonts w:ascii="宋体" w:hAnsi="宋体" w:cs="宋体" w:eastAsia="宋体" w:hint="default"/>
          <w:w w:val="100"/>
          <w:sz w:val="21"/>
          <w:szCs w:val="21"/>
        </w:rPr>
        <w:t>方</w:t>
      </w:r>
      <w:r>
        <w:rPr>
          <w:rFonts w:ascii="宋体" w:hAnsi="宋体" w:cs="宋体" w:eastAsia="宋体" w:hint="default"/>
          <w:spacing w:val="-3"/>
          <w:w w:val="100"/>
          <w:sz w:val="21"/>
          <w:szCs w:val="21"/>
        </w:rPr>
        <w:t>式</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审议</w:t>
      </w:r>
      <w:r>
        <w:rPr>
          <w:rFonts w:ascii="宋体" w:hAnsi="宋体" w:cs="宋体" w:eastAsia="宋体" w:hint="default"/>
          <w:w w:val="100"/>
          <w:sz w:val="21"/>
          <w:szCs w:val="21"/>
        </w:rPr>
        <w:t>并通</w:t>
      </w:r>
      <w:r>
        <w:rPr>
          <w:rFonts w:ascii="宋体" w:hAnsi="宋体" w:cs="宋体" w:eastAsia="宋体" w:hint="default"/>
          <w:spacing w:val="-3"/>
          <w:w w:val="100"/>
          <w:sz w:val="21"/>
          <w:szCs w:val="21"/>
        </w:rPr>
        <w:t>过</w:t>
      </w:r>
      <w:r>
        <w:rPr>
          <w:rFonts w:ascii="宋体" w:hAnsi="宋体" w:cs="宋体" w:eastAsia="宋体" w:hint="default"/>
          <w:spacing w:val="-106"/>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1"/>
          <w:w w:val="100"/>
          <w:sz w:val="21"/>
          <w:szCs w:val="21"/>
        </w:rPr>
        <w:t>1</w:t>
      </w:r>
      <w:r>
        <w:rPr>
          <w:rFonts w:ascii="宋体" w:hAnsi="宋体" w:cs="宋体" w:eastAsia="宋体" w:hint="default"/>
          <w:w w:val="100"/>
          <w:sz w:val="21"/>
          <w:szCs w:val="21"/>
        </w:rPr>
        <w:t>1</w:t>
      </w:r>
      <w:r>
        <w:rPr>
          <w:rFonts w:ascii="宋体" w:hAnsi="宋体" w:cs="宋体" w:eastAsia="宋体" w:hint="default"/>
          <w:w w:val="100"/>
          <w:sz w:val="21"/>
          <w:szCs w:val="21"/>
        </w:rPr>
        <w:t> </w:t>
      </w:r>
      <w:r>
        <w:rPr>
          <w:rFonts w:ascii="宋体" w:hAnsi="宋体" w:cs="宋体" w:eastAsia="宋体" w:hint="default"/>
          <w:w w:val="100"/>
          <w:sz w:val="21"/>
          <w:szCs w:val="21"/>
        </w:rPr>
        <w:t>年一</w:t>
      </w:r>
      <w:r>
        <w:rPr>
          <w:rFonts w:ascii="宋体" w:hAnsi="宋体" w:cs="宋体" w:eastAsia="宋体" w:hint="default"/>
          <w:spacing w:val="-3"/>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spacing w:val="-1"/>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第三届监事会第十二次次会议于</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28</w:t>
      </w:r>
      <w:r>
        <w:rPr>
          <w:rFonts w:ascii="宋体" w:hAnsi="宋体" w:cs="宋体" w:eastAsia="宋体" w:hint="default"/>
          <w:spacing w:val="-43"/>
          <w:sz w:val="21"/>
          <w:szCs w:val="21"/>
        </w:rPr>
        <w:t> </w:t>
      </w:r>
      <w:r>
        <w:rPr>
          <w:rFonts w:ascii="宋体" w:hAnsi="宋体" w:cs="宋体" w:eastAsia="宋体" w:hint="default"/>
          <w:sz w:val="21"/>
          <w:szCs w:val="21"/>
        </w:rPr>
        <w:t>日以通讯表决的方式召开，审议并通过了</w:t>
      </w:r>
    </w:p>
    <w:p>
      <w:pPr>
        <w:spacing w:line="355" w:lineRule="auto" w:before="133"/>
        <w:ind w:left="122" w:right="1280" w:firstLine="0"/>
        <w:jc w:val="both"/>
        <w:rPr>
          <w:rFonts w:ascii="宋体" w:hAnsi="宋体" w:cs="宋体" w:eastAsia="宋体" w:hint="default"/>
          <w:sz w:val="21"/>
          <w:szCs w:val="21"/>
        </w:rPr>
      </w:pPr>
      <w:r>
        <w:rPr>
          <w:rFonts w:ascii="宋体" w:hAnsi="宋体" w:cs="宋体" w:eastAsia="宋体" w:hint="default"/>
          <w:spacing w:val="-7"/>
          <w:w w:val="100"/>
          <w:sz w:val="21"/>
          <w:szCs w:val="21"/>
        </w:rPr>
        <w:t>《限制性股票激励计划（草案）》和《限制性股票激励计划实施考核办法（草案）》，该次会议的决</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议公告刊登在</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line="355" w:lineRule="auto" w:before="32"/>
        <w:ind w:left="122" w:right="0" w:firstLine="419"/>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届</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2"/>
          <w:w w:val="100"/>
          <w:sz w:val="21"/>
          <w:szCs w:val="21"/>
        </w:rPr>
        <w:t>第</w:t>
      </w:r>
      <w:r>
        <w:rPr>
          <w:rFonts w:ascii="宋体" w:hAnsi="宋体" w:cs="宋体" w:eastAsia="宋体" w:hint="default"/>
          <w:w w:val="100"/>
          <w:sz w:val="21"/>
          <w:szCs w:val="21"/>
        </w:rPr>
        <w:t>十</w:t>
      </w:r>
      <w:r>
        <w:rPr>
          <w:rFonts w:ascii="宋体" w:hAnsi="宋体" w:cs="宋体" w:eastAsia="宋体" w:hint="default"/>
          <w:spacing w:val="-3"/>
          <w:w w:val="100"/>
          <w:sz w:val="21"/>
          <w:szCs w:val="21"/>
        </w:rPr>
        <w:t>三次</w:t>
      </w:r>
      <w:r>
        <w:rPr>
          <w:rFonts w:ascii="宋体" w:hAnsi="宋体" w:cs="宋体" w:eastAsia="宋体" w:hint="default"/>
          <w:w w:val="100"/>
          <w:sz w:val="21"/>
          <w:szCs w:val="21"/>
        </w:rPr>
        <w:t>会</w:t>
      </w:r>
      <w:r>
        <w:rPr>
          <w:rFonts w:ascii="宋体" w:hAnsi="宋体" w:cs="宋体" w:eastAsia="宋体" w:hint="default"/>
          <w:spacing w:val="-1"/>
          <w:w w:val="100"/>
          <w:sz w:val="21"/>
          <w:szCs w:val="21"/>
        </w:rPr>
        <w:t>议</w:t>
      </w:r>
      <w:r>
        <w:rPr>
          <w:rFonts w:ascii="宋体" w:hAnsi="宋体" w:cs="宋体" w:eastAsia="宋体" w:hint="default"/>
          <w:w w:val="100"/>
          <w:sz w:val="21"/>
          <w:szCs w:val="21"/>
        </w:rPr>
        <w:t>于</w:t>
      </w:r>
      <w:r>
        <w:rPr>
          <w:rFonts w:ascii="宋体" w:hAnsi="宋体" w:cs="宋体" w:eastAsia="宋体" w:hint="default"/>
          <w:spacing w:val="-7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77"/>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8</w:t>
      </w:r>
      <w:r>
        <w:rPr>
          <w:rFonts w:ascii="宋体" w:hAnsi="宋体" w:cs="宋体" w:eastAsia="宋体" w:hint="default"/>
          <w:spacing w:val="-77"/>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24</w:t>
      </w:r>
      <w:r>
        <w:rPr>
          <w:rFonts w:ascii="宋体" w:hAnsi="宋体" w:cs="宋体" w:eastAsia="宋体" w:hint="default"/>
          <w:spacing w:val="-7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以</w:t>
      </w:r>
      <w:r>
        <w:rPr>
          <w:rFonts w:ascii="宋体" w:hAnsi="宋体" w:cs="宋体" w:eastAsia="宋体" w:hint="default"/>
          <w:w w:val="100"/>
          <w:sz w:val="21"/>
          <w:szCs w:val="21"/>
        </w:rPr>
        <w:t>通讯</w:t>
      </w:r>
      <w:r>
        <w:rPr>
          <w:rFonts w:ascii="宋体" w:hAnsi="宋体" w:cs="宋体" w:eastAsia="宋体" w:hint="default"/>
          <w:spacing w:val="-3"/>
          <w:w w:val="100"/>
          <w:sz w:val="21"/>
          <w:szCs w:val="21"/>
        </w:rPr>
        <w:t>表</w:t>
      </w:r>
      <w:r>
        <w:rPr>
          <w:rFonts w:ascii="宋体" w:hAnsi="宋体" w:cs="宋体" w:eastAsia="宋体" w:hint="default"/>
          <w:w w:val="100"/>
          <w:sz w:val="21"/>
          <w:szCs w:val="21"/>
        </w:rPr>
        <w:t>决</w:t>
      </w:r>
      <w:r>
        <w:rPr>
          <w:rFonts w:ascii="宋体" w:hAnsi="宋体" w:cs="宋体" w:eastAsia="宋体" w:hint="default"/>
          <w:spacing w:val="-3"/>
          <w:w w:val="100"/>
          <w:sz w:val="21"/>
          <w:szCs w:val="21"/>
        </w:rPr>
        <w:t>的</w:t>
      </w:r>
      <w:r>
        <w:rPr>
          <w:rFonts w:ascii="宋体" w:hAnsi="宋体" w:cs="宋体" w:eastAsia="宋体" w:hint="default"/>
          <w:w w:val="100"/>
          <w:sz w:val="21"/>
          <w:szCs w:val="21"/>
        </w:rPr>
        <w:t>方</w:t>
      </w:r>
      <w:r>
        <w:rPr>
          <w:rFonts w:ascii="宋体" w:hAnsi="宋体" w:cs="宋体" w:eastAsia="宋体" w:hint="default"/>
          <w:spacing w:val="-3"/>
          <w:w w:val="100"/>
          <w:sz w:val="21"/>
          <w:szCs w:val="21"/>
        </w:rPr>
        <w:t>式</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审议</w:t>
      </w:r>
      <w:r>
        <w:rPr>
          <w:rFonts w:ascii="宋体" w:hAnsi="宋体" w:cs="宋体" w:eastAsia="宋体" w:hint="default"/>
          <w:w w:val="100"/>
          <w:sz w:val="21"/>
          <w:szCs w:val="21"/>
        </w:rPr>
        <w:t>并通</w:t>
      </w:r>
      <w:r>
        <w:rPr>
          <w:rFonts w:ascii="宋体" w:hAnsi="宋体" w:cs="宋体" w:eastAsia="宋体" w:hint="default"/>
          <w:spacing w:val="-3"/>
          <w:w w:val="100"/>
          <w:sz w:val="21"/>
          <w:szCs w:val="21"/>
        </w:rPr>
        <w:t>过</w:t>
      </w:r>
      <w:r>
        <w:rPr>
          <w:rFonts w:ascii="宋体" w:hAnsi="宋体" w:cs="宋体" w:eastAsia="宋体" w:hint="default"/>
          <w:spacing w:val="-106"/>
          <w:w w:val="100"/>
          <w:sz w:val="21"/>
          <w:szCs w:val="21"/>
        </w:rPr>
        <w:t>了</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w w:val="100"/>
          <w:sz w:val="21"/>
          <w:szCs w:val="21"/>
        </w:rPr>
        <w:t> </w:t>
      </w:r>
      <w:r>
        <w:rPr>
          <w:rFonts w:ascii="宋体" w:hAnsi="宋体" w:cs="宋体" w:eastAsia="宋体" w:hint="default"/>
          <w:w w:val="100"/>
          <w:sz w:val="21"/>
          <w:szCs w:val="21"/>
        </w:rPr>
        <w:t>年半</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spacing w:val="-1"/>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0" w:lineRule="auto" w:before="34"/>
        <w:ind w:left="122" w:right="1280" w:firstLine="419"/>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第三届监事会第十四次会议于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pacing w:val="-4"/>
          <w:sz w:val="21"/>
          <w:szCs w:val="21"/>
        </w:rPr>
        <w:t>日以现场会议的方式召开，审议并通过了《限</w:t>
      </w:r>
      <w:r>
        <w:rPr>
          <w:rFonts w:ascii="宋体" w:hAnsi="宋体" w:cs="宋体" w:eastAsia="宋体" w:hint="default"/>
          <w:w w:val="100"/>
          <w:sz w:val="21"/>
          <w:szCs w:val="21"/>
        </w:rPr>
        <w:t> </w:t>
      </w:r>
      <w:r>
        <w:rPr>
          <w:rFonts w:ascii="宋体" w:hAnsi="宋体" w:cs="宋体" w:eastAsia="宋体" w:hint="default"/>
          <w:spacing w:val="-8"/>
          <w:w w:val="100"/>
          <w:sz w:val="21"/>
          <w:szCs w:val="21"/>
        </w:rPr>
        <w:t>制性股票激励计划（修订稿）》和</w:t>
      </w:r>
      <w:r>
        <w:rPr>
          <w:rFonts w:ascii="宋体" w:hAnsi="宋体" w:cs="宋体" w:eastAsia="宋体" w:hint="default"/>
          <w:spacing w:val="-8"/>
          <w:w w:val="100"/>
          <w:sz w:val="24"/>
          <w:szCs w:val="24"/>
        </w:rPr>
        <w:t>《</w:t>
      </w:r>
      <w:r>
        <w:rPr>
          <w:rFonts w:ascii="宋体" w:hAnsi="宋体" w:cs="宋体" w:eastAsia="宋体" w:hint="default"/>
          <w:spacing w:val="-8"/>
          <w:w w:val="100"/>
          <w:sz w:val="21"/>
          <w:szCs w:val="21"/>
        </w:rPr>
        <w:t>2011</w:t>
      </w:r>
      <w:r>
        <w:rPr>
          <w:rFonts w:ascii="宋体" w:hAnsi="宋体" w:cs="宋体" w:eastAsia="宋体" w:hint="default"/>
          <w:spacing w:val="-23"/>
          <w:w w:val="100"/>
          <w:sz w:val="21"/>
          <w:szCs w:val="21"/>
        </w:rPr>
        <w:t> </w:t>
      </w:r>
      <w:r>
        <w:rPr>
          <w:rFonts w:ascii="宋体" w:hAnsi="宋体" w:cs="宋体" w:eastAsia="宋体" w:hint="default"/>
          <w:spacing w:val="-10"/>
          <w:w w:val="100"/>
          <w:sz w:val="21"/>
          <w:szCs w:val="21"/>
        </w:rPr>
        <w:t>年限制性股票授权人员名单（修订）》，该次会议的决议公</w:t>
      </w:r>
    </w:p>
    <w:p>
      <w:pPr>
        <w:spacing w:after="0" w:line="350"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sz w:val="21"/>
          <w:szCs w:val="21"/>
        </w:rPr>
        <w:t>告刊登在</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133"/>
        <w:ind w:left="542"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第三届监事会第十四次会议于</w:t>
      </w:r>
      <w:r>
        <w:rPr>
          <w:rFonts w:ascii="宋体" w:hAnsi="宋体" w:cs="宋体" w:eastAsia="宋体" w:hint="default"/>
          <w:spacing w:val="-25"/>
          <w:sz w:val="21"/>
          <w:szCs w:val="21"/>
        </w:rPr>
        <w:t> </w:t>
      </w:r>
      <w:r>
        <w:rPr>
          <w:rFonts w:ascii="宋体" w:hAnsi="宋体" w:cs="宋体" w:eastAsia="宋体" w:hint="default"/>
          <w:sz w:val="21"/>
          <w:szCs w:val="21"/>
        </w:rPr>
        <w:t>2011</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10</w:t>
      </w:r>
      <w:r>
        <w:rPr>
          <w:rFonts w:ascii="宋体" w:hAnsi="宋体" w:cs="宋体" w:eastAsia="宋体"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宋体" w:hAnsi="宋体" w:cs="宋体" w:eastAsia="宋体" w:hint="default"/>
          <w:sz w:val="21"/>
          <w:szCs w:val="21"/>
        </w:rPr>
        <w:t>17</w:t>
      </w:r>
      <w:r>
        <w:rPr>
          <w:rFonts w:ascii="宋体" w:hAnsi="宋体" w:cs="宋体" w:eastAsia="宋体" w:hint="default"/>
          <w:spacing w:val="-25"/>
          <w:sz w:val="21"/>
          <w:szCs w:val="21"/>
        </w:rPr>
        <w:t> </w:t>
      </w:r>
      <w:r>
        <w:rPr>
          <w:rFonts w:ascii="宋体" w:hAnsi="宋体" w:cs="宋体" w:eastAsia="宋体" w:hint="default"/>
          <w:sz w:val="21"/>
          <w:szCs w:val="21"/>
        </w:rPr>
        <w:t>日以通讯表决的方式召开，审议并通过了</w:t>
      </w:r>
    </w:p>
    <w:p>
      <w:pPr>
        <w:spacing w:line="357" w:lineRule="auto" w:before="133"/>
        <w:ind w:left="122" w:right="1273"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2011</w:t>
      </w:r>
      <w:r>
        <w:rPr>
          <w:rFonts w:ascii="宋体" w:hAnsi="宋体" w:cs="宋体" w:eastAsia="宋体" w:hint="default"/>
          <w:spacing w:val="-36"/>
          <w:w w:val="100"/>
          <w:sz w:val="21"/>
          <w:szCs w:val="21"/>
        </w:rPr>
        <w:t> </w:t>
      </w:r>
      <w:r>
        <w:rPr>
          <w:rFonts w:ascii="宋体" w:hAnsi="宋体" w:cs="宋体" w:eastAsia="宋体" w:hint="default"/>
          <w:spacing w:val="-4"/>
          <w:w w:val="100"/>
          <w:sz w:val="21"/>
          <w:szCs w:val="21"/>
        </w:rPr>
        <w:t>年三季度报告》和《关于使用部分闲置募集资金暂时补充流动资金的议案》，该次会议的决</w:t>
      </w:r>
      <w:r>
        <w:rPr>
          <w:rFonts w:ascii="宋体" w:hAnsi="宋体" w:cs="宋体" w:eastAsia="宋体" w:hint="default"/>
          <w:w w:val="100"/>
          <w:sz w:val="21"/>
          <w:szCs w:val="21"/>
        </w:rPr>
        <w:t> </w:t>
      </w:r>
      <w:r>
        <w:rPr>
          <w:rFonts w:ascii="宋体" w:hAnsi="宋体" w:cs="宋体" w:eastAsia="宋体" w:hint="default"/>
          <w:sz w:val="21"/>
          <w:szCs w:val="21"/>
        </w:rPr>
        <w:t>议公告刊登在</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30"/>
        <w:ind w:left="542" w:right="0" w:firstLine="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届</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2"/>
          <w:w w:val="100"/>
          <w:sz w:val="21"/>
          <w:szCs w:val="21"/>
        </w:rPr>
        <w:t>第</w:t>
      </w:r>
      <w:r>
        <w:rPr>
          <w:rFonts w:ascii="宋体" w:hAnsi="宋体" w:cs="宋体" w:eastAsia="宋体" w:hint="default"/>
          <w:w w:val="100"/>
          <w:sz w:val="21"/>
          <w:szCs w:val="21"/>
        </w:rPr>
        <w:t>十</w:t>
      </w:r>
      <w:r>
        <w:rPr>
          <w:rFonts w:ascii="宋体" w:hAnsi="宋体" w:cs="宋体" w:eastAsia="宋体" w:hint="default"/>
          <w:spacing w:val="-3"/>
          <w:w w:val="100"/>
          <w:sz w:val="21"/>
          <w:szCs w:val="21"/>
        </w:rPr>
        <w:t>四次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于</w:t>
      </w:r>
      <w:r>
        <w:rPr>
          <w:rFonts w:ascii="宋体" w:hAnsi="宋体" w:cs="宋体" w:eastAsia="宋体" w:hint="default"/>
          <w:spacing w:val="-58"/>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60"/>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9</w:t>
      </w:r>
      <w:r>
        <w:rPr>
          <w:rFonts w:ascii="宋体" w:hAnsi="宋体" w:cs="宋体" w:eastAsia="宋体" w:hint="default"/>
          <w:spacing w:val="-57"/>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以通</w:t>
      </w:r>
      <w:r>
        <w:rPr>
          <w:rFonts w:ascii="宋体" w:hAnsi="宋体" w:cs="宋体" w:eastAsia="宋体" w:hint="default"/>
          <w:spacing w:val="-3"/>
          <w:w w:val="100"/>
          <w:sz w:val="21"/>
          <w:szCs w:val="21"/>
        </w:rPr>
        <w:t>讯</w:t>
      </w:r>
      <w:r>
        <w:rPr>
          <w:rFonts w:ascii="宋体" w:hAnsi="宋体" w:cs="宋体" w:eastAsia="宋体" w:hint="default"/>
          <w:w w:val="100"/>
          <w:sz w:val="21"/>
          <w:szCs w:val="21"/>
        </w:rPr>
        <w:t>表</w:t>
      </w:r>
      <w:r>
        <w:rPr>
          <w:rFonts w:ascii="宋体" w:hAnsi="宋体" w:cs="宋体" w:eastAsia="宋体" w:hint="default"/>
          <w:spacing w:val="-3"/>
          <w:w w:val="100"/>
          <w:sz w:val="21"/>
          <w:szCs w:val="21"/>
        </w:rPr>
        <w:t>决</w:t>
      </w:r>
      <w:r>
        <w:rPr>
          <w:rFonts w:ascii="宋体" w:hAnsi="宋体" w:cs="宋体" w:eastAsia="宋体" w:hint="default"/>
          <w:w w:val="100"/>
          <w:sz w:val="21"/>
          <w:szCs w:val="21"/>
        </w:rPr>
        <w:t>的</w:t>
      </w:r>
      <w:r>
        <w:rPr>
          <w:rFonts w:ascii="宋体" w:hAnsi="宋体" w:cs="宋体" w:eastAsia="宋体" w:hint="default"/>
          <w:spacing w:val="-3"/>
          <w:w w:val="100"/>
          <w:sz w:val="21"/>
          <w:szCs w:val="21"/>
        </w:rPr>
        <w:t>方</w:t>
      </w:r>
      <w:r>
        <w:rPr>
          <w:rFonts w:ascii="宋体" w:hAnsi="宋体" w:cs="宋体" w:eastAsia="宋体" w:hint="default"/>
          <w:spacing w:val="-1"/>
          <w:w w:val="100"/>
          <w:sz w:val="21"/>
          <w:szCs w:val="21"/>
        </w:rPr>
        <w:t>式</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议并</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108"/>
          <w:w w:val="100"/>
          <w:sz w:val="21"/>
          <w:szCs w:val="21"/>
        </w:rPr>
        <w:t>了</w:t>
      </w:r>
      <w:r>
        <w:rPr>
          <w:rFonts w:ascii="宋体" w:hAnsi="宋体" w:cs="宋体" w:eastAsia="宋体" w:hint="default"/>
          <w:spacing w:val="-1"/>
          <w:w w:val="100"/>
          <w:sz w:val="21"/>
          <w:szCs w:val="21"/>
        </w:rPr>
        <w:t>《</w:t>
      </w:r>
      <w:r>
        <w:rPr>
          <w:rFonts w:ascii="宋体" w:hAnsi="宋体" w:cs="宋体" w:eastAsia="宋体" w:hint="default"/>
          <w:w w:val="100"/>
          <w:sz w:val="21"/>
          <w:szCs w:val="21"/>
        </w:rPr>
        <w:t>关</w:t>
      </w:r>
    </w:p>
    <w:p>
      <w:pPr>
        <w:spacing w:line="355" w:lineRule="auto" w:before="133"/>
        <w:ind w:left="122"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于核实限制性股票激励计划授予人员名单的议案》，该次会议的决议公告刊登在</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10</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0"/>
          <w:w w:val="100"/>
          <w:sz w:val="21"/>
          <w:szCs w:val="21"/>
        </w:rPr>
        <w:t> </w:t>
      </w:r>
      <w:r>
        <w:rPr>
          <w:rFonts w:ascii="宋体" w:hAnsi="宋体" w:cs="宋体" w:eastAsia="宋体" w:hint="default"/>
          <w:w w:val="100"/>
          <w:sz w:val="21"/>
          <w:szCs w:val="21"/>
        </w:rPr>
        <w:t>20</w:t>
      </w:r>
      <w:r>
        <w:rPr>
          <w:rFonts w:ascii="宋体" w:hAnsi="宋体" w:cs="宋体" w:eastAsia="宋体" w:hint="default"/>
          <w:spacing w:val="-52"/>
          <w:w w:val="100"/>
          <w:sz w:val="21"/>
          <w:szCs w:val="21"/>
        </w:rPr>
        <w:t> </w:t>
      </w:r>
      <w:r>
        <w:rPr>
          <w:rFonts w:ascii="宋体" w:hAnsi="宋体" w:cs="宋体" w:eastAsia="宋体" w:hint="default"/>
          <w:w w:val="100"/>
          <w:sz w:val="21"/>
          <w:szCs w:val="21"/>
        </w:rPr>
        <w:t>日 </w:t>
      </w:r>
      <w:r>
        <w:rPr>
          <w:rFonts w:ascii="宋体" w:hAnsi="宋体" w:cs="宋体" w:eastAsia="宋体" w:hint="default"/>
          <w:sz w:val="21"/>
          <w:szCs w:val="21"/>
        </w:rPr>
        <w:t>的《证券时报》和巨潮资讯网（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p>
    <w:p>
      <w:pPr>
        <w:spacing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、报告期内，监事会对</w:t>
      </w:r>
      <w:r>
        <w:rPr>
          <w:rFonts w:ascii="宋体" w:hAnsi="宋体" w:cs="宋体" w:eastAsia="宋体" w:hint="default"/>
          <w:spacing w:val="-57"/>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年公司的生产经营活动及财务会计进行了有效的监督。</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542" w:right="6151" w:hanging="420"/>
        <w:jc w:val="left"/>
        <w:rPr>
          <w:rFonts w:ascii="宋体" w:hAnsi="宋体" w:cs="宋体" w:eastAsia="宋体" w:hint="default"/>
          <w:sz w:val="21"/>
          <w:szCs w:val="21"/>
        </w:rPr>
      </w:pPr>
      <w:r>
        <w:rPr>
          <w:rFonts w:ascii="宋体" w:hAnsi="宋体" w:cs="宋体" w:eastAsia="宋体" w:hint="default"/>
          <w:b/>
          <w:bCs/>
          <w:sz w:val="21"/>
          <w:szCs w:val="21"/>
        </w:rPr>
        <w:t>二、监事会对</w:t>
      </w:r>
      <w:r>
        <w:rPr>
          <w:rFonts w:ascii="宋体" w:hAnsi="宋体" w:cs="宋体" w:eastAsia="宋体" w:hint="default"/>
          <w:b/>
          <w:bCs/>
          <w:spacing w:val="-53"/>
          <w:sz w:val="21"/>
          <w:szCs w:val="21"/>
        </w:rPr>
        <w:t> </w:t>
      </w: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年度有关事项的独立意见</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、公司依法运作情况</w:t>
      </w:r>
    </w:p>
    <w:p>
      <w:pPr>
        <w:spacing w:line="357" w:lineRule="auto" w:before="30"/>
        <w:ind w:left="122" w:right="1243" w:firstLine="419"/>
        <w:jc w:val="both"/>
        <w:rPr>
          <w:rFonts w:ascii="宋体" w:hAnsi="宋体" w:cs="宋体" w:eastAsia="宋体" w:hint="default"/>
          <w:sz w:val="21"/>
          <w:szCs w:val="21"/>
        </w:rPr>
      </w:pPr>
      <w:r>
        <w:rPr>
          <w:rFonts w:ascii="宋体" w:hAnsi="宋体" w:cs="宋体" w:eastAsia="宋体" w:hint="default"/>
          <w:spacing w:val="-3"/>
          <w:sz w:val="21"/>
          <w:szCs w:val="21"/>
        </w:rPr>
        <w:t>报告期内，公司依照国家有关法律法规、公司章程的规定以及股东大会、董事会的决议和授权</w:t>
      </w:r>
      <w:r>
        <w:rPr>
          <w:rFonts w:ascii="宋体" w:hAnsi="宋体" w:cs="宋体" w:eastAsia="宋体" w:hint="default"/>
          <w:w w:val="100"/>
          <w:sz w:val="21"/>
          <w:szCs w:val="21"/>
        </w:rPr>
        <w:t> </w:t>
      </w:r>
      <w:r>
        <w:rPr>
          <w:rFonts w:ascii="宋体" w:hAnsi="宋体" w:cs="宋体" w:eastAsia="宋体" w:hint="default"/>
          <w:spacing w:val="-3"/>
          <w:sz w:val="21"/>
          <w:szCs w:val="21"/>
        </w:rPr>
        <w:t>运作，法人治理结构和内部控制制度比较合理规范；公司重大决策科学合理，决策程序合法；公司</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董事、高级管理人员执行职务时能够勤勉尽责，没有发现违反法律法规、公司章程或损害公司利益</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和股东合法权益的行为。对此，监事会表示肯定，并希望董事及高级管理人员在今后的重大决策、</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经营管理过程中，进一步规范运作，防止出现损害公司利益和股东利益的行为。</w:t>
      </w:r>
    </w:p>
    <w:p>
      <w:pPr>
        <w:spacing w:line="357" w:lineRule="auto"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、检查公司财务情况</w:t>
      </w:r>
      <w:r>
        <w:rPr>
          <w:rFonts w:ascii="宋体" w:hAnsi="宋体" w:cs="宋体" w:eastAsia="宋体" w:hint="default"/>
          <w:w w:val="100"/>
          <w:sz w:val="21"/>
          <w:szCs w:val="21"/>
        </w:rPr>
        <w:t> </w:t>
      </w:r>
      <w:r>
        <w:rPr>
          <w:rFonts w:ascii="宋体" w:hAnsi="宋体" w:cs="宋体" w:eastAsia="宋体" w:hint="default"/>
          <w:spacing w:val="-3"/>
          <w:sz w:val="21"/>
          <w:szCs w:val="21"/>
        </w:rPr>
        <w:t>报告期内，监事会对公司财务制度及财务状况进行了检查和审核，认为公司财务管理、内控制</w:t>
      </w:r>
    </w:p>
    <w:p>
      <w:pPr>
        <w:spacing w:line="355" w:lineRule="auto" w:before="30"/>
        <w:ind w:left="122" w:right="1274" w:firstLine="0"/>
        <w:jc w:val="left"/>
        <w:rPr>
          <w:rFonts w:ascii="宋体" w:hAnsi="宋体" w:cs="宋体" w:eastAsia="宋体" w:hint="default"/>
          <w:sz w:val="21"/>
          <w:szCs w:val="21"/>
        </w:rPr>
      </w:pPr>
      <w:r>
        <w:rPr>
          <w:rFonts w:ascii="宋体" w:hAnsi="宋体" w:cs="宋体" w:eastAsia="宋体" w:hint="default"/>
          <w:spacing w:val="-3"/>
          <w:sz w:val="21"/>
          <w:szCs w:val="21"/>
        </w:rPr>
        <w:t>度健全，会计无重大遗漏和虚假记载，公司财务状况、经营成果良好。财务报告真实、客观地反映</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了公司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年度的财务状况和经营成果。</w:t>
      </w:r>
    </w:p>
    <w:p>
      <w:pPr>
        <w:spacing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、募投资金使用情况</w:t>
      </w:r>
    </w:p>
    <w:p>
      <w:pPr>
        <w:spacing w:line="355" w:lineRule="auto" w:before="135"/>
        <w:ind w:left="122" w:right="1277" w:firstLine="419"/>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8"/>
          <w:sz w:val="21"/>
          <w:szCs w:val="21"/>
        </w:rPr>
        <w:t> </w:t>
      </w:r>
      <w:r>
        <w:rPr>
          <w:rFonts w:ascii="宋体" w:hAnsi="宋体" w:cs="宋体" w:eastAsia="宋体" w:hint="default"/>
          <w:spacing w:val="-4"/>
          <w:sz w:val="21"/>
          <w:szCs w:val="21"/>
        </w:rPr>
        <w:t>年公司增发股票后，开立了募集资金专户，将募集资金专户存贮，并与保荐机构和银行签</w:t>
      </w:r>
      <w:r>
        <w:rPr>
          <w:rFonts w:ascii="宋体" w:hAnsi="宋体" w:cs="宋体" w:eastAsia="宋体" w:hint="default"/>
          <w:w w:val="100"/>
          <w:sz w:val="21"/>
          <w:szCs w:val="21"/>
        </w:rPr>
        <w:t> </w:t>
      </w:r>
      <w:r>
        <w:rPr>
          <w:rFonts w:ascii="宋体" w:hAnsi="宋体" w:cs="宋体" w:eastAsia="宋体" w:hint="default"/>
          <w:spacing w:val="-2"/>
          <w:w w:val="100"/>
          <w:sz w:val="21"/>
          <w:szCs w:val="21"/>
        </w:rPr>
        <w:t>订了《三方监管协议》。在报告期内，经董事会和股东大会审议，公司利用闲置募集资金暂时补充</w:t>
      </w:r>
      <w:r>
        <w:rPr>
          <w:rFonts w:ascii="宋体" w:hAnsi="宋体" w:cs="宋体" w:eastAsia="宋体" w:hint="default"/>
          <w:w w:val="100"/>
          <w:sz w:val="21"/>
          <w:szCs w:val="21"/>
        </w:rPr>
        <w:t> </w:t>
      </w:r>
      <w:r>
        <w:rPr>
          <w:rFonts w:ascii="宋体" w:hAnsi="宋体" w:cs="宋体" w:eastAsia="宋体" w:hint="default"/>
          <w:spacing w:val="-3"/>
          <w:sz w:val="21"/>
          <w:szCs w:val="21"/>
        </w:rPr>
        <w:t>流动资金，期限未超过</w:t>
      </w:r>
      <w:r>
        <w:rPr>
          <w:rFonts w:ascii="宋体" w:hAnsi="宋体" w:cs="宋体" w:eastAsia="宋体" w:hint="default"/>
          <w:spacing w:val="-18"/>
          <w:sz w:val="21"/>
          <w:szCs w:val="21"/>
        </w:rPr>
        <w:t> </w:t>
      </w:r>
      <w:r>
        <w:rPr>
          <w:rFonts w:ascii="宋体" w:hAnsi="宋体" w:cs="宋体" w:eastAsia="宋体" w:hint="default"/>
          <w:sz w:val="21"/>
          <w:szCs w:val="21"/>
        </w:rPr>
        <w:t>6</w:t>
      </w:r>
      <w:r>
        <w:rPr>
          <w:rFonts w:ascii="宋体" w:hAnsi="宋体" w:cs="宋体" w:eastAsia="宋体" w:hint="default"/>
          <w:spacing w:val="-20"/>
          <w:sz w:val="21"/>
          <w:szCs w:val="21"/>
        </w:rPr>
        <w:t> </w:t>
      </w:r>
      <w:r>
        <w:rPr>
          <w:rFonts w:ascii="宋体" w:hAnsi="宋体" w:cs="宋体" w:eastAsia="宋体" w:hint="default"/>
          <w:spacing w:val="-3"/>
          <w:sz w:val="21"/>
          <w:szCs w:val="21"/>
        </w:rPr>
        <w:t>个月，到期后及时归还募集资金专户。监事会认为公司在募集资金使用方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面符合《募集资金管理办法》的规定，未发现违规使用募集资金的情况。</w:t>
      </w:r>
    </w:p>
    <w:p>
      <w:pPr>
        <w:spacing w:before="32"/>
        <w:ind w:left="542"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、公司收购、出售资产的情况</w:t>
      </w:r>
    </w:p>
    <w:p>
      <w:pPr>
        <w:spacing w:line="357" w:lineRule="auto" w:before="135"/>
        <w:ind w:left="122" w:right="1280" w:firstLine="419"/>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0"/>
          <w:sz w:val="21"/>
          <w:szCs w:val="21"/>
        </w:rPr>
        <w:t> </w:t>
      </w:r>
      <w:r>
        <w:rPr>
          <w:rFonts w:ascii="宋体" w:hAnsi="宋体" w:cs="宋体" w:eastAsia="宋体" w:hint="default"/>
          <w:spacing w:val="-4"/>
          <w:sz w:val="21"/>
          <w:szCs w:val="21"/>
        </w:rPr>
        <w:t>年度公司未发生重大收购、出售资产的情况，因此不存在内幕交易、公司资产流失等损害</w:t>
      </w:r>
      <w:r>
        <w:rPr>
          <w:rFonts w:ascii="宋体" w:hAnsi="宋体" w:cs="宋体" w:eastAsia="宋体" w:hint="default"/>
          <w:w w:val="100"/>
          <w:sz w:val="21"/>
          <w:szCs w:val="21"/>
        </w:rPr>
        <w:t> </w:t>
      </w:r>
      <w:r>
        <w:rPr>
          <w:rFonts w:ascii="宋体" w:hAnsi="宋体" w:cs="宋体" w:eastAsia="宋体" w:hint="default"/>
          <w:sz w:val="21"/>
          <w:szCs w:val="21"/>
        </w:rPr>
        <w:t>公司股东权益情况的发生。</w:t>
      </w:r>
    </w:p>
    <w:p>
      <w:pPr>
        <w:spacing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、关联交易情况</w:t>
      </w:r>
    </w:p>
    <w:p>
      <w:pPr>
        <w:spacing w:line="357" w:lineRule="auto" w:before="133"/>
        <w:ind w:left="122" w:right="1277" w:firstLine="419"/>
        <w:jc w:val="both"/>
        <w:rPr>
          <w:rFonts w:ascii="宋体" w:hAnsi="宋体" w:cs="宋体" w:eastAsia="宋体" w:hint="default"/>
          <w:sz w:val="21"/>
          <w:szCs w:val="21"/>
        </w:rPr>
      </w:pPr>
      <w:r>
        <w:rPr>
          <w:rFonts w:ascii="宋体" w:hAnsi="宋体" w:cs="宋体" w:eastAsia="宋体" w:hint="default"/>
          <w:sz w:val="21"/>
          <w:szCs w:val="21"/>
        </w:rPr>
        <w:t>监事会对公司</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年度发生的关联交易进行了监督，</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年度，公司与控股股东及其关联方</w:t>
      </w:r>
      <w:r>
        <w:rPr>
          <w:rFonts w:ascii="宋体" w:hAnsi="宋体" w:cs="宋体" w:eastAsia="宋体" w:hint="default"/>
          <w:w w:val="100"/>
          <w:sz w:val="21"/>
          <w:szCs w:val="21"/>
        </w:rPr>
        <w:t> </w:t>
      </w:r>
      <w:r>
        <w:rPr>
          <w:rFonts w:ascii="宋体" w:hAnsi="宋体" w:cs="宋体" w:eastAsia="宋体" w:hint="default"/>
          <w:sz w:val="21"/>
          <w:szCs w:val="21"/>
        </w:rPr>
        <w:t>未发生经常性关联交易，发生偶发性关联交易</w:t>
      </w:r>
      <w:r>
        <w:rPr>
          <w:rFonts w:ascii="宋体" w:hAnsi="宋体" w:cs="宋体" w:eastAsia="宋体" w:hint="default"/>
          <w:spacing w:val="-47"/>
          <w:sz w:val="21"/>
          <w:szCs w:val="21"/>
        </w:rPr>
        <w:t> </w:t>
      </w:r>
      <w:r>
        <w:rPr>
          <w:rFonts w:ascii="宋体" w:hAnsi="宋体" w:cs="宋体" w:eastAsia="宋体" w:hint="default"/>
          <w:sz w:val="21"/>
          <w:szCs w:val="21"/>
        </w:rPr>
        <w:t>65.54</w:t>
      </w:r>
      <w:r>
        <w:rPr>
          <w:rFonts w:ascii="宋体" w:hAnsi="宋体" w:cs="宋体" w:eastAsia="宋体" w:hint="default"/>
          <w:spacing w:val="-46"/>
          <w:sz w:val="21"/>
          <w:szCs w:val="21"/>
        </w:rPr>
        <w:t> </w:t>
      </w:r>
      <w:r>
        <w:rPr>
          <w:rFonts w:ascii="宋体" w:hAnsi="宋体" w:cs="宋体" w:eastAsia="宋体" w:hint="default"/>
          <w:spacing w:val="-3"/>
          <w:sz w:val="21"/>
          <w:szCs w:val="21"/>
        </w:rPr>
        <w:t>万元，我们认为公司关联金额较小，交易价格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合理，不存在损害公司和其他股东利益的情形。</w:t>
      </w:r>
    </w:p>
    <w:p>
      <w:pPr>
        <w:spacing w:line="355" w:lineRule="auto" w:before="30"/>
        <w:ind w:left="542"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、对外担保情况</w:t>
      </w:r>
      <w:r>
        <w:rPr>
          <w:rFonts w:ascii="宋体" w:hAnsi="宋体" w:cs="宋体" w:eastAsia="宋体" w:hint="default"/>
          <w:w w:val="100"/>
          <w:sz w:val="21"/>
          <w:szCs w:val="21"/>
        </w:rPr>
        <w:t> </w:t>
      </w:r>
      <w:r>
        <w:rPr>
          <w:rFonts w:ascii="宋体" w:hAnsi="宋体" w:cs="宋体" w:eastAsia="宋体" w:hint="default"/>
          <w:spacing w:val="-3"/>
          <w:sz w:val="21"/>
          <w:szCs w:val="21"/>
        </w:rPr>
        <w:t>为促进控股子公司的发展，满足控股子公司对生产经营资金的需求，经公司第三届董事会第四</w:t>
      </w:r>
    </w:p>
    <w:p>
      <w:pPr>
        <w:spacing w:after="0" w:line="355"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2" w:lineRule="auto" w:before="36"/>
        <w:ind w:left="122" w:right="1144" w:firstLine="0"/>
        <w:jc w:val="left"/>
        <w:rPr>
          <w:rFonts w:ascii="宋体" w:hAnsi="宋体" w:cs="宋体" w:eastAsia="宋体" w:hint="default"/>
          <w:sz w:val="21"/>
          <w:szCs w:val="21"/>
        </w:rPr>
      </w:pPr>
      <w:r>
        <w:rPr>
          <w:rFonts w:ascii="宋体" w:hAnsi="宋体" w:cs="宋体" w:eastAsia="宋体" w:hint="default"/>
          <w:sz w:val="21"/>
          <w:szCs w:val="21"/>
        </w:rPr>
        <w:t>次会议和 </w:t>
      </w:r>
      <w:r>
        <w:rPr>
          <w:rFonts w:ascii="宋体" w:hAnsi="宋体" w:cs="宋体" w:eastAsia="宋体" w:hint="default"/>
          <w:sz w:val="21"/>
          <w:szCs w:val="21"/>
        </w:rPr>
        <w:t>2009</w:t>
      </w:r>
      <w:r>
        <w:rPr>
          <w:rFonts w:ascii="宋体" w:hAnsi="宋体" w:cs="宋体" w:eastAsia="宋体" w:hint="default"/>
          <w:spacing w:val="-39"/>
          <w:sz w:val="21"/>
          <w:szCs w:val="21"/>
        </w:rPr>
        <w:t> </w:t>
      </w:r>
      <w:r>
        <w:rPr>
          <w:rFonts w:ascii="宋体" w:hAnsi="宋体" w:cs="宋体" w:eastAsia="宋体" w:hint="default"/>
          <w:sz w:val="21"/>
          <w:szCs w:val="21"/>
        </w:rPr>
        <w:t>年度第二次临时股东大会审议，公司为招商银行向北京东港安全印刷有限公司、北</w:t>
      </w:r>
      <w:r>
        <w:rPr>
          <w:rFonts w:ascii="宋体" w:hAnsi="宋体" w:cs="宋体" w:eastAsia="宋体" w:hint="default"/>
          <w:w w:val="100"/>
          <w:sz w:val="21"/>
          <w:szCs w:val="21"/>
        </w:rPr>
        <w:t> </w:t>
      </w:r>
      <w:r>
        <w:rPr>
          <w:rFonts w:ascii="宋体" w:hAnsi="宋体" w:cs="宋体" w:eastAsia="宋体" w:hint="default"/>
          <w:spacing w:val="-3"/>
          <w:sz w:val="21"/>
          <w:szCs w:val="21"/>
        </w:rPr>
        <w:t>京东港嘉华安全信息技术有限公司、广州东港安全印刷有限公司、上海东港安全印刷有限公司提供</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的总额为 </w:t>
      </w:r>
      <w:r>
        <w:rPr>
          <w:rFonts w:ascii="Times New Roman" w:hAnsi="Times New Roman" w:cs="Times New Roman" w:eastAsia="Times New Roman" w:hint="default"/>
          <w:sz w:val="21"/>
          <w:szCs w:val="21"/>
        </w:rPr>
        <w:t>10000 </w:t>
      </w:r>
      <w:r>
        <w:rPr>
          <w:rFonts w:ascii="宋体" w:hAnsi="宋体" w:cs="宋体" w:eastAsia="宋体" w:hint="default"/>
          <w:spacing w:val="-6"/>
          <w:sz w:val="21"/>
          <w:szCs w:val="21"/>
        </w:rPr>
        <w:t>万元的授信额度，提供连带保证责任，担保期限为两年。监事会认为上述担保事项，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履行了合法程序，体现了诚信、公平、公正的原则，不存在损害公司和股东、特别是中小股东利益</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的行为。</w:t>
      </w:r>
    </w:p>
    <w:p>
      <w:pPr>
        <w:spacing w:before="34"/>
        <w:ind w:left="542"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、内部控制情况</w:t>
      </w:r>
    </w:p>
    <w:p>
      <w:pPr>
        <w:spacing w:line="357" w:lineRule="auto" w:before="133"/>
        <w:ind w:left="1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监事会审议了董事会编制的《</w:t>
      </w:r>
      <w:r>
        <w:rPr>
          <w:rFonts w:ascii="宋体" w:hAnsi="宋体" w:cs="宋体" w:eastAsia="宋体" w:hint="default"/>
          <w:spacing w:val="-3"/>
          <w:sz w:val="21"/>
          <w:szCs w:val="21"/>
        </w:rPr>
        <w:t>2011</w:t>
      </w:r>
      <w:r>
        <w:rPr>
          <w:rFonts w:ascii="宋体" w:hAnsi="宋体" w:cs="宋体" w:eastAsia="宋体" w:hint="default"/>
          <w:spacing w:val="-9"/>
          <w:sz w:val="21"/>
          <w:szCs w:val="21"/>
        </w:rPr>
        <w:t> </w:t>
      </w:r>
      <w:r>
        <w:rPr>
          <w:rFonts w:ascii="宋体" w:hAnsi="宋体" w:cs="宋体" w:eastAsia="宋体" w:hint="default"/>
          <w:spacing w:val="-4"/>
          <w:sz w:val="21"/>
          <w:szCs w:val="21"/>
        </w:rPr>
        <w:t>年内部控制自我评价报告》认为：公司建立了较为完善的内</w:t>
      </w:r>
      <w:r>
        <w:rPr>
          <w:rFonts w:ascii="宋体" w:hAnsi="宋体" w:cs="宋体" w:eastAsia="宋体" w:hint="default"/>
          <w:w w:val="100"/>
          <w:sz w:val="21"/>
          <w:szCs w:val="21"/>
        </w:rPr>
        <w:t> </w:t>
      </w:r>
      <w:r>
        <w:rPr>
          <w:rFonts w:ascii="宋体" w:hAnsi="宋体" w:cs="宋体" w:eastAsia="宋体" w:hint="default"/>
          <w:spacing w:val="-3"/>
          <w:sz w:val="21"/>
          <w:szCs w:val="21"/>
        </w:rPr>
        <w:t>部控制制度体系并能得到有效的执行。公司内部控制的自我评价报告真实、客观地反映了公司内部</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控制制度的建设及运行情况。</w:t>
      </w:r>
    </w:p>
    <w:p>
      <w:pPr>
        <w:spacing w:before="30"/>
        <w:ind w:left="54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、公司建立和实施内幕信息知情人管理制度的情况</w:t>
      </w:r>
    </w:p>
    <w:p>
      <w:pPr>
        <w:spacing w:line="357" w:lineRule="auto" w:before="118"/>
        <w:ind w:left="122" w:right="1277" w:firstLine="419"/>
        <w:jc w:val="both"/>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3</w:t>
      </w:r>
      <w:r>
        <w:rPr>
          <w:rFonts w:ascii="宋体" w:hAnsi="宋体" w:cs="宋体" w:eastAsia="宋体" w:hint="default"/>
          <w:spacing w:val="-50"/>
          <w:w w:val="100"/>
          <w:sz w:val="21"/>
          <w:szCs w:val="21"/>
        </w:rPr>
        <w:t> </w:t>
      </w:r>
      <w:r>
        <w:rPr>
          <w:rFonts w:ascii="宋体" w:hAnsi="宋体" w:cs="宋体" w:eastAsia="宋体" w:hint="default"/>
          <w:spacing w:val="-6"/>
          <w:w w:val="100"/>
          <w:sz w:val="21"/>
          <w:szCs w:val="21"/>
        </w:rPr>
        <w:t>月制定了《内幕信息知情人管理制度》，界定了内幕信息的范围、内幕信息知</w:t>
      </w:r>
      <w:r>
        <w:rPr>
          <w:rFonts w:ascii="宋体" w:hAnsi="宋体" w:cs="宋体" w:eastAsia="宋体" w:hint="default"/>
          <w:w w:val="100"/>
          <w:sz w:val="21"/>
          <w:szCs w:val="21"/>
        </w:rPr>
        <w:t> </w:t>
      </w:r>
      <w:r>
        <w:rPr>
          <w:rFonts w:ascii="宋体" w:hAnsi="宋体" w:cs="宋体" w:eastAsia="宋体" w:hint="default"/>
          <w:spacing w:val="-3"/>
          <w:sz w:val="21"/>
          <w:szCs w:val="21"/>
        </w:rPr>
        <w:t>情人的范围和相关管理制度，并将内幕知情人名单向山东证监局备案。报告期内，公司未发生内幕</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信息知情人在影响公司股价的重大敏感信息披露前利用内幕信息买卖公司股份的情况，也不存在监</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8"/>
          <w:w w:val="100"/>
          <w:sz w:val="21"/>
          <w:szCs w:val="21"/>
        </w:rPr>
        <w:t>管部门的查处和整改情况。公司董事会于</w:t>
      </w:r>
      <w:r>
        <w:rPr>
          <w:rFonts w:ascii="宋体" w:hAnsi="宋体" w:cs="宋体" w:eastAsia="宋体" w:hint="default"/>
          <w:spacing w:val="-56"/>
          <w:w w:val="100"/>
          <w:sz w:val="21"/>
          <w:szCs w:val="21"/>
        </w:rPr>
        <w:t> </w:t>
      </w:r>
      <w:r>
        <w:rPr>
          <w:rFonts w:ascii="宋体" w:hAnsi="宋体" w:cs="宋体" w:eastAsia="宋体" w:hint="default"/>
          <w:spacing w:val="-1"/>
          <w:w w:val="100"/>
          <w:sz w:val="21"/>
          <w:szCs w:val="21"/>
        </w:rPr>
        <w:t>2012</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宋体" w:hAnsi="宋体" w:cs="宋体" w:eastAsia="宋体" w:hint="default"/>
          <w:w w:val="100"/>
          <w:sz w:val="21"/>
          <w:szCs w:val="21"/>
        </w:rPr>
        <w:t>28</w:t>
      </w:r>
      <w:r>
        <w:rPr>
          <w:rFonts w:ascii="宋体" w:hAnsi="宋体" w:cs="宋体" w:eastAsia="宋体" w:hint="default"/>
          <w:spacing w:val="-53"/>
          <w:w w:val="100"/>
          <w:sz w:val="21"/>
          <w:szCs w:val="21"/>
        </w:rPr>
        <w:t> </w:t>
      </w:r>
      <w:r>
        <w:rPr>
          <w:rFonts w:ascii="宋体" w:hAnsi="宋体" w:cs="宋体" w:eastAsia="宋体" w:hint="default"/>
          <w:spacing w:val="-18"/>
          <w:w w:val="100"/>
          <w:sz w:val="21"/>
          <w:szCs w:val="21"/>
        </w:rPr>
        <w:t>日审议修订了《内幕信息知情人管理制度》。</w:t>
      </w:r>
      <w:r>
        <w:rPr>
          <w:rFonts w:ascii="宋体" w:hAnsi="宋体" w:cs="宋体" w:eastAsia="宋体" w:hint="default"/>
          <w:w w:val="100"/>
          <w:sz w:val="21"/>
          <w:szCs w:val="21"/>
        </w:rPr>
      </w:r>
    </w:p>
    <w:p>
      <w:pPr>
        <w:spacing w:after="0" w:line="357" w:lineRule="auto"/>
        <w:jc w:val="both"/>
        <w:rPr>
          <w:rFonts w:ascii="宋体" w:hAnsi="宋体" w:cs="宋体" w:eastAsia="宋体" w:hint="default"/>
          <w:sz w:val="21"/>
          <w:szCs w:val="21"/>
        </w:rPr>
        <w:sectPr>
          <w:pgSz w:w="11910" w:h="16840"/>
          <w:pgMar w:header="737" w:footer="1153" w:top="1060" w:bottom="1340" w:left="1500" w:right="0"/>
        </w:sectPr>
      </w:pPr>
    </w:p>
    <w:p>
      <w:pPr>
        <w:spacing w:line="240" w:lineRule="auto" w:before="1"/>
        <w:rPr>
          <w:rFonts w:ascii="宋体" w:hAnsi="宋体" w:cs="宋体" w:eastAsia="宋体" w:hint="default"/>
          <w:sz w:val="24"/>
          <w:szCs w:val="24"/>
        </w:rPr>
      </w:pPr>
    </w:p>
    <w:p>
      <w:pPr>
        <w:pStyle w:val="Heading1"/>
        <w:tabs>
          <w:tab w:pos="1204" w:val="left" w:leader="none"/>
        </w:tabs>
        <w:spacing w:line="240" w:lineRule="auto"/>
        <w:ind w:right="1163"/>
        <w:jc w:val="center"/>
        <w:rPr>
          <w:b w:val="0"/>
          <w:bCs w:val="0"/>
        </w:rPr>
      </w:pPr>
      <w:bookmarkStart w:name="_TOC_250002" w:id="10"/>
      <w:r>
        <w:rPr>
          <w:w w:val="95"/>
        </w:rPr>
        <w:t>第十节</w:t>
        <w:tab/>
      </w:r>
      <w:r>
        <w:rPr/>
        <w:t>重要事项</w:t>
      </w:r>
      <w:bookmarkEnd w:id="10"/>
      <w:r>
        <w:rPr>
          <w:b w:val="0"/>
          <w:bCs w:val="0"/>
        </w:rPr>
      </w:r>
    </w:p>
    <w:p>
      <w:pPr>
        <w:spacing w:line="820" w:lineRule="atLeast" w:before="70"/>
        <w:ind w:left="122" w:right="4808" w:firstLine="0"/>
        <w:jc w:val="left"/>
        <w:rPr>
          <w:rFonts w:ascii="宋体" w:hAnsi="宋体" w:cs="宋体" w:eastAsia="宋体" w:hint="default"/>
          <w:sz w:val="21"/>
          <w:szCs w:val="21"/>
        </w:rPr>
      </w:pPr>
      <w:r>
        <w:rPr>
          <w:rFonts w:ascii="宋体" w:hAnsi="宋体" w:cs="宋体" w:eastAsia="宋体" w:hint="default"/>
          <w:b/>
          <w:bCs/>
          <w:sz w:val="21"/>
          <w:szCs w:val="21"/>
        </w:rPr>
        <w:t>一、报告期内公司未发生重大诉讼、仲裁事项</w:t>
      </w:r>
      <w:r>
        <w:rPr>
          <w:rFonts w:ascii="宋体" w:hAnsi="宋体" w:cs="宋体" w:eastAsia="宋体" w:hint="default"/>
          <w:b/>
          <w:bCs/>
          <w:w w:val="100"/>
          <w:sz w:val="21"/>
          <w:szCs w:val="21"/>
        </w:rPr>
        <w:t> </w:t>
      </w:r>
      <w:r>
        <w:rPr>
          <w:rFonts w:ascii="宋体" w:hAnsi="宋体" w:cs="宋体" w:eastAsia="宋体" w:hint="default"/>
          <w:b/>
          <w:bCs/>
          <w:spacing w:val="-1"/>
          <w:sz w:val="21"/>
          <w:szCs w:val="21"/>
        </w:rPr>
        <w:t>二、控股股东及其关联方占用上市公司资金的情况。</w:t>
      </w:r>
      <w:r>
        <w:rPr>
          <w:rFonts w:ascii="宋体" w:hAnsi="宋体" w:cs="宋体" w:eastAsia="宋体" w:hint="default"/>
          <w:spacing w:val="-1"/>
          <w:sz w:val="21"/>
          <w:szCs w:val="21"/>
        </w:rPr>
      </w:r>
    </w:p>
    <w:p>
      <w:pPr>
        <w:spacing w:line="357" w:lineRule="auto" w:before="133"/>
        <w:ind w:left="122" w:right="1279" w:firstLine="419"/>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9"/>
          <w:sz w:val="21"/>
          <w:szCs w:val="21"/>
        </w:rPr>
        <w:t> </w:t>
      </w:r>
      <w:r>
        <w:rPr>
          <w:rFonts w:ascii="宋体" w:hAnsi="宋体" w:cs="宋体" w:eastAsia="宋体" w:hint="default"/>
          <w:spacing w:val="-4"/>
          <w:sz w:val="21"/>
          <w:szCs w:val="21"/>
        </w:rPr>
        <w:t>年度公司控股股东及其关联方不存在违规占用公司资金情况，也不存在通过借款、违规担</w:t>
      </w:r>
      <w:r>
        <w:rPr>
          <w:rFonts w:ascii="宋体" w:hAnsi="宋体" w:cs="宋体" w:eastAsia="宋体" w:hint="default"/>
          <w:w w:val="100"/>
          <w:sz w:val="21"/>
          <w:szCs w:val="21"/>
        </w:rPr>
        <w:t> </w:t>
      </w:r>
      <w:r>
        <w:rPr>
          <w:rFonts w:ascii="宋体" w:hAnsi="宋体" w:cs="宋体" w:eastAsia="宋体" w:hint="default"/>
          <w:spacing w:val="-3"/>
          <w:sz w:val="21"/>
          <w:szCs w:val="21"/>
        </w:rPr>
        <w:t>保、要求公司为其支付或垫付工资、福利、保险、广告等费用或其他支出等方式占用公司资金的情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况，也没有发生过高价置入公司资产、关联交易非关联化、假投资真占用、假采购真占用等方式变</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相或隐性占用公司资金的情形。</w:t>
      </w:r>
    </w:p>
    <w:p>
      <w:pPr>
        <w:spacing w:line="818" w:lineRule="exact" w:before="29"/>
        <w:ind w:left="122" w:right="4808" w:firstLine="0"/>
        <w:jc w:val="left"/>
        <w:rPr>
          <w:rFonts w:ascii="宋体" w:hAnsi="宋体" w:cs="宋体" w:eastAsia="宋体" w:hint="default"/>
          <w:sz w:val="21"/>
          <w:szCs w:val="21"/>
        </w:rPr>
      </w:pPr>
      <w:r>
        <w:rPr>
          <w:rFonts w:ascii="宋体" w:hAnsi="宋体" w:cs="宋体" w:eastAsia="宋体" w:hint="default"/>
          <w:b/>
          <w:bCs/>
          <w:spacing w:val="-1"/>
          <w:sz w:val="21"/>
          <w:szCs w:val="21"/>
        </w:rPr>
        <w:t>三、报告期内公司无重大收购及出售资产、吸收合并事项</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b/>
          <w:bCs/>
          <w:sz w:val="21"/>
          <w:szCs w:val="21"/>
        </w:rPr>
        <w:t>四、报告期内实施股权激励计划的情况</w:t>
      </w:r>
      <w:r>
        <w:rPr>
          <w:rFonts w:ascii="宋体" w:hAnsi="宋体" w:cs="宋体" w:eastAsia="宋体" w:hint="default"/>
          <w:sz w:val="21"/>
          <w:szCs w:val="21"/>
        </w:rPr>
      </w:r>
    </w:p>
    <w:p>
      <w:pPr>
        <w:spacing w:line="274" w:lineRule="exact" w:before="0"/>
        <w:ind w:left="602" w:right="0" w:firstLine="0"/>
        <w:jc w:val="left"/>
        <w:rPr>
          <w:rFonts w:ascii="宋体" w:hAnsi="宋体" w:cs="宋体" w:eastAsia="宋体" w:hint="default"/>
          <w:sz w:val="21"/>
          <w:szCs w:val="21"/>
        </w:rPr>
      </w:pPr>
      <w:r>
        <w:rPr>
          <w:rFonts w:ascii="宋体" w:hAnsi="宋体" w:cs="宋体" w:eastAsia="宋体" w:hint="default"/>
          <w:sz w:val="21"/>
          <w:szCs w:val="21"/>
        </w:rPr>
        <w:t>（一）公司股权激励计划简述</w:t>
      </w:r>
    </w:p>
    <w:p>
      <w:pPr>
        <w:spacing w:line="355" w:lineRule="auto" w:before="133"/>
        <w:ind w:left="122" w:right="1274" w:firstLine="479"/>
        <w:jc w:val="left"/>
        <w:rPr>
          <w:rFonts w:ascii="宋体" w:hAnsi="宋体" w:cs="宋体" w:eastAsia="宋体" w:hint="default"/>
          <w:sz w:val="21"/>
          <w:szCs w:val="21"/>
        </w:rPr>
      </w:pPr>
      <w:r>
        <w:rPr>
          <w:rFonts w:ascii="宋体" w:hAnsi="宋体" w:cs="宋体" w:eastAsia="宋体" w:hint="default"/>
          <w:w w:val="100"/>
          <w:sz w:val="21"/>
          <w:szCs w:val="21"/>
        </w:rPr>
        <w:t>《东</w:t>
      </w:r>
      <w:r>
        <w:rPr>
          <w:rFonts w:ascii="宋体" w:hAnsi="宋体" w:cs="宋体" w:eastAsia="宋体" w:hint="default"/>
          <w:spacing w:val="-3"/>
          <w:w w:val="100"/>
          <w:sz w:val="21"/>
          <w:szCs w:val="21"/>
        </w:rPr>
        <w:t>港</w:t>
      </w:r>
      <w:r>
        <w:rPr>
          <w:rFonts w:ascii="宋体" w:hAnsi="宋体" w:cs="宋体" w:eastAsia="宋体" w:hint="default"/>
          <w:w w:val="100"/>
          <w:sz w:val="21"/>
          <w:szCs w:val="21"/>
        </w:rPr>
        <w:t>安</w:t>
      </w:r>
      <w:r>
        <w:rPr>
          <w:rFonts w:ascii="宋体" w:hAnsi="宋体" w:cs="宋体" w:eastAsia="宋体" w:hint="default"/>
          <w:spacing w:val="-3"/>
          <w:w w:val="100"/>
          <w:sz w:val="21"/>
          <w:szCs w:val="21"/>
        </w:rPr>
        <w:t>全</w:t>
      </w:r>
      <w:r>
        <w:rPr>
          <w:rFonts w:ascii="宋体" w:hAnsi="宋体" w:cs="宋体" w:eastAsia="宋体" w:hint="default"/>
          <w:w w:val="100"/>
          <w:sz w:val="21"/>
          <w:szCs w:val="21"/>
        </w:rPr>
        <w:t>印</w:t>
      </w:r>
      <w:r>
        <w:rPr>
          <w:rFonts w:ascii="宋体" w:hAnsi="宋体" w:cs="宋体" w:eastAsia="宋体" w:hint="default"/>
          <w:spacing w:val="-3"/>
          <w:w w:val="100"/>
          <w:sz w:val="21"/>
          <w:szCs w:val="21"/>
        </w:rPr>
        <w:t>刷</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性</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w:t>
      </w:r>
      <w:r>
        <w:rPr>
          <w:rFonts w:ascii="宋体" w:hAnsi="宋体" w:cs="宋体" w:eastAsia="宋体" w:hint="default"/>
          <w:spacing w:val="-27"/>
          <w:w w:val="100"/>
          <w:sz w:val="21"/>
          <w:szCs w:val="21"/>
        </w:rPr>
        <w:t>划</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w w:val="100"/>
          <w:sz w:val="21"/>
          <w:szCs w:val="21"/>
        </w:rPr>
        <w:t>稿</w:t>
      </w:r>
      <w:r>
        <w:rPr>
          <w:rFonts w:ascii="宋体" w:hAnsi="宋体" w:cs="宋体" w:eastAsia="宋体" w:hint="default"/>
          <w:spacing w:val="-106"/>
          <w:w w:val="100"/>
          <w:sz w:val="21"/>
          <w:szCs w:val="21"/>
        </w:rPr>
        <w:t>）</w:t>
      </w:r>
      <w:r>
        <w:rPr>
          <w:rFonts w:ascii="宋体" w:hAnsi="宋体" w:cs="宋体" w:eastAsia="宋体" w:hint="default"/>
          <w:spacing w:val="-27"/>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摘</w:t>
      </w:r>
      <w:r>
        <w:rPr>
          <w:rFonts w:ascii="宋体" w:hAnsi="宋体" w:cs="宋体" w:eastAsia="宋体" w:hint="default"/>
          <w:spacing w:val="-25"/>
          <w:w w:val="100"/>
          <w:sz w:val="21"/>
          <w:szCs w:val="21"/>
        </w:rPr>
        <w:t>要</w:t>
      </w:r>
      <w:r>
        <w:rPr>
          <w:rFonts w:ascii="宋体" w:hAnsi="宋体" w:cs="宋体" w:eastAsia="宋体" w:hint="default"/>
          <w:spacing w:val="-2"/>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3"/>
          <w:w w:val="100"/>
          <w:sz w:val="21"/>
          <w:szCs w:val="21"/>
        </w:rPr>
        <w:t>称</w:t>
      </w:r>
      <w:r>
        <w:rPr>
          <w:rFonts w:ascii="宋体" w:hAnsi="宋体" w:cs="宋体" w:eastAsia="宋体" w:hint="default"/>
          <w:spacing w:val="-130"/>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激</w:t>
      </w:r>
      <w:r>
        <w:rPr>
          <w:rFonts w:ascii="宋体" w:hAnsi="宋体" w:cs="宋体" w:eastAsia="宋体" w:hint="default"/>
          <w:w w:val="100"/>
          <w:sz w:val="21"/>
          <w:szCs w:val="21"/>
        </w:rPr>
        <w:t>励计</w:t>
      </w:r>
      <w:r>
        <w:rPr>
          <w:rFonts w:ascii="宋体" w:hAnsi="宋体" w:cs="宋体" w:eastAsia="宋体" w:hint="default"/>
          <w:w w:val="100"/>
          <w:sz w:val="21"/>
          <w:szCs w:val="21"/>
        </w:rPr>
        <w:t> 划</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，主</w:t>
      </w:r>
      <w:r>
        <w:rPr>
          <w:rFonts w:ascii="宋体" w:hAnsi="宋体" w:cs="宋体" w:eastAsia="宋体" w:hint="default"/>
          <w:spacing w:val="-3"/>
          <w:w w:val="100"/>
          <w:sz w:val="21"/>
          <w:szCs w:val="21"/>
        </w:rPr>
        <w:t>要</w:t>
      </w:r>
      <w:r>
        <w:rPr>
          <w:rFonts w:ascii="宋体" w:hAnsi="宋体" w:cs="宋体" w:eastAsia="宋体" w:hint="default"/>
          <w:w w:val="100"/>
          <w:sz w:val="21"/>
          <w:szCs w:val="21"/>
        </w:rPr>
        <w:t>内</w:t>
      </w:r>
      <w:r>
        <w:rPr>
          <w:rFonts w:ascii="宋体" w:hAnsi="宋体" w:cs="宋体" w:eastAsia="宋体" w:hint="default"/>
          <w:spacing w:val="-3"/>
          <w:w w:val="100"/>
          <w:sz w:val="21"/>
          <w:szCs w:val="21"/>
        </w:rPr>
        <w:t>容</w:t>
      </w:r>
      <w:r>
        <w:rPr>
          <w:rFonts w:ascii="宋体" w:hAnsi="宋体" w:cs="宋体" w:eastAsia="宋体" w:hint="default"/>
          <w:w w:val="100"/>
          <w:sz w:val="21"/>
          <w:szCs w:val="21"/>
        </w:rPr>
        <w:t>如</w:t>
      </w:r>
      <w:r>
        <w:rPr>
          <w:rFonts w:ascii="宋体" w:hAnsi="宋体" w:cs="宋体" w:eastAsia="宋体" w:hint="default"/>
          <w:spacing w:val="-3"/>
          <w:w w:val="100"/>
          <w:sz w:val="21"/>
          <w:szCs w:val="21"/>
        </w:rPr>
        <w:t>下</w:t>
      </w:r>
      <w:r>
        <w:rPr>
          <w:rFonts w:ascii="宋体" w:hAnsi="宋体" w:cs="宋体" w:eastAsia="宋体" w:hint="default"/>
          <w:w w:val="100"/>
          <w:sz w:val="21"/>
          <w:szCs w:val="21"/>
        </w:rPr>
        <w:t>：</w:t>
      </w:r>
    </w:p>
    <w:p>
      <w:pPr>
        <w:spacing w:before="32"/>
        <w:ind w:left="60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、标的种类：激励计划拟授予激励对象的标的股票为东港股份限制性股票。</w:t>
      </w:r>
    </w:p>
    <w:p>
      <w:pPr>
        <w:spacing w:line="357" w:lineRule="auto" w:before="135"/>
        <w:ind w:left="122" w:right="1274" w:firstLine="479"/>
        <w:jc w:val="lef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、标的股票来源：激励计划拟授予激励对象的标的股票的来源为向激励对象定向发行人民币</w:t>
      </w:r>
      <w:r>
        <w:rPr>
          <w:rFonts w:ascii="宋体" w:hAnsi="宋体" w:cs="宋体" w:eastAsia="宋体" w:hint="default"/>
          <w:w w:val="100"/>
          <w:sz w:val="21"/>
          <w:szCs w:val="21"/>
        </w:rPr>
        <w:t> </w:t>
      </w:r>
      <w:r>
        <w:rPr>
          <w:rFonts w:ascii="宋体" w:hAnsi="宋体" w:cs="宋体" w:eastAsia="宋体" w:hint="default"/>
          <w:sz w:val="21"/>
          <w:szCs w:val="21"/>
        </w:rPr>
        <w:t>普通股股票。</w:t>
      </w:r>
    </w:p>
    <w:p>
      <w:pPr>
        <w:spacing w:line="355" w:lineRule="auto" w:before="30"/>
        <w:ind w:left="122" w:right="0" w:firstLine="479"/>
        <w:jc w:val="lef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、激励对象：经公司董事会薪酬考核委员会考核并经公司监事会审核，具备本计划激励对象</w:t>
      </w:r>
      <w:r>
        <w:rPr>
          <w:rFonts w:ascii="宋体" w:hAnsi="宋体" w:cs="宋体" w:eastAsia="宋体" w:hint="default"/>
          <w:w w:val="100"/>
          <w:sz w:val="21"/>
          <w:szCs w:val="21"/>
        </w:rPr>
        <w:t> </w:t>
      </w:r>
      <w:r>
        <w:rPr>
          <w:rFonts w:ascii="宋体" w:hAnsi="宋体" w:cs="宋体" w:eastAsia="宋体" w:hint="default"/>
          <w:sz w:val="21"/>
          <w:szCs w:val="21"/>
        </w:rPr>
        <w:t>资格的人员共计</w:t>
      </w:r>
      <w:r>
        <w:rPr>
          <w:rFonts w:ascii="宋体" w:hAnsi="宋体" w:cs="宋体" w:eastAsia="宋体" w:hint="default"/>
          <w:spacing w:val="-53"/>
          <w:sz w:val="21"/>
          <w:szCs w:val="21"/>
        </w:rPr>
        <w:t> </w:t>
      </w:r>
      <w:r>
        <w:rPr>
          <w:rFonts w:ascii="宋体" w:hAnsi="宋体" w:cs="宋体" w:eastAsia="宋体" w:hint="default"/>
          <w:sz w:val="21"/>
          <w:szCs w:val="21"/>
        </w:rPr>
        <w:t>125</w:t>
      </w:r>
      <w:r>
        <w:rPr>
          <w:rFonts w:ascii="宋体" w:hAnsi="宋体" w:cs="宋体" w:eastAsia="宋体" w:hint="default"/>
          <w:spacing w:val="-55"/>
          <w:sz w:val="21"/>
          <w:szCs w:val="21"/>
        </w:rPr>
        <w:t> </w:t>
      </w:r>
      <w:r>
        <w:rPr>
          <w:rFonts w:ascii="宋体" w:hAnsi="宋体" w:cs="宋体" w:eastAsia="宋体" w:hint="default"/>
          <w:sz w:val="21"/>
          <w:szCs w:val="21"/>
        </w:rPr>
        <w:t>人，约占截至</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月末东港股份员工总数</w:t>
      </w:r>
      <w:r>
        <w:rPr>
          <w:rFonts w:ascii="宋体" w:hAnsi="宋体" w:cs="宋体" w:eastAsia="宋体" w:hint="default"/>
          <w:spacing w:val="-53"/>
          <w:sz w:val="21"/>
          <w:szCs w:val="21"/>
        </w:rPr>
        <w:t> </w:t>
      </w:r>
      <w:r>
        <w:rPr>
          <w:rFonts w:ascii="宋体" w:hAnsi="宋体" w:cs="宋体" w:eastAsia="宋体" w:hint="default"/>
          <w:sz w:val="21"/>
          <w:szCs w:val="21"/>
        </w:rPr>
        <w:t>1,281</w:t>
      </w:r>
      <w:r>
        <w:rPr>
          <w:rFonts w:ascii="宋体" w:hAnsi="宋体" w:cs="宋体" w:eastAsia="宋体" w:hint="default"/>
          <w:spacing w:val="-53"/>
          <w:sz w:val="21"/>
          <w:szCs w:val="21"/>
        </w:rPr>
        <w:t> </w:t>
      </w:r>
      <w:r>
        <w:rPr>
          <w:rFonts w:ascii="宋体" w:hAnsi="宋体" w:cs="宋体" w:eastAsia="宋体" w:hint="default"/>
          <w:sz w:val="21"/>
          <w:szCs w:val="21"/>
        </w:rPr>
        <w:t>人的</w:t>
      </w:r>
      <w:r>
        <w:rPr>
          <w:rFonts w:ascii="宋体" w:hAnsi="宋体" w:cs="宋体" w:eastAsia="宋体" w:hint="default"/>
          <w:spacing w:val="-52"/>
          <w:sz w:val="21"/>
          <w:szCs w:val="21"/>
        </w:rPr>
        <w:t> </w:t>
      </w:r>
      <w:r>
        <w:rPr>
          <w:rFonts w:ascii="宋体" w:hAnsi="宋体" w:cs="宋体" w:eastAsia="宋体" w:hint="default"/>
          <w:sz w:val="21"/>
          <w:szCs w:val="21"/>
        </w:rPr>
        <w:t>9.76%</w:t>
      </w:r>
      <w:r>
        <w:rPr>
          <w:rFonts w:ascii="宋体" w:hAnsi="宋体" w:cs="宋体" w:eastAsia="宋体" w:hint="default"/>
          <w:sz w:val="21"/>
          <w:szCs w:val="21"/>
        </w:rPr>
        <w:t>。</w:t>
      </w:r>
    </w:p>
    <w:p>
      <w:pPr>
        <w:spacing w:before="32"/>
        <w:ind w:left="602" w:right="0" w:firstLine="0"/>
        <w:jc w:val="left"/>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、对股份锁定期安排的说明：本计划有效期自标的股票授予日起计算，有效期为 </w:t>
      </w:r>
      <w:r>
        <w:rPr>
          <w:rFonts w:ascii="宋体" w:hAnsi="宋体" w:cs="宋体" w:eastAsia="宋体" w:hint="default"/>
          <w:sz w:val="21"/>
          <w:szCs w:val="21"/>
        </w:rPr>
        <w:t>60</w:t>
      </w:r>
      <w:r>
        <w:rPr>
          <w:rFonts w:ascii="宋体" w:hAnsi="宋体" w:cs="宋体" w:eastAsia="宋体" w:hint="default"/>
          <w:spacing w:val="-30"/>
          <w:sz w:val="21"/>
          <w:szCs w:val="21"/>
        </w:rPr>
        <w:t> </w:t>
      </w:r>
      <w:r>
        <w:rPr>
          <w:rFonts w:ascii="宋体" w:hAnsi="宋体" w:cs="宋体" w:eastAsia="宋体" w:hint="default"/>
          <w:spacing w:val="-7"/>
          <w:sz w:val="21"/>
          <w:szCs w:val="21"/>
        </w:rPr>
        <w:t>个月。公</w:t>
      </w:r>
    </w:p>
    <w:p>
      <w:pPr>
        <w:spacing w:before="135"/>
        <w:ind w:left="122" w:right="0" w:firstLine="0"/>
        <w:jc w:val="both"/>
        <w:rPr>
          <w:rFonts w:ascii="宋体" w:hAnsi="宋体" w:cs="宋体" w:eastAsia="宋体" w:hint="default"/>
          <w:sz w:val="21"/>
          <w:szCs w:val="21"/>
        </w:rPr>
      </w:pPr>
      <w:r>
        <w:rPr>
          <w:rFonts w:ascii="宋体" w:hAnsi="宋体" w:cs="宋体" w:eastAsia="宋体" w:hint="default"/>
          <w:sz w:val="21"/>
          <w:szCs w:val="21"/>
        </w:rPr>
        <w:t>司授予激励对象的限制性股票自授予之日起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个月为禁售期；禁售期内，激励对象通过本计划持</w:t>
      </w:r>
    </w:p>
    <w:p>
      <w:pPr>
        <w:spacing w:line="355" w:lineRule="auto" w:before="133"/>
        <w:ind w:left="122" w:right="1277" w:firstLine="0"/>
        <w:jc w:val="both"/>
        <w:rPr>
          <w:rFonts w:ascii="宋体" w:hAnsi="宋体" w:cs="宋体" w:eastAsia="宋体" w:hint="default"/>
          <w:sz w:val="21"/>
          <w:szCs w:val="21"/>
        </w:rPr>
      </w:pPr>
      <w:r>
        <w:rPr>
          <w:rFonts w:ascii="宋体" w:hAnsi="宋体" w:cs="宋体" w:eastAsia="宋体" w:hint="default"/>
          <w:sz w:val="21"/>
          <w:szCs w:val="21"/>
        </w:rPr>
        <w:t>有的限制性股票将被锁定不得转让。禁售期后 </w:t>
      </w:r>
      <w:r>
        <w:rPr>
          <w:rFonts w:ascii="宋体" w:hAnsi="宋体" w:cs="宋体" w:eastAsia="宋体" w:hint="default"/>
          <w:sz w:val="21"/>
          <w:szCs w:val="21"/>
        </w:rPr>
        <w:t>48</w:t>
      </w:r>
      <w:r>
        <w:rPr>
          <w:rFonts w:ascii="宋体" w:hAnsi="宋体" w:cs="宋体" w:eastAsia="宋体" w:hint="default"/>
          <w:spacing w:val="-40"/>
          <w:sz w:val="21"/>
          <w:szCs w:val="21"/>
        </w:rPr>
        <w:t> </w:t>
      </w:r>
      <w:r>
        <w:rPr>
          <w:rFonts w:ascii="宋体" w:hAnsi="宋体" w:cs="宋体" w:eastAsia="宋体" w:hint="default"/>
          <w:sz w:val="21"/>
          <w:szCs w:val="21"/>
        </w:rPr>
        <w:t>个月为解锁期，在解锁期内，在满足本计划规定</w:t>
      </w:r>
      <w:r>
        <w:rPr>
          <w:rFonts w:ascii="宋体" w:hAnsi="宋体" w:cs="宋体" w:eastAsia="宋体" w:hint="default"/>
          <w:w w:val="100"/>
          <w:sz w:val="21"/>
          <w:szCs w:val="21"/>
        </w:rPr>
        <w:t> </w:t>
      </w:r>
      <w:r>
        <w:rPr>
          <w:rFonts w:ascii="宋体" w:hAnsi="宋体" w:cs="宋体" w:eastAsia="宋体" w:hint="default"/>
          <w:sz w:val="21"/>
          <w:szCs w:val="21"/>
        </w:rPr>
        <w:t>的解锁条件时，激励对象可分四次申请标的股票解锁。自授予日起</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pacing w:val="-3"/>
          <w:sz w:val="21"/>
          <w:szCs w:val="21"/>
        </w:rPr>
        <w:t>个月后、</w:t>
      </w:r>
      <w:r>
        <w:rPr>
          <w:rFonts w:ascii="宋体" w:hAnsi="宋体" w:cs="宋体" w:eastAsia="宋体" w:hint="default"/>
          <w:spacing w:val="-3"/>
          <w:sz w:val="21"/>
          <w:szCs w:val="21"/>
        </w:rPr>
        <w:t>24</w:t>
      </w:r>
      <w:r>
        <w:rPr>
          <w:rFonts w:ascii="宋体" w:hAnsi="宋体" w:cs="宋体" w:eastAsia="宋体" w:hint="default"/>
          <w:spacing w:val="-55"/>
          <w:sz w:val="21"/>
          <w:szCs w:val="21"/>
        </w:rPr>
        <w:t> </w:t>
      </w:r>
      <w:r>
        <w:rPr>
          <w:rFonts w:ascii="宋体" w:hAnsi="宋体" w:cs="宋体" w:eastAsia="宋体" w:hint="default"/>
          <w:spacing w:val="-3"/>
          <w:sz w:val="21"/>
          <w:szCs w:val="21"/>
        </w:rPr>
        <w:t>个月后、</w:t>
      </w:r>
      <w:r>
        <w:rPr>
          <w:rFonts w:ascii="宋体" w:hAnsi="宋体" w:cs="宋体" w:eastAsia="宋体" w:hint="default"/>
          <w:spacing w:val="-3"/>
          <w:sz w:val="21"/>
          <w:szCs w:val="21"/>
        </w:rPr>
        <w:t>36</w:t>
      </w:r>
      <w:r>
        <w:rPr>
          <w:rFonts w:ascii="宋体" w:hAnsi="宋体" w:cs="宋体" w:eastAsia="宋体" w:hint="default"/>
          <w:spacing w:val="-55"/>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后和</w:t>
      </w:r>
      <w:r>
        <w:rPr>
          <w:rFonts w:ascii="宋体" w:hAnsi="宋体" w:cs="宋体" w:eastAsia="宋体" w:hint="default"/>
          <w:spacing w:val="-55"/>
          <w:sz w:val="21"/>
          <w:szCs w:val="21"/>
        </w:rPr>
        <w:t> </w:t>
      </w:r>
      <w:r>
        <w:rPr>
          <w:rFonts w:ascii="宋体" w:hAnsi="宋体" w:cs="宋体" w:eastAsia="宋体" w:hint="default"/>
          <w:sz w:val="21"/>
          <w:szCs w:val="21"/>
        </w:rPr>
        <w:t>48</w:t>
      </w:r>
      <w:r>
        <w:rPr>
          <w:rFonts w:ascii="宋体" w:hAnsi="宋体" w:cs="宋体" w:eastAsia="宋体" w:hint="default"/>
          <w:spacing w:val="-55"/>
          <w:sz w:val="21"/>
          <w:szCs w:val="21"/>
        </w:rPr>
        <w:t> </w:t>
      </w:r>
      <w:r>
        <w:rPr>
          <w:rFonts w:ascii="宋体" w:hAnsi="宋体" w:cs="宋体" w:eastAsia="宋体" w:hint="default"/>
          <w:sz w:val="21"/>
          <w:szCs w:val="21"/>
        </w:rPr>
        <w:t>个月后分别申请解锁所获授限制性股票总量的</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25%</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25%</w:t>
      </w:r>
      <w:r>
        <w:rPr>
          <w:rFonts w:ascii="宋体" w:hAnsi="宋体" w:cs="宋体" w:eastAsia="宋体" w:hint="default"/>
          <w:sz w:val="21"/>
          <w:szCs w:val="21"/>
        </w:rPr>
        <w:t>。</w:t>
      </w:r>
    </w:p>
    <w:p>
      <w:pPr>
        <w:spacing w:before="34"/>
        <w:ind w:left="602"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、解锁条件：</w:t>
      </w:r>
    </w:p>
    <w:p>
      <w:pPr>
        <w:spacing w:before="133"/>
        <w:ind w:left="6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）激励对象每次解锁公司必须满足如下业绩条件：</w:t>
      </w:r>
    </w:p>
    <w:p>
      <w:pPr>
        <w:spacing w:line="355" w:lineRule="auto" w:before="133"/>
        <w:ind w:left="122" w:right="1274" w:firstLine="479"/>
        <w:jc w:val="left"/>
        <w:rPr>
          <w:rFonts w:ascii="宋体" w:hAnsi="宋体" w:cs="宋体" w:eastAsia="宋体" w:hint="default"/>
          <w:sz w:val="21"/>
          <w:szCs w:val="21"/>
        </w:rPr>
      </w:pPr>
      <w:r>
        <w:rPr>
          <w:rFonts w:ascii="宋体" w:hAnsi="宋体" w:cs="宋体" w:eastAsia="宋体" w:hint="default"/>
          <w:spacing w:val="-4"/>
          <w:sz w:val="21"/>
          <w:szCs w:val="21"/>
        </w:rPr>
        <w:t>第一次解锁条件：</w:t>
      </w:r>
      <w:r>
        <w:rPr>
          <w:rFonts w:ascii="宋体" w:hAnsi="宋体" w:cs="宋体" w:eastAsia="宋体" w:hint="default"/>
          <w:spacing w:val="-4"/>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年度相比</w:t>
      </w:r>
      <w:r>
        <w:rPr>
          <w:rFonts w:ascii="宋体" w:hAnsi="宋体" w:cs="宋体" w:eastAsia="宋体" w:hint="default"/>
          <w:spacing w:val="-40"/>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pacing w:val="-5"/>
          <w:sz w:val="21"/>
          <w:szCs w:val="21"/>
        </w:rPr>
        <w:t>年度，净利润增长率不低于</w:t>
      </w:r>
      <w:r>
        <w:rPr>
          <w:rFonts w:ascii="宋体" w:hAnsi="宋体" w:cs="宋体" w:eastAsia="宋体" w:hint="default"/>
          <w:spacing w:val="-40"/>
          <w:sz w:val="21"/>
          <w:szCs w:val="21"/>
        </w:rPr>
        <w:t> </w:t>
      </w:r>
      <w:r>
        <w:rPr>
          <w:rFonts w:ascii="宋体" w:hAnsi="宋体" w:cs="宋体" w:eastAsia="宋体" w:hint="default"/>
          <w:spacing w:val="-4"/>
          <w:sz w:val="21"/>
          <w:szCs w:val="21"/>
        </w:rPr>
        <w:t>8%</w:t>
      </w:r>
      <w:r>
        <w:rPr>
          <w:rFonts w:ascii="宋体" w:hAnsi="宋体" w:cs="宋体" w:eastAsia="宋体" w:hint="default"/>
          <w:spacing w:val="-4"/>
          <w:sz w:val="21"/>
          <w:szCs w:val="21"/>
        </w:rPr>
        <w:t>，且加权平均净资产收益</w:t>
      </w:r>
      <w:r>
        <w:rPr>
          <w:rFonts w:ascii="宋体" w:hAnsi="宋体" w:cs="宋体" w:eastAsia="宋体" w:hint="default"/>
          <w:w w:val="100"/>
          <w:sz w:val="21"/>
          <w:szCs w:val="21"/>
        </w:rPr>
        <w:t> </w:t>
      </w:r>
      <w:r>
        <w:rPr>
          <w:rFonts w:ascii="宋体" w:hAnsi="宋体" w:cs="宋体" w:eastAsia="宋体" w:hint="default"/>
          <w:sz w:val="21"/>
          <w:szCs w:val="21"/>
        </w:rPr>
        <w:t>率不低于</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z w:val="21"/>
          <w:szCs w:val="21"/>
        </w:rPr>
        <w:t>％。</w:t>
      </w:r>
    </w:p>
    <w:p>
      <w:pPr>
        <w:spacing w:line="357" w:lineRule="auto" w:before="32"/>
        <w:ind w:left="122" w:right="1276" w:firstLine="479"/>
        <w:jc w:val="left"/>
        <w:rPr>
          <w:rFonts w:ascii="宋体" w:hAnsi="宋体" w:cs="宋体" w:eastAsia="宋体" w:hint="default"/>
          <w:sz w:val="21"/>
          <w:szCs w:val="21"/>
        </w:rPr>
      </w:pPr>
      <w:r>
        <w:rPr>
          <w:rFonts w:ascii="宋体" w:hAnsi="宋体" w:cs="宋体" w:eastAsia="宋体" w:hint="default"/>
          <w:sz w:val="21"/>
          <w:szCs w:val="21"/>
        </w:rPr>
        <w:t>第二次解锁条件：</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年度相比</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年度，净利润增长率不低于</w:t>
      </w:r>
      <w:r>
        <w:rPr>
          <w:rFonts w:ascii="宋体" w:hAnsi="宋体" w:cs="宋体" w:eastAsia="宋体" w:hint="default"/>
          <w:spacing w:val="-50"/>
          <w:sz w:val="21"/>
          <w:szCs w:val="21"/>
        </w:rPr>
        <w:t> </w:t>
      </w:r>
      <w:r>
        <w:rPr>
          <w:rFonts w:ascii="宋体" w:hAnsi="宋体" w:cs="宋体" w:eastAsia="宋体" w:hint="default"/>
          <w:sz w:val="21"/>
          <w:szCs w:val="21"/>
        </w:rPr>
        <w:t>21%</w:t>
      </w:r>
      <w:r>
        <w:rPr>
          <w:rFonts w:ascii="宋体" w:hAnsi="宋体" w:cs="宋体" w:eastAsia="宋体" w:hint="default"/>
          <w:sz w:val="21"/>
          <w:szCs w:val="21"/>
        </w:rPr>
        <w:t>，且加权平均净资产收</w:t>
      </w:r>
      <w:r>
        <w:rPr>
          <w:rFonts w:ascii="宋体" w:hAnsi="宋体" w:cs="宋体" w:eastAsia="宋体" w:hint="default"/>
          <w:w w:val="100"/>
          <w:sz w:val="21"/>
          <w:szCs w:val="21"/>
        </w:rPr>
        <w:t> </w:t>
      </w:r>
      <w:r>
        <w:rPr>
          <w:rFonts w:ascii="宋体" w:hAnsi="宋体" w:cs="宋体" w:eastAsia="宋体" w:hint="default"/>
          <w:sz w:val="21"/>
          <w:szCs w:val="21"/>
        </w:rPr>
        <w:t>益率不低于</w:t>
      </w:r>
      <w:r>
        <w:rPr>
          <w:rFonts w:ascii="宋体" w:hAnsi="宋体" w:cs="宋体" w:eastAsia="宋体" w:hint="default"/>
          <w:spacing w:val="-52"/>
          <w:sz w:val="21"/>
          <w:szCs w:val="21"/>
        </w:rPr>
        <w:t> </w:t>
      </w:r>
      <w:r>
        <w:rPr>
          <w:rFonts w:ascii="宋体" w:hAnsi="宋体" w:cs="宋体" w:eastAsia="宋体" w:hint="default"/>
          <w:sz w:val="21"/>
          <w:szCs w:val="21"/>
        </w:rPr>
        <w:t>8.5</w:t>
      </w:r>
      <w:r>
        <w:rPr>
          <w:rFonts w:ascii="宋体" w:hAnsi="宋体" w:cs="宋体" w:eastAsia="宋体" w:hint="default"/>
          <w:sz w:val="21"/>
          <w:szCs w:val="21"/>
        </w:rPr>
        <w:t>％。</w:t>
      </w:r>
    </w:p>
    <w:p>
      <w:pPr>
        <w:spacing w:line="355" w:lineRule="auto" w:before="30"/>
        <w:ind w:left="122" w:right="1276" w:firstLine="479"/>
        <w:jc w:val="left"/>
        <w:rPr>
          <w:rFonts w:ascii="宋体" w:hAnsi="宋体" w:cs="宋体" w:eastAsia="宋体" w:hint="default"/>
          <w:sz w:val="21"/>
          <w:szCs w:val="21"/>
        </w:rPr>
      </w:pPr>
      <w:r>
        <w:rPr>
          <w:rFonts w:ascii="宋体" w:hAnsi="宋体" w:cs="宋体" w:eastAsia="宋体" w:hint="default"/>
          <w:sz w:val="21"/>
          <w:szCs w:val="21"/>
        </w:rPr>
        <w:t>第三次解锁条件：</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年度相比</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年度，净利润增长率不低于</w:t>
      </w:r>
      <w:r>
        <w:rPr>
          <w:rFonts w:ascii="宋体" w:hAnsi="宋体" w:cs="宋体" w:eastAsia="宋体" w:hint="default"/>
          <w:spacing w:val="-50"/>
          <w:sz w:val="21"/>
          <w:szCs w:val="21"/>
        </w:rPr>
        <w:t> </w:t>
      </w:r>
      <w:r>
        <w:rPr>
          <w:rFonts w:ascii="宋体" w:hAnsi="宋体" w:cs="宋体" w:eastAsia="宋体" w:hint="default"/>
          <w:sz w:val="21"/>
          <w:szCs w:val="21"/>
        </w:rPr>
        <w:t>36%</w:t>
      </w:r>
      <w:r>
        <w:rPr>
          <w:rFonts w:ascii="宋体" w:hAnsi="宋体" w:cs="宋体" w:eastAsia="宋体" w:hint="default"/>
          <w:sz w:val="21"/>
          <w:szCs w:val="21"/>
        </w:rPr>
        <w:t>，且加权平均净资产收</w:t>
      </w:r>
      <w:r>
        <w:rPr>
          <w:rFonts w:ascii="宋体" w:hAnsi="宋体" w:cs="宋体" w:eastAsia="宋体" w:hint="default"/>
          <w:w w:val="100"/>
          <w:sz w:val="21"/>
          <w:szCs w:val="21"/>
        </w:rPr>
        <w:t> </w:t>
      </w:r>
      <w:r>
        <w:rPr>
          <w:rFonts w:ascii="宋体" w:hAnsi="宋体" w:cs="宋体" w:eastAsia="宋体" w:hint="default"/>
          <w:sz w:val="21"/>
          <w:szCs w:val="21"/>
        </w:rPr>
        <w:t>益率不低于</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z w:val="21"/>
          <w:szCs w:val="21"/>
        </w:rPr>
        <w:t>％。</w:t>
      </w:r>
    </w:p>
    <w:p>
      <w:pPr>
        <w:spacing w:after="0" w:line="355" w:lineRule="auto"/>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line="357" w:lineRule="auto" w:before="36"/>
        <w:ind w:left="122" w:right="1277" w:firstLine="479"/>
        <w:jc w:val="both"/>
        <w:rPr>
          <w:rFonts w:ascii="宋体" w:hAnsi="宋体" w:cs="宋体" w:eastAsia="宋体" w:hint="default"/>
          <w:sz w:val="21"/>
          <w:szCs w:val="21"/>
        </w:rPr>
      </w:pPr>
      <w:r>
        <w:rPr>
          <w:rFonts w:ascii="宋体" w:hAnsi="宋体" w:cs="宋体" w:eastAsia="宋体" w:hint="default"/>
          <w:sz w:val="21"/>
          <w:szCs w:val="21"/>
        </w:rPr>
        <w:t>第四次解锁条件：</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年度相比</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年度，净利润增长率不低于</w:t>
      </w:r>
      <w:r>
        <w:rPr>
          <w:rFonts w:ascii="宋体" w:hAnsi="宋体" w:cs="宋体" w:eastAsia="宋体" w:hint="default"/>
          <w:spacing w:val="-50"/>
          <w:sz w:val="21"/>
          <w:szCs w:val="21"/>
        </w:rPr>
        <w:t> </w:t>
      </w:r>
      <w:r>
        <w:rPr>
          <w:rFonts w:ascii="宋体" w:hAnsi="宋体" w:cs="宋体" w:eastAsia="宋体" w:hint="default"/>
          <w:sz w:val="21"/>
          <w:szCs w:val="21"/>
        </w:rPr>
        <w:t>53%</w:t>
      </w:r>
      <w:r>
        <w:rPr>
          <w:rFonts w:ascii="宋体" w:hAnsi="宋体" w:cs="宋体" w:eastAsia="宋体" w:hint="default"/>
          <w:sz w:val="21"/>
          <w:szCs w:val="21"/>
        </w:rPr>
        <w:t>，且加权平均净资产收</w:t>
      </w:r>
      <w:r>
        <w:rPr>
          <w:rFonts w:ascii="宋体" w:hAnsi="宋体" w:cs="宋体" w:eastAsia="宋体" w:hint="default"/>
          <w:w w:val="100"/>
          <w:sz w:val="21"/>
          <w:szCs w:val="21"/>
        </w:rPr>
        <w:t> </w:t>
      </w:r>
      <w:r>
        <w:rPr>
          <w:rFonts w:ascii="宋体" w:hAnsi="宋体" w:cs="宋体" w:eastAsia="宋体" w:hint="default"/>
          <w:sz w:val="21"/>
          <w:szCs w:val="21"/>
        </w:rPr>
        <w:t>益率不低于</w:t>
      </w:r>
      <w:r>
        <w:rPr>
          <w:rFonts w:ascii="宋体" w:hAnsi="宋体" w:cs="宋体" w:eastAsia="宋体" w:hint="default"/>
          <w:spacing w:val="-52"/>
          <w:sz w:val="21"/>
          <w:szCs w:val="21"/>
        </w:rPr>
        <w:t> </w:t>
      </w:r>
      <w:r>
        <w:rPr>
          <w:rFonts w:ascii="宋体" w:hAnsi="宋体" w:cs="宋体" w:eastAsia="宋体" w:hint="default"/>
          <w:sz w:val="21"/>
          <w:szCs w:val="21"/>
        </w:rPr>
        <w:t>9.5</w:t>
      </w:r>
      <w:r>
        <w:rPr>
          <w:rFonts w:ascii="宋体" w:hAnsi="宋体" w:cs="宋体" w:eastAsia="宋体" w:hint="default"/>
          <w:sz w:val="21"/>
          <w:szCs w:val="21"/>
        </w:rPr>
        <w:t>％。</w:t>
      </w:r>
    </w:p>
    <w:p>
      <w:pPr>
        <w:spacing w:line="357" w:lineRule="auto" w:before="30"/>
        <w:ind w:left="122" w:right="1277" w:firstLine="479"/>
        <w:jc w:val="both"/>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w w:val="100"/>
          <w:sz w:val="21"/>
          <w:szCs w:val="21"/>
        </w:rPr>
        <w:t>,</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净利润指归属于上市公司股东的净利润，以扣除非经常性损益的净利润与不扣除非经常</w:t>
      </w:r>
      <w:r>
        <w:rPr>
          <w:rFonts w:ascii="宋体" w:hAnsi="宋体" w:cs="宋体" w:eastAsia="宋体" w:hint="default"/>
          <w:w w:val="100"/>
          <w:sz w:val="21"/>
          <w:szCs w:val="21"/>
        </w:rPr>
        <w:t> </w:t>
      </w:r>
      <w:r>
        <w:rPr>
          <w:rFonts w:ascii="宋体" w:hAnsi="宋体" w:cs="宋体" w:eastAsia="宋体" w:hint="default"/>
          <w:spacing w:val="-3"/>
          <w:sz w:val="21"/>
          <w:szCs w:val="21"/>
        </w:rPr>
        <w:t>性损益的净利润二者孰低者作为计算依据；加权平均净资产收益率数据以归属于上市公司股东加权</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平均净资产收益率为准，以扣除非经常性损益的净利润与不扣除非经常性损益的净利润二者孰低者</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为依据计算的加权平均净资产收益率。如果公司当年发生公开发行或非公开发行行为，则新增加的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净资产及对应净利润额不计入当年净利润净增加额和净资产的计算。</w:t>
      </w:r>
    </w:p>
    <w:p>
      <w:pPr>
        <w:spacing w:before="32"/>
        <w:ind w:left="6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）满足上述业绩条件之外，激励对象对已获授的限制性股票每次解锁时须同时满足如下条</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件：</w:t>
      </w:r>
    </w:p>
    <w:p>
      <w:pPr>
        <w:spacing w:before="133"/>
        <w:ind w:left="6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）公司未发生《激励计划》</w:t>
      </w:r>
      <w:r>
        <w:rPr>
          <w:rFonts w:ascii="宋体" w:hAnsi="宋体" w:cs="宋体" w:eastAsia="宋体" w:hint="default"/>
          <w:sz w:val="21"/>
          <w:szCs w:val="21"/>
        </w:rPr>
        <w:t>5.3</w:t>
      </w:r>
      <w:r>
        <w:rPr>
          <w:rFonts w:ascii="宋体" w:hAnsi="宋体" w:cs="宋体" w:eastAsia="宋体" w:hint="default"/>
          <w:spacing w:val="-57"/>
          <w:sz w:val="21"/>
          <w:szCs w:val="21"/>
        </w:rPr>
        <w:t> </w:t>
      </w:r>
      <w:r>
        <w:rPr>
          <w:rFonts w:ascii="宋体" w:hAnsi="宋体" w:cs="宋体" w:eastAsia="宋体" w:hint="default"/>
          <w:sz w:val="21"/>
          <w:szCs w:val="21"/>
        </w:rPr>
        <w:t>条规定的情形；</w:t>
      </w:r>
    </w:p>
    <w:p>
      <w:pPr>
        <w:spacing w:before="133"/>
        <w:ind w:left="6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）激励对象未发生《激励计划》</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规定的情形；</w:t>
      </w:r>
    </w:p>
    <w:p>
      <w:pPr>
        <w:spacing w:before="133"/>
        <w:ind w:left="6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）激励对象上一年度考核符合《限制性股票激励计划实施考核管理办法》对激励对象的考</w:t>
      </w:r>
    </w:p>
    <w:p>
      <w:pPr>
        <w:spacing w:before="135"/>
        <w:ind w:left="122" w:right="0" w:firstLine="0"/>
        <w:jc w:val="left"/>
        <w:rPr>
          <w:rFonts w:ascii="宋体" w:hAnsi="宋体" w:cs="宋体" w:eastAsia="宋体" w:hint="default"/>
          <w:sz w:val="21"/>
          <w:szCs w:val="21"/>
        </w:rPr>
      </w:pPr>
      <w:r>
        <w:rPr>
          <w:rFonts w:ascii="宋体" w:hAnsi="宋体" w:cs="宋体" w:eastAsia="宋体" w:hint="default"/>
          <w:sz w:val="21"/>
          <w:szCs w:val="21"/>
        </w:rPr>
        <w:t>核要求。</w:t>
      </w:r>
    </w:p>
    <w:p>
      <w:pPr>
        <w:spacing w:line="355" w:lineRule="auto" w:before="133"/>
        <w:ind w:left="122" w:right="1282" w:firstLine="479"/>
        <w:jc w:val="both"/>
        <w:rPr>
          <w:rFonts w:ascii="宋体" w:hAnsi="宋体" w:cs="宋体" w:eastAsia="宋体" w:hint="default"/>
          <w:sz w:val="21"/>
          <w:szCs w:val="21"/>
        </w:rPr>
      </w:pPr>
      <w:r>
        <w:rPr>
          <w:rFonts w:ascii="宋体" w:hAnsi="宋体" w:cs="宋体" w:eastAsia="宋体" w:hint="default"/>
          <w:spacing w:val="-2"/>
          <w:w w:val="100"/>
          <w:sz w:val="21"/>
          <w:szCs w:val="21"/>
        </w:rPr>
        <w:t>6</w:t>
      </w:r>
      <w:r>
        <w:rPr>
          <w:rFonts w:ascii="宋体" w:hAnsi="宋体" w:cs="宋体" w:eastAsia="宋体" w:hint="default"/>
          <w:spacing w:val="-2"/>
          <w:w w:val="100"/>
          <w:sz w:val="21"/>
          <w:szCs w:val="21"/>
        </w:rPr>
        <w:t>、限制性股票的授予数量及授予价格：《激励计划》授予激励对象的限制性股票数量为</w:t>
      </w:r>
      <w:r>
        <w:rPr>
          <w:rFonts w:ascii="宋体" w:hAnsi="宋体" w:cs="宋体" w:eastAsia="宋体" w:hint="default"/>
          <w:spacing w:val="38"/>
          <w:w w:val="100"/>
          <w:sz w:val="21"/>
          <w:szCs w:val="21"/>
        </w:rPr>
        <w:t> </w:t>
      </w:r>
      <w:r>
        <w:rPr>
          <w:rFonts w:ascii="宋体" w:hAnsi="宋体" w:cs="宋体" w:eastAsia="宋体" w:hint="default"/>
          <w:spacing w:val="-1"/>
          <w:w w:val="100"/>
          <w:sz w:val="21"/>
          <w:szCs w:val="21"/>
        </w:rPr>
        <w:t>232</w:t>
      </w:r>
      <w:r>
        <w:rPr>
          <w:rFonts w:ascii="宋体" w:hAnsi="宋体" w:cs="宋体" w:eastAsia="宋体" w:hint="default"/>
          <w:w w:val="100"/>
          <w:sz w:val="21"/>
          <w:szCs w:val="21"/>
        </w:rPr>
        <w:t> </w:t>
      </w:r>
      <w:r>
        <w:rPr>
          <w:rFonts w:ascii="宋体" w:hAnsi="宋体" w:cs="宋体" w:eastAsia="宋体" w:hint="default"/>
          <w:sz w:val="21"/>
          <w:szCs w:val="21"/>
        </w:rPr>
        <w:t>万股，占公司当前总股本的</w:t>
      </w:r>
      <w:r>
        <w:rPr>
          <w:rFonts w:ascii="宋体" w:hAnsi="宋体" w:cs="宋体" w:eastAsia="宋体" w:hint="default"/>
          <w:spacing w:val="-55"/>
          <w:sz w:val="21"/>
          <w:szCs w:val="21"/>
        </w:rPr>
        <w:t> </w:t>
      </w:r>
      <w:r>
        <w:rPr>
          <w:rFonts w:ascii="宋体" w:hAnsi="宋体" w:cs="宋体" w:eastAsia="宋体" w:hint="default"/>
          <w:sz w:val="21"/>
          <w:szCs w:val="21"/>
        </w:rPr>
        <w:t>1.87%</w:t>
      </w:r>
      <w:r>
        <w:rPr>
          <w:rFonts w:ascii="宋体" w:hAnsi="宋体" w:cs="宋体" w:eastAsia="宋体" w:hint="default"/>
          <w:sz w:val="21"/>
          <w:szCs w:val="21"/>
        </w:rPr>
        <w:t>；授予价格为</w:t>
      </w:r>
      <w:r>
        <w:rPr>
          <w:rFonts w:ascii="宋体" w:hAnsi="宋体" w:cs="宋体" w:eastAsia="宋体" w:hint="default"/>
          <w:spacing w:val="-55"/>
          <w:sz w:val="21"/>
          <w:szCs w:val="21"/>
        </w:rPr>
        <w:t> </w:t>
      </w:r>
      <w:r>
        <w:rPr>
          <w:rFonts w:ascii="宋体" w:hAnsi="宋体" w:cs="宋体" w:eastAsia="宋体" w:hint="default"/>
          <w:sz w:val="21"/>
          <w:szCs w:val="21"/>
        </w:rPr>
        <w:t>9.73</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32"/>
        <w:ind w:left="602" w:right="0" w:firstLine="0"/>
        <w:jc w:val="left"/>
        <w:rPr>
          <w:rFonts w:ascii="宋体" w:hAnsi="宋体" w:cs="宋体" w:eastAsia="宋体" w:hint="default"/>
          <w:sz w:val="21"/>
          <w:szCs w:val="21"/>
        </w:rPr>
      </w:pPr>
      <w:r>
        <w:rPr>
          <w:rFonts w:ascii="宋体" w:hAnsi="宋体" w:cs="宋体" w:eastAsia="宋体" w:hint="default"/>
          <w:sz w:val="21"/>
          <w:szCs w:val="21"/>
        </w:rPr>
        <w:t>（二）已履行的相关审批程序</w:t>
      </w:r>
    </w:p>
    <w:p>
      <w:pPr>
        <w:spacing w:line="357" w:lineRule="auto" w:before="133"/>
        <w:ind w:left="122" w:right="1277" w:firstLine="47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28</w:t>
      </w:r>
      <w:r>
        <w:rPr>
          <w:rFonts w:ascii="宋体" w:hAnsi="宋体" w:cs="宋体" w:eastAsia="宋体" w:hint="default"/>
          <w:spacing w:val="-42"/>
          <w:sz w:val="21"/>
          <w:szCs w:val="21"/>
        </w:rPr>
        <w:t> </w:t>
      </w:r>
      <w:r>
        <w:rPr>
          <w:rFonts w:ascii="宋体" w:hAnsi="宋体" w:cs="宋体" w:eastAsia="宋体" w:hint="default"/>
          <w:sz w:val="21"/>
          <w:szCs w:val="21"/>
        </w:rPr>
        <w:t>日，公司召开第三届董事会第十九次会议，会议审议通过《东港安全印刷</w:t>
      </w:r>
      <w:r>
        <w:rPr>
          <w:rFonts w:ascii="宋体" w:hAnsi="宋体" w:cs="宋体" w:eastAsia="宋体" w:hint="default"/>
          <w:w w:val="100"/>
          <w:sz w:val="21"/>
          <w:szCs w:val="21"/>
        </w:rPr>
        <w:t> </w:t>
      </w:r>
      <w:r>
        <w:rPr>
          <w:rFonts w:ascii="宋体" w:hAnsi="宋体" w:cs="宋体" w:eastAsia="宋体" w:hint="default"/>
          <w:spacing w:val="-7"/>
          <w:w w:val="100"/>
          <w:sz w:val="21"/>
          <w:szCs w:val="21"/>
        </w:rPr>
        <w:t>股份有限公司限制性股票激励计划（草案）》及其摘要、《东港安全印刷股份有限公司限制性股票激</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
          <w:w w:val="100"/>
          <w:sz w:val="21"/>
          <w:szCs w:val="21"/>
        </w:rPr>
        <w:t>励计划实施考核办法（草案）》以及《关于提请股东大会授权董事会办理公司股权激励计划相关事</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宜的议案》等议案。</w:t>
      </w:r>
    </w:p>
    <w:p>
      <w:pPr>
        <w:spacing w:line="357" w:lineRule="auto" w:before="30"/>
        <w:ind w:left="122" w:right="1277" w:firstLine="47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28</w:t>
      </w:r>
      <w:r>
        <w:rPr>
          <w:rFonts w:ascii="宋体" w:hAnsi="宋体" w:cs="宋体" w:eastAsia="宋体" w:hint="default"/>
          <w:spacing w:val="-42"/>
          <w:sz w:val="21"/>
          <w:szCs w:val="21"/>
        </w:rPr>
        <w:t> </w:t>
      </w:r>
      <w:r>
        <w:rPr>
          <w:rFonts w:ascii="宋体" w:hAnsi="宋体" w:cs="宋体" w:eastAsia="宋体" w:hint="default"/>
          <w:sz w:val="21"/>
          <w:szCs w:val="21"/>
        </w:rPr>
        <w:t>日，公司召开第三届监事会第十二次会议，对本次激励计划的激励对象名</w:t>
      </w:r>
      <w:r>
        <w:rPr>
          <w:rFonts w:ascii="宋体" w:hAnsi="宋体" w:cs="宋体" w:eastAsia="宋体" w:hint="default"/>
          <w:w w:val="100"/>
          <w:sz w:val="21"/>
          <w:szCs w:val="21"/>
        </w:rPr>
        <w:t> </w:t>
      </w:r>
      <w:r>
        <w:rPr>
          <w:rFonts w:ascii="宋体" w:hAnsi="宋体" w:cs="宋体" w:eastAsia="宋体" w:hint="default"/>
          <w:spacing w:val="-7"/>
          <w:w w:val="100"/>
          <w:sz w:val="21"/>
          <w:szCs w:val="21"/>
        </w:rPr>
        <w:t>单进行核实，并审议通过《东港安全印刷股份有限公司限制性股票激励计划（草案）》、《东港安全</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印刷股份有限公司限制性股票激励计划实施考核办法（草案）》等议案。</w:t>
      </w:r>
    </w:p>
    <w:p>
      <w:pPr>
        <w:spacing w:before="30"/>
        <w:ind w:left="60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、在董事会、监事会审议通过相关议案后，公司向中国证监会上报了申请备案材料。</w:t>
      </w:r>
    </w:p>
    <w:p>
      <w:pPr>
        <w:spacing w:line="357" w:lineRule="auto" w:before="133"/>
        <w:ind w:left="122" w:right="1277" w:firstLine="479"/>
        <w:jc w:val="both"/>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pacing w:val="-3"/>
          <w:sz w:val="21"/>
          <w:szCs w:val="21"/>
        </w:rPr>
        <w:t>日，根据中国证监会的反馈意见，公司第三届董事会第二十一次会议审议通</w:t>
      </w:r>
      <w:r>
        <w:rPr>
          <w:rFonts w:ascii="宋体" w:hAnsi="宋体" w:cs="宋体" w:eastAsia="宋体" w:hint="default"/>
          <w:w w:val="100"/>
          <w:sz w:val="21"/>
          <w:szCs w:val="21"/>
        </w:rPr>
        <w:t> </w:t>
      </w:r>
      <w:r>
        <w:rPr>
          <w:rFonts w:ascii="宋体" w:hAnsi="宋体" w:cs="宋体" w:eastAsia="宋体" w:hint="default"/>
          <w:spacing w:val="-9"/>
          <w:w w:val="100"/>
          <w:sz w:val="21"/>
          <w:szCs w:val="21"/>
        </w:rPr>
        <w:t>过了《东港安全印刷股份有限公司限制性股票激励计划（修订稿）》及其摘要、《</w:t>
      </w:r>
      <w:r>
        <w:rPr>
          <w:rFonts w:ascii="宋体" w:hAnsi="宋体" w:cs="宋体" w:eastAsia="宋体" w:hint="default"/>
          <w:spacing w:val="-9"/>
          <w:w w:val="100"/>
          <w:sz w:val="21"/>
          <w:szCs w:val="21"/>
        </w:rPr>
        <w:t>2011</w:t>
      </w:r>
      <w:r>
        <w:rPr>
          <w:rFonts w:ascii="宋体" w:hAnsi="宋体" w:cs="宋体" w:eastAsia="宋体" w:hint="default"/>
          <w:spacing w:val="-43"/>
          <w:w w:val="100"/>
          <w:sz w:val="21"/>
          <w:szCs w:val="21"/>
        </w:rPr>
        <w:t> </w:t>
      </w:r>
      <w:r>
        <w:rPr>
          <w:rFonts w:ascii="宋体" w:hAnsi="宋体" w:cs="宋体" w:eastAsia="宋体" w:hint="default"/>
          <w:spacing w:val="-2"/>
          <w:w w:val="100"/>
          <w:sz w:val="21"/>
          <w:szCs w:val="21"/>
        </w:rPr>
        <w:t>年限制性股票</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9"/>
          <w:w w:val="100"/>
          <w:sz w:val="21"/>
          <w:szCs w:val="21"/>
        </w:rPr>
        <w:t>授权人员名单（修订）》等议案。</w:t>
      </w:r>
    </w:p>
    <w:p>
      <w:pPr>
        <w:spacing w:line="355" w:lineRule="auto" w:before="31"/>
        <w:ind w:left="122" w:right="1277" w:firstLine="479"/>
        <w:jc w:val="both"/>
        <w:rPr>
          <w:rFonts w:ascii="宋体" w:hAnsi="宋体" w:cs="宋体" w:eastAsia="宋体" w:hint="default"/>
          <w:sz w:val="21"/>
          <w:szCs w:val="21"/>
        </w:rPr>
      </w:pPr>
      <w:r>
        <w:rPr>
          <w:rFonts w:ascii="宋体" w:hAnsi="宋体" w:cs="宋体" w:eastAsia="宋体" w:hint="default"/>
          <w:spacing w:val="-3"/>
          <w:sz w:val="21"/>
          <w:szCs w:val="21"/>
        </w:rPr>
        <w:t>5</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pacing w:val="-3"/>
          <w:sz w:val="21"/>
          <w:szCs w:val="21"/>
        </w:rPr>
        <w:t>日，公司第三届监事会第十四次会议审议通过了《东港安全印刷股份有限公</w:t>
      </w:r>
      <w:r>
        <w:rPr>
          <w:rFonts w:ascii="宋体" w:hAnsi="宋体" w:cs="宋体" w:eastAsia="宋体" w:hint="default"/>
          <w:w w:val="100"/>
          <w:sz w:val="21"/>
          <w:szCs w:val="21"/>
        </w:rPr>
        <w:t> </w:t>
      </w:r>
      <w:r>
        <w:rPr>
          <w:rFonts w:ascii="宋体" w:hAnsi="宋体" w:cs="宋体" w:eastAsia="宋体" w:hint="default"/>
          <w:spacing w:val="-16"/>
          <w:w w:val="100"/>
          <w:sz w:val="21"/>
          <w:szCs w:val="21"/>
        </w:rPr>
        <w:t>司限制性股票激励计划（修订稿）》、《</w:t>
      </w:r>
      <w:r>
        <w:rPr>
          <w:rFonts w:ascii="宋体" w:hAnsi="宋体" w:cs="宋体" w:eastAsia="宋体" w:hint="default"/>
          <w:spacing w:val="-16"/>
          <w:w w:val="100"/>
          <w:sz w:val="21"/>
          <w:szCs w:val="21"/>
        </w:rPr>
        <w:t>2011</w:t>
      </w:r>
      <w:r>
        <w:rPr>
          <w:rFonts w:ascii="宋体" w:hAnsi="宋体" w:cs="宋体" w:eastAsia="宋体" w:hint="default"/>
          <w:spacing w:val="-29"/>
          <w:w w:val="100"/>
          <w:sz w:val="21"/>
          <w:szCs w:val="21"/>
        </w:rPr>
        <w:t> </w:t>
      </w:r>
      <w:r>
        <w:rPr>
          <w:rFonts w:ascii="宋体" w:hAnsi="宋体" w:cs="宋体" w:eastAsia="宋体" w:hint="default"/>
          <w:spacing w:val="-7"/>
          <w:w w:val="100"/>
          <w:sz w:val="21"/>
          <w:szCs w:val="21"/>
        </w:rPr>
        <w:t>年限制性股票授权人员名单（修订）》等议案。</w:t>
      </w:r>
    </w:p>
    <w:p>
      <w:pPr>
        <w:spacing w:line="357" w:lineRule="auto" w:before="32"/>
        <w:ind w:left="122" w:right="1246" w:firstLine="479"/>
        <w:jc w:val="right"/>
        <w:rPr>
          <w:rFonts w:ascii="宋体" w:hAnsi="宋体" w:cs="宋体" w:eastAsia="宋体" w:hint="default"/>
          <w:sz w:val="21"/>
          <w:szCs w:val="21"/>
        </w:rPr>
      </w:pPr>
      <w:r>
        <w:rPr>
          <w:rFonts w:ascii="宋体" w:hAnsi="宋体" w:cs="宋体" w:eastAsia="宋体" w:hint="default"/>
          <w:spacing w:val="-3"/>
          <w:sz w:val="21"/>
          <w:szCs w:val="21"/>
        </w:rPr>
        <w:t>6</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pacing w:val="-4"/>
          <w:sz w:val="21"/>
          <w:szCs w:val="21"/>
        </w:rPr>
        <w:t>日，公司召开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年第二次临时股东大会审议通过了《限制性股票激励计</w:t>
      </w:r>
      <w:r>
        <w:rPr>
          <w:rFonts w:ascii="宋体" w:hAnsi="宋体" w:cs="宋体" w:eastAsia="宋体" w:hint="default"/>
          <w:w w:val="100"/>
          <w:sz w:val="21"/>
          <w:szCs w:val="21"/>
        </w:rPr>
        <w:t> </w:t>
      </w:r>
      <w:r>
        <w:rPr>
          <w:rFonts w:ascii="宋体" w:hAnsi="宋体" w:cs="宋体" w:eastAsia="宋体" w:hint="default"/>
          <w:spacing w:val="-7"/>
          <w:w w:val="100"/>
          <w:sz w:val="21"/>
          <w:szCs w:val="21"/>
        </w:rPr>
        <w:t>划（修订稿）》及其摘要、《限制性股票激励计划实施考核管理办法》以及《关于提请股东大会授权</w:t>
      </w:r>
      <w:r>
        <w:rPr>
          <w:rFonts w:ascii="宋体" w:hAnsi="宋体" w:cs="宋体" w:eastAsia="宋体" w:hint="default"/>
          <w:w w:val="100"/>
          <w:sz w:val="21"/>
          <w:szCs w:val="21"/>
        </w:rPr>
        <w:t> </w:t>
      </w:r>
      <w:r>
        <w:rPr>
          <w:rFonts w:ascii="宋体" w:hAnsi="宋体" w:cs="宋体" w:eastAsia="宋体" w:hint="default"/>
          <w:spacing w:val="-3"/>
          <w:sz w:val="21"/>
          <w:szCs w:val="21"/>
        </w:rPr>
        <w:t>董事会办理公司限制性股票激励计划有关事项的议案》等议案，董事会被授权确定限制性股票授予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日、在激励对象符合条件时向激励对象授予限制性股票并办理授予限制性股票所必须的全部事宜。</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7</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19</w:t>
      </w:r>
      <w:r>
        <w:rPr>
          <w:rFonts w:ascii="宋体" w:hAnsi="宋体" w:cs="宋体" w:eastAsia="宋体" w:hint="default"/>
          <w:spacing w:val="-39"/>
          <w:sz w:val="21"/>
          <w:szCs w:val="21"/>
        </w:rPr>
        <w:t> </w:t>
      </w:r>
      <w:r>
        <w:rPr>
          <w:rFonts w:ascii="宋体" w:hAnsi="宋体" w:cs="宋体" w:eastAsia="宋体" w:hint="default"/>
          <w:spacing w:val="-3"/>
          <w:sz w:val="21"/>
          <w:szCs w:val="21"/>
        </w:rPr>
        <w:t>日，公司召开第三届董事会第二十三次会议，审议通过了《关于向激励对</w:t>
      </w:r>
    </w:p>
    <w:p>
      <w:pPr>
        <w:spacing w:after="0" w:line="357" w:lineRule="auto"/>
        <w:jc w:val="righ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122" w:right="0" w:firstLine="0"/>
        <w:jc w:val="left"/>
        <w:rPr>
          <w:rFonts w:ascii="宋体" w:hAnsi="宋体" w:cs="宋体" w:eastAsia="宋体" w:hint="default"/>
          <w:sz w:val="21"/>
          <w:szCs w:val="21"/>
        </w:rPr>
      </w:pPr>
      <w:r>
        <w:rPr>
          <w:rFonts w:ascii="宋体" w:hAnsi="宋体" w:cs="宋体" w:eastAsia="宋体" w:hint="default"/>
          <w:w w:val="100"/>
          <w:sz w:val="21"/>
          <w:szCs w:val="21"/>
        </w:rPr>
        <w:t>象授</w:t>
      </w:r>
      <w:r>
        <w:rPr>
          <w:rFonts w:ascii="宋体" w:hAnsi="宋体" w:cs="宋体" w:eastAsia="宋体" w:hint="default"/>
          <w:spacing w:val="-3"/>
          <w:w w:val="100"/>
          <w:sz w:val="21"/>
          <w:szCs w:val="21"/>
        </w:rPr>
        <w:t>予</w:t>
      </w:r>
      <w:r>
        <w:rPr>
          <w:rFonts w:ascii="宋体" w:hAnsi="宋体" w:cs="宋体" w:eastAsia="宋体" w:hint="default"/>
          <w:w w:val="100"/>
          <w:sz w:val="21"/>
          <w:szCs w:val="21"/>
        </w:rPr>
        <w:t>限</w:t>
      </w:r>
      <w:r>
        <w:rPr>
          <w:rFonts w:ascii="宋体" w:hAnsi="宋体" w:cs="宋体" w:eastAsia="宋体" w:hint="default"/>
          <w:spacing w:val="-3"/>
          <w:w w:val="100"/>
          <w:sz w:val="21"/>
          <w:szCs w:val="21"/>
        </w:rPr>
        <w:t>制</w:t>
      </w:r>
      <w:r>
        <w:rPr>
          <w:rFonts w:ascii="宋体" w:hAnsi="宋体" w:cs="宋体" w:eastAsia="宋体" w:hint="default"/>
          <w:w w:val="100"/>
          <w:sz w:val="21"/>
          <w:szCs w:val="21"/>
        </w:rPr>
        <w:t>性</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5" w:lineRule="auto" w:before="133"/>
        <w:ind w:left="122" w:right="0" w:firstLine="479"/>
        <w:jc w:val="left"/>
        <w:rPr>
          <w:rFonts w:ascii="宋体" w:hAnsi="宋体" w:cs="宋体" w:eastAsia="宋体" w:hint="default"/>
          <w:sz w:val="21"/>
          <w:szCs w:val="21"/>
        </w:rPr>
      </w:pPr>
      <w:r>
        <w:rPr>
          <w:rFonts w:ascii="宋体" w:hAnsi="宋体" w:cs="宋体" w:eastAsia="宋体" w:hint="default"/>
          <w:spacing w:val="-3"/>
          <w:sz w:val="21"/>
          <w:szCs w:val="21"/>
        </w:rPr>
        <w:t>8</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19</w:t>
      </w:r>
      <w:r>
        <w:rPr>
          <w:rFonts w:ascii="宋体" w:hAnsi="宋体" w:cs="宋体" w:eastAsia="宋体" w:hint="default"/>
          <w:spacing w:val="-39"/>
          <w:sz w:val="21"/>
          <w:szCs w:val="21"/>
        </w:rPr>
        <w:t> </w:t>
      </w:r>
      <w:r>
        <w:rPr>
          <w:rFonts w:ascii="宋体" w:hAnsi="宋体" w:cs="宋体" w:eastAsia="宋体" w:hint="default"/>
          <w:spacing w:val="-3"/>
          <w:sz w:val="21"/>
          <w:szCs w:val="21"/>
        </w:rPr>
        <w:t>日，公司召开第三届监事会第十六次会议，对本次激励计划的激励对象名</w:t>
      </w:r>
      <w:r>
        <w:rPr>
          <w:rFonts w:ascii="宋体" w:hAnsi="宋体" w:cs="宋体" w:eastAsia="宋体" w:hint="default"/>
          <w:w w:val="100"/>
          <w:sz w:val="21"/>
          <w:szCs w:val="21"/>
        </w:rPr>
        <w:t> </w:t>
      </w:r>
      <w:r>
        <w:rPr>
          <w:rFonts w:ascii="宋体" w:hAnsi="宋体" w:cs="宋体" w:eastAsia="宋体" w:hint="default"/>
          <w:spacing w:val="-5"/>
          <w:w w:val="100"/>
          <w:sz w:val="21"/>
          <w:szCs w:val="21"/>
        </w:rPr>
        <w:t>单进行再次核实，并审议通过《关于核实限制性股票激励计划授予人员名单的议案》。</w:t>
      </w:r>
    </w:p>
    <w:p>
      <w:pPr>
        <w:spacing w:before="34"/>
        <w:ind w:left="602" w:right="0" w:firstLine="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实</w:t>
      </w:r>
      <w:r>
        <w:rPr>
          <w:rFonts w:ascii="宋体" w:hAnsi="宋体" w:cs="宋体" w:eastAsia="宋体" w:hint="default"/>
          <w:w w:val="100"/>
          <w:sz w:val="21"/>
          <w:szCs w:val="21"/>
        </w:rPr>
        <w:t>施</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计划</w:t>
      </w:r>
      <w:r>
        <w:rPr>
          <w:rFonts w:ascii="宋体" w:hAnsi="宋体" w:cs="宋体" w:eastAsia="宋体" w:hint="default"/>
          <w:w w:val="100"/>
          <w:sz w:val="21"/>
          <w:szCs w:val="21"/>
        </w:rPr>
        <w:t>对相</w:t>
      </w:r>
      <w:r>
        <w:rPr>
          <w:rFonts w:ascii="宋体" w:hAnsi="宋体" w:cs="宋体" w:eastAsia="宋体" w:hint="default"/>
          <w:spacing w:val="-3"/>
          <w:w w:val="100"/>
          <w:sz w:val="21"/>
          <w:szCs w:val="21"/>
        </w:rPr>
        <w:t>关</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状</w:t>
      </w:r>
      <w:r>
        <w:rPr>
          <w:rFonts w:ascii="宋体" w:hAnsi="宋体" w:cs="宋体" w:eastAsia="宋体" w:hint="default"/>
          <w:spacing w:val="-3"/>
          <w:w w:val="100"/>
          <w:sz w:val="21"/>
          <w:szCs w:val="21"/>
        </w:rPr>
        <w:t>况</w:t>
      </w:r>
      <w:r>
        <w:rPr>
          <w:rFonts w:ascii="宋体" w:hAnsi="宋体" w:cs="宋体" w:eastAsia="宋体" w:hint="default"/>
          <w:w w:val="100"/>
          <w:sz w:val="21"/>
          <w:szCs w:val="21"/>
        </w:rPr>
        <w:t>和</w:t>
      </w:r>
      <w:r>
        <w:rPr>
          <w:rFonts w:ascii="宋体" w:hAnsi="宋体" w:cs="宋体" w:eastAsia="宋体" w:hint="default"/>
          <w:spacing w:val="-3"/>
          <w:w w:val="100"/>
          <w:sz w:val="21"/>
          <w:szCs w:val="21"/>
        </w:rPr>
        <w:t>经</w:t>
      </w:r>
      <w:r>
        <w:rPr>
          <w:rFonts w:ascii="宋体" w:hAnsi="宋体" w:cs="宋体" w:eastAsia="宋体" w:hint="default"/>
          <w:w w:val="100"/>
          <w:sz w:val="21"/>
          <w:szCs w:val="21"/>
        </w:rPr>
        <w:t>营成</w:t>
      </w:r>
      <w:r>
        <w:rPr>
          <w:rFonts w:ascii="宋体" w:hAnsi="宋体" w:cs="宋体" w:eastAsia="宋体" w:hint="default"/>
          <w:spacing w:val="-3"/>
          <w:w w:val="100"/>
          <w:sz w:val="21"/>
          <w:szCs w:val="21"/>
        </w:rPr>
        <w:t>果</w:t>
      </w:r>
      <w:r>
        <w:rPr>
          <w:rFonts w:ascii="宋体" w:hAnsi="宋体" w:cs="宋体" w:eastAsia="宋体" w:hint="default"/>
          <w:w w:val="100"/>
          <w:sz w:val="21"/>
          <w:szCs w:val="21"/>
        </w:rPr>
        <w:t>影</w:t>
      </w:r>
      <w:r>
        <w:rPr>
          <w:rFonts w:ascii="宋体" w:hAnsi="宋体" w:cs="宋体" w:eastAsia="宋体" w:hint="default"/>
          <w:spacing w:val="-3"/>
          <w:w w:val="100"/>
          <w:sz w:val="21"/>
          <w:szCs w:val="21"/>
        </w:rPr>
        <w:t>响</w:t>
      </w:r>
      <w:r>
        <w:rPr>
          <w:rFonts w:ascii="宋体" w:hAnsi="宋体" w:cs="宋体" w:eastAsia="宋体" w:hint="default"/>
          <w:w w:val="100"/>
          <w:sz w:val="21"/>
          <w:szCs w:val="21"/>
        </w:rPr>
        <w:t>的</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p>
    <w:p>
      <w:pPr>
        <w:spacing w:before="133"/>
        <w:ind w:left="602" w:right="0" w:firstLine="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号——股份支付》的规定，公司本次激励计划限制性股票的授予对</w:t>
      </w:r>
    </w:p>
    <w:p>
      <w:pPr>
        <w:spacing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公司相关年度的财务状况和经营成果将产生一定的影响。董事会已确定激励计划的授予日为</w:t>
      </w:r>
      <w:r>
        <w:rPr>
          <w:rFonts w:ascii="宋体" w:hAnsi="宋体" w:cs="宋体" w:eastAsia="宋体" w:hint="default"/>
          <w:spacing w:val="77"/>
          <w:sz w:val="21"/>
          <w:szCs w:val="21"/>
        </w:rPr>
        <w:t> </w:t>
      </w:r>
      <w:r>
        <w:rPr>
          <w:rFonts w:ascii="宋体" w:hAnsi="宋体" w:cs="宋体" w:eastAsia="宋体" w:hint="default"/>
          <w:sz w:val="21"/>
          <w:szCs w:val="21"/>
        </w:rPr>
        <w:t>2011</w:t>
      </w:r>
    </w:p>
    <w:p>
      <w:pPr>
        <w:spacing w:line="357" w:lineRule="auto" w:before="133"/>
        <w:ind w:left="12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10</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19</w:t>
      </w:r>
      <w:r>
        <w:rPr>
          <w:rFonts w:ascii="宋体" w:hAnsi="宋体" w:cs="宋体" w:eastAsia="宋体" w:hint="default"/>
          <w:spacing w:val="-36"/>
          <w:sz w:val="21"/>
          <w:szCs w:val="21"/>
        </w:rPr>
        <w:t> </w:t>
      </w:r>
      <w:r>
        <w:rPr>
          <w:rFonts w:ascii="宋体" w:hAnsi="宋体" w:cs="宋体" w:eastAsia="宋体" w:hint="default"/>
          <w:spacing w:val="-3"/>
          <w:sz w:val="21"/>
          <w:szCs w:val="21"/>
        </w:rPr>
        <w:t>日，在相应的年度内将按照各期限制性股票的解锁比例（</w:t>
      </w:r>
      <w:r>
        <w:rPr>
          <w:rFonts w:ascii="宋体" w:hAnsi="宋体" w:cs="宋体" w:eastAsia="宋体" w:hint="default"/>
          <w:spacing w:val="-3"/>
          <w:sz w:val="21"/>
          <w:szCs w:val="21"/>
        </w:rPr>
        <w:t>25%</w:t>
      </w:r>
      <w:r>
        <w:rPr>
          <w:rFonts w:ascii="宋体" w:hAnsi="宋体" w:cs="宋体" w:eastAsia="宋体" w:hint="default"/>
          <w:spacing w:val="-3"/>
          <w:sz w:val="21"/>
          <w:szCs w:val="21"/>
        </w:rPr>
        <w:t>：</w:t>
      </w:r>
      <w:r>
        <w:rPr>
          <w:rFonts w:ascii="宋体" w:hAnsi="宋体" w:cs="宋体" w:eastAsia="宋体" w:hint="default"/>
          <w:spacing w:val="-3"/>
          <w:sz w:val="21"/>
          <w:szCs w:val="21"/>
        </w:rPr>
        <w:t>25%</w:t>
      </w:r>
      <w:r>
        <w:rPr>
          <w:rFonts w:ascii="宋体" w:hAnsi="宋体" w:cs="宋体" w:eastAsia="宋体" w:hint="default"/>
          <w:spacing w:val="-3"/>
          <w:sz w:val="21"/>
          <w:szCs w:val="21"/>
        </w:rPr>
        <w:t>：</w:t>
      </w:r>
      <w:r>
        <w:rPr>
          <w:rFonts w:ascii="宋体" w:hAnsi="宋体" w:cs="宋体" w:eastAsia="宋体" w:hint="default"/>
          <w:spacing w:val="-3"/>
          <w:sz w:val="21"/>
          <w:szCs w:val="21"/>
        </w:rPr>
        <w:t>25%</w:t>
      </w:r>
      <w:r>
        <w:rPr>
          <w:rFonts w:ascii="宋体" w:hAnsi="宋体" w:cs="宋体" w:eastAsia="宋体" w:hint="default"/>
          <w:spacing w:val="-3"/>
          <w:sz w:val="21"/>
          <w:szCs w:val="21"/>
        </w:rPr>
        <w:t>：</w:t>
      </w:r>
      <w:r>
        <w:rPr>
          <w:rFonts w:ascii="宋体" w:hAnsi="宋体" w:cs="宋体" w:eastAsia="宋体" w:hint="default"/>
          <w:spacing w:val="-3"/>
          <w:sz w:val="21"/>
          <w:szCs w:val="21"/>
        </w:rPr>
        <w:t>25%</w:t>
      </w:r>
      <w:r>
        <w:rPr>
          <w:rFonts w:ascii="宋体" w:hAnsi="宋体" w:cs="宋体" w:eastAsia="宋体" w:hint="default"/>
          <w:spacing w:val="-3"/>
          <w:sz w:val="21"/>
          <w:szCs w:val="21"/>
        </w:rPr>
        <w:t>）和授予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日限制性股票的公允价值总额分别确认限制性股票激励成本。</w:t>
      </w:r>
    </w:p>
    <w:p>
      <w:pPr>
        <w:spacing w:line="357" w:lineRule="auto" w:before="30"/>
        <w:ind w:left="122" w:right="1277" w:firstLine="479"/>
        <w:jc w:val="both"/>
        <w:rPr>
          <w:rFonts w:ascii="宋体" w:hAnsi="宋体" w:cs="宋体" w:eastAsia="宋体" w:hint="default"/>
          <w:sz w:val="21"/>
          <w:szCs w:val="21"/>
        </w:rPr>
      </w:pPr>
      <w:r>
        <w:rPr>
          <w:rFonts w:ascii="宋体" w:hAnsi="宋体" w:cs="宋体" w:eastAsia="宋体" w:hint="default"/>
          <w:spacing w:val="-4"/>
          <w:w w:val="100"/>
          <w:sz w:val="21"/>
          <w:szCs w:val="21"/>
        </w:rPr>
        <w:t>每股限制性股票的激励成本＝授予日股票价格－授予价格。（该计算未考虑限制性股票禁售期</w:t>
      </w:r>
      <w:r>
        <w:rPr>
          <w:rFonts w:ascii="宋体" w:hAnsi="宋体" w:cs="宋体" w:eastAsia="宋体" w:hint="default"/>
          <w:w w:val="100"/>
          <w:sz w:val="21"/>
          <w:szCs w:val="21"/>
        </w:rPr>
        <w:t> </w:t>
      </w:r>
      <w:r>
        <w:rPr>
          <w:rFonts w:ascii="宋体" w:hAnsi="宋体" w:cs="宋体" w:eastAsia="宋体" w:hint="default"/>
          <w:spacing w:val="-3"/>
          <w:sz w:val="21"/>
          <w:szCs w:val="21"/>
        </w:rPr>
        <w:t>及解锁情况对其影响，具体成本计算由本公司会计师在定期报告中根据实际情况，以相应的模型进</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2"/>
          <w:w w:val="100"/>
          <w:sz w:val="21"/>
          <w:szCs w:val="21"/>
        </w:rPr>
        <w:t>行测算。）</w:t>
      </w:r>
    </w:p>
    <w:p>
      <w:pPr>
        <w:spacing w:before="30"/>
        <w:ind w:left="602" w:right="0" w:firstLine="0"/>
        <w:jc w:val="left"/>
        <w:rPr>
          <w:rFonts w:ascii="宋体" w:hAnsi="宋体" w:cs="宋体" w:eastAsia="宋体" w:hint="default"/>
          <w:sz w:val="21"/>
          <w:szCs w:val="21"/>
        </w:rPr>
      </w:pPr>
      <w:r>
        <w:rPr>
          <w:rFonts w:ascii="宋体" w:hAnsi="宋体" w:cs="宋体" w:eastAsia="宋体" w:hint="default"/>
          <w:sz w:val="21"/>
          <w:szCs w:val="21"/>
        </w:rPr>
        <w:t>授予价格系根据本计划草案摘要公告日前</w:t>
      </w:r>
      <w:r>
        <w:rPr>
          <w:rFonts w:ascii="宋体" w:hAnsi="宋体" w:cs="宋体" w:eastAsia="宋体" w:hint="default"/>
          <w:spacing w:val="-41"/>
          <w:sz w:val="21"/>
          <w:szCs w:val="21"/>
        </w:rPr>
        <w:t> </w:t>
      </w:r>
      <w:r>
        <w:rPr>
          <w:rFonts w:ascii="宋体" w:hAnsi="宋体" w:cs="宋体" w:eastAsia="宋体" w:hint="default"/>
          <w:sz w:val="21"/>
          <w:szCs w:val="21"/>
        </w:rPr>
        <w:t>20</w:t>
      </w:r>
      <w:r>
        <w:rPr>
          <w:rFonts w:ascii="宋体" w:hAnsi="宋体" w:cs="宋体" w:eastAsia="宋体" w:hint="default"/>
          <w:spacing w:val="-43"/>
          <w:sz w:val="21"/>
          <w:szCs w:val="21"/>
        </w:rPr>
        <w:t> </w:t>
      </w:r>
      <w:r>
        <w:rPr>
          <w:rFonts w:ascii="宋体" w:hAnsi="宋体" w:cs="宋体" w:eastAsia="宋体" w:hint="default"/>
          <w:sz w:val="21"/>
          <w:szCs w:val="21"/>
        </w:rPr>
        <w:t>个交易日公司股票均价的</w:t>
      </w:r>
      <w:r>
        <w:rPr>
          <w:rFonts w:ascii="宋体" w:hAnsi="宋体" w:cs="宋体" w:eastAsia="宋体" w:hint="default"/>
          <w:spacing w:val="-41"/>
          <w:sz w:val="21"/>
          <w:szCs w:val="21"/>
        </w:rPr>
        <w:t> </w:t>
      </w:r>
      <w:r>
        <w:rPr>
          <w:rFonts w:ascii="宋体" w:hAnsi="宋体" w:cs="宋体" w:eastAsia="宋体" w:hint="default"/>
          <w:sz w:val="21"/>
          <w:szCs w:val="21"/>
        </w:rPr>
        <w:t>50%</w:t>
      </w:r>
      <w:r>
        <w:rPr>
          <w:rFonts w:ascii="宋体" w:hAnsi="宋体" w:cs="宋体" w:eastAsia="宋体" w:hint="default"/>
          <w:sz w:val="21"/>
          <w:szCs w:val="21"/>
        </w:rPr>
        <w:t>确定，即</w:t>
      </w:r>
      <w:r>
        <w:rPr>
          <w:rFonts w:ascii="宋体" w:hAnsi="宋体" w:cs="宋体" w:eastAsia="宋体" w:hint="default"/>
          <w:spacing w:val="-41"/>
          <w:sz w:val="21"/>
          <w:szCs w:val="21"/>
        </w:rPr>
        <w:t> </w:t>
      </w:r>
      <w:r>
        <w:rPr>
          <w:rFonts w:ascii="宋体" w:hAnsi="宋体" w:cs="宋体" w:eastAsia="宋体" w:hint="default"/>
          <w:sz w:val="21"/>
          <w:szCs w:val="21"/>
        </w:rPr>
        <w:t>9.73</w:t>
      </w:r>
      <w:r>
        <w:rPr>
          <w:rFonts w:ascii="宋体" w:hAnsi="宋体" w:cs="宋体" w:eastAsia="宋体" w:hint="default"/>
          <w:spacing w:val="-4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p>
    <w:p>
      <w:pPr>
        <w:spacing w:line="355" w:lineRule="auto" w:before="135"/>
        <w:ind w:left="122" w:right="1176" w:firstLine="0"/>
        <w:jc w:val="left"/>
        <w:rPr>
          <w:rFonts w:ascii="宋体" w:hAnsi="宋体" w:cs="宋体" w:eastAsia="宋体" w:hint="default"/>
          <w:sz w:val="21"/>
          <w:szCs w:val="21"/>
        </w:rPr>
      </w:pPr>
      <w:r>
        <w:rPr>
          <w:rFonts w:ascii="宋体" w:hAnsi="宋体" w:cs="宋体" w:eastAsia="宋体" w:hint="default"/>
          <w:spacing w:val="-3"/>
          <w:sz w:val="21"/>
          <w:szCs w:val="21"/>
        </w:rPr>
        <w:t>股。董事会确定的限制性股票授予日为</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19</w:t>
      </w:r>
      <w:r>
        <w:rPr>
          <w:rFonts w:ascii="宋体" w:hAnsi="宋体" w:cs="宋体" w:eastAsia="宋体" w:hint="default"/>
          <w:spacing w:val="-48"/>
          <w:sz w:val="21"/>
          <w:szCs w:val="21"/>
        </w:rPr>
        <w:t> </w:t>
      </w:r>
      <w:r>
        <w:rPr>
          <w:rFonts w:ascii="宋体" w:hAnsi="宋体" w:cs="宋体" w:eastAsia="宋体" w:hint="default"/>
          <w:spacing w:val="-3"/>
          <w:sz w:val="21"/>
          <w:szCs w:val="21"/>
        </w:rPr>
        <w:t>日，授予日公司股票的收盘价为</w:t>
      </w:r>
      <w:r>
        <w:rPr>
          <w:rFonts w:ascii="宋体" w:hAnsi="宋体" w:cs="宋体" w:eastAsia="宋体" w:hint="default"/>
          <w:spacing w:val="-46"/>
          <w:sz w:val="21"/>
          <w:szCs w:val="21"/>
        </w:rPr>
        <w:t> </w:t>
      </w:r>
      <w:r>
        <w:rPr>
          <w:rFonts w:ascii="宋体" w:hAnsi="宋体" w:cs="宋体" w:eastAsia="宋体" w:hint="default"/>
          <w:sz w:val="21"/>
          <w:szCs w:val="21"/>
        </w:rPr>
        <w:t>17.92</w:t>
      </w:r>
      <w:r>
        <w:rPr>
          <w:rFonts w:ascii="宋体" w:hAnsi="宋体" w:cs="宋体" w:eastAsia="宋体" w:hint="default"/>
          <w:spacing w:val="-46"/>
          <w:sz w:val="21"/>
          <w:szCs w:val="21"/>
        </w:rPr>
        <w:t> </w:t>
      </w:r>
      <w:r>
        <w:rPr>
          <w:rFonts w:ascii="宋体" w:hAnsi="宋体" w:cs="宋体" w:eastAsia="宋体" w:hint="default"/>
          <w:spacing w:val="-3"/>
          <w:sz w:val="21"/>
          <w:szCs w:val="21"/>
        </w:rPr>
        <w:t>元，</w:t>
      </w:r>
      <w:r>
        <w:rPr>
          <w:rFonts w:ascii="宋体" w:hAnsi="宋体" w:cs="宋体" w:eastAsia="宋体" w:hint="default"/>
          <w:spacing w:val="-102"/>
          <w:sz w:val="21"/>
          <w:szCs w:val="21"/>
        </w:rPr>
        <w:t> </w:t>
      </w:r>
      <w:r>
        <w:rPr>
          <w:rFonts w:ascii="宋体" w:hAnsi="宋体" w:cs="宋体" w:eastAsia="宋体" w:hint="default"/>
          <w:sz w:val="21"/>
          <w:szCs w:val="21"/>
        </w:rPr>
        <w:t>根据此公式计算，每股限制性股票的成本为：</w:t>
      </w:r>
      <w:r>
        <w:rPr>
          <w:rFonts w:ascii="宋体" w:hAnsi="宋体" w:cs="宋体" w:eastAsia="宋体" w:hint="default"/>
          <w:sz w:val="21"/>
          <w:szCs w:val="21"/>
        </w:rPr>
        <w:t>17.92-9.73</w:t>
      </w:r>
      <w:r>
        <w:rPr>
          <w:rFonts w:ascii="宋体" w:hAnsi="宋体" w:cs="宋体" w:eastAsia="宋体" w:hint="default"/>
          <w:sz w:val="21"/>
          <w:szCs w:val="21"/>
        </w:rPr>
        <w:t>＝</w:t>
      </w:r>
      <w:r>
        <w:rPr>
          <w:rFonts w:ascii="宋体" w:hAnsi="宋体" w:cs="宋体" w:eastAsia="宋体" w:hint="default"/>
          <w:sz w:val="21"/>
          <w:szCs w:val="21"/>
        </w:rPr>
        <w:t>8.19</w:t>
      </w:r>
      <w:r>
        <w:rPr>
          <w:rFonts w:ascii="宋体" w:hAnsi="宋体" w:cs="宋体" w:eastAsia="宋体" w:hint="default"/>
          <w:spacing w:val="-59"/>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229</w:t>
      </w:r>
      <w:r>
        <w:rPr>
          <w:rFonts w:ascii="宋体" w:hAnsi="宋体" w:cs="宋体" w:eastAsia="宋体" w:hint="default"/>
          <w:spacing w:val="-60"/>
          <w:sz w:val="21"/>
          <w:szCs w:val="21"/>
        </w:rPr>
        <w:t> </w:t>
      </w:r>
      <w:r>
        <w:rPr>
          <w:rFonts w:ascii="宋体" w:hAnsi="宋体" w:cs="宋体" w:eastAsia="宋体" w:hint="default"/>
          <w:sz w:val="21"/>
          <w:szCs w:val="21"/>
        </w:rPr>
        <w:t>万股限制性股票确认的总</w:t>
      </w:r>
      <w:r>
        <w:rPr>
          <w:rFonts w:ascii="宋体" w:hAnsi="宋体" w:cs="宋体" w:eastAsia="宋体" w:hint="default"/>
          <w:w w:val="100"/>
          <w:sz w:val="21"/>
          <w:szCs w:val="21"/>
        </w:rPr>
        <w:t> </w:t>
      </w:r>
      <w:r>
        <w:rPr>
          <w:rFonts w:ascii="宋体" w:hAnsi="宋体" w:cs="宋体" w:eastAsia="宋体" w:hint="default"/>
          <w:sz w:val="21"/>
          <w:szCs w:val="21"/>
        </w:rPr>
        <w:t>成本为：</w:t>
      </w:r>
      <w:r>
        <w:rPr>
          <w:rFonts w:ascii="宋体" w:hAnsi="宋体" w:cs="宋体" w:eastAsia="宋体" w:hint="default"/>
          <w:sz w:val="21"/>
          <w:szCs w:val="21"/>
        </w:rPr>
        <w:t>8.19</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229</w:t>
      </w:r>
      <w:r>
        <w:rPr>
          <w:rFonts w:ascii="宋体" w:hAnsi="宋体" w:cs="宋体" w:eastAsia="宋体" w:hint="default"/>
          <w:spacing w:val="-54"/>
          <w:sz w:val="21"/>
          <w:szCs w:val="21"/>
        </w:rPr>
        <w:t> </w:t>
      </w:r>
      <w:r>
        <w:rPr>
          <w:rFonts w:ascii="宋体" w:hAnsi="宋体" w:cs="宋体" w:eastAsia="宋体" w:hint="default"/>
          <w:sz w:val="21"/>
          <w:szCs w:val="21"/>
        </w:rPr>
        <w:t>万股＝</w:t>
      </w:r>
      <w:r>
        <w:rPr>
          <w:rFonts w:ascii="宋体" w:hAnsi="宋体" w:cs="宋体" w:eastAsia="宋体" w:hint="default"/>
          <w:sz w:val="21"/>
          <w:szCs w:val="21"/>
        </w:rPr>
        <w:t>1875.51</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32"/>
        <w:ind w:left="602" w:right="0" w:firstLine="0"/>
        <w:jc w:val="left"/>
        <w:rPr>
          <w:rFonts w:ascii="宋体" w:hAnsi="宋体" w:cs="宋体" w:eastAsia="宋体" w:hint="default"/>
          <w:sz w:val="21"/>
          <w:szCs w:val="21"/>
        </w:rPr>
      </w:pPr>
      <w:r>
        <w:rPr>
          <w:rFonts w:ascii="宋体" w:hAnsi="宋体" w:cs="宋体" w:eastAsia="宋体" w:hint="default"/>
          <w:sz w:val="21"/>
          <w:szCs w:val="21"/>
        </w:rPr>
        <w:t>根据上述测算，预计</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年限制性股票成本摊销情况见下表：</w:t>
      </w:r>
    </w:p>
    <w:p>
      <w:pPr>
        <w:spacing w:before="133"/>
        <w:ind w:left="0" w:right="202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3"/>
        <w:rPr>
          <w:rFonts w:ascii="宋体" w:hAnsi="宋体" w:cs="宋体" w:eastAsia="宋体" w:hint="default"/>
          <w:sz w:val="12"/>
          <w:szCs w:val="12"/>
        </w:rPr>
      </w:pPr>
    </w:p>
    <w:tbl>
      <w:tblPr>
        <w:tblW w:w="0" w:type="auto"/>
        <w:jc w:val="left"/>
        <w:tblInd w:w="353" w:type="dxa"/>
        <w:tblLayout w:type="fixed"/>
        <w:tblCellMar>
          <w:top w:w="0" w:type="dxa"/>
          <w:left w:w="0" w:type="dxa"/>
          <w:bottom w:w="0" w:type="dxa"/>
          <w:right w:w="0" w:type="dxa"/>
        </w:tblCellMar>
        <w:tblLook w:val="01E0"/>
      </w:tblPr>
      <w:tblGrid>
        <w:gridCol w:w="1757"/>
        <w:gridCol w:w="1263"/>
        <w:gridCol w:w="1097"/>
        <w:gridCol w:w="1104"/>
        <w:gridCol w:w="1102"/>
        <w:gridCol w:w="1102"/>
        <w:gridCol w:w="1104"/>
      </w:tblGrid>
      <w:tr>
        <w:trPr>
          <w:trHeight w:val="67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45" w:right="134" w:hanging="209"/>
              <w:jc w:val="left"/>
              <w:rPr>
                <w:rFonts w:ascii="宋体" w:hAnsi="宋体" w:cs="宋体" w:eastAsia="宋体" w:hint="default"/>
                <w:sz w:val="21"/>
                <w:szCs w:val="21"/>
              </w:rPr>
            </w:pPr>
            <w:r>
              <w:rPr>
                <w:rFonts w:ascii="宋体" w:hAnsi="宋体" w:cs="宋体" w:eastAsia="宋体" w:hint="default"/>
                <w:sz w:val="21"/>
                <w:szCs w:val="21"/>
              </w:rPr>
              <w:t>授予的限制性股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票（万股）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0" w:right="201" w:hanging="104"/>
              <w:jc w:val="left"/>
              <w:rPr>
                <w:rFonts w:ascii="宋体" w:hAnsi="宋体" w:cs="宋体" w:eastAsia="宋体" w:hint="default"/>
                <w:sz w:val="21"/>
                <w:szCs w:val="21"/>
              </w:rPr>
            </w:pPr>
            <w:r>
              <w:rPr>
                <w:rFonts w:ascii="宋体" w:hAnsi="宋体" w:cs="宋体" w:eastAsia="宋体" w:hint="default"/>
                <w:sz w:val="21"/>
                <w:szCs w:val="21"/>
              </w:rPr>
              <w:t>需摊销的</w:t>
            </w:r>
            <w:r>
              <w:rPr>
                <w:rFonts w:ascii="宋体" w:hAnsi="宋体" w:cs="宋体" w:eastAsia="宋体" w:hint="default"/>
                <w:w w:val="100"/>
                <w:sz w:val="21"/>
                <w:szCs w:val="21"/>
              </w:rPr>
              <w:t> </w:t>
            </w:r>
            <w:r>
              <w:rPr>
                <w:rFonts w:ascii="宋体" w:hAnsi="宋体" w:cs="宋体" w:eastAsia="宋体" w:hint="default"/>
                <w:sz w:val="21"/>
                <w:szCs w:val="21"/>
              </w:rPr>
              <w:t>总费用</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2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1875.51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78.15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468.88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468.88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468.88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390.73</w:t>
            </w:r>
          </w:p>
        </w:tc>
      </w:tr>
    </w:tbl>
    <w:p>
      <w:pPr>
        <w:spacing w:line="240" w:lineRule="auto" w:before="11"/>
        <w:rPr>
          <w:rFonts w:ascii="宋体" w:hAnsi="宋体" w:cs="宋体" w:eastAsia="宋体" w:hint="default"/>
          <w:sz w:val="25"/>
          <w:szCs w:val="25"/>
        </w:rPr>
      </w:pPr>
    </w:p>
    <w:p>
      <w:pPr>
        <w:spacing w:line="355" w:lineRule="auto" w:before="36"/>
        <w:ind w:left="122" w:right="3000" w:firstLine="0"/>
        <w:jc w:val="left"/>
        <w:rPr>
          <w:rFonts w:ascii="宋体" w:hAnsi="宋体" w:cs="宋体" w:eastAsia="宋体" w:hint="default"/>
          <w:sz w:val="21"/>
          <w:szCs w:val="21"/>
        </w:rPr>
      </w:pPr>
      <w:r>
        <w:rPr>
          <w:rFonts w:ascii="宋体" w:hAnsi="宋体" w:cs="宋体" w:eastAsia="宋体" w:hint="default"/>
          <w:b/>
          <w:bCs/>
          <w:sz w:val="21"/>
          <w:szCs w:val="21"/>
        </w:rPr>
        <w:t>五、报告期内公司关联交易事项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、与日常经营相关的关联交易，向关联方采购原材料和销售货物</w:t>
      </w:r>
    </w:p>
    <w:p>
      <w:pPr>
        <w:spacing w:before="36"/>
        <w:ind w:left="0" w:right="218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2511"/>
        <w:gridCol w:w="1253"/>
        <w:gridCol w:w="1133"/>
        <w:gridCol w:w="1277"/>
        <w:gridCol w:w="1985"/>
      </w:tblGrid>
      <w:tr>
        <w:trPr>
          <w:trHeight w:val="376" w:hRule="exact"/>
        </w:trPr>
        <w:tc>
          <w:tcPr>
            <w:tcW w:w="25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3262" w:type="dxa"/>
            <w:gridSpan w:val="2"/>
            <w:tcBorders>
              <w:top w:val="single" w:sz="4" w:space="0" w:color="000000"/>
              <w:left w:val="single" w:sz="4" w:space="0" w:color="000000"/>
              <w:bottom w:val="single" w:sz="26" w:space="0" w:color="FFFFFF"/>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3" w:hRule="exact"/>
        </w:trPr>
        <w:tc>
          <w:tcPr>
            <w:tcW w:w="2511" w:type="dxa"/>
            <w:vMerge/>
            <w:tcBorders>
              <w:left w:val="single" w:sz="4" w:space="0" w:color="000000"/>
              <w:bottom w:val="single" w:sz="4" w:space="0" w:color="000000"/>
              <w:right w:val="single" w:sz="4" w:space="0" w:color="000000"/>
            </w:tcBorders>
            <w:shd w:val="clear" w:color="auto" w:fill="D9D9D9"/>
          </w:tcPr>
          <w:p>
            <w:pPr/>
          </w:p>
        </w:tc>
        <w:tc>
          <w:tcPr>
            <w:tcW w:w="1253" w:type="dxa"/>
            <w:vMerge/>
            <w:tcBorders>
              <w:left w:val="single" w:sz="4" w:space="0" w:color="000000"/>
              <w:bottom w:val="single" w:sz="4" w:space="0" w:color="000000"/>
              <w:right w:val="single" w:sz="4" w:space="0" w:color="000000"/>
            </w:tcBorders>
            <w:shd w:val="clear" w:color="auto" w:fill="D9D9D9"/>
          </w:tcPr>
          <w:p>
            <w:pPr/>
          </w:p>
        </w:tc>
        <w:tc>
          <w:tcPr>
            <w:tcW w:w="1133"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26" w:space="0" w:color="FFFFFF"/>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26"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占同类交易比例（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50"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日照大地依索新建材有限公司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1"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9"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92" w:right="0"/>
              <w:jc w:val="left"/>
              <w:rPr>
                <w:rFonts w:ascii="宋体" w:hAnsi="宋体" w:cs="宋体" w:eastAsia="宋体" w:hint="default"/>
                <w:sz w:val="18"/>
                <w:szCs w:val="18"/>
              </w:rPr>
            </w:pPr>
            <w:r>
              <w:rPr>
                <w:rFonts w:ascii="宋体"/>
                <w:sz w:val="18"/>
              </w:rPr>
              <w:t>65.54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0.18</w:t>
            </w:r>
            <w:r>
              <w:rPr>
                <w:rFonts w:ascii="宋体"/>
                <w:sz w:val="18"/>
              </w:rPr>
            </w:r>
          </w:p>
        </w:tc>
      </w:tr>
    </w:tbl>
    <w:p>
      <w:pPr>
        <w:spacing w:line="240" w:lineRule="auto" w:before="11"/>
        <w:rPr>
          <w:rFonts w:ascii="宋体" w:hAnsi="宋体" w:cs="宋体" w:eastAsia="宋体" w:hint="default"/>
          <w:sz w:val="25"/>
          <w:szCs w:val="25"/>
        </w:rPr>
      </w:pPr>
    </w:p>
    <w:p>
      <w:pPr>
        <w:spacing w:line="357" w:lineRule="auto" w:before="36"/>
        <w:ind w:left="1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日照大地依索新建材有限公司，谷望江女士间接持有该公司的</w:t>
      </w:r>
      <w:r>
        <w:rPr>
          <w:rFonts w:ascii="宋体" w:hAnsi="宋体" w:cs="宋体" w:eastAsia="宋体" w:hint="default"/>
          <w:spacing w:val="-8"/>
          <w:sz w:val="21"/>
          <w:szCs w:val="21"/>
        </w:rPr>
        <w:t> </w:t>
      </w:r>
      <w:r>
        <w:rPr>
          <w:rFonts w:ascii="宋体" w:hAnsi="宋体" w:cs="宋体" w:eastAsia="宋体" w:hint="default"/>
          <w:spacing w:val="-5"/>
          <w:sz w:val="21"/>
          <w:szCs w:val="21"/>
        </w:rPr>
        <w:t>90</w:t>
      </w:r>
      <w:r>
        <w:rPr>
          <w:rFonts w:ascii="宋体" w:hAnsi="宋体" w:cs="宋体" w:eastAsia="宋体" w:hint="default"/>
          <w:spacing w:val="-5"/>
          <w:sz w:val="21"/>
          <w:szCs w:val="21"/>
        </w:rPr>
        <w:t>％股权，由于谷望江女士为我</w:t>
      </w:r>
      <w:r>
        <w:rPr>
          <w:rFonts w:ascii="宋体" w:hAnsi="宋体" w:cs="宋体" w:eastAsia="宋体" w:hint="default"/>
          <w:w w:val="100"/>
          <w:sz w:val="21"/>
          <w:szCs w:val="21"/>
        </w:rPr>
        <w:t> </w:t>
      </w:r>
      <w:r>
        <w:rPr>
          <w:rFonts w:ascii="宋体" w:hAnsi="宋体" w:cs="宋体" w:eastAsia="宋体" w:hint="default"/>
          <w:spacing w:val="-3"/>
          <w:sz w:val="21"/>
          <w:szCs w:val="21"/>
        </w:rPr>
        <w:t>公司的实际控制人，因此日照大地依索新建材有限公司与我公司形成了关联关系</w:t>
      </w:r>
      <w:r>
        <w:rPr>
          <w:rFonts w:ascii="黑体" w:hAnsi="黑体" w:cs="黑体" w:eastAsia="黑体" w:hint="default"/>
          <w:spacing w:val="-3"/>
          <w:sz w:val="24"/>
          <w:szCs w:val="24"/>
        </w:rPr>
        <w:t>。</w:t>
      </w:r>
      <w:r>
        <w:rPr>
          <w:rFonts w:ascii="宋体" w:hAnsi="宋体" w:cs="宋体" w:eastAsia="宋体" w:hint="default"/>
          <w:spacing w:val="-3"/>
          <w:sz w:val="21"/>
          <w:szCs w:val="21"/>
        </w:rPr>
        <w:t>我公司因建设临</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港开发区厂房建设向该公司采购建筑用夹芯板，报告期内向日照大地依索新建材有限公司支付结算</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尾款</w:t>
      </w:r>
      <w:r>
        <w:rPr>
          <w:rFonts w:ascii="宋体" w:hAnsi="宋体" w:cs="宋体" w:eastAsia="宋体" w:hint="default"/>
          <w:spacing w:val="-52"/>
          <w:sz w:val="21"/>
          <w:szCs w:val="21"/>
        </w:rPr>
        <w:t> </w:t>
      </w:r>
      <w:r>
        <w:rPr>
          <w:rFonts w:ascii="宋体" w:hAnsi="宋体" w:cs="宋体" w:eastAsia="宋体" w:hint="default"/>
          <w:sz w:val="21"/>
          <w:szCs w:val="21"/>
        </w:rPr>
        <w:t>65.54</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before="179"/>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六、报告期内重大合同及其履行情况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21"/>
          <w:pgSz w:w="11910" w:h="16840"/>
          <w:pgMar w:footer="1686" w:header="737" w:top="1060" w:bottom="1880" w:left="1500" w:right="0"/>
          <w:pgNumType w:start="43"/>
        </w:sectPr>
      </w:pPr>
    </w:p>
    <w:p>
      <w:pPr>
        <w:spacing w:line="240" w:lineRule="auto" w:before="2"/>
        <w:rPr>
          <w:rFonts w:ascii="宋体" w:hAnsi="宋体" w:cs="宋体" w:eastAsia="宋体" w:hint="default"/>
          <w:b/>
          <w:bCs/>
          <w:sz w:val="23"/>
          <w:szCs w:val="23"/>
        </w:rPr>
      </w:pPr>
    </w:p>
    <w:p>
      <w:pPr>
        <w:spacing w:line="357" w:lineRule="auto" w:before="36"/>
        <w:ind w:left="122" w:right="1274" w:firstLine="0"/>
        <w:jc w:val="left"/>
        <w:rPr>
          <w:rFonts w:ascii="宋体" w:hAnsi="宋体" w:cs="宋体" w:eastAsia="宋体" w:hint="default"/>
          <w:sz w:val="21"/>
          <w:szCs w:val="21"/>
        </w:rPr>
      </w:pPr>
      <w:r>
        <w:rPr>
          <w:rFonts w:ascii="宋体" w:hAnsi="宋体" w:cs="宋体" w:eastAsia="宋体" w:hint="default"/>
          <w:spacing w:val="-3"/>
          <w:sz w:val="21"/>
          <w:szCs w:val="21"/>
        </w:rPr>
        <w:t>（一）报告期内公司无托管、承包、租赁其他公司资产或其他公司托管、承包、租赁本公司资产的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事项。</w:t>
      </w:r>
    </w:p>
    <w:p>
      <w:pPr>
        <w:spacing w:line="240" w:lineRule="auto" w:before="0"/>
        <w:rPr>
          <w:rFonts w:ascii="宋体" w:hAnsi="宋体" w:cs="宋体" w:eastAsia="宋体" w:hint="default"/>
          <w:sz w:val="20"/>
          <w:szCs w:val="20"/>
        </w:rPr>
      </w:pPr>
    </w:p>
    <w:p>
      <w:pPr>
        <w:spacing w:before="179"/>
        <w:ind w:left="122" w:right="0" w:firstLine="0"/>
        <w:jc w:val="left"/>
        <w:rPr>
          <w:rFonts w:ascii="宋体" w:hAnsi="宋体" w:cs="宋体" w:eastAsia="宋体" w:hint="default"/>
          <w:sz w:val="21"/>
          <w:szCs w:val="21"/>
        </w:rPr>
      </w:pPr>
      <w:r>
        <w:rPr>
          <w:rFonts w:ascii="宋体" w:hAnsi="宋体" w:cs="宋体" w:eastAsia="宋体" w:hint="default"/>
          <w:sz w:val="21"/>
          <w:szCs w:val="21"/>
        </w:rPr>
        <w:t>（二）报告期内公司对外担保情况。</w:t>
      </w:r>
    </w:p>
    <w:p>
      <w:pPr>
        <w:tabs>
          <w:tab w:pos="7473" w:val="left" w:leader="none"/>
        </w:tabs>
        <w:spacing w:before="133"/>
        <w:ind w:left="122" w:right="0" w:firstLine="0"/>
        <w:jc w:val="left"/>
        <w:rPr>
          <w:rFonts w:ascii="宋体" w:hAnsi="宋体" w:cs="宋体" w:eastAsia="宋体" w:hint="default"/>
          <w:sz w:val="18"/>
          <w:szCs w:val="18"/>
        </w:rPr>
      </w:pPr>
      <w:r>
        <w:rPr>
          <w:rFonts w:ascii="宋体" w:hAnsi="宋体" w:cs="宋体" w:eastAsia="宋体" w:hint="default"/>
          <w:spacing w:val="-1"/>
          <w:sz w:val="21"/>
          <w:szCs w:val="21"/>
        </w:rPr>
        <w:t>1</w:t>
      </w:r>
      <w:r>
        <w:rPr>
          <w:rFonts w:ascii="宋体" w:hAnsi="宋体" w:cs="宋体" w:eastAsia="宋体" w:hint="default"/>
          <w:spacing w:val="-1"/>
          <w:sz w:val="21"/>
          <w:szCs w:val="21"/>
        </w:rPr>
        <w:t>、担保情况</w:t>
        <w:tab/>
      </w: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560" w:firstLine="0"/>
        <w:jc w:val="right"/>
        <w:rPr>
          <w:rFonts w:ascii="宋体" w:hAnsi="宋体" w:cs="宋体" w:eastAsia="宋体" w:hint="default"/>
          <w:sz w:val="18"/>
          <w:szCs w:val="18"/>
        </w:rPr>
      </w:pPr>
      <w:r>
        <w:rPr/>
        <w:pict>
          <v:shape style="position:absolute;margin-left:80.903999pt;margin-top:-28.728313pt;width:433.65pt;height:490.2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034"/>
                    <w:gridCol w:w="106"/>
                    <w:gridCol w:w="680"/>
                    <w:gridCol w:w="1163"/>
                    <w:gridCol w:w="376"/>
                    <w:gridCol w:w="263"/>
                    <w:gridCol w:w="193"/>
                    <w:gridCol w:w="937"/>
                    <w:gridCol w:w="108"/>
                    <w:gridCol w:w="606"/>
                    <w:gridCol w:w="124"/>
                    <w:gridCol w:w="579"/>
                    <w:gridCol w:w="1183"/>
                  </w:tblGrid>
                  <w:tr>
                    <w:trPr>
                      <w:trHeight w:val="240" w:hRule="exact"/>
                    </w:trPr>
                    <w:tc>
                      <w:tcPr>
                        <w:tcW w:w="8658" w:type="dxa"/>
                        <w:gridSpan w:val="1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525"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5"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34"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56" w:right="0"/>
                          <w:jc w:val="left"/>
                          <w:rPr>
                            <w:rFonts w:ascii="宋体" w:hAnsi="宋体" w:cs="宋体" w:eastAsia="宋体" w:hint="default"/>
                            <w:sz w:val="18"/>
                            <w:szCs w:val="18"/>
                          </w:rPr>
                        </w:pPr>
                        <w:r>
                          <w:rPr>
                            <w:rFonts w:ascii="宋体" w:hAnsi="宋体" w:cs="宋体" w:eastAsia="宋体" w:hint="default"/>
                            <w:sz w:val="18"/>
                            <w:szCs w:val="18"/>
                          </w:rPr>
                          <w:t>担保额度相</w:t>
                        </w:r>
                      </w:p>
                      <w:p>
                        <w:pPr>
                          <w:pStyle w:val="TableParagraph"/>
                          <w:spacing w:line="232" w:lineRule="exact" w:before="23"/>
                          <w:ind w:left="148" w:right="65" w:hanging="92"/>
                          <w:jc w:val="left"/>
                          <w:rPr>
                            <w:rFonts w:ascii="宋体" w:hAnsi="宋体" w:cs="宋体" w:eastAsia="宋体" w:hint="default"/>
                            <w:sz w:val="18"/>
                            <w:szCs w:val="18"/>
                          </w:rPr>
                        </w:pPr>
                        <w:r>
                          <w:rPr>
                            <w:rFonts w:ascii="宋体" w:hAnsi="宋体" w:cs="宋体" w:eastAsia="宋体" w:hint="default"/>
                            <w:sz w:val="18"/>
                            <w:szCs w:val="18"/>
                          </w:rPr>
                          <w:t>关公告披露 日和编号</w:t>
                        </w:r>
                      </w:p>
                    </w:tc>
                    <w:tc>
                      <w:tcPr>
                        <w:tcW w:w="785" w:type="dxa"/>
                        <w:gridSpan w:val="2"/>
                        <w:vMerge w:val="restart"/>
                        <w:tcBorders>
                          <w:top w:val="single" w:sz="4" w:space="0" w:color="000000"/>
                          <w:left w:val="single" w:sz="4" w:space="0" w:color="000000"/>
                          <w:right w:val="single" w:sz="4" w:space="0" w:color="000000"/>
                        </w:tcBorders>
                        <w:shd w:val="clear" w:color="auto" w:fill="DCDCDC"/>
                      </w:tcPr>
                      <w:p>
                        <w:pPr/>
                      </w:p>
                    </w:tc>
                    <w:tc>
                      <w:tcPr>
                        <w:tcW w:w="1163" w:type="dxa"/>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3"/>
                          <w:ind w:left="392" w:right="13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832"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045" w:type="dxa"/>
                        <w:gridSpan w:val="2"/>
                        <w:vMerge w:val="restart"/>
                        <w:tcBorders>
                          <w:top w:val="single" w:sz="4" w:space="0" w:color="000000"/>
                          <w:left w:val="single" w:sz="4" w:space="0" w:color="000000"/>
                          <w:right w:val="single" w:sz="4" w:space="0" w:color="000000"/>
                        </w:tcBorders>
                        <w:shd w:val="clear" w:color="auto" w:fill="DCDCDC"/>
                      </w:tcPr>
                      <w:p>
                        <w:pPr/>
                      </w:p>
                    </w:tc>
                    <w:tc>
                      <w:tcPr>
                        <w:tcW w:w="606" w:type="dxa"/>
                        <w:vMerge w:val="restart"/>
                        <w:tcBorders>
                          <w:top w:val="single" w:sz="4" w:space="0" w:color="000000"/>
                          <w:left w:val="single" w:sz="4" w:space="0" w:color="000000"/>
                          <w:right w:val="single" w:sz="4" w:space="0" w:color="000000"/>
                        </w:tcBorders>
                        <w:shd w:val="clear" w:color="auto" w:fill="DCDCDC"/>
                      </w:tcPr>
                      <w:p>
                        <w:pPr/>
                      </w:p>
                    </w:tc>
                    <w:tc>
                      <w:tcPr>
                        <w:tcW w:w="70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1163" w:type="dxa"/>
                        <w:vMerge/>
                        <w:tcBorders>
                          <w:left w:val="single" w:sz="4" w:space="0" w:color="000000"/>
                          <w:right w:val="single" w:sz="4" w:space="0" w:color="000000"/>
                        </w:tcBorders>
                        <w:shd w:val="clear" w:color="auto" w:fill="DCDCDC"/>
                      </w:tcPr>
                      <w:p>
                        <w:pPr/>
                      </w:p>
                    </w:tc>
                    <w:tc>
                      <w:tcPr>
                        <w:tcW w:w="832"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实际担保</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5" w:type="dxa"/>
                        <w:gridSpan w:val="2"/>
                        <w:vMerge/>
                        <w:tcBorders>
                          <w:left w:val="single" w:sz="4" w:space="0" w:color="000000"/>
                          <w:bottom w:val="nil" w:sz="6" w:space="0" w:color="auto"/>
                          <w:right w:val="single" w:sz="4" w:space="0" w:color="000000"/>
                        </w:tcBorders>
                        <w:shd w:val="clear" w:color="auto" w:fill="DCDCDC"/>
                      </w:tcPr>
                      <w:p>
                        <w:pPr/>
                      </w:p>
                    </w:tc>
                    <w:tc>
                      <w:tcPr>
                        <w:tcW w:w="606" w:type="dxa"/>
                        <w:vMerge/>
                        <w:tcBorders>
                          <w:left w:val="single" w:sz="4" w:space="0" w:color="000000"/>
                          <w:bottom w:val="nil" w:sz="6" w:space="0" w:color="auto"/>
                          <w:right w:val="single" w:sz="4" w:space="0" w:color="000000"/>
                        </w:tcBorders>
                        <w:shd w:val="clear" w:color="auto" w:fill="DCDCDC"/>
                      </w:tcPr>
                      <w:p>
                        <w:pPr/>
                      </w:p>
                    </w:tc>
                    <w:tc>
                      <w:tcPr>
                        <w:tcW w:w="703"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4" w:right="0" w:firstLine="24"/>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担保（是或否</w:t>
                        </w:r>
                      </w:p>
                    </w:tc>
                  </w:tr>
                  <w:tr>
                    <w:trPr>
                      <w:trHeight w:val="233"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34" w:type="dxa"/>
                        <w:vMerge/>
                        <w:tcBorders>
                          <w:left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3" w:type="dxa"/>
                        <w:vMerge/>
                        <w:tcBorders>
                          <w:left w:val="single" w:sz="4" w:space="0" w:color="000000"/>
                          <w:right w:val="single" w:sz="4" w:space="0" w:color="000000"/>
                        </w:tcBorders>
                        <w:shd w:val="clear" w:color="auto" w:fill="DCDCDC"/>
                      </w:tcPr>
                      <w:p>
                        <w:pPr/>
                      </w:p>
                    </w:tc>
                    <w:tc>
                      <w:tcPr>
                        <w:tcW w:w="832" w:type="dxa"/>
                        <w:gridSpan w:val="3"/>
                        <w:vMerge/>
                        <w:tcBorders>
                          <w:left w:val="single" w:sz="4" w:space="0" w:color="000000"/>
                          <w:right w:val="single" w:sz="4" w:space="0" w:color="000000"/>
                        </w:tcBorders>
                        <w:shd w:val="clear" w:color="auto" w:fill="DCDCDC"/>
                      </w:tcPr>
                      <w:p>
                        <w:pPr/>
                      </w:p>
                    </w:tc>
                    <w:tc>
                      <w:tcPr>
                        <w:tcW w:w="10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3" w:type="dxa"/>
                        <w:gridSpan w:val="2"/>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239"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4" w:type="dxa"/>
                        <w:vMerge/>
                        <w:tcBorders>
                          <w:left w:val="single" w:sz="4" w:space="0" w:color="000000"/>
                          <w:bottom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3" w:type="dxa"/>
                        <w:vMerge/>
                        <w:tcBorders>
                          <w:left w:val="single" w:sz="4" w:space="0" w:color="000000"/>
                          <w:bottom w:val="single" w:sz="4" w:space="0" w:color="000000"/>
                          <w:right w:val="single" w:sz="4" w:space="0" w:color="000000"/>
                        </w:tcBorders>
                        <w:shd w:val="clear" w:color="auto" w:fill="DCDCDC"/>
                      </w:tcPr>
                      <w:p>
                        <w:pPr/>
                      </w:p>
                    </w:tc>
                    <w:tc>
                      <w:tcPr>
                        <w:tcW w:w="832" w:type="dxa"/>
                        <w:gridSpan w:val="3"/>
                        <w:vMerge/>
                        <w:tcBorders>
                          <w:left w:val="single" w:sz="4" w:space="0" w:color="000000"/>
                          <w:bottom w:val="single" w:sz="4" w:space="0" w:color="000000"/>
                          <w:right w:val="single" w:sz="4" w:space="0" w:color="000000"/>
                        </w:tcBorders>
                        <w:shd w:val="clear" w:color="auto" w:fill="DCDCDC"/>
                      </w:tcPr>
                      <w:p>
                        <w:pPr/>
                      </w:p>
                    </w:tc>
                    <w:tc>
                      <w:tcPr>
                        <w:tcW w:w="104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606" w:type="dxa"/>
                        <w:tcBorders>
                          <w:top w:val="nil" w:sz="6" w:space="0" w:color="auto"/>
                          <w:left w:val="single" w:sz="4" w:space="0" w:color="000000"/>
                          <w:bottom w:val="single" w:sz="4" w:space="0" w:color="000000"/>
                          <w:right w:val="single" w:sz="4" w:space="0" w:color="000000"/>
                        </w:tcBorders>
                        <w:shd w:val="clear" w:color="auto" w:fill="DCDCDC"/>
                      </w:tcPr>
                      <w:p>
                        <w:pPr/>
                      </w:p>
                    </w:tc>
                    <w:tc>
                      <w:tcPr>
                        <w:tcW w:w="703" w:type="dxa"/>
                        <w:gridSpan w:val="2"/>
                        <w:vMerge/>
                        <w:tcBorders>
                          <w:left w:val="single" w:sz="4" w:space="0" w:color="000000"/>
                          <w:bottom w:val="single" w:sz="4" w:space="0" w:color="000000"/>
                          <w:right w:val="single" w:sz="4" w:space="0" w:color="000000"/>
                        </w:tcBorders>
                        <w:shd w:val="clear" w:color="auto" w:fill="DCDCDC"/>
                      </w:tcPr>
                      <w:p>
                        <w:pPr/>
                      </w:p>
                    </w:tc>
                    <w:tc>
                      <w:tcPr>
                        <w:tcW w:w="1183" w:type="dxa"/>
                        <w:vMerge/>
                        <w:tcBorders>
                          <w:left w:val="single" w:sz="4" w:space="0" w:color="000000"/>
                          <w:bottom w:val="single" w:sz="4" w:space="0" w:color="000000"/>
                          <w:right w:val="single" w:sz="4" w:space="0" w:color="000000"/>
                        </w:tcBorders>
                        <w:shd w:val="clear" w:color="auto" w:fill="DCDCDC"/>
                      </w:tcPr>
                      <w:p>
                        <w:pPr/>
                      </w:p>
                    </w:tc>
                  </w:tr>
                  <w:tr>
                    <w:trPr>
                      <w:trHeight w:val="476"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报告期内审批的对外担保额度</w:t>
                        </w:r>
                      </w:p>
                      <w:p>
                        <w:pPr>
                          <w:pStyle w:val="TableParagraph"/>
                          <w:spacing w:line="248" w:lineRule="exact"/>
                          <w:ind w:left="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3"/>
                        <w:tcBorders>
                          <w:top w:val="single" w:sz="46" w:space="0" w:color="DCDCDC"/>
                          <w:left w:val="single" w:sz="13" w:space="0" w:color="DCDCDC"/>
                          <w:bottom w:val="single" w:sz="4" w:space="0" w:color="000000"/>
                          <w:right w:val="single" w:sz="9" w:space="0" w:color="DCDCDC"/>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2231"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报告期内对外担保实际发生</w:t>
                        </w:r>
                      </w:p>
                      <w:p>
                        <w:pPr>
                          <w:pStyle w:val="TableParagraph"/>
                          <w:spacing w:line="248" w:lineRule="exact"/>
                          <w:ind w:right="3"/>
                          <w:jc w:val="center"/>
                          <w:rPr>
                            <w:rFonts w:ascii="宋体" w:hAnsi="宋体" w:cs="宋体" w:eastAsia="宋体" w:hint="default"/>
                            <w:sz w:val="18"/>
                            <w:szCs w:val="18"/>
                          </w:rPr>
                        </w:pPr>
                        <w:r>
                          <w:rPr>
                            <w:rFonts w:ascii="宋体" w:hAnsi="宋体" w:cs="宋体" w:eastAsia="宋体" w:hint="default"/>
                            <w:sz w:val="18"/>
                            <w:szCs w:val="18"/>
                          </w:rPr>
                          <w:t>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762" w:type="dxa"/>
                        <w:gridSpan w:val="2"/>
                        <w:tcBorders>
                          <w:top w:val="single" w:sz="46" w:space="0" w:color="DCDCDC"/>
                          <w:left w:val="single" w:sz="10" w:space="0" w:color="DCDCDC"/>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83"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报告期末已审批的对外担保额</w:t>
                        </w: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2231"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报告期末实际对外担保余额</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762"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33" w:hRule="exact"/>
                    </w:trPr>
                    <w:tc>
                      <w:tcPr>
                        <w:tcW w:w="8658" w:type="dxa"/>
                        <w:gridSpan w:val="1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7"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34" w:type="dxa"/>
                        <w:vMerge w:val="restart"/>
                        <w:tcBorders>
                          <w:top w:val="single" w:sz="4" w:space="0" w:color="000000"/>
                          <w:left w:val="single" w:sz="4" w:space="0" w:color="000000"/>
                          <w:right w:val="single" w:sz="4" w:space="0" w:color="000000"/>
                        </w:tcBorders>
                        <w:shd w:val="clear" w:color="auto" w:fill="DCDCDC"/>
                      </w:tcPr>
                      <w:p>
                        <w:pPr>
                          <w:pStyle w:val="TableParagraph"/>
                          <w:spacing w:line="210" w:lineRule="exact"/>
                          <w:ind w:left="56" w:right="0"/>
                          <w:jc w:val="left"/>
                          <w:rPr>
                            <w:rFonts w:ascii="宋体" w:hAnsi="宋体" w:cs="宋体" w:eastAsia="宋体" w:hint="default"/>
                            <w:sz w:val="18"/>
                            <w:szCs w:val="18"/>
                          </w:rPr>
                        </w:pPr>
                        <w:r>
                          <w:rPr>
                            <w:rFonts w:ascii="宋体" w:hAnsi="宋体" w:cs="宋体" w:eastAsia="宋体" w:hint="default"/>
                            <w:sz w:val="18"/>
                            <w:szCs w:val="18"/>
                          </w:rPr>
                          <w:t>担保额度相</w:t>
                        </w:r>
                      </w:p>
                      <w:p>
                        <w:pPr>
                          <w:pStyle w:val="TableParagraph"/>
                          <w:spacing w:line="232" w:lineRule="exact" w:before="24"/>
                          <w:ind w:left="148" w:right="65" w:hanging="92"/>
                          <w:jc w:val="left"/>
                          <w:rPr>
                            <w:rFonts w:ascii="宋体" w:hAnsi="宋体" w:cs="宋体" w:eastAsia="宋体" w:hint="default"/>
                            <w:sz w:val="18"/>
                            <w:szCs w:val="18"/>
                          </w:rPr>
                        </w:pPr>
                        <w:r>
                          <w:rPr>
                            <w:rFonts w:ascii="宋体" w:hAnsi="宋体" w:cs="宋体" w:eastAsia="宋体" w:hint="default"/>
                            <w:sz w:val="18"/>
                            <w:szCs w:val="18"/>
                          </w:rPr>
                          <w:t>关公告披露 日和编号</w:t>
                        </w:r>
                      </w:p>
                    </w:tc>
                    <w:tc>
                      <w:tcPr>
                        <w:tcW w:w="785" w:type="dxa"/>
                        <w:gridSpan w:val="2"/>
                        <w:vMerge w:val="restart"/>
                        <w:tcBorders>
                          <w:top w:val="single" w:sz="4" w:space="0" w:color="000000"/>
                          <w:left w:val="single" w:sz="4" w:space="0" w:color="000000"/>
                          <w:right w:val="single" w:sz="4" w:space="0" w:color="000000"/>
                        </w:tcBorders>
                        <w:shd w:val="clear" w:color="auto" w:fill="DCDCDC"/>
                      </w:tcPr>
                      <w:p>
                        <w:pPr/>
                      </w:p>
                    </w:tc>
                    <w:tc>
                      <w:tcPr>
                        <w:tcW w:w="1163" w:type="dxa"/>
                        <w:vMerge w:val="restart"/>
                        <w:tcBorders>
                          <w:top w:val="single" w:sz="4" w:space="0" w:color="000000"/>
                          <w:left w:val="single" w:sz="4" w:space="0" w:color="000000"/>
                          <w:right w:val="single" w:sz="4" w:space="0" w:color="000000"/>
                        </w:tcBorders>
                        <w:shd w:val="clear" w:color="auto" w:fill="DCDCDC"/>
                      </w:tcPr>
                      <w:p>
                        <w:pPr>
                          <w:pStyle w:val="TableParagraph"/>
                          <w:spacing w:line="210" w:lineRule="exact"/>
                          <w:ind w:left="3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4"/>
                          <w:ind w:left="392" w:right="13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832"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937" w:type="dxa"/>
                        <w:vMerge w:val="restart"/>
                        <w:tcBorders>
                          <w:top w:val="single" w:sz="4" w:space="0" w:color="000000"/>
                          <w:left w:val="single" w:sz="4" w:space="0" w:color="000000"/>
                          <w:right w:val="single" w:sz="4" w:space="0" w:color="000000"/>
                        </w:tcBorders>
                        <w:shd w:val="clear" w:color="auto" w:fill="DCDCDC"/>
                      </w:tcPr>
                      <w:p>
                        <w:pPr/>
                      </w:p>
                    </w:tc>
                    <w:tc>
                      <w:tcPr>
                        <w:tcW w:w="714" w:type="dxa"/>
                        <w:gridSpan w:val="2"/>
                        <w:vMerge w:val="restart"/>
                        <w:tcBorders>
                          <w:top w:val="single" w:sz="4" w:space="0" w:color="000000"/>
                          <w:left w:val="single" w:sz="4" w:space="0" w:color="000000"/>
                          <w:right w:val="single" w:sz="4" w:space="0" w:color="000000"/>
                        </w:tcBorders>
                        <w:shd w:val="clear" w:color="auto" w:fill="DCDCDC"/>
                      </w:tcPr>
                      <w:p>
                        <w:pPr/>
                      </w:p>
                    </w:tc>
                    <w:tc>
                      <w:tcPr>
                        <w:tcW w:w="70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8"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1163" w:type="dxa"/>
                        <w:vMerge/>
                        <w:tcBorders>
                          <w:left w:val="single" w:sz="4" w:space="0" w:color="000000"/>
                          <w:right w:val="single" w:sz="4" w:space="0" w:color="000000"/>
                        </w:tcBorders>
                        <w:shd w:val="clear" w:color="auto" w:fill="DCDCDC"/>
                      </w:tcPr>
                      <w:p>
                        <w:pPr/>
                      </w:p>
                    </w:tc>
                    <w:tc>
                      <w:tcPr>
                        <w:tcW w:w="832"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sz w:val="18"/>
                            <w:szCs w:val="18"/>
                          </w:rPr>
                          <w:t>实际担保</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7" w:type="dxa"/>
                        <w:vMerge/>
                        <w:tcBorders>
                          <w:left w:val="single" w:sz="4" w:space="0" w:color="000000"/>
                          <w:bottom w:val="nil" w:sz="6" w:space="0" w:color="auto"/>
                          <w:right w:val="single" w:sz="4" w:space="0" w:color="000000"/>
                        </w:tcBorders>
                        <w:shd w:val="clear" w:color="auto" w:fill="DCDCDC"/>
                      </w:tcPr>
                      <w:p>
                        <w:pPr/>
                      </w:p>
                    </w:tc>
                    <w:tc>
                      <w:tcPr>
                        <w:tcW w:w="714" w:type="dxa"/>
                        <w:gridSpan w:val="2"/>
                        <w:vMerge/>
                        <w:tcBorders>
                          <w:left w:val="single" w:sz="4" w:space="0" w:color="000000"/>
                          <w:bottom w:val="nil" w:sz="6" w:space="0" w:color="auto"/>
                          <w:right w:val="single" w:sz="4" w:space="0" w:color="000000"/>
                        </w:tcBorders>
                        <w:shd w:val="clear" w:color="auto" w:fill="DCDCDC"/>
                      </w:tcPr>
                      <w:p>
                        <w:pPr/>
                      </w:p>
                    </w:tc>
                    <w:tc>
                      <w:tcPr>
                        <w:tcW w:w="703"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73"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34" w:lineRule="exact"/>
                          <w:ind w:left="73"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24" w:right="0" w:firstLine="24"/>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担保（是或否</w:t>
                        </w:r>
                      </w:p>
                    </w:tc>
                  </w:tr>
                  <w:tr>
                    <w:trPr>
                      <w:trHeight w:val="233"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34" w:type="dxa"/>
                        <w:vMerge/>
                        <w:tcBorders>
                          <w:left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3" w:type="dxa"/>
                        <w:vMerge/>
                        <w:tcBorders>
                          <w:left w:val="single" w:sz="4" w:space="0" w:color="000000"/>
                          <w:right w:val="single" w:sz="4" w:space="0" w:color="000000"/>
                        </w:tcBorders>
                        <w:shd w:val="clear" w:color="auto" w:fill="DCDCDC"/>
                      </w:tcPr>
                      <w:p>
                        <w:pPr/>
                      </w:p>
                    </w:tc>
                    <w:tc>
                      <w:tcPr>
                        <w:tcW w:w="832" w:type="dxa"/>
                        <w:gridSpan w:val="3"/>
                        <w:vMerge/>
                        <w:tcBorders>
                          <w:left w:val="single" w:sz="4" w:space="0" w:color="000000"/>
                          <w:right w:val="single" w:sz="4" w:space="0" w:color="000000"/>
                        </w:tcBorders>
                        <w:shd w:val="clear" w:color="auto" w:fill="DCDCDC"/>
                      </w:tcPr>
                      <w:p>
                        <w:pPr/>
                      </w:p>
                    </w:tc>
                    <w:tc>
                      <w:tcPr>
                        <w:tcW w:w="9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1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3" w:type="dxa"/>
                        <w:gridSpan w:val="2"/>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238" w:hRule="exact"/>
                    </w:trPr>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4" w:type="dxa"/>
                        <w:vMerge/>
                        <w:tcBorders>
                          <w:left w:val="single" w:sz="4" w:space="0" w:color="000000"/>
                          <w:bottom w:val="single" w:sz="4" w:space="0" w:color="000000"/>
                          <w:right w:val="single" w:sz="4" w:space="0" w:color="000000"/>
                        </w:tcBorders>
                        <w:shd w:val="clear" w:color="auto" w:fill="DCDCDC"/>
                      </w:tcPr>
                      <w:p>
                        <w:pPr/>
                      </w:p>
                    </w:tc>
                    <w:tc>
                      <w:tcPr>
                        <w:tcW w:w="78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3" w:type="dxa"/>
                        <w:vMerge/>
                        <w:tcBorders>
                          <w:left w:val="single" w:sz="4" w:space="0" w:color="000000"/>
                          <w:bottom w:val="single" w:sz="4" w:space="0" w:color="000000"/>
                          <w:right w:val="single" w:sz="4" w:space="0" w:color="000000"/>
                        </w:tcBorders>
                        <w:shd w:val="clear" w:color="auto" w:fill="DCDCDC"/>
                      </w:tcPr>
                      <w:p>
                        <w:pPr/>
                      </w:p>
                    </w:tc>
                    <w:tc>
                      <w:tcPr>
                        <w:tcW w:w="832" w:type="dxa"/>
                        <w:gridSpan w:val="3"/>
                        <w:vMerge/>
                        <w:tcBorders>
                          <w:left w:val="single" w:sz="4" w:space="0" w:color="000000"/>
                          <w:bottom w:val="single" w:sz="4" w:space="0" w:color="000000"/>
                          <w:right w:val="single" w:sz="4" w:space="0" w:color="000000"/>
                        </w:tcBorders>
                        <w:shd w:val="clear" w:color="auto" w:fill="DCDCDC"/>
                      </w:tcPr>
                      <w:p>
                        <w:pPr/>
                      </w:p>
                    </w:tc>
                    <w:tc>
                      <w:tcPr>
                        <w:tcW w:w="937" w:type="dxa"/>
                        <w:tcBorders>
                          <w:top w:val="nil" w:sz="6" w:space="0" w:color="auto"/>
                          <w:left w:val="single" w:sz="4" w:space="0" w:color="000000"/>
                          <w:bottom w:val="single" w:sz="4" w:space="0" w:color="000000"/>
                          <w:right w:val="single" w:sz="4" w:space="0" w:color="000000"/>
                        </w:tcBorders>
                        <w:shd w:val="clear" w:color="auto" w:fill="DCDCDC"/>
                      </w:tcPr>
                      <w:p>
                        <w:pPr/>
                      </w:p>
                    </w:tc>
                    <w:tc>
                      <w:tcPr>
                        <w:tcW w:w="71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703" w:type="dxa"/>
                        <w:gridSpan w:val="2"/>
                        <w:vMerge/>
                        <w:tcBorders>
                          <w:left w:val="single" w:sz="4" w:space="0" w:color="000000"/>
                          <w:bottom w:val="single" w:sz="4" w:space="0" w:color="000000"/>
                          <w:right w:val="single" w:sz="4" w:space="0" w:color="000000"/>
                        </w:tcBorders>
                        <w:shd w:val="clear" w:color="auto" w:fill="DCDCDC"/>
                      </w:tcPr>
                      <w:p>
                        <w:pPr/>
                      </w:p>
                    </w:tc>
                    <w:tc>
                      <w:tcPr>
                        <w:tcW w:w="1183" w:type="dxa"/>
                        <w:vMerge/>
                        <w:tcBorders>
                          <w:left w:val="single" w:sz="4" w:space="0" w:color="000000"/>
                          <w:bottom w:val="single" w:sz="4" w:space="0" w:color="000000"/>
                          <w:right w:val="single" w:sz="4" w:space="0" w:color="000000"/>
                        </w:tcBorders>
                        <w:shd w:val="clear" w:color="auto" w:fill="DCDCDC"/>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90"/>
                          <w:jc w:val="left"/>
                          <w:rPr>
                            <w:rFonts w:ascii="宋体" w:hAnsi="宋体" w:cs="宋体" w:eastAsia="宋体" w:hint="default"/>
                            <w:sz w:val="18"/>
                            <w:szCs w:val="18"/>
                          </w:rPr>
                        </w:pPr>
                        <w:r>
                          <w:rPr>
                            <w:rFonts w:ascii="宋体" w:hAnsi="宋体" w:cs="宋体" w:eastAsia="宋体" w:hint="default"/>
                            <w:sz w:val="18"/>
                            <w:szCs w:val="18"/>
                          </w:rPr>
                          <w:t>北京东港安全 印刷有限公司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34"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日公告编</w:t>
                        </w:r>
                      </w:p>
                      <w:p>
                        <w:pPr>
                          <w:pStyle w:val="TableParagraph"/>
                          <w:spacing w:line="241"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2009-032</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2" w:type="dxa"/>
                        <w:gridSpan w:val="3"/>
                        <w:tcBorders>
                          <w:top w:val="single" w:sz="50" w:space="0" w:color="DCDCDC"/>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7" w:right="179"/>
                          <w:jc w:val="left"/>
                          <w:rPr>
                            <w:rFonts w:ascii="宋体" w:hAnsi="宋体" w:cs="宋体" w:eastAsia="宋体" w:hint="default"/>
                            <w:sz w:val="18"/>
                            <w:szCs w:val="18"/>
                          </w:rPr>
                        </w:pPr>
                        <w:r>
                          <w:rPr>
                            <w:rFonts w:ascii="宋体" w:hAnsi="宋体" w:cs="宋体" w:eastAsia="宋体" w:hint="default"/>
                            <w:sz w:val="18"/>
                            <w:szCs w:val="18"/>
                          </w:rPr>
                          <w:t>连带保证 责任</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3" w:type="dxa"/>
                        <w:gridSpan w:val="2"/>
                        <w:tcBorders>
                          <w:top w:val="single" w:sz="50" w:space="0" w:color="DCDCDC"/>
                          <w:left w:val="single" w:sz="4" w:space="0" w:color="000000"/>
                          <w:bottom w:val="single" w:sz="4" w:space="0" w:color="000000"/>
                          <w:right w:val="single" w:sz="4" w:space="0" w:color="000000"/>
                        </w:tcBorders>
                      </w:tcPr>
                      <w:p>
                        <w:pPr>
                          <w:pStyle w:val="TableParagraph"/>
                          <w:spacing w:line="240" w:lineRule="auto" w:before="147"/>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北京东港嘉华</w:t>
                        </w:r>
                      </w:p>
                      <w:p>
                        <w:pPr>
                          <w:pStyle w:val="TableParagraph"/>
                          <w:spacing w:line="232" w:lineRule="exact" w:before="24"/>
                          <w:ind w:left="23" w:right="190"/>
                          <w:jc w:val="left"/>
                          <w:rPr>
                            <w:rFonts w:ascii="宋体" w:hAnsi="宋体" w:cs="宋体" w:eastAsia="宋体" w:hint="default"/>
                            <w:sz w:val="18"/>
                            <w:szCs w:val="18"/>
                          </w:rPr>
                        </w:pPr>
                        <w:r>
                          <w:rPr>
                            <w:rFonts w:ascii="宋体" w:hAnsi="宋体" w:cs="宋体" w:eastAsia="宋体" w:hint="default"/>
                            <w:sz w:val="18"/>
                            <w:szCs w:val="18"/>
                          </w:rPr>
                          <w:t>安全信息技术 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34"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日公告编</w:t>
                        </w:r>
                      </w:p>
                      <w:p>
                        <w:pPr>
                          <w:pStyle w:val="TableParagraph"/>
                          <w:spacing w:line="241"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2009-032</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7" w:right="179"/>
                          <w:jc w:val="left"/>
                          <w:rPr>
                            <w:rFonts w:ascii="宋体" w:hAnsi="宋体" w:cs="宋体" w:eastAsia="宋体" w:hint="default"/>
                            <w:sz w:val="18"/>
                            <w:szCs w:val="18"/>
                          </w:rPr>
                        </w:pPr>
                        <w:r>
                          <w:rPr>
                            <w:rFonts w:ascii="宋体" w:hAnsi="宋体" w:cs="宋体" w:eastAsia="宋体" w:hint="default"/>
                            <w:sz w:val="18"/>
                            <w:szCs w:val="18"/>
                          </w:rPr>
                          <w:t>连带保证 责任</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90"/>
                          <w:jc w:val="left"/>
                          <w:rPr>
                            <w:rFonts w:ascii="宋体" w:hAnsi="宋体" w:cs="宋体" w:eastAsia="宋体" w:hint="default"/>
                            <w:sz w:val="18"/>
                            <w:szCs w:val="18"/>
                          </w:rPr>
                        </w:pPr>
                        <w:r>
                          <w:rPr>
                            <w:rFonts w:ascii="宋体" w:hAnsi="宋体" w:cs="宋体" w:eastAsia="宋体" w:hint="default"/>
                            <w:sz w:val="18"/>
                            <w:szCs w:val="18"/>
                          </w:rPr>
                          <w:t>广州东港安全 印刷有限公司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34"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日公告编</w:t>
                        </w:r>
                      </w:p>
                      <w:p>
                        <w:pPr>
                          <w:pStyle w:val="TableParagraph"/>
                          <w:spacing w:line="241"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2009-032</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7" w:right="179"/>
                          <w:jc w:val="left"/>
                          <w:rPr>
                            <w:rFonts w:ascii="宋体" w:hAnsi="宋体" w:cs="宋体" w:eastAsia="宋体" w:hint="default"/>
                            <w:sz w:val="18"/>
                            <w:szCs w:val="18"/>
                          </w:rPr>
                        </w:pPr>
                        <w:r>
                          <w:rPr>
                            <w:rFonts w:ascii="宋体" w:hAnsi="宋体" w:cs="宋体" w:eastAsia="宋体" w:hint="default"/>
                            <w:sz w:val="18"/>
                            <w:szCs w:val="18"/>
                          </w:rPr>
                          <w:t>连带保证 责任</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3" w:right="190"/>
                          <w:jc w:val="left"/>
                          <w:rPr>
                            <w:rFonts w:ascii="宋体" w:hAnsi="宋体" w:cs="宋体" w:eastAsia="宋体" w:hint="default"/>
                            <w:sz w:val="18"/>
                            <w:szCs w:val="18"/>
                          </w:rPr>
                        </w:pPr>
                        <w:r>
                          <w:rPr>
                            <w:rFonts w:ascii="宋体" w:hAnsi="宋体" w:cs="宋体" w:eastAsia="宋体" w:hint="default"/>
                            <w:sz w:val="18"/>
                            <w:szCs w:val="18"/>
                          </w:rPr>
                          <w:t>上海东港安全 印刷有限公司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34"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日公告编</w:t>
                        </w:r>
                      </w:p>
                      <w:p>
                        <w:pPr>
                          <w:pStyle w:val="TableParagraph"/>
                          <w:spacing w:line="241"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2009-032</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7" w:right="179"/>
                          <w:jc w:val="left"/>
                          <w:rPr>
                            <w:rFonts w:ascii="宋体" w:hAnsi="宋体" w:cs="宋体" w:eastAsia="宋体" w:hint="default"/>
                            <w:sz w:val="18"/>
                            <w:szCs w:val="18"/>
                          </w:rPr>
                        </w:pPr>
                        <w:r>
                          <w:rPr>
                            <w:rFonts w:ascii="宋体" w:hAnsi="宋体" w:cs="宋体" w:eastAsia="宋体" w:hint="default"/>
                            <w:sz w:val="18"/>
                            <w:szCs w:val="18"/>
                          </w:rPr>
                          <w:t>连带保证 责任</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报告期内审批对子公司担保额</w:t>
                        </w: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2231"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报告期内对子公司担保实际</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1762"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left="1001" w:right="0"/>
                          <w:jc w:val="left"/>
                          <w:rPr>
                            <w:rFonts w:ascii="Times New Roman" w:hAnsi="Times New Roman" w:cs="Times New Roman" w:eastAsia="Times New Roman" w:hint="default"/>
                            <w:sz w:val="18"/>
                            <w:szCs w:val="18"/>
                          </w:rPr>
                        </w:pPr>
                        <w:r>
                          <w:rPr>
                            <w:rFonts w:ascii="Times New Roman"/>
                            <w:sz w:val="18"/>
                          </w:rPr>
                          <w:t>10,000.00</w:t>
                        </w:r>
                      </w:p>
                    </w:tc>
                  </w:tr>
                  <w:tr>
                    <w:trPr>
                      <w:trHeight w:val="482"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9" w:right="0"/>
                          <w:jc w:val="center"/>
                          <w:rPr>
                            <w:rFonts w:ascii="宋体" w:hAnsi="宋体" w:cs="宋体" w:eastAsia="宋体" w:hint="default"/>
                            <w:sz w:val="18"/>
                            <w:szCs w:val="18"/>
                          </w:rPr>
                        </w:pPr>
                        <w:r>
                          <w:rPr>
                            <w:rFonts w:ascii="宋体" w:hAnsi="宋体" w:cs="宋体" w:eastAsia="宋体" w:hint="default"/>
                            <w:sz w:val="18"/>
                            <w:szCs w:val="18"/>
                          </w:rPr>
                          <w:t>报告期末已审批的对子公司担</w:t>
                        </w:r>
                      </w:p>
                      <w:p>
                        <w:pPr>
                          <w:pStyle w:val="TableParagraph"/>
                          <w:spacing w:line="248" w:lineRule="exact"/>
                          <w:ind w:left="8" w:right="0"/>
                          <w:jc w:val="center"/>
                          <w:rPr>
                            <w:rFonts w:ascii="宋体" w:hAnsi="宋体" w:cs="宋体" w:eastAsia="宋体" w:hint="default"/>
                            <w:sz w:val="18"/>
                            <w:szCs w:val="18"/>
                          </w:rPr>
                        </w:pP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4"/>
                          <w:ind w:left="1442" w:right="0"/>
                          <w:jc w:val="left"/>
                          <w:rPr>
                            <w:rFonts w:ascii="Times New Roman" w:hAnsi="Times New Roman" w:cs="Times New Roman" w:eastAsia="Times New Roman" w:hint="default"/>
                            <w:sz w:val="18"/>
                            <w:szCs w:val="18"/>
                          </w:rPr>
                        </w:pPr>
                        <w:r>
                          <w:rPr>
                            <w:rFonts w:ascii="Times New Roman"/>
                            <w:sz w:val="18"/>
                          </w:rPr>
                          <w:t>10,000.00</w:t>
                        </w:r>
                      </w:p>
                    </w:tc>
                    <w:tc>
                      <w:tcPr>
                        <w:tcW w:w="2231"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报告期末对子公司实际担保</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762"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33" w:hRule="exact"/>
                    </w:trPr>
                    <w:tc>
                      <w:tcPr>
                        <w:tcW w:w="8658" w:type="dxa"/>
                        <w:gridSpan w:val="1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82"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9" w:lineRule="exact"/>
                          <w:ind w:left="11"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8"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1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2231"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报告期内担保实际发生额合</w:t>
                        </w:r>
                      </w:p>
                      <w:p>
                        <w:pPr>
                          <w:pStyle w:val="TableParagraph"/>
                          <w:spacing w:line="248" w:lineRule="exact"/>
                          <w:ind w:right="3"/>
                          <w:jc w:val="center"/>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1762"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9"/>
                          <w:ind w:left="1001" w:right="0"/>
                          <w:jc w:val="left"/>
                          <w:rPr>
                            <w:rFonts w:ascii="Times New Roman" w:hAnsi="Times New Roman" w:cs="Times New Roman" w:eastAsia="Times New Roman" w:hint="default"/>
                            <w:sz w:val="18"/>
                            <w:szCs w:val="18"/>
                          </w:rPr>
                        </w:pPr>
                        <w:r>
                          <w:rPr>
                            <w:rFonts w:ascii="Times New Roman"/>
                            <w:sz w:val="18"/>
                          </w:rPr>
                          <w:t>10,000.00</w:t>
                        </w:r>
                      </w:p>
                    </w:tc>
                  </w:tr>
                  <w:tr>
                    <w:trPr>
                      <w:trHeight w:val="476"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9" w:right="0"/>
                          <w:jc w:val="center"/>
                          <w:rPr>
                            <w:rFonts w:ascii="宋体" w:hAnsi="宋体" w:cs="宋体" w:eastAsia="宋体" w:hint="default"/>
                            <w:sz w:val="18"/>
                            <w:szCs w:val="18"/>
                          </w:rPr>
                        </w:pPr>
                        <w:r>
                          <w:rPr>
                            <w:rFonts w:ascii="宋体" w:hAnsi="宋体" w:cs="宋体" w:eastAsia="宋体" w:hint="default"/>
                            <w:sz w:val="18"/>
                            <w:szCs w:val="18"/>
                          </w:rPr>
                          <w:t>报告期末已审批的担保额度合</w:t>
                        </w:r>
                      </w:p>
                      <w:p>
                        <w:pPr>
                          <w:pStyle w:val="TableParagraph"/>
                          <w:spacing w:line="248" w:lineRule="exact"/>
                          <w:ind w:left="6" w:right="0"/>
                          <w:jc w:val="center"/>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219"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24"/>
                          <w:ind w:left="1442" w:right="0"/>
                          <w:jc w:val="left"/>
                          <w:rPr>
                            <w:rFonts w:ascii="Times New Roman" w:hAnsi="Times New Roman" w:cs="Times New Roman" w:eastAsia="Times New Roman" w:hint="default"/>
                            <w:sz w:val="18"/>
                            <w:szCs w:val="18"/>
                          </w:rPr>
                        </w:pPr>
                        <w:r>
                          <w:rPr>
                            <w:rFonts w:ascii="Times New Roman"/>
                            <w:sz w:val="18"/>
                          </w:rPr>
                          <w:t>10,000.00</w:t>
                        </w:r>
                      </w:p>
                    </w:tc>
                    <w:tc>
                      <w:tcPr>
                        <w:tcW w:w="2231"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762"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48" w:hRule="exact"/>
                    </w:trPr>
                    <w:tc>
                      <w:tcPr>
                        <w:tcW w:w="49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3730"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8658" w:type="dxa"/>
                        <w:gridSpan w:val="1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50" w:hRule="exact"/>
                    </w:trPr>
                    <w:tc>
                      <w:tcPr>
                        <w:tcW w:w="49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3730"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7" w:hRule="exact"/>
                    </w:trPr>
                    <w:tc>
                      <w:tcPr>
                        <w:tcW w:w="49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3730"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44" w:hRule="exact"/>
                    </w:trPr>
                    <w:tc>
                      <w:tcPr>
                        <w:tcW w:w="49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3730"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42" w:hRule="exact"/>
                    </w:trPr>
                    <w:tc>
                      <w:tcPr>
                        <w:tcW w:w="49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3730"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45" w:hRule="exact"/>
                    </w:trPr>
                    <w:tc>
                      <w:tcPr>
                        <w:tcW w:w="49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3730" w:type="dxa"/>
                        <w:gridSpan w:val="7"/>
                        <w:tcBorders>
                          <w:top w:val="single" w:sz="4" w:space="0" w:color="000000"/>
                          <w:left w:val="single" w:sz="13" w:space="0" w:color="DCDCDC"/>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44"/>
        <w:ind w:left="0" w:right="15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355" w:lineRule="auto" w:before="36"/>
        <w:ind w:left="545" w:right="1275" w:hanging="42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、公司独立董事关于累计和当期对外担保和大股东资金占用情况发表的专项说明和独立意见</w:t>
      </w:r>
      <w:r>
        <w:rPr>
          <w:rFonts w:ascii="宋体" w:hAnsi="宋体" w:cs="宋体" w:eastAsia="宋体" w:hint="default"/>
          <w:w w:val="100"/>
          <w:sz w:val="21"/>
          <w:szCs w:val="21"/>
        </w:rPr>
        <w:t> </w:t>
      </w:r>
      <w:r>
        <w:rPr>
          <w:rFonts w:ascii="宋体" w:hAnsi="宋体" w:cs="宋体" w:eastAsia="宋体" w:hint="default"/>
          <w:spacing w:val="-5"/>
          <w:sz w:val="21"/>
          <w:szCs w:val="21"/>
        </w:rPr>
        <w:t>根据中国证监会证监发（</w:t>
      </w:r>
      <w:r>
        <w:rPr>
          <w:rFonts w:ascii="宋体" w:hAnsi="宋体" w:cs="宋体" w:eastAsia="宋体" w:hint="default"/>
          <w:spacing w:val="-5"/>
          <w:sz w:val="21"/>
          <w:szCs w:val="21"/>
        </w:rPr>
        <w:t>2003</w:t>
      </w:r>
      <w:r>
        <w:rPr>
          <w:rFonts w:ascii="宋体" w:hAnsi="宋体" w:cs="宋体" w:eastAsia="宋体" w:hint="default"/>
          <w:spacing w:val="-5"/>
          <w:sz w:val="21"/>
          <w:szCs w:val="21"/>
        </w:rPr>
        <w:t>）</w:t>
      </w:r>
      <w:r>
        <w:rPr>
          <w:rFonts w:ascii="宋体" w:hAnsi="宋体" w:cs="宋体" w:eastAsia="宋体" w:hint="default"/>
          <w:spacing w:val="-5"/>
          <w:sz w:val="21"/>
          <w:szCs w:val="21"/>
        </w:rPr>
        <w:t>56</w:t>
      </w:r>
      <w:r>
        <w:rPr>
          <w:rFonts w:ascii="宋体" w:hAnsi="宋体" w:cs="宋体" w:eastAsia="宋体" w:hint="default"/>
          <w:spacing w:val="19"/>
          <w:sz w:val="21"/>
          <w:szCs w:val="21"/>
        </w:rPr>
        <w:t> </w:t>
      </w:r>
      <w:r>
        <w:rPr>
          <w:rFonts w:ascii="宋体" w:hAnsi="宋体" w:cs="宋体" w:eastAsia="宋体" w:hint="default"/>
          <w:spacing w:val="-3"/>
          <w:sz w:val="21"/>
          <w:szCs w:val="21"/>
        </w:rPr>
        <w:t>号《关于规范上市公司与关联方资金往来及上市公司对外担</w:t>
      </w:r>
    </w:p>
    <w:p>
      <w:pPr>
        <w:spacing w:line="357" w:lineRule="auto" w:before="32"/>
        <w:ind w:left="122" w:right="0" w:firstLine="0"/>
        <w:jc w:val="left"/>
        <w:rPr>
          <w:rFonts w:ascii="宋体" w:hAnsi="宋体" w:cs="宋体" w:eastAsia="宋体" w:hint="default"/>
          <w:sz w:val="21"/>
          <w:szCs w:val="21"/>
        </w:rPr>
      </w:pPr>
      <w:r>
        <w:rPr>
          <w:rFonts w:ascii="宋体" w:hAnsi="宋体" w:cs="宋体" w:eastAsia="宋体" w:hint="default"/>
          <w:spacing w:val="-11"/>
          <w:w w:val="100"/>
          <w:sz w:val="21"/>
          <w:szCs w:val="21"/>
        </w:rPr>
        <w:t>保若干问题的通知》、《关于规范上市公司对外担保行为的通知》（证监发〔</w:t>
      </w:r>
      <w:r>
        <w:rPr>
          <w:rFonts w:ascii="宋体" w:hAnsi="宋体" w:cs="宋体" w:eastAsia="宋体" w:hint="default"/>
          <w:spacing w:val="-11"/>
          <w:w w:val="100"/>
          <w:sz w:val="21"/>
          <w:szCs w:val="21"/>
        </w:rPr>
        <w:t>2005</w:t>
      </w:r>
      <w:r>
        <w:rPr>
          <w:rFonts w:ascii="宋体" w:hAnsi="宋体" w:cs="宋体" w:eastAsia="宋体" w:hint="default"/>
          <w:spacing w:val="-11"/>
          <w:w w:val="100"/>
          <w:sz w:val="21"/>
          <w:szCs w:val="21"/>
        </w:rPr>
        <w:t>〕</w:t>
      </w:r>
      <w:r>
        <w:rPr>
          <w:rFonts w:ascii="宋体" w:hAnsi="宋体" w:cs="宋体" w:eastAsia="宋体" w:hint="default"/>
          <w:spacing w:val="-11"/>
          <w:w w:val="100"/>
          <w:sz w:val="21"/>
          <w:szCs w:val="21"/>
        </w:rPr>
        <w:t>120</w:t>
      </w:r>
      <w:r>
        <w:rPr>
          <w:rFonts w:ascii="宋体" w:hAnsi="宋体" w:cs="宋体" w:eastAsia="宋体" w:hint="default"/>
          <w:spacing w:val="-35"/>
          <w:w w:val="100"/>
          <w:sz w:val="21"/>
          <w:szCs w:val="21"/>
        </w:rPr>
        <w:t> </w:t>
      </w:r>
      <w:r>
        <w:rPr>
          <w:rFonts w:ascii="宋体" w:hAnsi="宋体" w:cs="宋体" w:eastAsia="宋体" w:hint="default"/>
          <w:spacing w:val="-5"/>
          <w:w w:val="100"/>
          <w:sz w:val="21"/>
          <w:szCs w:val="21"/>
        </w:rPr>
        <w:t>号）等的规定</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3"/>
          <w:sz w:val="21"/>
          <w:szCs w:val="21"/>
        </w:rPr>
        <w:t>和要求，我们本着对公司、全体股东及投资者负责的态度，按照实事求是的原则对公司控股股东及</w:t>
      </w:r>
    </w:p>
    <w:p>
      <w:pPr>
        <w:spacing w:after="0" w:line="357" w:lineRule="auto"/>
        <w:jc w:val="left"/>
        <w:rPr>
          <w:rFonts w:ascii="宋体" w:hAnsi="宋体" w:cs="宋体" w:eastAsia="宋体" w:hint="default"/>
          <w:sz w:val="21"/>
          <w:szCs w:val="21"/>
        </w:rPr>
        <w:sectPr>
          <w:footerReference w:type="default" r:id="rId22"/>
          <w:pgSz w:w="11910" w:h="16840"/>
          <w:pgMar w:footer="1153" w:header="737" w:top="1060" w:bottom="1340" w:left="1500" w:right="0"/>
          <w:pgNumType w:start="44"/>
        </w:sectPr>
      </w:pPr>
    </w:p>
    <w:p>
      <w:pPr>
        <w:spacing w:line="240" w:lineRule="auto" w:before="2"/>
        <w:rPr>
          <w:rFonts w:ascii="宋体" w:hAnsi="宋体" w:cs="宋体" w:eastAsia="宋体" w:hint="default"/>
          <w:sz w:val="23"/>
          <w:szCs w:val="23"/>
        </w:rPr>
      </w:pPr>
    </w:p>
    <w:p>
      <w:pPr>
        <w:spacing w:line="357" w:lineRule="auto" w:before="36"/>
        <w:ind w:left="122" w:right="0" w:firstLine="0"/>
        <w:jc w:val="left"/>
        <w:rPr>
          <w:rFonts w:ascii="宋体" w:hAnsi="宋体" w:cs="宋体" w:eastAsia="宋体" w:hint="default"/>
          <w:sz w:val="21"/>
          <w:szCs w:val="21"/>
        </w:rPr>
      </w:pPr>
      <w:r>
        <w:rPr>
          <w:rFonts w:ascii="宋体" w:hAnsi="宋体" w:cs="宋体" w:eastAsia="宋体" w:hint="default"/>
          <w:spacing w:val="-3"/>
          <w:sz w:val="21"/>
          <w:szCs w:val="21"/>
        </w:rPr>
        <w:t>其它关联方占用资金的情况和对外担保情况进行了认真的检查和落实，对公司进行了必要的核查和</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问询后，发表独立意见如下：</w:t>
      </w:r>
    </w:p>
    <w:p>
      <w:pPr>
        <w:spacing w:before="30"/>
        <w:ind w:left="648" w:right="0" w:firstLine="0"/>
        <w:jc w:val="left"/>
        <w:rPr>
          <w:rFonts w:ascii="宋体" w:hAnsi="宋体" w:cs="宋体" w:eastAsia="宋体" w:hint="default"/>
          <w:sz w:val="21"/>
          <w:szCs w:val="21"/>
        </w:rPr>
      </w:pPr>
      <w:r>
        <w:rPr>
          <w:rFonts w:ascii="宋体" w:hAnsi="宋体" w:cs="宋体" w:eastAsia="宋体" w:hint="default"/>
          <w:sz w:val="21"/>
          <w:szCs w:val="21"/>
        </w:rPr>
        <w:t>报告期内，公司担保情况如下：</w:t>
      </w:r>
    </w:p>
    <w:p>
      <w:pPr>
        <w:spacing w:line="240" w:lineRule="auto" w:before="13"/>
        <w:rPr>
          <w:rFonts w:ascii="宋体" w:hAnsi="宋体" w:cs="宋体" w:eastAsia="宋体" w:hint="default"/>
          <w:sz w:val="12"/>
          <w:szCs w:val="12"/>
        </w:rPr>
      </w:pPr>
    </w:p>
    <w:tbl>
      <w:tblPr>
        <w:tblW w:w="0" w:type="auto"/>
        <w:jc w:val="left"/>
        <w:tblInd w:w="358" w:type="dxa"/>
        <w:tblLayout w:type="fixed"/>
        <w:tblCellMar>
          <w:top w:w="0" w:type="dxa"/>
          <w:left w:w="0" w:type="dxa"/>
          <w:bottom w:w="0" w:type="dxa"/>
          <w:right w:w="0" w:type="dxa"/>
        </w:tblCellMar>
        <w:tblLook w:val="01E0"/>
      </w:tblPr>
      <w:tblGrid>
        <w:gridCol w:w="859"/>
        <w:gridCol w:w="1313"/>
        <w:gridCol w:w="895"/>
        <w:gridCol w:w="934"/>
        <w:gridCol w:w="1395"/>
        <w:gridCol w:w="1133"/>
        <w:gridCol w:w="992"/>
        <w:gridCol w:w="998"/>
      </w:tblGrid>
      <w:tr>
        <w:trPr>
          <w:trHeight w:val="475" w:hRule="exact"/>
        </w:trPr>
        <w:tc>
          <w:tcPr>
            <w:tcW w:w="859"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4" w:lineRule="exact"/>
              <w:ind w:left="242" w:right="0" w:hanging="92"/>
              <w:jc w:val="left"/>
              <w:rPr>
                <w:rFonts w:ascii="宋体" w:hAnsi="宋体" w:cs="宋体" w:eastAsia="宋体" w:hint="default"/>
                <w:sz w:val="18"/>
                <w:szCs w:val="18"/>
              </w:rPr>
            </w:pPr>
            <w:r>
              <w:rPr>
                <w:rFonts w:ascii="宋体" w:hAnsi="宋体" w:cs="宋体" w:eastAsia="宋体" w:hint="default"/>
                <w:sz w:val="18"/>
                <w:szCs w:val="18"/>
              </w:rPr>
              <w:t>担保提</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供方</w:t>
            </w:r>
          </w:p>
        </w:tc>
        <w:tc>
          <w:tcPr>
            <w:tcW w:w="1313"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85"/>
              <w:ind w:left="290" w:right="0"/>
              <w:jc w:val="left"/>
              <w:rPr>
                <w:rFonts w:ascii="宋体" w:hAnsi="宋体" w:cs="宋体" w:eastAsia="宋体" w:hint="default"/>
                <w:sz w:val="18"/>
                <w:szCs w:val="18"/>
              </w:rPr>
            </w:pPr>
            <w:r>
              <w:rPr>
                <w:rFonts w:ascii="宋体" w:hAnsi="宋体" w:cs="宋体" w:eastAsia="宋体" w:hint="default"/>
                <w:sz w:val="18"/>
                <w:szCs w:val="18"/>
              </w:rPr>
              <w:t>担保对象</w:t>
            </w:r>
          </w:p>
        </w:tc>
        <w:tc>
          <w:tcPr>
            <w:tcW w:w="895"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与我公</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司关系</w:t>
            </w:r>
          </w:p>
        </w:tc>
        <w:tc>
          <w:tcPr>
            <w:tcW w:w="934"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395"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133"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4" w:lineRule="exact"/>
              <w:ind w:left="110" w:right="0"/>
              <w:jc w:val="left"/>
              <w:rPr>
                <w:rFonts w:ascii="宋体" w:hAnsi="宋体" w:cs="宋体" w:eastAsia="宋体" w:hint="default"/>
                <w:sz w:val="18"/>
                <w:szCs w:val="18"/>
              </w:rPr>
            </w:pPr>
            <w:r>
              <w:rPr>
                <w:rFonts w:ascii="宋体" w:hAnsi="宋体" w:cs="宋体" w:eastAsia="宋体" w:hint="default"/>
                <w:sz w:val="18"/>
                <w:szCs w:val="18"/>
              </w:rPr>
              <w:t>股东大会审</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批担保额度</w:t>
            </w:r>
          </w:p>
        </w:tc>
        <w:tc>
          <w:tcPr>
            <w:tcW w:w="992"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4" w:lineRule="exact"/>
              <w:ind w:left="153" w:right="0"/>
              <w:jc w:val="left"/>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担保余额</w:t>
            </w:r>
          </w:p>
        </w:tc>
        <w:tc>
          <w:tcPr>
            <w:tcW w:w="998" w:type="dxa"/>
            <w:tcBorders>
              <w:top w:val="single" w:sz="4" w:space="0" w:color="000000"/>
              <w:left w:val="single" w:sz="4" w:space="0" w:color="000000"/>
              <w:bottom w:val="single" w:sz="4" w:space="0" w:color="000000"/>
              <w:right w:val="single" w:sz="4" w:space="0" w:color="000000"/>
            </w:tcBorders>
            <w:shd w:val="clear" w:color="auto" w:fill="DDD9C3"/>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逾期债务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情况</w:t>
            </w:r>
          </w:p>
        </w:tc>
      </w:tr>
      <w:tr>
        <w:trPr>
          <w:trHeight w:val="533"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7"/>
              <w:ind w:left="100" w:right="48"/>
              <w:jc w:val="both"/>
              <w:rPr>
                <w:rFonts w:ascii="宋体" w:hAnsi="宋体" w:cs="宋体" w:eastAsia="宋体" w:hint="default"/>
                <w:sz w:val="18"/>
                <w:szCs w:val="18"/>
              </w:rPr>
            </w:pPr>
            <w:r>
              <w:rPr>
                <w:rFonts w:ascii="宋体" w:hAnsi="宋体" w:cs="宋体" w:eastAsia="宋体" w:hint="default"/>
                <w:spacing w:val="34"/>
                <w:sz w:val="18"/>
                <w:szCs w:val="18"/>
              </w:rPr>
              <w:t>东港安</w:t>
            </w:r>
            <w:r>
              <w:rPr>
                <w:rFonts w:ascii="宋体" w:hAnsi="宋体" w:cs="宋体" w:eastAsia="宋体" w:hint="default"/>
                <w:spacing w:val="-38"/>
                <w:sz w:val="18"/>
                <w:szCs w:val="18"/>
              </w:rPr>
              <w:t> </w:t>
            </w:r>
            <w:r>
              <w:rPr>
                <w:rFonts w:ascii="宋体" w:hAnsi="宋体" w:cs="宋体" w:eastAsia="宋体" w:hint="default"/>
                <w:spacing w:val="34"/>
                <w:sz w:val="18"/>
                <w:szCs w:val="18"/>
              </w:rPr>
              <w:t>全印刷</w:t>
            </w:r>
            <w:r>
              <w:rPr>
                <w:rFonts w:ascii="宋体" w:hAnsi="宋体" w:cs="宋体" w:eastAsia="宋体" w:hint="default"/>
                <w:spacing w:val="-38"/>
                <w:sz w:val="18"/>
                <w:szCs w:val="18"/>
              </w:rPr>
              <w:t> </w:t>
            </w:r>
            <w:r>
              <w:rPr>
                <w:rFonts w:ascii="宋体" w:hAnsi="宋体" w:cs="宋体" w:eastAsia="宋体" w:hint="default"/>
                <w:spacing w:val="34"/>
                <w:sz w:val="18"/>
                <w:szCs w:val="18"/>
              </w:rPr>
              <w:t>股份有</w:t>
            </w:r>
            <w:r>
              <w:rPr>
                <w:rFonts w:ascii="宋体" w:hAnsi="宋体" w:cs="宋体" w:eastAsia="宋体" w:hint="default"/>
                <w:spacing w:val="-38"/>
                <w:sz w:val="18"/>
                <w:szCs w:val="18"/>
              </w:rPr>
              <w:t> </w:t>
            </w:r>
            <w:r>
              <w:rPr>
                <w:rFonts w:ascii="宋体" w:hAnsi="宋体" w:cs="宋体" w:eastAsia="宋体" w:hint="default"/>
                <w:sz w:val="18"/>
                <w:szCs w:val="18"/>
              </w:rPr>
              <w:t>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10" w:right="111"/>
              <w:jc w:val="left"/>
              <w:rPr>
                <w:rFonts w:ascii="宋体" w:hAnsi="宋体" w:cs="宋体" w:eastAsia="宋体" w:hint="default"/>
                <w:sz w:val="18"/>
                <w:szCs w:val="18"/>
              </w:rPr>
            </w:pPr>
            <w:r>
              <w:rPr>
                <w:rFonts w:ascii="宋体" w:hAnsi="宋体" w:cs="宋体" w:eastAsia="宋体" w:hint="default"/>
                <w:sz w:val="18"/>
                <w:szCs w:val="18"/>
              </w:rPr>
              <w:t>北京东港安全 印刷有限公司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0" w:right="35"/>
              <w:jc w:val="left"/>
              <w:rPr>
                <w:rFonts w:ascii="宋体" w:hAnsi="宋体" w:cs="宋体" w:eastAsia="宋体" w:hint="default"/>
                <w:sz w:val="18"/>
                <w:szCs w:val="18"/>
              </w:rPr>
            </w:pPr>
            <w:r>
              <w:rPr>
                <w:rFonts w:ascii="宋体" w:hAnsi="宋体" w:cs="宋体" w:eastAsia="宋体" w:hint="default"/>
                <w:spacing w:val="46"/>
                <w:sz w:val="18"/>
                <w:szCs w:val="18"/>
              </w:rPr>
              <w:t>控股子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12"/>
              <w:jc w:val="left"/>
              <w:rPr>
                <w:rFonts w:ascii="宋体" w:hAnsi="宋体" w:cs="宋体" w:eastAsia="宋体" w:hint="default"/>
                <w:sz w:val="18"/>
                <w:szCs w:val="18"/>
              </w:rPr>
            </w:pPr>
            <w:r>
              <w:rPr>
                <w:rFonts w:ascii="宋体" w:hAnsi="宋体" w:cs="宋体" w:eastAsia="宋体" w:hint="default"/>
                <w:spacing w:val="58"/>
                <w:sz w:val="18"/>
                <w:szCs w:val="18"/>
              </w:rPr>
              <w:t>连带责</w:t>
            </w:r>
            <w:r>
              <w:rPr>
                <w:rFonts w:ascii="宋体" w:hAnsi="宋体" w:cs="宋体" w:eastAsia="宋体" w:hint="default"/>
                <w:spacing w:val="-2"/>
                <w:sz w:val="18"/>
                <w:szCs w:val="18"/>
              </w:rPr>
              <w:t> </w:t>
            </w:r>
            <w:r>
              <w:rPr>
                <w:rFonts w:ascii="宋体" w:hAnsi="宋体" w:cs="宋体" w:eastAsia="宋体" w:hint="default"/>
                <w:sz w:val="18"/>
                <w:szCs w:val="18"/>
              </w:rPr>
              <w:t>任担保</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51" w:right="0"/>
              <w:jc w:val="left"/>
              <w:rPr>
                <w:rFonts w:ascii="宋体" w:hAnsi="宋体" w:cs="宋体" w:eastAsia="宋体" w:hint="default"/>
                <w:sz w:val="18"/>
                <w:szCs w:val="18"/>
              </w:rPr>
            </w:pPr>
            <w:r>
              <w:rPr>
                <w:rFonts w:ascii="宋体" w:hAnsi="宋体" w:cs="宋体" w:eastAsia="宋体" w:hint="default"/>
                <w:sz w:val="18"/>
                <w:szCs w:val="18"/>
              </w:rPr>
              <w:t>2009.12.25</w:t>
            </w:r>
            <w:r>
              <w:rPr>
                <w:rFonts w:ascii="宋体" w:hAnsi="宋体" w:cs="宋体" w:eastAsia="宋体" w:hint="default"/>
                <w:sz w:val="18"/>
                <w:szCs w:val="18"/>
              </w:rPr>
              <w:t>—</w:t>
            </w:r>
          </w:p>
          <w:p>
            <w:pPr>
              <w:pStyle w:val="TableParagraph"/>
              <w:spacing w:line="234" w:lineRule="exact"/>
              <w:ind w:left="242" w:right="0"/>
              <w:jc w:val="left"/>
              <w:rPr>
                <w:rFonts w:ascii="宋体" w:hAnsi="宋体" w:cs="宋体" w:eastAsia="宋体" w:hint="default"/>
                <w:sz w:val="18"/>
                <w:szCs w:val="18"/>
              </w:rPr>
            </w:pPr>
            <w:r>
              <w:rPr>
                <w:rFonts w:ascii="宋体"/>
                <w:sz w:val="18"/>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5"/>
              <w:jc w:val="right"/>
              <w:rPr>
                <w:rFonts w:ascii="宋体" w:hAnsi="宋体" w:cs="宋体" w:eastAsia="宋体" w:hint="default"/>
                <w:sz w:val="18"/>
                <w:szCs w:val="18"/>
              </w:rPr>
            </w:pPr>
            <w:r>
              <w:rPr>
                <w:rFonts w:ascii="宋体"/>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852" w:hRule="exact"/>
        </w:trPr>
        <w:tc>
          <w:tcPr>
            <w:tcW w:w="859" w:type="dxa"/>
            <w:vMerge/>
            <w:tcBorders>
              <w:left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110" w:right="111"/>
              <w:jc w:val="center"/>
              <w:rPr>
                <w:rFonts w:ascii="宋体" w:hAnsi="宋体" w:cs="宋体" w:eastAsia="宋体" w:hint="default"/>
                <w:sz w:val="18"/>
                <w:szCs w:val="18"/>
              </w:rPr>
            </w:pPr>
            <w:r>
              <w:rPr>
                <w:rFonts w:ascii="宋体" w:hAnsi="宋体" w:cs="宋体" w:eastAsia="宋体" w:hint="default"/>
                <w:sz w:val="18"/>
                <w:szCs w:val="18"/>
              </w:rPr>
              <w:t>北京东港嘉华 安全信息技术 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0" w:right="35"/>
              <w:jc w:val="left"/>
              <w:rPr>
                <w:rFonts w:ascii="宋体" w:hAnsi="宋体" w:cs="宋体" w:eastAsia="宋体" w:hint="default"/>
                <w:sz w:val="18"/>
                <w:szCs w:val="18"/>
              </w:rPr>
            </w:pPr>
            <w:r>
              <w:rPr>
                <w:rFonts w:ascii="宋体" w:hAnsi="宋体" w:cs="宋体" w:eastAsia="宋体" w:hint="default"/>
                <w:spacing w:val="46"/>
                <w:sz w:val="18"/>
                <w:szCs w:val="18"/>
              </w:rPr>
              <w:t>控股子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934" w:type="dxa"/>
            <w:vMerge/>
            <w:tcBorders>
              <w:left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57"/>
              <w:ind w:left="151" w:right="0"/>
              <w:jc w:val="left"/>
              <w:rPr>
                <w:rFonts w:ascii="宋体" w:hAnsi="宋体" w:cs="宋体" w:eastAsia="宋体" w:hint="default"/>
                <w:sz w:val="18"/>
                <w:szCs w:val="18"/>
              </w:rPr>
            </w:pPr>
            <w:r>
              <w:rPr>
                <w:rFonts w:ascii="宋体" w:hAnsi="宋体" w:cs="宋体" w:eastAsia="宋体" w:hint="default"/>
                <w:sz w:val="18"/>
                <w:szCs w:val="18"/>
              </w:rPr>
              <w:t>2009.12.16</w:t>
            </w:r>
            <w:r>
              <w:rPr>
                <w:rFonts w:ascii="宋体" w:hAnsi="宋体" w:cs="宋体" w:eastAsia="宋体" w:hint="default"/>
                <w:sz w:val="18"/>
                <w:szCs w:val="18"/>
              </w:rPr>
              <w:t>—</w:t>
            </w:r>
          </w:p>
          <w:p>
            <w:pPr>
              <w:pStyle w:val="TableParagraph"/>
              <w:spacing w:line="240" w:lineRule="auto"/>
              <w:ind w:left="242" w:right="0"/>
              <w:jc w:val="left"/>
              <w:rPr>
                <w:rFonts w:ascii="宋体" w:hAnsi="宋体" w:cs="宋体" w:eastAsia="宋体" w:hint="default"/>
                <w:sz w:val="18"/>
                <w:szCs w:val="18"/>
              </w:rPr>
            </w:pPr>
            <w:r>
              <w:rPr>
                <w:rFonts w:ascii="宋体"/>
                <w:sz w:val="18"/>
              </w:rPr>
              <w:t>2011.12.15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45"/>
              <w:jc w:val="right"/>
              <w:rPr>
                <w:rFonts w:ascii="宋体" w:hAnsi="宋体" w:cs="宋体" w:eastAsia="宋体" w:hint="default"/>
                <w:sz w:val="18"/>
                <w:szCs w:val="18"/>
              </w:rPr>
            </w:pPr>
            <w:r>
              <w:rPr>
                <w:rFonts w:ascii="宋体"/>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859" w:type="dxa"/>
            <w:vMerge/>
            <w:tcBorders>
              <w:left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110" w:right="111"/>
              <w:jc w:val="left"/>
              <w:rPr>
                <w:rFonts w:ascii="宋体" w:hAnsi="宋体" w:cs="宋体" w:eastAsia="宋体" w:hint="default"/>
                <w:sz w:val="18"/>
                <w:szCs w:val="18"/>
              </w:rPr>
            </w:pPr>
            <w:r>
              <w:rPr>
                <w:rFonts w:ascii="宋体" w:hAnsi="宋体" w:cs="宋体" w:eastAsia="宋体" w:hint="default"/>
                <w:sz w:val="18"/>
                <w:szCs w:val="18"/>
              </w:rPr>
              <w:t>广州东港安全 印刷有限公司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100" w:right="35"/>
              <w:jc w:val="left"/>
              <w:rPr>
                <w:rFonts w:ascii="宋体" w:hAnsi="宋体" w:cs="宋体" w:eastAsia="宋体" w:hint="default"/>
                <w:sz w:val="18"/>
                <w:szCs w:val="18"/>
              </w:rPr>
            </w:pPr>
            <w:r>
              <w:rPr>
                <w:rFonts w:ascii="宋体" w:hAnsi="宋体" w:cs="宋体" w:eastAsia="宋体" w:hint="default"/>
                <w:spacing w:val="46"/>
                <w:sz w:val="18"/>
                <w:szCs w:val="18"/>
              </w:rPr>
              <w:t>控股子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934" w:type="dxa"/>
            <w:vMerge/>
            <w:tcBorders>
              <w:left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9"/>
              <w:ind w:left="151" w:right="0"/>
              <w:jc w:val="left"/>
              <w:rPr>
                <w:rFonts w:ascii="宋体" w:hAnsi="宋体" w:cs="宋体" w:eastAsia="宋体" w:hint="default"/>
                <w:sz w:val="18"/>
                <w:szCs w:val="18"/>
              </w:rPr>
            </w:pPr>
            <w:r>
              <w:rPr>
                <w:rFonts w:ascii="宋体" w:hAnsi="宋体" w:cs="宋体" w:eastAsia="宋体" w:hint="default"/>
                <w:sz w:val="18"/>
                <w:szCs w:val="18"/>
              </w:rPr>
              <w:t>2009.12.23</w:t>
            </w:r>
            <w:r>
              <w:rPr>
                <w:rFonts w:ascii="宋体" w:hAnsi="宋体" w:cs="宋体" w:eastAsia="宋体" w:hint="default"/>
                <w:sz w:val="18"/>
                <w:szCs w:val="18"/>
              </w:rPr>
              <w:t>—</w:t>
            </w:r>
          </w:p>
          <w:p>
            <w:pPr>
              <w:pStyle w:val="TableParagraph"/>
              <w:spacing w:line="234" w:lineRule="exact"/>
              <w:ind w:left="242" w:right="0"/>
              <w:jc w:val="left"/>
              <w:rPr>
                <w:rFonts w:ascii="宋体" w:hAnsi="宋体" w:cs="宋体" w:eastAsia="宋体" w:hint="default"/>
                <w:sz w:val="18"/>
                <w:szCs w:val="18"/>
              </w:rPr>
            </w:pPr>
            <w:r>
              <w:rPr>
                <w:rFonts w:ascii="宋体"/>
                <w:sz w:val="18"/>
              </w:rPr>
              <w:t>2011.12.22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45"/>
              <w:jc w:val="right"/>
              <w:rPr>
                <w:rFonts w:ascii="宋体" w:hAnsi="宋体" w:cs="宋体" w:eastAsia="宋体" w:hint="default"/>
                <w:sz w:val="18"/>
                <w:szCs w:val="18"/>
              </w:rPr>
            </w:pPr>
            <w:r>
              <w:rPr>
                <w:rFonts w:ascii="宋体"/>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49" w:hRule="exact"/>
        </w:trPr>
        <w:tc>
          <w:tcPr>
            <w:tcW w:w="859" w:type="dxa"/>
            <w:vMerge/>
            <w:tcBorders>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1"/>
              <w:ind w:left="110" w:right="111"/>
              <w:jc w:val="left"/>
              <w:rPr>
                <w:rFonts w:ascii="宋体" w:hAnsi="宋体" w:cs="宋体" w:eastAsia="宋体" w:hint="default"/>
                <w:sz w:val="18"/>
                <w:szCs w:val="18"/>
              </w:rPr>
            </w:pPr>
            <w:r>
              <w:rPr>
                <w:rFonts w:ascii="宋体" w:hAnsi="宋体" w:cs="宋体" w:eastAsia="宋体" w:hint="default"/>
                <w:sz w:val="18"/>
                <w:szCs w:val="18"/>
              </w:rPr>
              <w:t>上海东港安全 印刷有限公司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1"/>
              <w:ind w:left="100" w:right="35"/>
              <w:jc w:val="left"/>
              <w:rPr>
                <w:rFonts w:ascii="宋体" w:hAnsi="宋体" w:cs="宋体" w:eastAsia="宋体" w:hint="default"/>
                <w:sz w:val="18"/>
                <w:szCs w:val="18"/>
              </w:rPr>
            </w:pPr>
            <w:r>
              <w:rPr>
                <w:rFonts w:ascii="宋体" w:hAnsi="宋体" w:cs="宋体" w:eastAsia="宋体" w:hint="default"/>
                <w:spacing w:val="46"/>
                <w:sz w:val="18"/>
                <w:szCs w:val="18"/>
              </w:rPr>
              <w:t>控股子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934" w:type="dxa"/>
            <w:vMerge/>
            <w:tcBorders>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6"/>
              <w:ind w:left="151" w:right="0"/>
              <w:jc w:val="left"/>
              <w:rPr>
                <w:rFonts w:ascii="宋体" w:hAnsi="宋体" w:cs="宋体" w:eastAsia="宋体" w:hint="default"/>
                <w:sz w:val="18"/>
                <w:szCs w:val="18"/>
              </w:rPr>
            </w:pPr>
            <w:r>
              <w:rPr>
                <w:rFonts w:ascii="宋体" w:hAnsi="宋体" w:cs="宋体" w:eastAsia="宋体" w:hint="default"/>
                <w:sz w:val="18"/>
                <w:szCs w:val="18"/>
              </w:rPr>
              <w:t>2009.12.24</w:t>
            </w:r>
            <w:r>
              <w:rPr>
                <w:rFonts w:ascii="宋体" w:hAnsi="宋体" w:cs="宋体" w:eastAsia="宋体" w:hint="default"/>
                <w:sz w:val="18"/>
                <w:szCs w:val="18"/>
              </w:rPr>
              <w:t>—</w:t>
            </w:r>
          </w:p>
          <w:p>
            <w:pPr>
              <w:pStyle w:val="TableParagraph"/>
              <w:spacing w:line="234" w:lineRule="exact"/>
              <w:ind w:left="242" w:right="0"/>
              <w:jc w:val="left"/>
              <w:rPr>
                <w:rFonts w:ascii="宋体" w:hAnsi="宋体" w:cs="宋体" w:eastAsia="宋体" w:hint="default"/>
                <w:sz w:val="18"/>
                <w:szCs w:val="18"/>
              </w:rPr>
            </w:pPr>
            <w:r>
              <w:rPr>
                <w:rFonts w:ascii="宋体"/>
                <w:sz w:val="18"/>
              </w:rPr>
              <w:t>2011.12.23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45"/>
              <w:jc w:val="right"/>
              <w:rPr>
                <w:rFonts w:ascii="宋体" w:hAnsi="宋体" w:cs="宋体" w:eastAsia="宋体" w:hint="default"/>
                <w:sz w:val="18"/>
                <w:szCs w:val="18"/>
              </w:rPr>
            </w:pPr>
            <w:r>
              <w:rPr>
                <w:rFonts w:ascii="宋体"/>
                <w:sz w:val="18"/>
              </w:rPr>
              <w:t>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22"/>
          <w:szCs w:val="22"/>
        </w:rPr>
      </w:pPr>
    </w:p>
    <w:p>
      <w:pPr>
        <w:spacing w:line="355" w:lineRule="auto" w:before="36"/>
        <w:ind w:left="122" w:right="1246" w:firstLine="631"/>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4"/>
          <w:sz w:val="21"/>
          <w:szCs w:val="21"/>
        </w:rPr>
        <w:t>日，上述控股子公司已全部归还所贷款项，公司实际担保余额为</w:t>
      </w:r>
      <w:r>
        <w:rPr>
          <w:rFonts w:ascii="宋体" w:hAnsi="宋体" w:cs="宋体" w:eastAsia="宋体" w:hint="default"/>
          <w:spacing w:val="-46"/>
          <w:sz w:val="21"/>
          <w:szCs w:val="21"/>
        </w:rPr>
        <w:t> </w:t>
      </w:r>
      <w:r>
        <w:rPr>
          <w:rFonts w:ascii="宋体" w:hAnsi="宋体" w:cs="宋体" w:eastAsia="宋体" w:hint="default"/>
          <w:spacing w:val="-11"/>
          <w:sz w:val="21"/>
          <w:szCs w:val="21"/>
        </w:rPr>
        <w:t>0</w:t>
      </w:r>
      <w:r>
        <w:rPr>
          <w:rFonts w:ascii="宋体" w:hAnsi="宋体" w:cs="宋体" w:eastAsia="宋体" w:hint="default"/>
          <w:spacing w:val="-11"/>
          <w:sz w:val="21"/>
          <w:szCs w:val="21"/>
        </w:rPr>
        <w:t>。公</w:t>
      </w:r>
      <w:r>
        <w:rPr>
          <w:rFonts w:ascii="宋体" w:hAnsi="宋体" w:cs="宋体" w:eastAsia="宋体" w:hint="default"/>
          <w:w w:val="100"/>
          <w:sz w:val="21"/>
          <w:szCs w:val="21"/>
        </w:rPr>
        <w:t> </w:t>
      </w:r>
      <w:r>
        <w:rPr>
          <w:rFonts w:ascii="宋体" w:hAnsi="宋体" w:cs="宋体" w:eastAsia="宋体" w:hint="default"/>
          <w:spacing w:val="-3"/>
          <w:sz w:val="21"/>
          <w:szCs w:val="21"/>
        </w:rPr>
        <w:t>司对控股子公司的担保，按照法律法规、公司章程和其他制度规定履行了必要的审议程序，公司建</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立了较为完善的对外担保风险控制制度，并充分揭示了担保存在的风险，无明显迹象表明公司可能</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因被担保方债务违约而承担担保责任，不存在损害公司和股东、特别是中小股东利益的情况发生。</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0"/>
        <w:ind w:left="122" w:right="1274" w:firstLine="0"/>
        <w:jc w:val="left"/>
        <w:rPr>
          <w:rFonts w:ascii="宋体" w:hAnsi="宋体" w:cs="宋体" w:eastAsia="宋体" w:hint="default"/>
          <w:sz w:val="21"/>
          <w:szCs w:val="21"/>
        </w:rPr>
      </w:pPr>
      <w:r>
        <w:rPr>
          <w:rFonts w:ascii="宋体" w:hAnsi="宋体" w:cs="宋体" w:eastAsia="宋体" w:hint="default"/>
          <w:spacing w:val="2"/>
          <w:sz w:val="21"/>
          <w:szCs w:val="21"/>
        </w:rPr>
        <w:t>（三）报告期内公司未发生也无以前期间发生但延续到本报告期的委托他人进行现金资产管理事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122" w:right="0" w:firstLine="0"/>
        <w:jc w:val="left"/>
        <w:rPr>
          <w:rFonts w:ascii="宋体" w:hAnsi="宋体" w:cs="宋体" w:eastAsia="宋体" w:hint="default"/>
          <w:sz w:val="21"/>
          <w:szCs w:val="21"/>
        </w:rPr>
      </w:pPr>
      <w:r>
        <w:rPr>
          <w:rFonts w:ascii="宋体" w:hAnsi="宋体" w:cs="宋体" w:eastAsia="宋体" w:hint="default"/>
          <w:b/>
          <w:bCs/>
          <w:sz w:val="21"/>
          <w:szCs w:val="21"/>
        </w:rPr>
        <w:t>七、公司或持股</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355" w:lineRule="auto" w:before="133"/>
        <w:ind w:left="122" w:right="1274" w:firstLine="419"/>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13"/>
          <w:sz w:val="21"/>
          <w:szCs w:val="21"/>
        </w:rPr>
        <w:t> </w:t>
      </w:r>
      <w:r>
        <w:rPr>
          <w:rFonts w:ascii="宋体" w:hAnsi="宋体" w:cs="宋体" w:eastAsia="宋体" w:hint="default"/>
          <w:spacing w:val="-4"/>
          <w:sz w:val="21"/>
          <w:szCs w:val="21"/>
        </w:rPr>
        <w:t>5%</w:t>
      </w:r>
      <w:r>
        <w:rPr>
          <w:rFonts w:ascii="宋体" w:hAnsi="宋体" w:cs="宋体" w:eastAsia="宋体" w:hint="default"/>
          <w:spacing w:val="-4"/>
          <w:sz w:val="21"/>
          <w:szCs w:val="21"/>
        </w:rPr>
        <w:t>以上股东所作出的避免同业竞争的承诺，目前正在履行中，报告期内未发生同业竞</w:t>
      </w:r>
      <w:r>
        <w:rPr>
          <w:rFonts w:ascii="宋体" w:hAnsi="宋体" w:cs="宋体" w:eastAsia="宋体" w:hint="default"/>
          <w:w w:val="100"/>
          <w:sz w:val="21"/>
          <w:szCs w:val="21"/>
        </w:rPr>
        <w:t> </w:t>
      </w:r>
      <w:r>
        <w:rPr>
          <w:rFonts w:ascii="宋体" w:hAnsi="宋体" w:cs="宋体" w:eastAsia="宋体" w:hint="default"/>
          <w:sz w:val="21"/>
          <w:szCs w:val="21"/>
        </w:rPr>
        <w:t>争的情形。</w:t>
      </w:r>
    </w:p>
    <w:p>
      <w:pPr>
        <w:spacing w:line="240" w:lineRule="auto" w:before="0"/>
        <w:rPr>
          <w:rFonts w:ascii="宋体" w:hAnsi="宋体" w:cs="宋体" w:eastAsia="宋体" w:hint="default"/>
          <w:sz w:val="20"/>
          <w:szCs w:val="20"/>
        </w:rPr>
      </w:pPr>
    </w:p>
    <w:p>
      <w:pPr>
        <w:spacing w:line="357" w:lineRule="auto" w:before="178"/>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八、公司聘任会计师务所情况</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报告期内，公司未改聘会计师事务所，公司目前聘任的审计机构为中瑞岳华会计师事务所，本</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年度公司应支付的年报审计费用为</w:t>
      </w:r>
      <w:r>
        <w:rPr>
          <w:rFonts w:ascii="宋体" w:hAnsi="宋体" w:cs="宋体" w:eastAsia="宋体" w:hint="default"/>
          <w:spacing w:val="-54"/>
          <w:sz w:val="21"/>
          <w:szCs w:val="21"/>
        </w:rPr>
        <w:t> </w:t>
      </w: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542" w:right="0" w:hanging="420"/>
        <w:jc w:val="left"/>
        <w:rPr>
          <w:rFonts w:ascii="宋体" w:hAnsi="宋体" w:cs="宋体" w:eastAsia="宋体" w:hint="default"/>
          <w:sz w:val="21"/>
          <w:szCs w:val="21"/>
        </w:rPr>
      </w:pPr>
      <w:r>
        <w:rPr>
          <w:rFonts w:ascii="宋体" w:hAnsi="宋体" w:cs="宋体" w:eastAsia="宋体" w:hint="default"/>
          <w:b/>
          <w:bCs/>
          <w:sz w:val="21"/>
          <w:szCs w:val="21"/>
        </w:rPr>
        <w:t>九、公司、董事会、董事受处罚及整改情况</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报告期内，公司、公司董事会及董事均未受到中国证监会的稽查、行政处罚、通报批评及证券</w:t>
      </w:r>
    </w:p>
    <w:p>
      <w:pPr>
        <w:spacing w:before="30"/>
        <w:ind w:left="122" w:right="0" w:firstLine="0"/>
        <w:jc w:val="left"/>
        <w:rPr>
          <w:rFonts w:ascii="宋体" w:hAnsi="宋体" w:cs="宋体" w:eastAsia="宋体" w:hint="default"/>
          <w:sz w:val="21"/>
          <w:szCs w:val="21"/>
        </w:rPr>
      </w:pPr>
      <w:r>
        <w:rPr>
          <w:rFonts w:ascii="宋体" w:hAnsi="宋体" w:cs="宋体" w:eastAsia="宋体" w:hint="default"/>
          <w:sz w:val="21"/>
          <w:szCs w:val="21"/>
        </w:rPr>
        <w:t>交易所公开谴责的情形。</w:t>
      </w:r>
    </w:p>
    <w:p>
      <w:pPr>
        <w:spacing w:after="0"/>
        <w:jc w:val="left"/>
        <w:rPr>
          <w:rFonts w:ascii="宋体" w:hAnsi="宋体" w:cs="宋体" w:eastAsia="宋体" w:hint="default"/>
          <w:sz w:val="21"/>
          <w:szCs w:val="21"/>
        </w:rPr>
        <w:sectPr>
          <w:pgSz w:w="11910" w:h="16840"/>
          <w:pgMar w:header="737" w:footer="1153" w:top="1060" w:bottom="1340" w:left="1500" w:right="0"/>
        </w:sectPr>
      </w:pPr>
    </w:p>
    <w:p>
      <w:pPr>
        <w:spacing w:line="240" w:lineRule="auto" w:before="2"/>
        <w:rPr>
          <w:rFonts w:ascii="宋体" w:hAnsi="宋体" w:cs="宋体" w:eastAsia="宋体" w:hint="default"/>
          <w:sz w:val="23"/>
          <w:szCs w:val="23"/>
        </w:rPr>
      </w:pPr>
    </w:p>
    <w:p>
      <w:pPr>
        <w:spacing w:before="36"/>
        <w:ind w:left="222" w:right="1276" w:firstLine="0"/>
        <w:jc w:val="left"/>
        <w:rPr>
          <w:rFonts w:ascii="宋体" w:hAnsi="宋体" w:cs="宋体" w:eastAsia="宋体" w:hint="default"/>
          <w:sz w:val="21"/>
          <w:szCs w:val="21"/>
        </w:rPr>
      </w:pPr>
      <w:r>
        <w:rPr>
          <w:rFonts w:ascii="宋体" w:hAnsi="宋体" w:cs="宋体" w:eastAsia="宋体" w:hint="default"/>
          <w:b/>
          <w:bCs/>
          <w:sz w:val="21"/>
          <w:szCs w:val="21"/>
        </w:rPr>
        <w:t>十、报告期内公司公开披露的重大事项信息索引</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1075"/>
        <w:gridCol w:w="1277"/>
        <w:gridCol w:w="3884"/>
        <w:gridCol w:w="2977"/>
      </w:tblGrid>
      <w:tr>
        <w:trPr>
          <w:trHeight w:val="374"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b/>
                <w:bCs/>
                <w:sz w:val="18"/>
                <w:szCs w:val="18"/>
              </w:rPr>
              <w:t>信息披露报纸及网站</w:t>
            </w:r>
            <w:r>
              <w:rPr>
                <w:rFonts w:ascii="宋体" w:hAnsi="宋体" w:cs="宋体" w:eastAsia="宋体" w:hint="default"/>
                <w:sz w:val="18"/>
                <w:szCs w:val="18"/>
              </w:rPr>
            </w:r>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2011-001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2011-01-26</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第三届董事会第十四次会议公告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2011-002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2011-01-26</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重大投资计划调整公告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2011-003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2011-01-26</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关于增加募集资金项目实施地点的公告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2011-004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2011-02-11</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第三届董事会第十五次会议公告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2011-005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2011-02-11</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年第一次临时股东大会的公告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2011-006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b/>
                <w:sz w:val="18"/>
              </w:rPr>
              <w:t>2011-02-24</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年度业绩快报</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b/>
                <w:sz w:val="18"/>
              </w:rPr>
              <w:t>2011-007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b/>
                <w:sz w:val="18"/>
              </w:rPr>
              <w:t>2011-03-01</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年第一次临时股东大会决议公告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2011-008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2011-03-02</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年度报告摘要</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2011-009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b/>
                <w:sz w:val="18"/>
              </w:rPr>
              <w:t>2011-03-02</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第三届董事会第十六次会议公告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2011-03-02</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关于募集资金年度存放与使用情况的专项报告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2011-03-02</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第三届监事会第九次会议决议公告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2011-03-02</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年度股东大会的通知</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3"/>
                <w:sz w:val="18"/>
                <w:szCs w:val="18"/>
              </w:rPr>
              <w:t> </w:t>
            </w:r>
            <w:r>
              <w:rPr>
                <w:rFonts w:ascii="宋体" w:hAnsi="宋体" w:cs="宋体" w:eastAsia="宋体" w:hint="default"/>
                <w:color w:val="0000FF"/>
                <w:spacing w:val="-53"/>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2011-03-03</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关于举行</w:t>
            </w:r>
            <w:r>
              <w:rPr>
                <w:rFonts w:ascii="宋体" w:hAnsi="宋体" w:cs="宋体" w:eastAsia="宋体" w:hint="default"/>
                <w:b/>
                <w:bCs/>
                <w:spacing w:val="-47"/>
                <w:sz w:val="18"/>
                <w:szCs w:val="18"/>
              </w:rPr>
              <w:t> </w:t>
            </w: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年年度报告网上说明会的公告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2011-03-25</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第三届董事会第十七次会议公告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2011-03-25</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8"/>
                <w:sz w:val="18"/>
                <w:szCs w:val="18"/>
              </w:rPr>
              <w:t> </w:t>
            </w: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年度股东大会的补充通知</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2011-016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b/>
                <w:sz w:val="18"/>
              </w:rPr>
              <w:t>2011-03-25</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2"/>
                <w:sz w:val="18"/>
                <w:szCs w:val="18"/>
              </w:rPr>
              <w:t>关于使用部分闲置募集资金暂时补充流动资金</w:t>
            </w:r>
            <w:r>
              <w:rPr>
                <w:rFonts w:ascii="宋体" w:hAnsi="宋体" w:cs="宋体" w:eastAsia="宋体" w:hint="default"/>
                <w:spacing w:val="2"/>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2011-03-25</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第三届监事会第十次会议决议公告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2011-018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2011-04-07</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8"/>
                <w:sz w:val="18"/>
                <w:szCs w:val="18"/>
              </w:rPr>
              <w:t> </w:t>
            </w: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年度股东大会的提示性公告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55"/>
                <w:sz w:val="18"/>
                <w:szCs w:val="18"/>
              </w:rPr>
              <w:t> </w:t>
            </w:r>
            <w:r>
              <w:rPr>
                <w:rFonts w:ascii="宋体" w:hAnsi="宋体" w:cs="宋体" w:eastAsia="宋体" w:hint="default"/>
                <w:color w:val="0000FF"/>
                <w:spacing w:val="-55"/>
                <w:sz w:val="18"/>
                <w:szCs w:val="18"/>
              </w:rPr>
            </w:r>
            <w:hyperlink r:id="rId13">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2011-019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b/>
                <w:sz w:val="18"/>
              </w:rPr>
              <w:t>2011-04-12</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2011-020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2011-04-21</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年第一季度报告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2011-021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2011-05-20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2"/>
                <w:sz w:val="18"/>
                <w:szCs w:val="18"/>
              </w:rPr>
              <w:t>关于归还暂时用于补充流动资金的闲置募集资</w:t>
            </w:r>
            <w:r>
              <w:rPr>
                <w:rFonts w:ascii="宋体" w:hAnsi="宋体" w:cs="宋体" w:eastAsia="宋体" w:hint="default"/>
                <w:spacing w:val="2"/>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金的公告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6"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b/>
                <w:sz w:val="18"/>
              </w:rPr>
              <w:t>2011-022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b/>
                <w:sz w:val="18"/>
              </w:rPr>
              <w:t>2011-05-20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年度权益分派实施公告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2011-023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2011-05-30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停牌公告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2011-024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2011-05-31</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第三届董事会第十九次会议公告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b/>
                <w:sz w:val="18"/>
              </w:rPr>
              <w:t>2011-025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2011-05-31</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第三届监事会第十二次会议决议公告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2011-026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2011-08-26</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年半年度报告摘要</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2011-027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b/>
                <w:sz w:val="18"/>
              </w:rPr>
              <w:t>2011-09-10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第三届董事会第二十一次会议决议公告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242"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b/>
                <w:sz w:val="18"/>
              </w:rPr>
              <w:t>2011-028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b/>
                <w:sz w:val="18"/>
              </w:rPr>
              <w:t>2011-09-10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关于注销上海办事处的公告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tc>
      </w:tr>
    </w:tbl>
    <w:p>
      <w:pPr>
        <w:spacing w:after="0" w:line="205" w:lineRule="exact"/>
        <w:jc w:val="center"/>
        <w:rPr>
          <w:rFonts w:ascii="宋体" w:hAnsi="宋体" w:cs="宋体" w:eastAsia="宋体" w:hint="default"/>
          <w:sz w:val="18"/>
          <w:szCs w:val="18"/>
        </w:rPr>
        <w:sectPr>
          <w:pgSz w:w="11910" w:h="16840"/>
          <w:pgMar w:header="737" w:footer="1153" w:top="1060" w:bottom="13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075"/>
        <w:gridCol w:w="1277"/>
        <w:gridCol w:w="3884"/>
        <w:gridCol w:w="2977"/>
      </w:tblGrid>
      <w:tr>
        <w:trPr>
          <w:trHeight w:val="242" w:hRule="exact"/>
        </w:trPr>
        <w:tc>
          <w:tcPr>
            <w:tcW w:w="10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88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2011-029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2011-09-10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第三届监事会第十四次会议决议公告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2011-030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2011-09-10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年第二次临时股东大会的公告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2011-031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2011-09-24</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关于通过银联卡产品企业资格认证的公告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2011-032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3" w:right="0"/>
              <w:jc w:val="left"/>
              <w:rPr>
                <w:rFonts w:ascii="宋体" w:hAnsi="宋体" w:cs="宋体" w:eastAsia="宋体" w:hint="default"/>
                <w:sz w:val="18"/>
                <w:szCs w:val="18"/>
              </w:rPr>
            </w:pPr>
            <w:r>
              <w:rPr>
                <w:rFonts w:ascii="宋体"/>
                <w:b/>
                <w:sz w:val="18"/>
              </w:rPr>
              <w:t>2011-9-27</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68"/>
                <w:sz w:val="18"/>
                <w:szCs w:val="18"/>
              </w:rPr>
              <w:t> </w:t>
            </w:r>
            <w:r>
              <w:rPr>
                <w:rFonts w:ascii="宋体" w:hAnsi="宋体" w:cs="宋体" w:eastAsia="宋体" w:hint="default"/>
                <w:b/>
                <w:bCs/>
                <w:sz w:val="18"/>
                <w:szCs w:val="18"/>
              </w:rPr>
              <w:t>2011</w:t>
            </w:r>
            <w:r>
              <w:rPr>
                <w:rFonts w:ascii="宋体" w:hAnsi="宋体" w:cs="宋体" w:eastAsia="宋体" w:hint="default"/>
                <w:b/>
                <w:bCs/>
                <w:spacing w:val="-67"/>
                <w:sz w:val="18"/>
                <w:szCs w:val="18"/>
              </w:rPr>
              <w:t> </w:t>
            </w:r>
            <w:r>
              <w:rPr>
                <w:rFonts w:ascii="宋体" w:hAnsi="宋体" w:cs="宋体" w:eastAsia="宋体" w:hint="default"/>
                <w:b/>
                <w:bCs/>
                <w:sz w:val="18"/>
                <w:szCs w:val="18"/>
              </w:rPr>
              <w:t>年第二次临时股东大会的提示性</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2011-033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b/>
                <w:sz w:val="18"/>
              </w:rPr>
              <w:t>2011-9-30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年第二次临时股东大会决议公告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2011-034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b/>
                <w:sz w:val="18"/>
              </w:rPr>
              <w:t>2011-9-30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关于签订委托代办股份转让协议的公告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2011-035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7" w:right="0"/>
              <w:jc w:val="left"/>
              <w:rPr>
                <w:rFonts w:ascii="宋体" w:hAnsi="宋体" w:cs="宋体" w:eastAsia="宋体" w:hint="default"/>
                <w:sz w:val="18"/>
                <w:szCs w:val="18"/>
              </w:rPr>
            </w:pPr>
            <w:r>
              <w:rPr>
                <w:rFonts w:ascii="宋体"/>
                <w:b/>
                <w:sz w:val="18"/>
              </w:rPr>
              <w:t>2011-10-18</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年第三季度报告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2011-036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2011-10-18</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第三届董事会第二十二次会议决议公告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2011-037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2011-10-18</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2"/>
                <w:sz w:val="18"/>
                <w:szCs w:val="18"/>
              </w:rPr>
              <w:t>关于使用部分闲置募集资金暂时补充流动资金</w:t>
            </w:r>
            <w:r>
              <w:rPr>
                <w:rFonts w:ascii="宋体" w:hAnsi="宋体" w:cs="宋体" w:eastAsia="宋体" w:hint="default"/>
                <w:spacing w:val="2"/>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746"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b/>
                <w:sz w:val="18"/>
              </w:rPr>
              <w:t>2011-038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b/>
                <w:sz w:val="18"/>
              </w:rPr>
              <w:t>2011-10-18</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年第三次临时股东大会的通知</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4"/>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2011-039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7" w:right="0"/>
              <w:jc w:val="left"/>
              <w:rPr>
                <w:rFonts w:ascii="宋体" w:hAnsi="宋体" w:cs="宋体" w:eastAsia="宋体" w:hint="default"/>
                <w:sz w:val="18"/>
                <w:szCs w:val="18"/>
              </w:rPr>
            </w:pPr>
            <w:r>
              <w:rPr>
                <w:rFonts w:ascii="宋体"/>
                <w:b/>
                <w:sz w:val="18"/>
              </w:rPr>
              <w:t>2011-10-18</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第三届监事会第十五会议决议公告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4"/>
                <w:sz w:val="18"/>
                <w:szCs w:val="18"/>
              </w:rPr>
              <w:t> </w:t>
            </w:r>
            <w:r>
              <w:rPr>
                <w:rFonts w:ascii="宋体" w:hAnsi="宋体" w:cs="宋体" w:eastAsia="宋体" w:hint="default"/>
                <w:b/>
                <w:bCs/>
                <w:color w:val="0000FF"/>
                <w:spacing w:val="-54"/>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2011-10-20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第三届董事会第二十三次会议决议公告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2011-10-20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第三届监事会第十六会议决议公告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b/>
                <w:sz w:val="18"/>
              </w:rPr>
              <w:t>2011-042</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7" w:right="0"/>
              <w:jc w:val="left"/>
              <w:rPr>
                <w:rFonts w:ascii="宋体" w:hAnsi="宋体" w:cs="宋体" w:eastAsia="宋体" w:hint="default"/>
                <w:sz w:val="18"/>
                <w:szCs w:val="18"/>
              </w:rPr>
            </w:pPr>
            <w:r>
              <w:rPr>
                <w:rFonts w:ascii="宋体"/>
                <w:b/>
                <w:sz w:val="18"/>
              </w:rPr>
              <w:t>2011-10-20</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b/>
                <w:bCs/>
                <w:sz w:val="18"/>
                <w:szCs w:val="18"/>
              </w:rPr>
              <w:t>关于向激励对象授予限制性股票的公告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2011-043</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2011-11-03</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限制性股票授予完成的公告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2011-044</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2011-11-08</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股东权益变动提示性公告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2011-11-08</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68"/>
                <w:sz w:val="18"/>
                <w:szCs w:val="18"/>
              </w:rPr>
              <w:t> </w:t>
            </w:r>
            <w:r>
              <w:rPr>
                <w:rFonts w:ascii="宋体" w:hAnsi="宋体" w:cs="宋体" w:eastAsia="宋体" w:hint="default"/>
                <w:b/>
                <w:bCs/>
                <w:sz w:val="18"/>
                <w:szCs w:val="18"/>
              </w:rPr>
              <w:t>2011</w:t>
            </w:r>
            <w:r>
              <w:rPr>
                <w:rFonts w:ascii="宋体" w:hAnsi="宋体" w:cs="宋体" w:eastAsia="宋体" w:hint="default"/>
                <w:b/>
                <w:bCs/>
                <w:spacing w:val="-67"/>
                <w:sz w:val="18"/>
                <w:szCs w:val="18"/>
              </w:rPr>
              <w:t> </w:t>
            </w:r>
            <w:r>
              <w:rPr>
                <w:rFonts w:ascii="宋体" w:hAnsi="宋体" w:cs="宋体" w:eastAsia="宋体" w:hint="default"/>
                <w:b/>
                <w:bCs/>
                <w:sz w:val="18"/>
                <w:szCs w:val="18"/>
              </w:rPr>
              <w:t>年第三次临时股东大会的提示性</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2011-046</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2011-11-11</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年第三次临时股东大会决议公告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2011-047</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2011-11-22</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pacing w:val="2"/>
                <w:sz w:val="18"/>
                <w:szCs w:val="18"/>
              </w:rPr>
              <w:t>关于归还暂时用于补充流动资金的闲置募集资</w:t>
            </w:r>
            <w:r>
              <w:rPr>
                <w:rFonts w:ascii="宋体" w:hAnsi="宋体" w:cs="宋体" w:eastAsia="宋体" w:hint="default"/>
                <w:spacing w:val="2"/>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金的公告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7"/>
                <w:sz w:val="18"/>
                <w:szCs w:val="18"/>
              </w:rPr>
              <w:t> </w:t>
            </w:r>
            <w:r>
              <w:rPr>
                <w:rFonts w:ascii="宋体" w:hAnsi="宋体" w:cs="宋体" w:eastAsia="宋体" w:hint="default"/>
                <w:b/>
                <w:bCs/>
                <w:color w:val="0000FF"/>
                <w:spacing w:val="-57"/>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r>
        <w:trPr>
          <w:trHeight w:val="47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b/>
                <w:sz w:val="18"/>
              </w:rPr>
              <w:t>2011-048</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b/>
                <w:sz w:val="18"/>
              </w:rPr>
              <w:t>2011-11-26</w:t>
            </w:r>
            <w:r>
              <w:rPr>
                <w:rFonts w:ascii="宋体"/>
                <w:sz w:val="18"/>
              </w:rPr>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b/>
                <w:bCs/>
                <w:sz w:val="18"/>
                <w:szCs w:val="18"/>
              </w:rPr>
              <w:t>关于更换保荐代表人的公告</w:t>
            </w:r>
            <w:r>
              <w:rPr>
                <w:rFonts w:ascii="宋体" w:hAnsi="宋体" w:cs="宋体" w:eastAsia="宋体" w:hint="default"/>
                <w:sz w:val="18"/>
                <w:szCs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巨潮网</w:t>
            </w:r>
            <w:r>
              <w:rPr>
                <w:rFonts w:ascii="宋体" w:hAnsi="宋体" w:cs="宋体" w:eastAsia="宋体" w:hint="default"/>
                <w:b/>
                <w:bCs/>
                <w:spacing w:val="-55"/>
                <w:sz w:val="18"/>
                <w:szCs w:val="18"/>
              </w:rPr>
              <w:t> </w:t>
            </w:r>
            <w:r>
              <w:rPr>
                <w:rFonts w:ascii="宋体" w:hAnsi="宋体" w:cs="宋体" w:eastAsia="宋体" w:hint="default"/>
                <w:b/>
                <w:bCs/>
                <w:color w:val="0000FF"/>
                <w:spacing w:val="-55"/>
                <w:sz w:val="18"/>
                <w:szCs w:val="18"/>
              </w:rPr>
            </w:r>
            <w:hyperlink r:id="rId13">
              <w:r>
                <w:rPr>
                  <w:rFonts w:ascii="宋体" w:hAnsi="宋体" w:cs="宋体" w:eastAsia="宋体" w:hint="default"/>
                  <w:b/>
                  <w:bCs/>
                  <w:color w:val="0000FF"/>
                  <w:sz w:val="18"/>
                  <w:szCs w:val="18"/>
                  <w:u w:val="single" w:color="0000FF"/>
                </w:rPr>
                <w:t>http://www.cninfo.com.cn</w:t>
              </w:r>
              <w:r>
                <w:rPr>
                  <w:rFonts w:ascii="宋体" w:hAnsi="宋体" w:cs="宋体" w:eastAsia="宋体" w:hint="default"/>
                  <w:b/>
                  <w:bCs/>
                  <w:color w:val="0000FF"/>
                  <w:sz w:val="18"/>
                  <w:szCs w:val="18"/>
                </w:rPr>
              </w:r>
              <w:r>
                <w:rPr>
                  <w:rFonts w:ascii="宋体" w:hAnsi="宋体" w:cs="宋体" w:eastAsia="宋体" w:hint="default"/>
                  <w:sz w:val="18"/>
                  <w:szCs w:val="18"/>
                </w:rPr>
              </w:r>
            </w:hyperlink>
          </w:p>
        </w:tc>
      </w:tr>
    </w:tbl>
    <w:p>
      <w:pPr>
        <w:spacing w:after="0" w:line="234" w:lineRule="exact"/>
        <w:jc w:val="center"/>
        <w:rPr>
          <w:rFonts w:ascii="宋体" w:hAnsi="宋体" w:cs="宋体" w:eastAsia="宋体" w:hint="default"/>
          <w:sz w:val="18"/>
          <w:szCs w:val="18"/>
        </w:rPr>
        <w:sectPr>
          <w:pgSz w:w="11910" w:h="16840"/>
          <w:pgMar w:header="737" w:footer="1153" w:top="1060" w:bottom="13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tabs>
          <w:tab w:pos="1658" w:val="left" w:leader="none"/>
        </w:tabs>
        <w:spacing w:line="240" w:lineRule="auto"/>
        <w:ind w:right="1162"/>
        <w:jc w:val="center"/>
        <w:rPr>
          <w:b w:val="0"/>
          <w:bCs w:val="0"/>
        </w:rPr>
      </w:pPr>
      <w:bookmarkStart w:name="_TOC_250001" w:id="11"/>
      <w:r>
        <w:rPr>
          <w:w w:val="95"/>
        </w:rPr>
        <w:t>第十一节</w:t>
        <w:tab/>
      </w:r>
      <w:r>
        <w:rPr/>
        <w:t>财务报告</w:t>
      </w:r>
      <w:bookmarkEnd w:id="11"/>
      <w:r>
        <w:rPr>
          <w:b w:val="0"/>
          <w:bCs w:val="0"/>
        </w:rPr>
      </w:r>
    </w:p>
    <w:p>
      <w:pPr>
        <w:spacing w:line="240" w:lineRule="auto" w:before="4"/>
        <w:rPr>
          <w:rFonts w:ascii="宋体" w:hAnsi="宋体" w:cs="宋体" w:eastAsia="宋体" w:hint="default"/>
          <w:b/>
          <w:bCs/>
          <w:sz w:val="35"/>
          <w:szCs w:val="35"/>
        </w:rPr>
      </w:pPr>
    </w:p>
    <w:p>
      <w:pPr>
        <w:spacing w:before="0"/>
        <w:ind w:left="0" w:right="116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审计报告</w:t>
      </w:r>
      <w:r>
        <w:rPr>
          <w:rFonts w:ascii="Microsoft JhengHei" w:hAnsi="Microsoft JhengHei" w:cs="Microsoft JhengHei" w:eastAsia="Microsoft JhengHei" w:hint="default"/>
          <w:sz w:val="36"/>
          <w:szCs w:val="36"/>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0"/>
        <w:ind w:left="5855" w:right="0"/>
        <w:jc w:val="left"/>
      </w:pPr>
      <w:r>
        <w:rPr/>
        <w:t>中瑞岳华审字</w:t>
      </w:r>
      <w:r>
        <w:rPr>
          <w:rFonts w:ascii="宋体" w:hAnsi="宋体" w:cs="宋体" w:eastAsia="宋体" w:hint="default"/>
        </w:rPr>
        <w:t>[2012]</w:t>
      </w:r>
      <w:r>
        <w:rPr/>
        <w:t>第</w:t>
      </w:r>
      <w:r>
        <w:rPr>
          <w:spacing w:val="-60"/>
        </w:rPr>
        <w:t> </w:t>
      </w:r>
      <w:r>
        <w:rPr>
          <w:rFonts w:ascii="宋体" w:hAnsi="宋体" w:cs="宋体" w:eastAsia="宋体" w:hint="default"/>
        </w:rPr>
        <w:t>0375</w:t>
      </w:r>
      <w:r>
        <w:rPr>
          <w:rFonts w:ascii="宋体" w:hAnsi="宋体" w:cs="宋体" w:eastAsia="宋体" w:hint="default"/>
          <w:spacing w:val="-60"/>
        </w:rPr>
        <w:t> </w:t>
      </w:r>
      <w:r>
        <w:rPr/>
        <w:t>号</w:t>
      </w:r>
    </w:p>
    <w:p>
      <w:pPr>
        <w:spacing w:line="790" w:lineRule="exact" w:before="76"/>
        <w:ind w:left="602"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东港安全印刷股份有限公司全体股东：</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pacing w:val="3"/>
          <w:sz w:val="24"/>
          <w:szCs w:val="24"/>
        </w:rPr>
        <w:t>我们审计了后附的东港安全印刷股份有限公司</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贵公司</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r>
        <w:rPr>
          <w:rFonts w:ascii="宋体" w:hAnsi="宋体" w:cs="宋体" w:eastAsia="宋体" w:hint="default"/>
          <w:spacing w:val="3"/>
          <w:sz w:val="24"/>
          <w:szCs w:val="24"/>
        </w:rPr>
        <w:t>及其子公司</w:t>
      </w:r>
      <w:r>
        <w:rPr>
          <w:rFonts w:ascii="宋体" w:hAnsi="宋体" w:cs="宋体" w:eastAsia="宋体" w:hint="default"/>
          <w:spacing w:val="3"/>
          <w:sz w:val="24"/>
          <w:szCs w:val="24"/>
        </w:rPr>
        <w:t>(</w:t>
      </w:r>
      <w:r>
        <w:rPr>
          <w:rFonts w:ascii="宋体" w:hAnsi="宋体" w:cs="宋体" w:eastAsia="宋体" w:hint="default"/>
          <w:spacing w:val="3"/>
          <w:sz w:val="24"/>
          <w:szCs w:val="24"/>
        </w:rPr>
        <w:t>统称</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贵集</w:t>
      </w:r>
      <w:r>
        <w:rPr>
          <w:rFonts w:ascii="宋体" w:hAnsi="宋体" w:cs="宋体" w:eastAsia="宋体" w:hint="default"/>
          <w:sz w:val="24"/>
          <w:szCs w:val="24"/>
        </w:rPr>
      </w:r>
    </w:p>
    <w:p>
      <w:pPr>
        <w:pStyle w:val="BodyText"/>
        <w:spacing w:line="348" w:lineRule="auto" w:before="29"/>
        <w:ind w:right="1282"/>
        <w:jc w:val="both"/>
      </w:pPr>
      <w:r>
        <w:rPr>
          <w:spacing w:val="-3"/>
        </w:rPr>
        <w:t>团</w:t>
      </w:r>
      <w:r>
        <w:rPr>
          <w:rFonts w:ascii="Times New Roman" w:hAnsi="Times New Roman" w:cs="Times New Roman" w:eastAsia="Times New Roman" w:hint="default"/>
          <w:spacing w:val="-3"/>
        </w:rPr>
        <w:t>”</w:t>
      </w:r>
      <w:r>
        <w:rPr>
          <w:rFonts w:ascii="宋体" w:hAnsi="宋体" w:cs="宋体" w:eastAsia="宋体" w:hint="default"/>
          <w:spacing w:val="-3"/>
        </w:rPr>
        <w:t>)</w:t>
      </w:r>
      <w:r>
        <w:rPr>
          <w:spacing w:val="-3"/>
        </w:rPr>
        <w:t>财务报表，包括</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日的合并及公司的资产负债表，</w:t>
      </w:r>
      <w:r>
        <w:rPr>
          <w:rFonts w:ascii="宋体" w:hAnsi="宋体" w:cs="宋体" w:eastAsia="宋体" w:hint="default"/>
        </w:rPr>
        <w:t>2011</w:t>
      </w:r>
      <w:r>
        <w:rPr>
          <w:rFonts w:ascii="宋体" w:hAnsi="宋体" w:cs="宋体" w:eastAsia="宋体" w:hint="default"/>
          <w:spacing w:val="-63"/>
        </w:rPr>
        <w:t> </w:t>
      </w:r>
      <w:r>
        <w:rPr/>
        <w:t>年度合并及 </w:t>
      </w:r>
      <w:r>
        <w:rPr>
          <w:spacing w:val="2"/>
        </w:rPr>
        <w:t>公司的利润表、合并及公司的现金流量表和合并及公司的股东权益变动表以及财务报</w:t>
      </w:r>
      <w:r>
        <w:rPr>
          <w:spacing w:val="-97"/>
        </w:rPr>
        <w:t> </w:t>
      </w:r>
      <w:r>
        <w:rPr>
          <w:spacing w:val="-97"/>
        </w:rPr>
      </w:r>
      <w:r>
        <w:rPr/>
        <w:t>表附注。</w:t>
      </w:r>
    </w:p>
    <w:p>
      <w:pPr>
        <w:pStyle w:val="Heading3"/>
        <w:spacing w:line="385" w:lineRule="exact"/>
        <w:ind w:left="605" w:right="0"/>
        <w:jc w:val="left"/>
        <w:rPr>
          <w:b w:val="0"/>
          <w:bCs w:val="0"/>
        </w:rPr>
      </w:pPr>
      <w:r>
        <w:rPr/>
        <w:t>一、管理层对财务报表的责任</w:t>
      </w:r>
      <w:r>
        <w:rPr>
          <w:b w:val="0"/>
          <w:bCs w:val="0"/>
        </w:rPr>
      </w:r>
    </w:p>
    <w:p>
      <w:pPr>
        <w:pStyle w:val="BodyText"/>
        <w:spacing w:line="338" w:lineRule="auto" w:before="126"/>
        <w:ind w:right="1284" w:firstLine="479"/>
        <w:jc w:val="both"/>
      </w:pPr>
      <w:r>
        <w:rPr>
          <w:spacing w:val="-1"/>
          <w:w w:val="99"/>
        </w:rPr>
        <w:t>编制和公允列报财务报表是贵公司管理层的责任。这种责任包括：（</w:t>
      </w:r>
      <w:r>
        <w:rPr>
          <w:rFonts w:ascii="Arial" w:hAnsi="Arial" w:cs="Arial" w:eastAsia="Arial" w:hint="default"/>
          <w:spacing w:val="-1"/>
          <w:w w:val="99"/>
        </w:rPr>
        <w:t>1</w:t>
      </w:r>
      <w:r>
        <w:rPr>
          <w:spacing w:val="-1"/>
          <w:w w:val="99"/>
        </w:rPr>
        <w:t>）按照企业</w:t>
      </w:r>
      <w:r>
        <w:rPr>
          <w:spacing w:val="2"/>
        </w:rPr>
        <w:t> </w:t>
      </w:r>
      <w:r>
        <w:rPr>
          <w:spacing w:val="-1"/>
          <w:w w:val="99"/>
        </w:rPr>
        <w:t>会计准则的规定编制财务报表，并使其实现公允反映；（</w:t>
      </w:r>
      <w:r>
        <w:rPr>
          <w:rFonts w:ascii="Arial" w:hAnsi="Arial" w:cs="Arial" w:eastAsia="Arial" w:hint="default"/>
          <w:spacing w:val="-1"/>
          <w:w w:val="99"/>
        </w:rPr>
        <w:t>2</w:t>
      </w:r>
      <w:r>
        <w:rPr>
          <w:spacing w:val="-1"/>
          <w:w w:val="99"/>
        </w:rPr>
        <w:t>）设计、执行和维护必要的</w:t>
      </w:r>
      <w:r>
        <w:rPr>
          <w:spacing w:val="-113"/>
          <w:w w:val="99"/>
        </w:rPr>
        <w:t> </w:t>
      </w:r>
      <w:r>
        <w:rPr>
          <w:spacing w:val="-113"/>
          <w:w w:val="99"/>
        </w:rPr>
      </w:r>
      <w:r>
        <w:rPr/>
        <w:t>内部控制，以使财务报表不存在由于舞弊或错误导致的重大错报。</w:t>
      </w:r>
    </w:p>
    <w:p>
      <w:pPr>
        <w:spacing w:line="240" w:lineRule="auto" w:before="11"/>
        <w:rPr>
          <w:rFonts w:ascii="宋体" w:hAnsi="宋体" w:cs="宋体" w:eastAsia="宋体" w:hint="default"/>
          <w:sz w:val="22"/>
          <w:szCs w:val="22"/>
        </w:rPr>
      </w:pPr>
    </w:p>
    <w:p>
      <w:pPr>
        <w:spacing w:line="312" w:lineRule="auto" w:before="0"/>
        <w:ind w:left="602" w:right="0"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我们的责任是在执行审计工作的基础上对财务报表发表审计意见。我们按照中国</w:t>
      </w:r>
    </w:p>
    <w:p>
      <w:pPr>
        <w:pStyle w:val="BodyText"/>
        <w:spacing w:line="357" w:lineRule="auto" w:before="82"/>
        <w:ind w:right="1292"/>
        <w:jc w:val="both"/>
      </w:pPr>
      <w:r>
        <w:rPr>
          <w:spacing w:val="2"/>
        </w:rPr>
        <w:t>注册会计师审计准则的规定执行了审计工作。中国注册会计师审计准则要求我们遵守</w:t>
      </w:r>
      <w:r>
        <w:rPr>
          <w:spacing w:val="-97"/>
        </w:rPr>
        <w:t> </w:t>
      </w:r>
      <w:r>
        <w:rPr>
          <w:spacing w:val="-97"/>
        </w:rPr>
      </w:r>
      <w:r>
        <w:rPr>
          <w:spacing w:val="2"/>
        </w:rPr>
        <w:t>中国注册会计师职业道德守则，计划和执行审计工作以对财务报表是否不存在重大错</w:t>
      </w:r>
      <w:r>
        <w:rPr>
          <w:spacing w:val="-97"/>
        </w:rPr>
        <w:t> </w:t>
      </w:r>
      <w:r>
        <w:rPr>
          <w:spacing w:val="-97"/>
        </w:rPr>
      </w:r>
      <w:r>
        <w:rPr/>
        <w:t>报获取合理保证。</w:t>
      </w:r>
    </w:p>
    <w:p>
      <w:pPr>
        <w:pStyle w:val="BodyText"/>
        <w:spacing w:line="357" w:lineRule="auto" w:before="36"/>
        <w:ind w:right="1292" w:firstLine="479"/>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7"/>
        </w:rPr>
        <w:t> </w:t>
      </w:r>
      <w:r>
        <w:rPr>
          <w:spacing w:val="-97"/>
        </w:rPr>
      </w:r>
      <w:r>
        <w:rPr>
          <w:spacing w:val="2"/>
        </w:rPr>
        <w:t>报风险的评估。在进行风险评估时，注册会计师考虑与财务报表编制和公允列报相关</w:t>
      </w:r>
      <w:r>
        <w:rPr>
          <w:spacing w:val="-97"/>
        </w:rPr>
        <w:t> </w:t>
      </w:r>
      <w:r>
        <w:rPr>
          <w:spacing w:val="-97"/>
        </w:rPr>
      </w:r>
      <w:r>
        <w:rPr>
          <w:spacing w:val="2"/>
        </w:rPr>
        <w:t>的内部控制，以设计恰当的审计程序，但目的并非对内部控制的有效性发表意见。审</w:t>
      </w:r>
      <w:r>
        <w:rPr>
          <w:spacing w:val="-97"/>
        </w:rPr>
        <w:t> </w:t>
      </w:r>
      <w:r>
        <w:rPr>
          <w:spacing w:val="-97"/>
        </w:rPr>
      </w:r>
      <w:r>
        <w:rPr>
          <w:spacing w:val="2"/>
        </w:rPr>
        <w:t>计工作还包括评价管理层选用会计政策的恰当性和作出会计估计的合理性，以及评价</w:t>
      </w:r>
      <w:r>
        <w:rPr>
          <w:spacing w:val="-97"/>
        </w:rPr>
        <w:t> </w:t>
      </w:r>
      <w:r>
        <w:rPr>
          <w:spacing w:val="-97"/>
        </w:rPr>
      </w:r>
      <w:r>
        <w:rPr/>
        <w:t>财务报表的总体列报。</w:t>
      </w:r>
    </w:p>
    <w:p>
      <w:pPr>
        <w:pStyle w:val="BodyText"/>
        <w:spacing w:line="240" w:lineRule="auto" w:before="36"/>
        <w:ind w:left="602" w:right="0"/>
        <w:jc w:val="left"/>
      </w:pPr>
      <w:r>
        <w:rPr/>
        <w:t>我们相信，我们获取的审计证据是充分、适当的，为发表审计意见提供了基础。</w:t>
      </w:r>
    </w:p>
    <w:p>
      <w:pPr>
        <w:spacing w:after="0" w:line="240" w:lineRule="auto"/>
        <w:jc w:val="left"/>
        <w:sectPr>
          <w:pgSz w:w="11910" w:h="16840"/>
          <w:pgMar w:header="737" w:footer="1153" w:top="1060" w:bottom="1340" w:left="1500" w:right="0"/>
        </w:sectPr>
      </w:pPr>
    </w:p>
    <w:p>
      <w:pPr>
        <w:spacing w:line="240" w:lineRule="auto" w:before="6"/>
        <w:rPr>
          <w:rFonts w:ascii="宋体" w:hAnsi="宋体" w:cs="宋体" w:eastAsia="宋体" w:hint="default"/>
          <w:sz w:val="23"/>
          <w:szCs w:val="23"/>
        </w:rPr>
      </w:pPr>
    </w:p>
    <w:p>
      <w:pPr>
        <w:pStyle w:val="Heading3"/>
        <w:spacing w:line="367" w:lineRule="exact"/>
        <w:ind w:left="865" w:right="1273"/>
        <w:jc w:val="left"/>
        <w:rPr>
          <w:b w:val="0"/>
          <w:bCs w:val="0"/>
        </w:rPr>
      </w:pPr>
      <w:r>
        <w:rPr/>
        <w:t>三、审计意见</w:t>
      </w:r>
      <w:r>
        <w:rPr>
          <w:b w:val="0"/>
          <w:bCs w:val="0"/>
        </w:rPr>
      </w:r>
    </w:p>
    <w:p>
      <w:pPr>
        <w:pStyle w:val="BodyText"/>
        <w:spacing w:line="355" w:lineRule="auto" w:before="127"/>
        <w:ind w:left="382" w:right="1273" w:firstLine="479"/>
        <w:jc w:val="left"/>
      </w:pPr>
      <w:r>
        <w:rPr>
          <w:spacing w:val="2"/>
        </w:rPr>
        <w:t>我们认为，上述财务报表在所有重大方面按照企业会计准则的规定编制，公允反</w:t>
      </w:r>
      <w:r>
        <w:rPr/>
        <w:t> 映了东港安全印刷股份有限公司及其子公司</w:t>
      </w:r>
      <w:r>
        <w:rPr>
          <w:spacing w:val="-22"/>
        </w:rPr>
        <w:t> </w:t>
      </w:r>
      <w:r>
        <w:rPr>
          <w:rFonts w:ascii="宋体" w:hAnsi="宋体" w:cs="宋体" w:eastAsia="宋体" w:hint="default"/>
        </w:rPr>
        <w:t>2011</w:t>
      </w:r>
      <w:r>
        <w:rPr>
          <w:rFonts w:ascii="宋体" w:hAnsi="宋体" w:cs="宋体" w:eastAsia="宋体" w:hint="default"/>
          <w:spacing w:val="-21"/>
        </w:rPr>
        <w:t> </w:t>
      </w:r>
      <w:r>
        <w:rPr/>
        <w:t>年</w:t>
      </w:r>
      <w:r>
        <w:rPr>
          <w:spacing w:val="-22"/>
        </w:rPr>
        <w:t> </w:t>
      </w:r>
      <w:r>
        <w:rPr>
          <w:rFonts w:ascii="宋体" w:hAnsi="宋体" w:cs="宋体" w:eastAsia="宋体" w:hint="default"/>
        </w:rPr>
        <w:t>12</w:t>
      </w:r>
      <w:r>
        <w:rPr>
          <w:rFonts w:ascii="宋体" w:hAnsi="宋体" w:cs="宋体" w:eastAsia="宋体" w:hint="default"/>
          <w:spacing w:val="-20"/>
        </w:rPr>
        <w:t> </w:t>
      </w:r>
      <w:r>
        <w:rPr/>
        <w:t>月</w:t>
      </w:r>
      <w:r>
        <w:rPr>
          <w:spacing w:val="-22"/>
        </w:rPr>
        <w:t> </w:t>
      </w:r>
      <w:r>
        <w:rPr>
          <w:rFonts w:ascii="宋体" w:hAnsi="宋体" w:cs="宋体" w:eastAsia="宋体" w:hint="default"/>
        </w:rPr>
        <w:t>31</w:t>
      </w:r>
      <w:r>
        <w:rPr>
          <w:rFonts w:ascii="宋体" w:hAnsi="宋体" w:cs="宋体" w:eastAsia="宋体" w:hint="default"/>
          <w:spacing w:val="-22"/>
        </w:rPr>
        <w:t> </w:t>
      </w:r>
      <w:r>
        <w:rPr/>
        <w:t>日的合并财务状况以及</w:t>
      </w:r>
    </w:p>
    <w:p>
      <w:pPr>
        <w:pStyle w:val="BodyText"/>
        <w:spacing w:line="240" w:lineRule="auto" w:before="38"/>
        <w:ind w:left="382" w:right="0"/>
        <w:jc w:val="left"/>
      </w:pPr>
      <w:r>
        <w:rPr>
          <w:rFonts w:ascii="宋体" w:hAnsi="宋体" w:cs="宋体" w:eastAsia="宋体" w:hint="default"/>
        </w:rPr>
        <w:t>2011 </w:t>
      </w:r>
      <w:r>
        <w:rPr/>
        <w:t>年度的合并经营成果和合并现金流量，以及东港安全印刷股份有限公司 </w:t>
      </w:r>
      <w:r>
        <w:rPr>
          <w:rFonts w:ascii="宋体" w:hAnsi="宋体" w:cs="宋体" w:eastAsia="宋体" w:hint="default"/>
        </w:rPr>
        <w:t>2011</w:t>
      </w:r>
      <w:r>
        <w:rPr>
          <w:rFonts w:ascii="宋体" w:hAnsi="宋体" w:cs="宋体" w:eastAsia="宋体" w:hint="default"/>
          <w:spacing w:val="-1"/>
        </w:rPr>
        <w:t> </w:t>
      </w:r>
      <w:r>
        <w:rPr/>
        <w:t>年</w:t>
      </w:r>
    </w:p>
    <w:p>
      <w:pPr>
        <w:pStyle w:val="BodyText"/>
        <w:spacing w:line="240" w:lineRule="auto" w:before="151"/>
        <w:ind w:left="382" w:right="1273"/>
        <w:jc w:val="left"/>
      </w:pP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31</w:t>
      </w:r>
      <w:r>
        <w:rPr>
          <w:rFonts w:ascii="宋体" w:hAnsi="宋体" w:cs="宋体" w:eastAsia="宋体" w:hint="default"/>
          <w:spacing w:val="-60"/>
        </w:rPr>
        <w:t> </w:t>
      </w:r>
      <w:r>
        <w:rPr/>
        <w:t>日的财务状况以及</w:t>
      </w:r>
      <w:r>
        <w:rPr>
          <w:spacing w:val="-60"/>
        </w:rPr>
        <w:t> </w:t>
      </w:r>
      <w:r>
        <w:rPr>
          <w:rFonts w:ascii="宋体" w:hAnsi="宋体" w:cs="宋体" w:eastAsia="宋体" w:hint="default"/>
        </w:rPr>
        <w:t>2011</w:t>
      </w:r>
      <w:r>
        <w:rPr>
          <w:rFonts w:ascii="宋体" w:hAnsi="宋体" w:cs="宋体" w:eastAsia="宋体" w:hint="default"/>
          <w:spacing w:val="-60"/>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5063"/>
        <w:gridCol w:w="2759"/>
      </w:tblGrid>
      <w:tr>
        <w:trPr>
          <w:trHeight w:val="278" w:hRule="exact"/>
        </w:trPr>
        <w:tc>
          <w:tcPr>
            <w:tcW w:w="5063" w:type="dxa"/>
            <w:tcBorders>
              <w:top w:val="nil" w:sz="6" w:space="0" w:color="auto"/>
              <w:left w:val="nil" w:sz="6" w:space="0" w:color="auto"/>
              <w:bottom w:val="nil" w:sz="6" w:space="0" w:color="auto"/>
              <w:right w:val="nil" w:sz="6" w:space="0" w:color="auto"/>
            </w:tcBorders>
          </w:tcPr>
          <w:p>
            <w:pPr>
              <w:pStyle w:val="TableParagraph"/>
              <w:spacing w:line="240" w:lineRule="exact"/>
              <w:ind w:right="436"/>
              <w:jc w:val="center"/>
              <w:rPr>
                <w:rFonts w:ascii="宋体" w:hAnsi="宋体" w:cs="宋体" w:eastAsia="宋体" w:hint="default"/>
                <w:sz w:val="24"/>
                <w:szCs w:val="24"/>
              </w:rPr>
            </w:pPr>
            <w:r>
              <w:rPr>
                <w:rFonts w:ascii="宋体" w:hAnsi="宋体" w:cs="宋体" w:eastAsia="宋体" w:hint="default"/>
                <w:spacing w:val="-6"/>
                <w:sz w:val="24"/>
                <w:szCs w:val="24"/>
              </w:rPr>
              <w:t>中瑞岳华会计师事务所（特殊普通合伙）</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exact"/>
              <w:ind w:left="438" w:right="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448" w:hRule="exact"/>
        </w:trPr>
        <w:tc>
          <w:tcPr>
            <w:tcW w:w="506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Style w:val="TableParagraph"/>
              <w:spacing w:line="318" w:lineRule="exact"/>
              <w:ind w:left="440" w:right="0"/>
              <w:jc w:val="center"/>
              <w:rPr>
                <w:rFonts w:ascii="宋体" w:hAnsi="宋体" w:cs="宋体" w:eastAsia="宋体" w:hint="default"/>
                <w:sz w:val="28"/>
                <w:szCs w:val="28"/>
              </w:rPr>
            </w:pPr>
            <w:r>
              <w:rPr>
                <w:rFonts w:ascii="宋体" w:hAnsi="宋体" w:cs="宋体" w:eastAsia="宋体" w:hint="default"/>
                <w:sz w:val="28"/>
                <w:szCs w:val="28"/>
              </w:rPr>
              <w:t>张富根</w:t>
            </w:r>
          </w:p>
        </w:tc>
      </w:tr>
      <w:tr>
        <w:trPr>
          <w:trHeight w:val="912" w:hRule="exact"/>
        </w:trPr>
        <w:tc>
          <w:tcPr>
            <w:tcW w:w="506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57"/>
              <w:jc w:val="center"/>
              <w:rPr>
                <w:rFonts w:ascii="宋体" w:hAnsi="宋体" w:cs="宋体" w:eastAsia="宋体" w:hint="default"/>
                <w:sz w:val="24"/>
                <w:szCs w:val="24"/>
              </w:rPr>
            </w:pPr>
            <w:r>
              <w:rPr>
                <w:rFonts w:ascii="宋体" w:hAnsi="宋体" w:cs="宋体" w:eastAsia="宋体" w:hint="default"/>
                <w:sz w:val="24"/>
                <w:szCs w:val="24"/>
              </w:rPr>
              <w:t>中国〃北京</w:t>
            </w:r>
          </w:p>
        </w:tc>
        <w:tc>
          <w:tcPr>
            <w:tcW w:w="2759" w:type="dxa"/>
            <w:tcBorders>
              <w:top w:val="nil" w:sz="6" w:space="0" w:color="auto"/>
              <w:left w:val="nil" w:sz="6" w:space="0" w:color="auto"/>
              <w:bottom w:val="nil" w:sz="6" w:space="0" w:color="auto"/>
              <w:right w:val="nil" w:sz="6" w:space="0" w:color="auto"/>
            </w:tcBorders>
          </w:tcPr>
          <w:p>
            <w:pPr>
              <w:pStyle w:val="TableParagraph"/>
              <w:spacing w:line="310" w:lineRule="exact" w:before="55"/>
              <w:ind w:left="438" w:right="0"/>
              <w:jc w:val="center"/>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tabs>
                <w:tab w:pos="1141" w:val="left" w:leader="none"/>
              </w:tabs>
              <w:spacing w:line="362" w:lineRule="exact"/>
              <w:ind w:left="440" w:right="0"/>
              <w:jc w:val="center"/>
              <w:rPr>
                <w:rFonts w:ascii="宋体" w:hAnsi="宋体" w:cs="宋体" w:eastAsia="宋体" w:hint="default"/>
                <w:sz w:val="28"/>
                <w:szCs w:val="28"/>
              </w:rPr>
            </w:pPr>
            <w:r>
              <w:rPr>
                <w:rFonts w:ascii="宋体" w:hAnsi="宋体" w:cs="宋体" w:eastAsia="宋体" w:hint="default"/>
                <w:sz w:val="28"/>
                <w:szCs w:val="28"/>
              </w:rPr>
              <w:t>崔</w:t>
              <w:tab/>
              <w:t>迎</w:t>
            </w:r>
          </w:p>
        </w:tc>
      </w:tr>
      <w:tr>
        <w:trPr>
          <w:trHeight w:val="424" w:hRule="exact"/>
        </w:trPr>
        <w:tc>
          <w:tcPr>
            <w:tcW w:w="5063" w:type="dxa"/>
            <w:tcBorders>
              <w:top w:val="nil" w:sz="6" w:space="0" w:color="auto"/>
              <w:left w:val="nil" w:sz="6" w:space="0" w:color="auto"/>
              <w:bottom w:val="nil" w:sz="6" w:space="0" w:color="auto"/>
              <w:right w:val="nil" w:sz="6" w:space="0" w:color="auto"/>
            </w:tcBorders>
          </w:tcPr>
          <w:p>
            <w:pP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40"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40" w:lineRule="auto"/>
        <w:jc w:val="center"/>
        <w:rPr>
          <w:rFonts w:ascii="宋体" w:hAnsi="宋体" w:cs="宋体" w:eastAsia="宋体" w:hint="default"/>
          <w:sz w:val="24"/>
          <w:szCs w:val="24"/>
        </w:rPr>
        <w:sectPr>
          <w:pgSz w:w="11910" w:h="16840"/>
          <w:pgMar w:header="737" w:footer="1153" w:top="1060" w:bottom="1340" w:left="1240" w:right="0"/>
        </w:sectPr>
      </w:pPr>
    </w:p>
    <w:p>
      <w:pPr>
        <w:spacing w:line="240" w:lineRule="auto" w:before="1"/>
        <w:rPr>
          <w:rFonts w:ascii="宋体" w:hAnsi="宋体" w:cs="宋体" w:eastAsia="宋体" w:hint="default"/>
          <w:sz w:val="8"/>
          <w:szCs w:val="8"/>
        </w:rPr>
      </w:pPr>
    </w:p>
    <w:p>
      <w:pPr>
        <w:pStyle w:val="Heading2"/>
        <w:spacing w:line="406" w:lineRule="exact"/>
        <w:ind w:right="1061"/>
        <w:jc w:val="center"/>
        <w:rPr>
          <w:b w:val="0"/>
          <w:bCs w:val="0"/>
        </w:rPr>
      </w:pPr>
      <w:r>
        <w:rPr/>
        <w:t>合并资产负债表</w:t>
      </w:r>
      <w:r>
        <w:rPr>
          <w:b w:val="0"/>
          <w:bCs w:val="0"/>
        </w:rPr>
      </w:r>
    </w:p>
    <w:p>
      <w:pPr>
        <w:spacing w:line="255" w:lineRule="exact" w:before="0"/>
        <w:ind w:left="0" w:right="1061"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6980" w:val="left" w:leader="none"/>
        </w:tabs>
        <w:spacing w:before="67"/>
        <w:ind w:left="0" w:right="961"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021"/>
        <w:gridCol w:w="816"/>
        <w:gridCol w:w="2078"/>
        <w:gridCol w:w="2182"/>
      </w:tblGrid>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tabs>
                <w:tab w:pos="799" w:val="left" w:leader="none"/>
              </w:tabs>
              <w:spacing w:line="240" w:lineRule="auto" w:before="9"/>
              <w:ind w:right="1454"/>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2"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82"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8"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1</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366,072,642.31</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409,824,815.84</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2</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1,336,000.00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403,600.00</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3</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102,999,782.68</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60,239,795.90</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5</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2,123,932.68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1,392,627.01</w:t>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19,633.34</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4</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9,907,302.84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11,536,222.43</w:t>
            </w:r>
            <w:r>
              <w:rPr>
                <w:rFonts w:ascii="宋体"/>
                <w:sz w:val="20"/>
              </w:rPr>
            </w:r>
          </w:p>
        </w:tc>
      </w:tr>
      <w:tr>
        <w:trPr>
          <w:trHeight w:val="348"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6</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89,116,638.51</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91,407,219.26</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8</w:t>
            </w: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170,348.32</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7</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415,629.04</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489,206.62</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571,991,561.40</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575,463,835.38</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9</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13,343,393.34</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13,339,223.68</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10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676,763,621.49</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585,752,797.78</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11</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17,128,603.68</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98,428,265.63</w:t>
            </w:r>
            <w:r>
              <w:rPr>
                <w:rFonts w:ascii="宋体"/>
                <w:sz w:val="20"/>
              </w:rPr>
            </w:r>
          </w:p>
        </w:tc>
      </w:tr>
      <w:tr>
        <w:trPr>
          <w:trHeight w:val="348"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12</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62,501,081.22</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63,509,111.04</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13</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6,220,791.03</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14</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783,408.34</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宋体" w:hAnsi="宋体" w:cs="宋体" w:eastAsia="宋体" w:hint="default"/>
                <w:sz w:val="20"/>
                <w:szCs w:val="20"/>
              </w:rPr>
            </w:pPr>
            <w:r>
              <w:rPr>
                <w:rFonts w:ascii="宋体" w:hAnsi="宋体" w:cs="宋体" w:eastAsia="宋体" w:hint="default"/>
                <w:sz w:val="20"/>
                <w:szCs w:val="20"/>
              </w:rPr>
              <w:t>七、</w:t>
            </w:r>
            <w:r>
              <w:rPr>
                <w:rFonts w:ascii="宋体" w:hAnsi="宋体" w:cs="宋体" w:eastAsia="宋体" w:hint="default"/>
                <w:sz w:val="20"/>
                <w:szCs w:val="20"/>
              </w:rPr>
              <w:t>15</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1,388,410.09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843,764.18</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778,129,309.19</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761,873,162.31</w:t>
            </w:r>
            <w:r>
              <w:rPr>
                <w:rFonts w:ascii="宋体"/>
                <w:sz w:val="20"/>
              </w:rPr>
            </w:r>
          </w:p>
        </w:tc>
      </w:tr>
      <w:tr>
        <w:trPr>
          <w:trHeight w:val="350"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5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8"/>
              <w:jc w:val="right"/>
              <w:rPr>
                <w:rFonts w:ascii="宋体" w:hAnsi="宋体" w:cs="宋体" w:eastAsia="宋体" w:hint="default"/>
                <w:sz w:val="20"/>
                <w:szCs w:val="20"/>
              </w:rPr>
            </w:pPr>
            <w:r>
              <w:rPr>
                <w:rFonts w:ascii="宋体"/>
                <w:w w:val="95"/>
                <w:sz w:val="20"/>
              </w:rPr>
              <w:t>1,350,120,870.59</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86" w:right="0"/>
              <w:jc w:val="left"/>
              <w:rPr>
                <w:rFonts w:ascii="宋体" w:hAnsi="宋体" w:cs="宋体" w:eastAsia="宋体" w:hint="default"/>
                <w:sz w:val="20"/>
                <w:szCs w:val="20"/>
              </w:rPr>
            </w:pPr>
            <w:r>
              <w:rPr>
                <w:rFonts w:ascii="宋体"/>
                <w:sz w:val="20"/>
              </w:rPr>
              <w:t>1,337,336,997.69</w:t>
            </w:r>
          </w:p>
        </w:tc>
      </w:tr>
    </w:tbl>
    <w:p>
      <w:pPr>
        <w:spacing w:after="0" w:line="240" w:lineRule="auto"/>
        <w:jc w:val="left"/>
        <w:rPr>
          <w:rFonts w:ascii="宋体" w:hAnsi="宋体" w:cs="宋体" w:eastAsia="宋体" w:hint="default"/>
          <w:sz w:val="20"/>
          <w:szCs w:val="20"/>
        </w:rPr>
        <w:sectPr>
          <w:headerReference w:type="default" r:id="rId23"/>
          <w:pgSz w:w="11910" w:h="16840"/>
          <w:pgMar w:header="928" w:footer="1153" w:top="1260" w:bottom="1340" w:left="15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413" w:lineRule="exact"/>
        <w:ind w:right="785"/>
        <w:jc w:val="center"/>
        <w:rPr>
          <w:rFonts w:ascii="Trebuchet MS" w:hAnsi="Trebuchet MS" w:cs="Trebuchet MS" w:eastAsia="Trebuchet MS" w:hint="default"/>
          <w:b w:val="0"/>
          <w:bCs w:val="0"/>
        </w:rPr>
      </w:pPr>
      <w:r>
        <w:rPr>
          <w:w w:val="110"/>
        </w:rPr>
        <w:t>合并资产负债表</w:t>
      </w:r>
      <w:r>
        <w:rPr>
          <w:rFonts w:ascii="Trebuchet MS" w:hAnsi="Trebuchet MS" w:cs="Trebuchet MS" w:eastAsia="Trebuchet MS" w:hint="default"/>
          <w:w w:val="110"/>
        </w:rPr>
        <w:t>(</w:t>
      </w:r>
      <w:r>
        <w:rPr>
          <w:w w:val="110"/>
        </w:rPr>
        <w:t>续</w:t>
      </w:r>
      <w:r>
        <w:rPr>
          <w:rFonts w:ascii="Trebuchet MS" w:hAnsi="Trebuchet MS" w:cs="Trebuchet MS" w:eastAsia="Trebuchet MS" w:hint="default"/>
          <w:w w:val="110"/>
        </w:rPr>
        <w:t>)</w:t>
      </w:r>
      <w:r>
        <w:rPr>
          <w:rFonts w:ascii="Trebuchet MS" w:hAnsi="Trebuchet MS" w:cs="Trebuchet MS" w:eastAsia="Trebuchet MS" w:hint="default"/>
          <w:b w:val="0"/>
          <w:bCs w:val="0"/>
        </w:rPr>
      </w:r>
    </w:p>
    <w:p>
      <w:pPr>
        <w:spacing w:before="21"/>
        <w:ind w:left="0" w:right="786"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662" w:val="left" w:leader="none"/>
        </w:tabs>
        <w:spacing w:before="31"/>
        <w:ind w:left="0" w:right="681"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547"/>
        <w:gridCol w:w="840"/>
        <w:gridCol w:w="2143"/>
        <w:gridCol w:w="2249"/>
      </w:tblGrid>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tabs>
                <w:tab w:pos="896" w:val="left" w:leader="none"/>
              </w:tabs>
              <w:spacing w:line="242" w:lineRule="exact"/>
              <w:ind w:left="96"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6"/>
              <w:jc w:val="right"/>
              <w:rPr>
                <w:rFonts w:ascii="宋体" w:hAnsi="宋体" w:cs="宋体" w:eastAsia="宋体" w:hint="default"/>
                <w:sz w:val="20"/>
                <w:szCs w:val="20"/>
              </w:rPr>
            </w:pPr>
            <w:r>
              <w:rPr>
                <w:rFonts w:ascii="宋体" w:hAnsi="宋体" w:cs="宋体" w:eastAsia="宋体" w:hint="default"/>
                <w:w w:val="95"/>
                <w:sz w:val="20"/>
                <w:szCs w:val="20"/>
              </w:rPr>
              <w:t>注释</w:t>
            </w:r>
            <w:r>
              <w:rPr>
                <w:rFonts w:ascii="宋体" w:hAnsi="宋体" w:cs="宋体" w:eastAsia="宋体" w:hint="default"/>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8"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8"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17</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100,000,000.00</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18</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71,894,750.28</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56,712,529.91</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19</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95"/>
                <w:sz w:val="20"/>
              </w:rPr>
              <w:t>113,845,351.02</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91,178,002.45</w:t>
            </w:r>
            <w:r>
              <w:rPr>
                <w:rFonts w:ascii="宋体"/>
                <w:sz w:val="20"/>
              </w:rPr>
            </w: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20</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22,315,644.85</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13,489,623.02</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21</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8,159,385.86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10,022,645.07</w:t>
            </w:r>
            <w:r>
              <w:rPr>
                <w:rFonts w:ascii="宋体"/>
                <w:sz w:val="20"/>
              </w:rPr>
            </w:r>
          </w:p>
        </w:tc>
      </w:tr>
      <w:tr>
        <w:trPr>
          <w:trHeight w:val="296"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22</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6,708,203.71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95"/>
                <w:sz w:val="20"/>
              </w:rPr>
              <w:t>-1,282,100.43</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23</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153,977.78</w:t>
            </w:r>
            <w:r>
              <w:rPr>
                <w:rFonts w:ascii="宋体"/>
                <w:sz w:val="20"/>
              </w:rPr>
            </w: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24</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1,514,468.36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1,128,127.71</w:t>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25</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25,746,036.13</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55,302,381.88</w:t>
            </w:r>
            <w:r>
              <w:rPr>
                <w:rFonts w:ascii="宋体"/>
                <w:sz w:val="20"/>
              </w:rPr>
            </w: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2,000,000.00</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w w:val="95"/>
                <w:sz w:val="20"/>
              </w:rPr>
              <w:t>252,183,840.21</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326,705,187.39</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7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252,183,840.21</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326,705,187.39</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实收资本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26</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126,414,172.00</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124,124,172.00</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27</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600,125,278.69</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579,516,203.70</w:t>
            </w:r>
            <w:r>
              <w:rPr>
                <w:rFonts w:ascii="宋体"/>
                <w:sz w:val="20"/>
              </w:rPr>
            </w: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28</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75,247,802.48</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63,206,829.92</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hAnsi="宋体" w:cs="宋体" w:eastAsia="宋体" w:hint="default"/>
                <w:spacing w:val="-19"/>
                <w:w w:val="95"/>
                <w:sz w:val="20"/>
                <w:szCs w:val="20"/>
              </w:rPr>
              <w:t>七、</w:t>
            </w:r>
            <w:r>
              <w:rPr>
                <w:rFonts w:ascii="宋体" w:hAnsi="宋体" w:cs="宋体" w:eastAsia="宋体" w:hint="default"/>
                <w:spacing w:val="-19"/>
                <w:w w:val="95"/>
                <w:sz w:val="20"/>
                <w:szCs w:val="20"/>
              </w:rPr>
              <w:t>29</w:t>
            </w:r>
            <w:r>
              <w:rPr>
                <w:rFonts w:ascii="宋体" w:hAnsi="宋体" w:cs="宋体" w:eastAsia="宋体" w:hint="default"/>
                <w:spacing w:val="-19"/>
                <w:sz w:val="20"/>
                <w:szCs w:val="20"/>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6"/>
              <w:jc w:val="right"/>
              <w:rPr>
                <w:rFonts w:ascii="宋体" w:hAnsi="宋体" w:cs="宋体" w:eastAsia="宋体" w:hint="default"/>
                <w:sz w:val="20"/>
                <w:szCs w:val="20"/>
              </w:rPr>
            </w:pPr>
            <w:r>
              <w:rPr>
                <w:rFonts w:ascii="宋体"/>
                <w:w w:val="95"/>
                <w:sz w:val="20"/>
              </w:rPr>
              <w:t>247,754,599.37</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9"/>
              <w:jc w:val="right"/>
              <w:rPr>
                <w:rFonts w:ascii="宋体" w:hAnsi="宋体" w:cs="宋体" w:eastAsia="宋体" w:hint="default"/>
                <w:sz w:val="20"/>
                <w:szCs w:val="20"/>
              </w:rPr>
            </w:pPr>
            <w:r>
              <w:rPr>
                <w:rFonts w:ascii="宋体"/>
                <w:w w:val="95"/>
                <w:sz w:val="20"/>
              </w:rPr>
              <w:t>197,437,212.68</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5"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归属于母公司股东的所有者权益合计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67" w:right="0"/>
              <w:jc w:val="left"/>
              <w:rPr>
                <w:rFonts w:ascii="宋体" w:hAnsi="宋体" w:cs="宋体" w:eastAsia="宋体" w:hint="default"/>
                <w:sz w:val="20"/>
                <w:szCs w:val="20"/>
              </w:rPr>
            </w:pPr>
            <w:r>
              <w:rPr>
                <w:rFonts w:ascii="宋体"/>
                <w:sz w:val="20"/>
              </w:rPr>
              <w:t>1,049,541,852.54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9"/>
              <w:jc w:val="right"/>
              <w:rPr>
                <w:rFonts w:ascii="宋体" w:hAnsi="宋体" w:cs="宋体" w:eastAsia="宋体" w:hint="default"/>
                <w:sz w:val="20"/>
                <w:szCs w:val="20"/>
              </w:rPr>
            </w:pPr>
            <w:r>
              <w:rPr>
                <w:rFonts w:ascii="宋体"/>
                <w:w w:val="95"/>
                <w:sz w:val="20"/>
              </w:rPr>
              <w:t>964,284,418.30</w:t>
            </w:r>
            <w:r>
              <w:rPr>
                <w:rFonts w:ascii="宋体"/>
                <w:sz w:val="20"/>
              </w:rPr>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6"/>
              <w:jc w:val="right"/>
              <w:rPr>
                <w:rFonts w:ascii="宋体" w:hAnsi="宋体" w:cs="宋体" w:eastAsia="宋体" w:hint="default"/>
                <w:sz w:val="20"/>
                <w:szCs w:val="20"/>
              </w:rPr>
            </w:pPr>
            <w:r>
              <w:rPr>
                <w:rFonts w:ascii="宋体"/>
                <w:w w:val="95"/>
                <w:sz w:val="20"/>
              </w:rPr>
              <w:t>48,395,177.84</w:t>
            </w:r>
            <w:r>
              <w:rPr>
                <w:rFonts w:ascii="宋体"/>
                <w:sz w:val="20"/>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9"/>
              <w:jc w:val="right"/>
              <w:rPr>
                <w:rFonts w:ascii="宋体" w:hAnsi="宋体" w:cs="宋体" w:eastAsia="宋体" w:hint="default"/>
                <w:sz w:val="20"/>
                <w:szCs w:val="20"/>
              </w:rPr>
            </w:pPr>
            <w:r>
              <w:rPr>
                <w:rFonts w:ascii="宋体"/>
                <w:w w:val="95"/>
                <w:sz w:val="20"/>
              </w:rPr>
              <w:t>46,347,392.00</w:t>
            </w:r>
            <w:r>
              <w:rPr>
                <w:rFonts w:ascii="宋体"/>
                <w:sz w:val="20"/>
              </w:rPr>
            </w:r>
          </w:p>
        </w:tc>
      </w:tr>
      <w:tr>
        <w:trPr>
          <w:trHeight w:val="295"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9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67" w:right="0"/>
              <w:jc w:val="left"/>
              <w:rPr>
                <w:rFonts w:ascii="宋体" w:hAnsi="宋体" w:cs="宋体" w:eastAsia="宋体" w:hint="default"/>
                <w:sz w:val="20"/>
                <w:szCs w:val="20"/>
              </w:rPr>
            </w:pPr>
            <w:r>
              <w:rPr>
                <w:rFonts w:ascii="宋体"/>
                <w:sz w:val="20"/>
              </w:rPr>
              <w:t>1,097,937,030.38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20" w:right="0"/>
              <w:jc w:val="left"/>
              <w:rPr>
                <w:rFonts w:ascii="宋体" w:hAnsi="宋体" w:cs="宋体" w:eastAsia="宋体" w:hint="default"/>
                <w:sz w:val="20"/>
                <w:szCs w:val="20"/>
              </w:rPr>
            </w:pPr>
            <w:r>
              <w:rPr>
                <w:rFonts w:ascii="宋体"/>
                <w:sz w:val="20"/>
              </w:rPr>
              <w:t>1,010,631,810.30</w:t>
            </w:r>
          </w:p>
        </w:tc>
      </w:tr>
      <w:tr>
        <w:trPr>
          <w:trHeight w:val="29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31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67" w:right="0"/>
              <w:jc w:val="left"/>
              <w:rPr>
                <w:rFonts w:ascii="宋体" w:hAnsi="宋体" w:cs="宋体" w:eastAsia="宋体" w:hint="default"/>
                <w:sz w:val="20"/>
                <w:szCs w:val="20"/>
              </w:rPr>
            </w:pPr>
            <w:r>
              <w:rPr>
                <w:rFonts w:ascii="宋体"/>
                <w:sz w:val="20"/>
              </w:rPr>
              <w:t>1,350,120,870.59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20" w:right="0"/>
              <w:jc w:val="left"/>
              <w:rPr>
                <w:rFonts w:ascii="宋体" w:hAnsi="宋体" w:cs="宋体" w:eastAsia="宋体" w:hint="default"/>
                <w:sz w:val="20"/>
                <w:szCs w:val="20"/>
              </w:rPr>
            </w:pPr>
            <w:r>
              <w:rPr>
                <w:rFonts w:ascii="宋体"/>
                <w:sz w:val="20"/>
              </w:rPr>
              <w:t>1,337,336,997.69</w:t>
            </w:r>
          </w:p>
        </w:tc>
      </w:tr>
    </w:tbl>
    <w:p>
      <w:pPr>
        <w:spacing w:line="240" w:lineRule="auto" w:before="5"/>
        <w:rPr>
          <w:rFonts w:ascii="宋体" w:hAnsi="宋体" w:cs="宋体" w:eastAsia="宋体" w:hint="default"/>
          <w:sz w:val="18"/>
          <w:szCs w:val="18"/>
        </w:rPr>
      </w:pPr>
    </w:p>
    <w:p>
      <w:pPr>
        <w:tabs>
          <w:tab w:pos="2860" w:val="left" w:leader="none"/>
          <w:tab w:pos="6381" w:val="left" w:leader="none"/>
        </w:tabs>
        <w:spacing w:before="32"/>
        <w:ind w:left="330"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r>
      <w:r>
        <w:rPr>
          <w:rFonts w:ascii="宋体" w:hAnsi="宋体" w:cs="宋体" w:eastAsia="宋体" w:hint="default"/>
          <w:spacing w:val="-2"/>
          <w:sz w:val="22"/>
          <w:szCs w:val="22"/>
        </w:rPr>
        <w:t>会计机构负责人：</w:t>
      </w:r>
    </w:p>
    <w:p>
      <w:pPr>
        <w:spacing w:after="0"/>
        <w:jc w:val="left"/>
        <w:rPr>
          <w:rFonts w:ascii="宋体" w:hAnsi="宋体" w:cs="宋体" w:eastAsia="宋体" w:hint="default"/>
          <w:sz w:val="22"/>
          <w:szCs w:val="22"/>
        </w:rPr>
        <w:sectPr>
          <w:pgSz w:w="11910" w:h="16840"/>
          <w:pgMar w:header="928" w:footer="1153" w:top="1260" w:bottom="1340" w:left="11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413" w:lineRule="exact"/>
        <w:ind w:right="802"/>
        <w:jc w:val="center"/>
        <w:rPr>
          <w:b w:val="0"/>
          <w:bCs w:val="0"/>
        </w:rPr>
      </w:pPr>
      <w:r>
        <w:rPr/>
        <w:t>合  并  利  润 </w:t>
      </w:r>
      <w:r>
        <w:rPr>
          <w:spacing w:val="6"/>
        </w:rPr>
        <w:t> </w:t>
      </w:r>
      <w:r>
        <w:rPr/>
        <w:t>表</w:t>
      </w:r>
      <w:r>
        <w:rPr>
          <w:b w:val="0"/>
          <w:bCs w:val="0"/>
        </w:rPr>
      </w:r>
    </w:p>
    <w:p>
      <w:pPr>
        <w:spacing w:before="50"/>
        <w:ind w:left="0" w:right="802"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年度</w:t>
      </w:r>
    </w:p>
    <w:p>
      <w:pPr>
        <w:tabs>
          <w:tab w:pos="7239" w:val="left" w:leader="none"/>
        </w:tabs>
        <w:spacing w:before="88"/>
        <w:ind w:left="0" w:right="701"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820"/>
        <w:gridCol w:w="898"/>
        <w:gridCol w:w="1796"/>
        <w:gridCol w:w="1843"/>
      </w:tblGrid>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tabs>
                <w:tab w:pos="1101" w:val="left" w:leader="none"/>
              </w:tabs>
              <w:spacing w:line="240" w:lineRule="auto" w:before="9"/>
              <w:ind w:left="10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6"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3"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67"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一、营业总收入</w:t>
            </w:r>
            <w:r>
              <w:rPr>
                <w:rFonts w:ascii="Microsoft JhengHei" w:hAnsi="Microsoft JhengHei" w:cs="Microsoft JhengHei" w:eastAsia="Microsoft JhengHei"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3"/>
              <w:jc w:val="right"/>
              <w:rPr>
                <w:rFonts w:ascii="宋体" w:hAnsi="宋体" w:cs="宋体" w:eastAsia="宋体" w:hint="default"/>
                <w:sz w:val="20"/>
                <w:szCs w:val="20"/>
              </w:rPr>
            </w:pPr>
            <w:r>
              <w:rPr>
                <w:rFonts w:ascii="宋体"/>
                <w:w w:val="95"/>
                <w:sz w:val="20"/>
              </w:rPr>
              <w:t>781,765,641.17</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712,233,094.92</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781,765,641.17</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712,233,094.92</w:t>
            </w:r>
            <w:r>
              <w:rPr>
                <w:rFonts w:ascii="宋体"/>
                <w:sz w:val="20"/>
              </w:rPr>
            </w:r>
          </w:p>
        </w:tc>
      </w:tr>
      <w:tr>
        <w:trPr>
          <w:trHeight w:val="34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二、营业总成本</w:t>
            </w:r>
            <w:r>
              <w:rPr>
                <w:rFonts w:ascii="Microsoft JhengHei" w:hAnsi="Microsoft JhengHei" w:cs="Microsoft JhengHei" w:eastAsia="Microsoft JhengHei"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670,776,429.99</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609,718,296.82</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510,572,616.08</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458,200,991.33</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6,684,791.82</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860,832.72</w:t>
            </w:r>
            <w:r>
              <w:rPr>
                <w:rFonts w:ascii="宋体"/>
                <w:sz w:val="20"/>
              </w:rPr>
            </w:r>
          </w:p>
        </w:tc>
      </w:tr>
      <w:tr>
        <w:trPr>
          <w:trHeight w:val="35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66,493,066.60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61,832,155.20</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88,107,773.05</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79,703,034.14</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-3,318,551.13</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7,085,301.49</w:t>
            </w:r>
            <w:r>
              <w:rPr>
                <w:rFonts w:ascii="宋体"/>
                <w:sz w:val="20"/>
              </w:rPr>
            </w:r>
          </w:p>
        </w:tc>
      </w:tr>
      <w:tr>
        <w:trPr>
          <w:trHeight w:val="34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2,236,733.57</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2,035,981.94</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hAnsi="宋体" w:cs="宋体" w:eastAsia="宋体" w:hint="default"/>
                <w:w w:val="95"/>
                <w:sz w:val="20"/>
                <w:szCs w:val="20"/>
              </w:rPr>
              <w:t>加：公允价值变动收益（损失以“－”号填列）</w:t>
            </w:r>
            <w:r>
              <w:rPr>
                <w:rFonts w:ascii="宋体" w:hAnsi="宋体" w:cs="宋体" w:eastAsia="宋体"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04"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hAnsi="宋体" w:cs="宋体" w:eastAsia="宋体" w:hint="default"/>
                <w:w w:val="95"/>
                <w:sz w:val="20"/>
                <w:szCs w:val="20"/>
              </w:rPr>
              <w:t>其中：对联营企业和合营企业的投资收益</w:t>
            </w:r>
            <w:r>
              <w:rPr>
                <w:rFonts w:ascii="宋体" w:hAnsi="宋体" w:cs="宋体" w:eastAsia="宋体"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0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三、营业利润（亏损以“－”号填列）</w:t>
            </w:r>
            <w:r>
              <w:rPr>
                <w:rFonts w:ascii="Microsoft JhengHei" w:hAnsi="Microsoft JhengHei" w:cs="Microsoft JhengHei" w:eastAsia="Microsoft JhengHei"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110,989,211.18</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102,514,798.10</w:t>
            </w:r>
            <w:r>
              <w:rPr>
                <w:rFonts w:ascii="宋体"/>
                <w:sz w:val="20"/>
              </w:rPr>
            </w:r>
          </w:p>
        </w:tc>
      </w:tr>
      <w:tr>
        <w:trPr>
          <w:trHeight w:val="34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7"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2,797,362.39</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2,029,371.34</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549,323.68</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427,996.04</w:t>
            </w:r>
            <w:r>
              <w:rPr>
                <w:rFonts w:ascii="宋体"/>
                <w:sz w:val="20"/>
              </w:rPr>
            </w:r>
          </w:p>
        </w:tc>
      </w:tr>
      <w:tr>
        <w:trPr>
          <w:trHeight w:val="35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3" w:right="0"/>
              <w:jc w:val="left"/>
              <w:rPr>
                <w:rFonts w:ascii="宋体" w:hAnsi="宋体" w:cs="宋体" w:eastAsia="宋体" w:hint="default"/>
                <w:sz w:val="20"/>
                <w:szCs w:val="20"/>
              </w:rPr>
            </w:pPr>
            <w:r>
              <w:rPr>
                <w:rFonts w:ascii="宋体" w:hAnsi="宋体" w:cs="宋体" w:eastAsia="宋体" w:hint="default"/>
                <w:sz w:val="20"/>
                <w:szCs w:val="20"/>
              </w:rPr>
              <w:t>其中：非流动资产处臵损失</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461,544.53</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323,517.54</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Trebuchet MS" w:hAnsi="Trebuchet MS" w:cs="Trebuchet MS" w:eastAsia="Trebuchet MS" w:hint="default"/>
                <w:sz w:val="20"/>
                <w:szCs w:val="20"/>
              </w:rPr>
            </w:pPr>
            <w:r>
              <w:rPr>
                <w:rFonts w:ascii="Microsoft JhengHei" w:hAnsi="Microsoft JhengHei" w:cs="Microsoft JhengHei" w:eastAsia="Microsoft JhengHei" w:hint="default"/>
                <w:b/>
                <w:bCs/>
                <w:sz w:val="20"/>
                <w:szCs w:val="20"/>
              </w:rPr>
              <w:t>四、利润总额（亏损总额以“－”号填列</w:t>
            </w:r>
            <w:r>
              <w:rPr>
                <w:rFonts w:ascii="Trebuchet MS" w:hAnsi="Trebuchet MS" w:cs="Trebuchet MS" w:eastAsia="Trebuchet MS" w:hint="default"/>
                <w:b/>
                <w:bCs/>
                <w:sz w:val="20"/>
                <w:szCs w:val="20"/>
              </w:rPr>
              <w:t>)</w:t>
            </w:r>
            <w:r>
              <w:rPr>
                <w:rFonts w:ascii="Trebuchet MS" w:hAnsi="Trebuchet MS" w:cs="Trebuchet MS" w:eastAsia="Trebuchet MS"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113,237,249.89</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104,116,173.40</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17,080,900.35</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17,044,514.61</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五、净利润（净亏损以</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号填列）</w:t>
            </w:r>
            <w:r>
              <w:rPr>
                <w:rFonts w:ascii="Microsoft JhengHei" w:hAnsi="Microsoft JhengHei" w:cs="Microsoft JhengHei" w:eastAsia="Microsoft JhengHei"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96,156,349.54</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87,071,658.79</w:t>
            </w:r>
            <w:r>
              <w:rPr>
                <w:rFonts w:ascii="宋体"/>
                <w:sz w:val="20"/>
              </w:rPr>
            </w:r>
          </w:p>
        </w:tc>
      </w:tr>
      <w:tr>
        <w:trPr>
          <w:trHeight w:val="34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86,964,360.30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79,194,442.06</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9,191,989.24</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7,877,216.73</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Trebuchet MS" w:hAnsi="Trebuchet MS" w:cs="Trebuchet MS" w:eastAsia="Trebuchet MS" w:hint="default"/>
                <w:sz w:val="20"/>
                <w:szCs w:val="20"/>
              </w:rPr>
            </w:pPr>
            <w:r>
              <w:rPr>
                <w:rFonts w:ascii="Microsoft JhengHei" w:hAnsi="Microsoft JhengHei" w:cs="Microsoft JhengHei" w:eastAsia="Microsoft JhengHei" w:hint="default"/>
                <w:b/>
                <w:bCs/>
                <w:w w:val="105"/>
                <w:sz w:val="20"/>
                <w:szCs w:val="20"/>
              </w:rPr>
              <w:t>六、每股收益</w:t>
            </w:r>
            <w:r>
              <w:rPr>
                <w:rFonts w:ascii="Trebuchet MS" w:hAnsi="Trebuchet MS" w:cs="Trebuchet MS" w:eastAsia="Trebuchet MS" w:hint="default"/>
                <w:b/>
                <w:bCs/>
                <w:w w:val="105"/>
                <w:sz w:val="20"/>
                <w:szCs w:val="20"/>
              </w:rPr>
              <w:t>:</w:t>
            </w:r>
            <w:r>
              <w:rPr>
                <w:rFonts w:ascii="Trebuchet MS" w:hAnsi="Trebuchet MS" w:cs="Trebuchet MS" w:eastAsia="Trebuchet MS"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基本每股收益</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0.70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0.70</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稀释每股收益</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hAnsi="宋体" w:cs="宋体" w:eastAsia="宋体" w:hint="default"/>
                <w:spacing w:val="-5"/>
                <w:sz w:val="20"/>
                <w:szCs w:val="20"/>
              </w:rPr>
              <w:t>七、</w:t>
            </w:r>
            <w:r>
              <w:rPr>
                <w:rFonts w:ascii="宋体" w:hAnsi="宋体" w:cs="宋体" w:eastAsia="宋体" w:hint="default"/>
                <w:spacing w:val="-5"/>
                <w:sz w:val="20"/>
                <w:szCs w:val="20"/>
              </w:rPr>
              <w:t>39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0.70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0.70</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七、其他综合收益</w:t>
            </w:r>
            <w:r>
              <w:rPr>
                <w:rFonts w:ascii="Microsoft JhengHei" w:hAnsi="Microsoft JhengHei" w:cs="Microsoft JhengHei" w:eastAsia="Microsoft JhengHei"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八、综合收益总额</w:t>
            </w:r>
            <w:r>
              <w:rPr>
                <w:rFonts w:ascii="Microsoft JhengHei" w:hAnsi="Microsoft JhengHei" w:cs="Microsoft JhengHei" w:eastAsia="Microsoft JhengHei" w:hint="default"/>
                <w:sz w:val="20"/>
                <w:szCs w:val="20"/>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96,156,349.54</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87,071,658.79</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86,964,360.30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79,194,442.06</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9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9,191,989.24</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7,877,216.73</w:t>
            </w:r>
            <w:r>
              <w:rPr>
                <w:rFonts w:ascii="宋体"/>
                <w:sz w:val="20"/>
              </w:rPr>
            </w:r>
          </w:p>
        </w:tc>
      </w:tr>
    </w:tbl>
    <w:p>
      <w:pPr>
        <w:tabs>
          <w:tab w:pos="2981" w:val="left" w:leader="none"/>
          <w:tab w:pos="6834" w:val="left" w:leader="none"/>
        </w:tabs>
        <w:spacing w:line="273" w:lineRule="exact" w:before="0"/>
        <w:ind w:left="341"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t>会计机构负责人：</w:t>
      </w:r>
    </w:p>
    <w:p>
      <w:pPr>
        <w:spacing w:after="0" w:line="273" w:lineRule="exact"/>
        <w:jc w:val="left"/>
        <w:rPr>
          <w:rFonts w:ascii="宋体" w:hAnsi="宋体" w:cs="宋体" w:eastAsia="宋体" w:hint="default"/>
          <w:sz w:val="22"/>
          <w:szCs w:val="22"/>
        </w:rPr>
        <w:sectPr>
          <w:pgSz w:w="11910" w:h="16840"/>
          <w:pgMar w:header="928" w:footer="1153" w:top="1260" w:bottom="1340" w:left="1500" w:right="0"/>
        </w:sectPr>
      </w:pPr>
    </w:p>
    <w:p>
      <w:pPr>
        <w:spacing w:line="240" w:lineRule="auto" w:before="1"/>
        <w:rPr>
          <w:rFonts w:ascii="宋体" w:hAnsi="宋体" w:cs="宋体" w:eastAsia="宋体" w:hint="default"/>
          <w:sz w:val="8"/>
          <w:szCs w:val="8"/>
        </w:rPr>
      </w:pPr>
    </w:p>
    <w:p>
      <w:pPr>
        <w:pStyle w:val="Heading2"/>
        <w:spacing w:line="402" w:lineRule="exact"/>
        <w:ind w:right="762"/>
        <w:jc w:val="center"/>
        <w:rPr>
          <w:b w:val="0"/>
          <w:bCs w:val="0"/>
        </w:rPr>
      </w:pPr>
      <w:r>
        <w:rPr/>
        <w:t>合并现金流量表</w:t>
      </w:r>
      <w:r>
        <w:rPr>
          <w:b w:val="0"/>
          <w:bCs w:val="0"/>
        </w:rPr>
      </w:r>
    </w:p>
    <w:p>
      <w:pPr>
        <w:spacing w:line="250" w:lineRule="exact" w:before="0"/>
        <w:ind w:left="0" w:right="762"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年度</w:t>
      </w:r>
    </w:p>
    <w:p>
      <w:pPr>
        <w:tabs>
          <w:tab w:pos="7695" w:val="left" w:leader="none"/>
        </w:tabs>
        <w:spacing w:line="260" w:lineRule="exact" w:before="0"/>
        <w:ind w:left="0" w:right="661"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673"/>
        <w:gridCol w:w="708"/>
        <w:gridCol w:w="1717"/>
        <w:gridCol w:w="1716"/>
      </w:tblGrid>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tabs>
                <w:tab w:pos="1493" w:val="left" w:leader="none"/>
              </w:tabs>
              <w:spacing w:line="232" w:lineRule="exact"/>
              <w:ind w:left="93"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
              <w:jc w:val="center"/>
              <w:rPr>
                <w:rFonts w:ascii="宋体" w:hAnsi="宋体" w:cs="宋体" w:eastAsia="宋体" w:hint="default"/>
                <w:sz w:val="20"/>
                <w:szCs w:val="20"/>
              </w:rPr>
            </w:pPr>
            <w:r>
              <w:rPr>
                <w:rFonts w:ascii="宋体" w:hAnsi="宋体" w:cs="宋体" w:eastAsia="宋体" w:hint="default"/>
                <w:sz w:val="20"/>
                <w:szCs w:val="20"/>
              </w:rPr>
              <w:t>注释</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2"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2"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853,240,024.82</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784,037,837.88</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1,789,786.84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774,396.48</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20"/>
                <w:szCs w:val="20"/>
              </w:rPr>
            </w:pPr>
            <w:r>
              <w:rPr>
                <w:rFonts w:ascii="宋体" w:hAnsi="宋体" w:cs="宋体" w:eastAsia="宋体" w:hint="default"/>
                <w:spacing w:val="2"/>
                <w:w w:val="99"/>
                <w:sz w:val="20"/>
                <w:szCs w:val="20"/>
              </w:rPr>
              <w:t>七</w:t>
            </w:r>
            <w:r>
              <w:rPr>
                <w:rFonts w:ascii="宋体" w:hAnsi="宋体" w:cs="宋体" w:eastAsia="宋体" w:hint="default"/>
                <w:spacing w:val="-101"/>
                <w:w w:val="99"/>
                <w:sz w:val="20"/>
                <w:szCs w:val="20"/>
              </w:rPr>
              <w:t>、</w:t>
            </w:r>
            <w:r>
              <w:rPr>
                <w:rFonts w:ascii="宋体" w:hAnsi="宋体" w:cs="宋体" w:eastAsia="宋体" w:hint="default"/>
                <w:spacing w:val="1"/>
                <w:w w:val="99"/>
                <w:sz w:val="20"/>
                <w:szCs w:val="20"/>
              </w:rPr>
              <w:t>4</w:t>
            </w:r>
            <w:r>
              <w:rPr>
                <w:rFonts w:ascii="宋体" w:hAnsi="宋体" w:cs="宋体" w:eastAsia="宋体" w:hint="default"/>
                <w:w w:val="99"/>
                <w:sz w:val="20"/>
                <w:szCs w:val="20"/>
              </w:rPr>
              <w:t>0</w:t>
            </w:r>
            <w:r>
              <w:rPr>
                <w:rFonts w:ascii="宋体" w:hAnsi="宋体" w:cs="宋体" w:eastAsia="宋体" w:hint="default"/>
                <w:sz w:val="20"/>
                <w:szCs w:val="20"/>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23,263,535.75</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9,306,899.88</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878,293,347.41</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794,119,134.24</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453,898,584.21</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417,783,656.56</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85,946,814.34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69,095,976.49</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80,998,066.25</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49,179,774.13</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spacing w:val="2"/>
                <w:w w:val="99"/>
                <w:sz w:val="20"/>
                <w:szCs w:val="20"/>
              </w:rPr>
              <w:t>七</w:t>
            </w:r>
            <w:r>
              <w:rPr>
                <w:rFonts w:ascii="宋体" w:hAnsi="宋体" w:cs="宋体" w:eastAsia="宋体" w:hint="default"/>
                <w:spacing w:val="-101"/>
                <w:w w:val="99"/>
                <w:sz w:val="20"/>
                <w:szCs w:val="20"/>
              </w:rPr>
              <w:t>、</w:t>
            </w:r>
            <w:r>
              <w:rPr>
                <w:rFonts w:ascii="宋体" w:hAnsi="宋体" w:cs="宋体" w:eastAsia="宋体" w:hint="default"/>
                <w:spacing w:val="1"/>
                <w:w w:val="99"/>
                <w:sz w:val="20"/>
                <w:szCs w:val="20"/>
              </w:rPr>
              <w:t>4</w:t>
            </w:r>
            <w:r>
              <w:rPr>
                <w:rFonts w:ascii="宋体" w:hAnsi="宋体" w:cs="宋体" w:eastAsia="宋体" w:hint="default"/>
                <w:w w:val="99"/>
                <w:sz w:val="20"/>
                <w:szCs w:val="20"/>
              </w:rPr>
              <w:t>0</w:t>
            </w:r>
            <w:r>
              <w:rPr>
                <w:rFonts w:ascii="宋体" w:hAnsi="宋体" w:cs="宋体" w:eastAsia="宋体" w:hint="default"/>
                <w:sz w:val="20"/>
                <w:szCs w:val="20"/>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79,628,065.13</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78,524,048.66</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700,471,529.93</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614,583,455.84</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177,821,817.48</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179,535,678.40</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处臵固定资产、无形资产和其他长期资产收回的现金净额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58,100.00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17,655.00</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处臵子公司及其他营业单位收到的现金净额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58,100.00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17,655.00</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110,138,776.84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254,612,176.32</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5" w:right="0"/>
              <w:jc w:val="left"/>
              <w:rPr>
                <w:rFonts w:ascii="宋体" w:hAnsi="宋体" w:cs="宋体" w:eastAsia="宋体" w:hint="default"/>
                <w:sz w:val="20"/>
                <w:szCs w:val="20"/>
              </w:rPr>
            </w:pPr>
            <w:r>
              <w:rPr>
                <w:rFonts w:ascii="宋体" w:hAnsi="宋体" w:cs="宋体" w:eastAsia="宋体" w:hint="default"/>
                <w:sz w:val="20"/>
                <w:szCs w:val="20"/>
              </w:rPr>
              <w:t>质押贷款净增加额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110,138,776.84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254,612,176.32</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-110,080,676.84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-254,594,521.32</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22,281,700.00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351,495,904.75</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4,288,425.00</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5"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309,200,000.00</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22,281,700.00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660,695,904.75</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05"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100,000,000.00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329,200,000.00</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33,773,923.95</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44,139,666.15</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其中：子公司支付给少数股东的股利、利润</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6,174,546.83</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5,425,626.64</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2,079,424.17</w:t>
            </w:r>
            <w:r>
              <w:rPr>
                <w:rFonts w:ascii="宋体"/>
                <w:sz w:val="20"/>
              </w:rPr>
            </w:r>
          </w:p>
        </w:tc>
      </w:tr>
      <w:tr>
        <w:trPr>
          <w:trHeight w:val="272"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133,773,923.95</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375,419,090.32</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-111,492,223.95</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285,276,814.43</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-1,090.22</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-9,242.56</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-43,752,173.53</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210,208,728.95</w:t>
            </w:r>
            <w:r>
              <w:rPr>
                <w:rFonts w:ascii="宋体"/>
                <w:sz w:val="20"/>
              </w:rPr>
            </w:r>
          </w:p>
        </w:tc>
      </w:tr>
      <w:tr>
        <w:trPr>
          <w:trHeight w:val="27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409,824,815.84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199,616,086.89</w:t>
            </w:r>
            <w:r>
              <w:rPr>
                <w:rFonts w:ascii="宋体"/>
                <w:sz w:val="20"/>
              </w:rPr>
            </w:r>
          </w:p>
        </w:tc>
      </w:tr>
      <w:tr>
        <w:trPr>
          <w:trHeight w:val="269"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366,072,642.31</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409,824,815.84</w:t>
            </w:r>
            <w:r>
              <w:rPr>
                <w:rFonts w:ascii="宋体"/>
                <w:sz w:val="20"/>
              </w:rPr>
            </w:r>
          </w:p>
        </w:tc>
      </w:tr>
    </w:tbl>
    <w:p>
      <w:pPr>
        <w:tabs>
          <w:tab w:pos="3024" w:val="left" w:leader="none"/>
          <w:tab w:pos="6324" w:val="left" w:leader="none"/>
        </w:tabs>
        <w:spacing w:line="230" w:lineRule="exact" w:before="0"/>
        <w:ind w:left="323" w:right="794" w:firstLine="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tab/>
      </w:r>
      <w:r>
        <w:rPr>
          <w:rFonts w:ascii="宋体" w:hAnsi="宋体" w:cs="宋体" w:eastAsia="宋体" w:hint="default"/>
          <w:sz w:val="20"/>
          <w:szCs w:val="20"/>
        </w:rPr>
        <w:t>会计机构负责人：</w:t>
      </w:r>
    </w:p>
    <w:p>
      <w:pPr>
        <w:spacing w:after="0" w:line="230" w:lineRule="exact"/>
        <w:jc w:val="left"/>
        <w:rPr>
          <w:rFonts w:ascii="宋体" w:hAnsi="宋体" w:cs="宋体" w:eastAsia="宋体" w:hint="default"/>
          <w:sz w:val="20"/>
          <w:szCs w:val="20"/>
        </w:rPr>
        <w:sectPr>
          <w:pgSz w:w="11910" w:h="16840"/>
          <w:pgMar w:header="928" w:footer="1153" w:top="1260" w:bottom="1340" w:left="1100" w:right="0"/>
        </w:sectPr>
      </w:pPr>
    </w:p>
    <w:p>
      <w:pPr>
        <w:spacing w:line="240" w:lineRule="auto" w:before="1"/>
        <w:rPr>
          <w:rFonts w:ascii="宋体" w:hAnsi="宋体" w:cs="宋体" w:eastAsia="宋体" w:hint="default"/>
          <w:sz w:val="22"/>
          <w:szCs w:val="22"/>
        </w:rPr>
      </w:pPr>
    </w:p>
    <w:p>
      <w:pPr>
        <w:pStyle w:val="Heading2"/>
        <w:spacing w:line="401" w:lineRule="exact"/>
        <w:ind w:left="6040" w:right="6998"/>
        <w:jc w:val="center"/>
        <w:rPr>
          <w:b w:val="0"/>
          <w:bCs w:val="0"/>
        </w:rPr>
      </w:pPr>
      <w:r>
        <w:rPr/>
        <w:t>合并所有者权益变动表</w:t>
      </w:r>
      <w:r>
        <w:rPr>
          <w:b w:val="0"/>
          <w:bCs w:val="0"/>
        </w:rPr>
      </w:r>
    </w:p>
    <w:p>
      <w:pPr>
        <w:tabs>
          <w:tab w:pos="6783" w:val="left" w:leader="none"/>
          <w:tab w:pos="12925" w:val="left" w:leader="none"/>
        </w:tabs>
        <w:spacing w:line="263" w:lineRule="exact" w:before="0"/>
        <w:ind w:left="48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编制单位：东港安全印刷股份有限公司</w:t>
        <w:tab/>
      </w:r>
      <w:r>
        <w:rPr>
          <w:rFonts w:ascii="宋体" w:hAnsi="宋体" w:cs="宋体" w:eastAsia="宋体" w:hint="default"/>
          <w:spacing w:val="-1"/>
          <w:sz w:val="21"/>
          <w:szCs w:val="21"/>
        </w:rPr>
        <w:t>2011</w:t>
      </w:r>
      <w:r>
        <w:rPr>
          <w:rFonts w:ascii="宋体" w:hAnsi="宋体" w:cs="宋体" w:eastAsia="宋体" w:hint="default"/>
          <w:spacing w:val="-47"/>
          <w:sz w:val="21"/>
          <w:szCs w:val="21"/>
        </w:rPr>
        <w:t> </w:t>
      </w:r>
      <w:r>
        <w:rPr>
          <w:rFonts w:ascii="宋体" w:hAnsi="宋体" w:cs="宋体" w:eastAsia="宋体" w:hint="default"/>
          <w:spacing w:val="-2"/>
          <w:sz w:val="21"/>
          <w:szCs w:val="21"/>
        </w:rPr>
        <w:t>年度</w:t>
        <w:tab/>
      </w: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211"/>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242" w:hRule="exact"/>
        </w:trPr>
        <w:tc>
          <w:tcPr>
            <w:tcW w:w="2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62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62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20"/>
                <w:szCs w:val="20"/>
              </w:rPr>
            </w:pPr>
            <w:r>
              <w:rPr>
                <w:rFonts w:ascii="宋体" w:hAnsi="宋体" w:cs="宋体" w:eastAsia="宋体" w:hint="default"/>
                <w:sz w:val="20"/>
                <w:szCs w:val="20"/>
              </w:rPr>
              <w:t>上年金额</w:t>
            </w:r>
          </w:p>
        </w:tc>
      </w:tr>
      <w:tr>
        <w:trPr>
          <w:trHeight w:val="242" w:hRule="exact"/>
        </w:trPr>
        <w:tc>
          <w:tcPr>
            <w:tcW w:w="2211" w:type="dxa"/>
            <w:vMerge/>
            <w:tcBorders>
              <w:left w:val="single" w:sz="4" w:space="0" w:color="000000"/>
              <w:right w:val="single" w:sz="4" w:space="0" w:color="000000"/>
            </w:tcBorders>
          </w:tcPr>
          <w:p>
            <w:pPr/>
          </w:p>
        </w:tc>
        <w:tc>
          <w:tcPr>
            <w:tcW w:w="49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92" w:right="0"/>
              <w:jc w:val="left"/>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7" w:right="101"/>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spacing w:val="-98"/>
                <w:sz w:val="20"/>
                <w:szCs w:val="20"/>
              </w:rPr>
              <w:t> </w:t>
            </w:r>
            <w:r>
              <w:rPr>
                <w:rFonts w:ascii="宋体" w:hAnsi="宋体" w:cs="宋体" w:eastAsia="宋体" w:hint="default"/>
                <w:sz w:val="20"/>
                <w:szCs w:val="20"/>
              </w:rPr>
              <w:t>股东</w:t>
            </w:r>
            <w:r>
              <w:rPr>
                <w:rFonts w:ascii="宋体" w:hAnsi="宋体" w:cs="宋体" w:eastAsia="宋体" w:hint="default"/>
                <w:spacing w:val="-98"/>
                <w:sz w:val="20"/>
                <w:szCs w:val="20"/>
              </w:rPr>
              <w:t> </w:t>
            </w:r>
            <w:r>
              <w:rPr>
                <w:rFonts w:ascii="宋体" w:hAnsi="宋体" w:cs="宋体" w:eastAsia="宋体" w:hint="default"/>
                <w:sz w:val="20"/>
                <w:szCs w:val="20"/>
              </w:rPr>
              <w:t>权益</w:t>
            </w:r>
          </w:p>
        </w:tc>
        <w:tc>
          <w:tcPr>
            <w:tcW w:w="624" w:type="dxa"/>
            <w:vMerge w:val="restart"/>
            <w:tcBorders>
              <w:top w:val="single" w:sz="4" w:space="0" w:color="000000"/>
              <w:left w:val="single" w:sz="4" w:space="0" w:color="000000"/>
              <w:right w:val="single" w:sz="4" w:space="0" w:color="000000"/>
            </w:tcBorders>
          </w:tcPr>
          <w:p>
            <w:pPr>
              <w:pStyle w:val="TableParagraph"/>
              <w:spacing w:line="213" w:lineRule="auto" w:before="94"/>
              <w:ind w:left="108" w:right="101"/>
              <w:jc w:val="both"/>
              <w:rPr>
                <w:rFonts w:ascii="宋体" w:hAnsi="宋体" w:cs="宋体" w:eastAsia="宋体" w:hint="default"/>
                <w:sz w:val="20"/>
                <w:szCs w:val="20"/>
              </w:rPr>
            </w:pPr>
            <w:r>
              <w:rPr>
                <w:rFonts w:ascii="宋体" w:hAnsi="宋体" w:cs="宋体" w:eastAsia="宋体" w:hint="default"/>
                <w:sz w:val="20"/>
                <w:szCs w:val="20"/>
              </w:rPr>
              <w:t>所有</w:t>
            </w:r>
            <w:r>
              <w:rPr>
                <w:rFonts w:ascii="宋体" w:hAnsi="宋体" w:cs="宋体" w:eastAsia="宋体" w:hint="default"/>
                <w:spacing w:val="-98"/>
                <w:sz w:val="20"/>
                <w:szCs w:val="20"/>
              </w:rPr>
              <w:t> </w:t>
            </w:r>
            <w:r>
              <w:rPr>
                <w:rFonts w:ascii="宋体" w:hAnsi="宋体" w:cs="宋体" w:eastAsia="宋体" w:hint="default"/>
                <w:sz w:val="20"/>
                <w:szCs w:val="20"/>
              </w:rPr>
              <w:t>者权</w:t>
            </w:r>
            <w:r>
              <w:rPr>
                <w:rFonts w:ascii="宋体" w:hAnsi="宋体" w:cs="宋体" w:eastAsia="宋体" w:hint="default"/>
                <w:spacing w:val="-98"/>
                <w:sz w:val="20"/>
                <w:szCs w:val="20"/>
              </w:rPr>
              <w:t> </w:t>
            </w:r>
            <w:r>
              <w:rPr>
                <w:rFonts w:ascii="宋体" w:hAnsi="宋体" w:cs="宋体" w:eastAsia="宋体" w:hint="default"/>
                <w:sz w:val="20"/>
                <w:szCs w:val="20"/>
              </w:rPr>
              <w:t>益合</w:t>
            </w:r>
            <w:r>
              <w:rPr>
                <w:rFonts w:ascii="宋体" w:hAnsi="宋体" w:cs="宋体" w:eastAsia="宋体" w:hint="default"/>
                <w:spacing w:val="-98"/>
                <w:sz w:val="20"/>
                <w:szCs w:val="20"/>
              </w:rPr>
              <w:t> </w:t>
            </w:r>
            <w:r>
              <w:rPr>
                <w:rFonts w:ascii="宋体" w:hAnsi="宋体" w:cs="宋体" w:eastAsia="宋体" w:hint="default"/>
                <w:sz w:val="20"/>
                <w:szCs w:val="20"/>
              </w:rPr>
              <w:t>计</w:t>
            </w:r>
          </w:p>
        </w:tc>
        <w:tc>
          <w:tcPr>
            <w:tcW w:w="49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91" w:right="0"/>
              <w:jc w:val="left"/>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8" w:right="101"/>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spacing w:val="-98"/>
                <w:sz w:val="20"/>
                <w:szCs w:val="20"/>
              </w:rPr>
              <w:t> </w:t>
            </w:r>
            <w:r>
              <w:rPr>
                <w:rFonts w:ascii="宋体" w:hAnsi="宋体" w:cs="宋体" w:eastAsia="宋体" w:hint="default"/>
                <w:sz w:val="20"/>
                <w:szCs w:val="20"/>
              </w:rPr>
              <w:t>股东</w:t>
            </w:r>
            <w:r>
              <w:rPr>
                <w:rFonts w:ascii="宋体" w:hAnsi="宋体" w:cs="宋体" w:eastAsia="宋体" w:hint="default"/>
                <w:spacing w:val="-98"/>
                <w:sz w:val="20"/>
                <w:szCs w:val="20"/>
              </w:rPr>
              <w:t> </w:t>
            </w:r>
            <w:r>
              <w:rPr>
                <w:rFonts w:ascii="宋体" w:hAnsi="宋体" w:cs="宋体" w:eastAsia="宋体" w:hint="default"/>
                <w:sz w:val="20"/>
                <w:szCs w:val="20"/>
              </w:rPr>
              <w:t>权益</w:t>
            </w:r>
          </w:p>
        </w:tc>
        <w:tc>
          <w:tcPr>
            <w:tcW w:w="624" w:type="dxa"/>
            <w:vMerge w:val="restart"/>
            <w:tcBorders>
              <w:top w:val="single" w:sz="4" w:space="0" w:color="000000"/>
              <w:left w:val="single" w:sz="4" w:space="0" w:color="000000"/>
              <w:right w:val="single" w:sz="4" w:space="0" w:color="000000"/>
            </w:tcBorders>
          </w:tcPr>
          <w:p>
            <w:pPr>
              <w:pStyle w:val="TableParagraph"/>
              <w:spacing w:line="213" w:lineRule="auto" w:before="94"/>
              <w:ind w:left="107" w:right="101"/>
              <w:jc w:val="both"/>
              <w:rPr>
                <w:rFonts w:ascii="宋体" w:hAnsi="宋体" w:cs="宋体" w:eastAsia="宋体" w:hint="default"/>
                <w:sz w:val="20"/>
                <w:szCs w:val="20"/>
              </w:rPr>
            </w:pPr>
            <w:r>
              <w:rPr>
                <w:rFonts w:ascii="宋体" w:hAnsi="宋体" w:cs="宋体" w:eastAsia="宋体" w:hint="default"/>
                <w:sz w:val="20"/>
                <w:szCs w:val="20"/>
              </w:rPr>
              <w:t>所有</w:t>
            </w:r>
            <w:r>
              <w:rPr>
                <w:rFonts w:ascii="宋体" w:hAnsi="宋体" w:cs="宋体" w:eastAsia="宋体" w:hint="default"/>
                <w:spacing w:val="-98"/>
                <w:sz w:val="20"/>
                <w:szCs w:val="20"/>
              </w:rPr>
              <w:t> </w:t>
            </w:r>
            <w:r>
              <w:rPr>
                <w:rFonts w:ascii="宋体" w:hAnsi="宋体" w:cs="宋体" w:eastAsia="宋体" w:hint="default"/>
                <w:sz w:val="20"/>
                <w:szCs w:val="20"/>
              </w:rPr>
              <w:t>者权</w:t>
            </w:r>
            <w:r>
              <w:rPr>
                <w:rFonts w:ascii="宋体" w:hAnsi="宋体" w:cs="宋体" w:eastAsia="宋体" w:hint="default"/>
                <w:spacing w:val="-98"/>
                <w:sz w:val="20"/>
                <w:szCs w:val="20"/>
              </w:rPr>
              <w:t> </w:t>
            </w:r>
            <w:r>
              <w:rPr>
                <w:rFonts w:ascii="宋体" w:hAnsi="宋体" w:cs="宋体" w:eastAsia="宋体" w:hint="default"/>
                <w:sz w:val="20"/>
                <w:szCs w:val="20"/>
              </w:rPr>
              <w:t>益合</w:t>
            </w:r>
            <w:r>
              <w:rPr>
                <w:rFonts w:ascii="宋体" w:hAnsi="宋体" w:cs="宋体" w:eastAsia="宋体" w:hint="default"/>
                <w:spacing w:val="-98"/>
                <w:sz w:val="20"/>
                <w:szCs w:val="20"/>
              </w:rPr>
              <w:t> </w:t>
            </w:r>
            <w:r>
              <w:rPr>
                <w:rFonts w:ascii="宋体" w:hAnsi="宋体" w:cs="宋体" w:eastAsia="宋体" w:hint="default"/>
                <w:sz w:val="20"/>
                <w:szCs w:val="20"/>
              </w:rPr>
              <w:t>计</w:t>
            </w:r>
          </w:p>
        </w:tc>
      </w:tr>
      <w:tr>
        <w:trPr>
          <w:trHeight w:val="946" w:hRule="exact"/>
        </w:trPr>
        <w:tc>
          <w:tcPr>
            <w:tcW w:w="2211"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7" w:right="0"/>
              <w:jc w:val="left"/>
              <w:rPr>
                <w:rFonts w:ascii="宋体" w:hAnsi="宋体" w:cs="宋体" w:eastAsia="宋体" w:hint="default"/>
                <w:sz w:val="20"/>
                <w:szCs w:val="20"/>
              </w:rPr>
            </w:pPr>
            <w:r>
              <w:rPr>
                <w:rFonts w:ascii="宋体" w:hAnsi="宋体" w:cs="宋体" w:eastAsia="宋体" w:hint="default"/>
                <w:sz w:val="20"/>
                <w:szCs w:val="20"/>
              </w:rPr>
              <w:t>实收</w:t>
            </w:r>
          </w:p>
          <w:p>
            <w:pPr>
              <w:pStyle w:val="TableParagraph"/>
              <w:spacing w:line="233" w:lineRule="exact"/>
              <w:ind w:left="107" w:right="0"/>
              <w:jc w:val="left"/>
              <w:rPr>
                <w:rFonts w:ascii="宋体" w:hAnsi="宋体" w:cs="宋体" w:eastAsia="宋体" w:hint="default"/>
                <w:sz w:val="20"/>
                <w:szCs w:val="20"/>
              </w:rPr>
            </w:pPr>
            <w:r>
              <w:rPr>
                <w:rFonts w:ascii="宋体" w:hAnsi="宋体" w:cs="宋体" w:eastAsia="宋体" w:hint="default"/>
                <w:sz w:val="20"/>
                <w:szCs w:val="20"/>
              </w:rPr>
              <w:t>资本</w:t>
            </w:r>
          </w:p>
          <w:p>
            <w:pPr>
              <w:pStyle w:val="TableParagraph"/>
              <w:spacing w:line="232" w:lineRule="exact" w:before="33"/>
              <w:ind w:left="23" w:right="-10" w:firstLine="84"/>
              <w:jc w:val="left"/>
              <w:rPr>
                <w:rFonts w:ascii="宋体" w:hAnsi="宋体" w:cs="宋体" w:eastAsia="宋体" w:hint="default"/>
                <w:sz w:val="20"/>
                <w:szCs w:val="20"/>
              </w:rPr>
            </w:pPr>
            <w:r>
              <w:rPr>
                <w:rFonts w:ascii="宋体" w:hAnsi="宋体" w:cs="宋体" w:eastAsia="宋体" w:hint="default"/>
                <w:sz w:val="20"/>
                <w:szCs w:val="20"/>
              </w:rPr>
              <w:t>（或</w:t>
            </w:r>
            <w:r>
              <w:rPr>
                <w:rFonts w:ascii="宋体" w:hAnsi="宋体" w:cs="宋体" w:eastAsia="宋体" w:hint="default"/>
                <w:spacing w:val="2"/>
                <w:w w:val="99"/>
                <w:sz w:val="20"/>
                <w:szCs w:val="20"/>
              </w:rPr>
              <w:t> </w:t>
            </w:r>
            <w:r>
              <w:rPr>
                <w:rFonts w:ascii="宋体" w:hAnsi="宋体" w:cs="宋体" w:eastAsia="宋体" w:hint="default"/>
                <w:sz w:val="20"/>
                <w:szCs w:val="20"/>
              </w:rPr>
              <w:t>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7" w:right="101"/>
              <w:jc w:val="left"/>
              <w:rPr>
                <w:rFonts w:ascii="宋体" w:hAnsi="宋体" w:cs="宋体" w:eastAsia="宋体" w:hint="default"/>
                <w:sz w:val="20"/>
                <w:szCs w:val="20"/>
              </w:rPr>
            </w:pPr>
            <w:r>
              <w:rPr>
                <w:rFonts w:ascii="宋体" w:hAnsi="宋体" w:cs="宋体" w:eastAsia="宋体" w:hint="default"/>
                <w:sz w:val="20"/>
                <w:szCs w:val="20"/>
              </w:rPr>
              <w:t>资本</w:t>
            </w:r>
            <w:r>
              <w:rPr>
                <w:rFonts w:ascii="宋体" w:hAnsi="宋体" w:cs="宋体" w:eastAsia="宋体" w:hint="default"/>
                <w:spacing w:val="-98"/>
                <w:sz w:val="20"/>
                <w:szCs w:val="20"/>
              </w:rPr>
              <w:t> </w:t>
            </w:r>
            <w:r>
              <w:rPr>
                <w:rFonts w:ascii="宋体" w:hAnsi="宋体" w:cs="宋体" w:eastAsia="宋体" w:hint="default"/>
                <w:sz w:val="20"/>
                <w:szCs w:val="20"/>
              </w:rPr>
              <w:t>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8" w:right="19" w:hanging="84"/>
              <w:jc w:val="left"/>
              <w:rPr>
                <w:rFonts w:ascii="宋体" w:hAnsi="宋体" w:cs="宋体" w:eastAsia="宋体" w:hint="default"/>
                <w:sz w:val="20"/>
                <w:szCs w:val="20"/>
              </w:rPr>
            </w:pPr>
            <w:r>
              <w:rPr>
                <w:rFonts w:ascii="宋体" w:hAnsi="宋体" w:cs="宋体" w:eastAsia="宋体" w:hint="default"/>
                <w:spacing w:val="-10"/>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7" w:right="101"/>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spacing w:val="-98"/>
                <w:sz w:val="20"/>
                <w:szCs w:val="20"/>
              </w:rPr>
              <w:t> </w:t>
            </w:r>
            <w:r>
              <w:rPr>
                <w:rFonts w:ascii="宋体" w:hAnsi="宋体" w:cs="宋体" w:eastAsia="宋体" w:hint="default"/>
                <w:sz w:val="20"/>
                <w:szCs w:val="20"/>
              </w:rPr>
              <w:t>储备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7" w:right="101"/>
              <w:jc w:val="left"/>
              <w:rPr>
                <w:rFonts w:ascii="宋体" w:hAnsi="宋体" w:cs="宋体" w:eastAsia="宋体" w:hint="default"/>
                <w:sz w:val="20"/>
                <w:szCs w:val="20"/>
              </w:rPr>
            </w:pPr>
            <w:r>
              <w:rPr>
                <w:rFonts w:ascii="宋体" w:hAnsi="宋体" w:cs="宋体" w:eastAsia="宋体" w:hint="default"/>
                <w:sz w:val="20"/>
                <w:szCs w:val="20"/>
              </w:rPr>
              <w:t>盈余</w:t>
            </w:r>
            <w:r>
              <w:rPr>
                <w:rFonts w:ascii="宋体" w:hAnsi="宋体" w:cs="宋体" w:eastAsia="宋体" w:hint="default"/>
                <w:spacing w:val="-98"/>
                <w:sz w:val="20"/>
                <w:szCs w:val="20"/>
              </w:rPr>
              <w:t> </w:t>
            </w:r>
            <w:r>
              <w:rPr>
                <w:rFonts w:ascii="宋体" w:hAnsi="宋体" w:cs="宋体" w:eastAsia="宋体" w:hint="default"/>
                <w:sz w:val="20"/>
                <w:szCs w:val="20"/>
              </w:rPr>
              <w:t>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89"/>
              <w:ind w:left="108" w:right="101"/>
              <w:jc w:val="both"/>
              <w:rPr>
                <w:rFonts w:ascii="宋体" w:hAnsi="宋体" w:cs="宋体" w:eastAsia="宋体" w:hint="default"/>
                <w:sz w:val="20"/>
                <w:szCs w:val="20"/>
              </w:rPr>
            </w:pPr>
            <w:r>
              <w:rPr>
                <w:rFonts w:ascii="宋体" w:hAnsi="宋体" w:cs="宋体" w:eastAsia="宋体" w:hint="default"/>
                <w:sz w:val="20"/>
                <w:szCs w:val="20"/>
              </w:rPr>
              <w:t>一般</w:t>
            </w:r>
            <w:r>
              <w:rPr>
                <w:rFonts w:ascii="宋体" w:hAnsi="宋体" w:cs="宋体" w:eastAsia="宋体" w:hint="default"/>
                <w:spacing w:val="-98"/>
                <w:sz w:val="20"/>
                <w:szCs w:val="20"/>
              </w:rPr>
              <w:t> </w:t>
            </w:r>
            <w:r>
              <w:rPr>
                <w:rFonts w:ascii="宋体" w:hAnsi="宋体" w:cs="宋体" w:eastAsia="宋体" w:hint="default"/>
                <w:sz w:val="20"/>
                <w:szCs w:val="20"/>
              </w:rPr>
              <w:t>风险</w:t>
            </w:r>
            <w:r>
              <w:rPr>
                <w:rFonts w:ascii="宋体" w:hAnsi="宋体" w:cs="宋体" w:eastAsia="宋体" w:hint="default"/>
                <w:spacing w:val="-98"/>
                <w:sz w:val="20"/>
                <w:szCs w:val="20"/>
              </w:rPr>
              <w:t> </w:t>
            </w:r>
            <w:r>
              <w:rPr>
                <w:rFonts w:ascii="宋体" w:hAnsi="宋体" w:cs="宋体" w:eastAsia="宋体" w:hint="default"/>
                <w:sz w:val="20"/>
                <w:szCs w:val="20"/>
              </w:rPr>
              <w:t>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89"/>
              <w:ind w:left="107" w:right="101"/>
              <w:jc w:val="both"/>
              <w:rPr>
                <w:rFonts w:ascii="宋体" w:hAnsi="宋体" w:cs="宋体" w:eastAsia="宋体" w:hint="default"/>
                <w:sz w:val="20"/>
                <w:szCs w:val="20"/>
              </w:rPr>
            </w:pPr>
            <w:r>
              <w:rPr>
                <w:rFonts w:ascii="宋体" w:hAnsi="宋体" w:cs="宋体" w:eastAsia="宋体" w:hint="default"/>
                <w:sz w:val="20"/>
                <w:szCs w:val="20"/>
              </w:rPr>
              <w:t>未分</w:t>
            </w:r>
            <w:r>
              <w:rPr>
                <w:rFonts w:ascii="宋体" w:hAnsi="宋体" w:cs="宋体" w:eastAsia="宋体" w:hint="default"/>
                <w:spacing w:val="-98"/>
                <w:sz w:val="20"/>
                <w:szCs w:val="20"/>
              </w:rPr>
              <w:t> </w:t>
            </w:r>
            <w:r>
              <w:rPr>
                <w:rFonts w:ascii="宋体" w:hAnsi="宋体" w:cs="宋体" w:eastAsia="宋体" w:hint="default"/>
                <w:sz w:val="20"/>
                <w:szCs w:val="20"/>
              </w:rPr>
              <w:t>配利</w:t>
            </w:r>
            <w:r>
              <w:rPr>
                <w:rFonts w:ascii="宋体" w:hAnsi="宋体" w:cs="宋体" w:eastAsia="宋体" w:hint="default"/>
                <w:spacing w:val="-98"/>
                <w:sz w:val="20"/>
                <w:szCs w:val="20"/>
              </w:rPr>
              <w:t> </w:t>
            </w:r>
            <w:r>
              <w:rPr>
                <w:rFonts w:ascii="宋体" w:hAnsi="宋体" w:cs="宋体" w:eastAsia="宋体" w:hint="default"/>
                <w:sz w:val="20"/>
                <w:szCs w:val="20"/>
              </w:rPr>
              <w:t>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7" w:right="0"/>
              <w:jc w:val="left"/>
              <w:rPr>
                <w:rFonts w:ascii="宋体" w:hAnsi="宋体" w:cs="宋体" w:eastAsia="宋体" w:hint="default"/>
                <w:sz w:val="20"/>
                <w:szCs w:val="20"/>
              </w:rPr>
            </w:pPr>
            <w:r>
              <w:rPr>
                <w:rFonts w:ascii="宋体" w:hAnsi="宋体" w:cs="宋体" w:eastAsia="宋体" w:hint="default"/>
                <w:sz w:val="20"/>
                <w:szCs w:val="20"/>
              </w:rPr>
              <w:t>实收</w:t>
            </w:r>
          </w:p>
          <w:p>
            <w:pPr>
              <w:pStyle w:val="TableParagraph"/>
              <w:spacing w:line="233" w:lineRule="exact"/>
              <w:ind w:left="107" w:right="0"/>
              <w:jc w:val="left"/>
              <w:rPr>
                <w:rFonts w:ascii="宋体" w:hAnsi="宋体" w:cs="宋体" w:eastAsia="宋体" w:hint="default"/>
                <w:sz w:val="20"/>
                <w:szCs w:val="20"/>
              </w:rPr>
            </w:pPr>
            <w:r>
              <w:rPr>
                <w:rFonts w:ascii="宋体" w:hAnsi="宋体" w:cs="宋体" w:eastAsia="宋体" w:hint="default"/>
                <w:sz w:val="20"/>
                <w:szCs w:val="20"/>
              </w:rPr>
              <w:t>资本</w:t>
            </w:r>
          </w:p>
          <w:p>
            <w:pPr>
              <w:pStyle w:val="TableParagraph"/>
              <w:spacing w:line="232" w:lineRule="exact" w:before="33"/>
              <w:ind w:left="23" w:right="-10" w:firstLine="84"/>
              <w:jc w:val="left"/>
              <w:rPr>
                <w:rFonts w:ascii="宋体" w:hAnsi="宋体" w:cs="宋体" w:eastAsia="宋体" w:hint="default"/>
                <w:sz w:val="20"/>
                <w:szCs w:val="20"/>
              </w:rPr>
            </w:pPr>
            <w:r>
              <w:rPr>
                <w:rFonts w:ascii="宋体" w:hAnsi="宋体" w:cs="宋体" w:eastAsia="宋体" w:hint="default"/>
                <w:sz w:val="20"/>
                <w:szCs w:val="20"/>
              </w:rPr>
              <w:t>（或</w:t>
            </w:r>
            <w:r>
              <w:rPr>
                <w:rFonts w:ascii="宋体" w:hAnsi="宋体" w:cs="宋体" w:eastAsia="宋体" w:hint="default"/>
                <w:spacing w:val="2"/>
                <w:w w:val="99"/>
                <w:sz w:val="20"/>
                <w:szCs w:val="20"/>
              </w:rPr>
              <w:t> </w:t>
            </w:r>
            <w:r>
              <w:rPr>
                <w:rFonts w:ascii="宋体" w:hAnsi="宋体" w:cs="宋体" w:eastAsia="宋体" w:hint="default"/>
                <w:sz w:val="20"/>
                <w:szCs w:val="20"/>
              </w:rPr>
              <w:t>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8" w:right="101"/>
              <w:jc w:val="left"/>
              <w:rPr>
                <w:rFonts w:ascii="宋体" w:hAnsi="宋体" w:cs="宋体" w:eastAsia="宋体" w:hint="default"/>
                <w:sz w:val="20"/>
                <w:szCs w:val="20"/>
              </w:rPr>
            </w:pPr>
            <w:r>
              <w:rPr>
                <w:rFonts w:ascii="宋体" w:hAnsi="宋体" w:cs="宋体" w:eastAsia="宋体" w:hint="default"/>
                <w:sz w:val="20"/>
                <w:szCs w:val="20"/>
              </w:rPr>
              <w:t>资本</w:t>
            </w:r>
            <w:r>
              <w:rPr>
                <w:rFonts w:ascii="宋体" w:hAnsi="宋体" w:cs="宋体" w:eastAsia="宋体" w:hint="default"/>
                <w:spacing w:val="-98"/>
                <w:sz w:val="20"/>
                <w:szCs w:val="20"/>
              </w:rPr>
              <w:t> </w:t>
            </w:r>
            <w:r>
              <w:rPr>
                <w:rFonts w:ascii="宋体" w:hAnsi="宋体" w:cs="宋体" w:eastAsia="宋体" w:hint="default"/>
                <w:sz w:val="20"/>
                <w:szCs w:val="20"/>
              </w:rPr>
              <w:t>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8" w:right="19" w:hanging="84"/>
              <w:jc w:val="left"/>
              <w:rPr>
                <w:rFonts w:ascii="宋体" w:hAnsi="宋体" w:cs="宋体" w:eastAsia="宋体" w:hint="default"/>
                <w:sz w:val="20"/>
                <w:szCs w:val="20"/>
              </w:rPr>
            </w:pPr>
            <w:r>
              <w:rPr>
                <w:rFonts w:ascii="宋体" w:hAnsi="宋体" w:cs="宋体" w:eastAsia="宋体" w:hint="default"/>
                <w:spacing w:val="-10"/>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7" w:right="101"/>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spacing w:val="-98"/>
                <w:sz w:val="20"/>
                <w:szCs w:val="20"/>
              </w:rPr>
              <w:t> </w:t>
            </w:r>
            <w:r>
              <w:rPr>
                <w:rFonts w:ascii="宋体" w:hAnsi="宋体" w:cs="宋体" w:eastAsia="宋体" w:hint="default"/>
                <w:sz w:val="20"/>
                <w:szCs w:val="20"/>
              </w:rPr>
              <w:t>储备</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7" w:right="101"/>
              <w:jc w:val="left"/>
              <w:rPr>
                <w:rFonts w:ascii="宋体" w:hAnsi="宋体" w:cs="宋体" w:eastAsia="宋体" w:hint="default"/>
                <w:sz w:val="20"/>
                <w:szCs w:val="20"/>
              </w:rPr>
            </w:pPr>
            <w:r>
              <w:rPr>
                <w:rFonts w:ascii="宋体" w:hAnsi="宋体" w:cs="宋体" w:eastAsia="宋体" w:hint="default"/>
                <w:sz w:val="20"/>
                <w:szCs w:val="20"/>
              </w:rPr>
              <w:t>盈余</w:t>
            </w:r>
            <w:r>
              <w:rPr>
                <w:rFonts w:ascii="宋体" w:hAnsi="宋体" w:cs="宋体" w:eastAsia="宋体" w:hint="default"/>
                <w:spacing w:val="-98"/>
                <w:sz w:val="20"/>
                <w:szCs w:val="20"/>
              </w:rPr>
              <w:t> </w:t>
            </w:r>
            <w:r>
              <w:rPr>
                <w:rFonts w:ascii="宋体" w:hAnsi="宋体" w:cs="宋体" w:eastAsia="宋体" w:hint="default"/>
                <w:sz w:val="20"/>
                <w:szCs w:val="20"/>
              </w:rPr>
              <w:t>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89"/>
              <w:ind w:left="107" w:right="101"/>
              <w:jc w:val="both"/>
              <w:rPr>
                <w:rFonts w:ascii="宋体" w:hAnsi="宋体" w:cs="宋体" w:eastAsia="宋体" w:hint="default"/>
                <w:sz w:val="20"/>
                <w:szCs w:val="20"/>
              </w:rPr>
            </w:pPr>
            <w:r>
              <w:rPr>
                <w:rFonts w:ascii="宋体" w:hAnsi="宋体" w:cs="宋体" w:eastAsia="宋体" w:hint="default"/>
                <w:sz w:val="20"/>
                <w:szCs w:val="20"/>
              </w:rPr>
              <w:t>一般</w:t>
            </w:r>
            <w:r>
              <w:rPr>
                <w:rFonts w:ascii="宋体" w:hAnsi="宋体" w:cs="宋体" w:eastAsia="宋体" w:hint="default"/>
                <w:spacing w:val="-98"/>
                <w:sz w:val="20"/>
                <w:szCs w:val="20"/>
              </w:rPr>
              <w:t> </w:t>
            </w:r>
            <w:r>
              <w:rPr>
                <w:rFonts w:ascii="宋体" w:hAnsi="宋体" w:cs="宋体" w:eastAsia="宋体" w:hint="default"/>
                <w:sz w:val="20"/>
                <w:szCs w:val="20"/>
              </w:rPr>
              <w:t>风险</w:t>
            </w:r>
            <w:r>
              <w:rPr>
                <w:rFonts w:ascii="宋体" w:hAnsi="宋体" w:cs="宋体" w:eastAsia="宋体" w:hint="default"/>
                <w:spacing w:val="-98"/>
                <w:sz w:val="20"/>
                <w:szCs w:val="20"/>
              </w:rPr>
              <w:t> </w:t>
            </w:r>
            <w:r>
              <w:rPr>
                <w:rFonts w:ascii="宋体" w:hAnsi="宋体" w:cs="宋体" w:eastAsia="宋体" w:hint="default"/>
                <w:sz w:val="20"/>
                <w:szCs w:val="20"/>
              </w:rPr>
              <w:t>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89"/>
              <w:ind w:left="108" w:right="101"/>
              <w:jc w:val="both"/>
              <w:rPr>
                <w:rFonts w:ascii="宋体" w:hAnsi="宋体" w:cs="宋体" w:eastAsia="宋体" w:hint="default"/>
                <w:sz w:val="20"/>
                <w:szCs w:val="20"/>
              </w:rPr>
            </w:pPr>
            <w:r>
              <w:rPr>
                <w:rFonts w:ascii="宋体" w:hAnsi="宋体" w:cs="宋体" w:eastAsia="宋体" w:hint="default"/>
                <w:sz w:val="20"/>
                <w:szCs w:val="20"/>
              </w:rPr>
              <w:t>未分</w:t>
            </w:r>
            <w:r>
              <w:rPr>
                <w:rFonts w:ascii="宋体" w:hAnsi="宋体" w:cs="宋体" w:eastAsia="宋体" w:hint="default"/>
                <w:spacing w:val="-98"/>
                <w:sz w:val="20"/>
                <w:szCs w:val="20"/>
              </w:rPr>
              <w:t> </w:t>
            </w:r>
            <w:r>
              <w:rPr>
                <w:rFonts w:ascii="宋体" w:hAnsi="宋体" w:cs="宋体" w:eastAsia="宋体" w:hint="default"/>
                <w:sz w:val="20"/>
                <w:szCs w:val="20"/>
              </w:rPr>
              <w:t>配利</w:t>
            </w:r>
            <w:r>
              <w:rPr>
                <w:rFonts w:ascii="宋体" w:hAnsi="宋体" w:cs="宋体" w:eastAsia="宋体" w:hint="default"/>
                <w:spacing w:val="-98"/>
                <w:sz w:val="20"/>
                <w:szCs w:val="20"/>
              </w:rPr>
              <w:t> </w:t>
            </w:r>
            <w:r>
              <w:rPr>
                <w:rFonts w:ascii="宋体" w:hAnsi="宋体" w:cs="宋体" w:eastAsia="宋体" w:hint="default"/>
                <w:sz w:val="20"/>
                <w:szCs w:val="20"/>
              </w:rPr>
              <w:t>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4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一、上年年末余额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124,1</w:t>
            </w:r>
          </w:p>
          <w:p>
            <w:pPr>
              <w:pStyle w:val="TableParagraph"/>
              <w:spacing w:line="233" w:lineRule="exact"/>
              <w:ind w:left="93" w:right="0"/>
              <w:jc w:val="left"/>
              <w:rPr>
                <w:rFonts w:ascii="宋体" w:hAnsi="宋体" w:cs="宋体" w:eastAsia="宋体" w:hint="default"/>
                <w:sz w:val="20"/>
                <w:szCs w:val="20"/>
              </w:rPr>
            </w:pPr>
            <w:r>
              <w:rPr>
                <w:rFonts w:ascii="宋体"/>
                <w:sz w:val="20"/>
              </w:rPr>
              <w:t>24,17</w:t>
            </w:r>
          </w:p>
          <w:p>
            <w:pPr>
              <w:pStyle w:val="TableParagraph"/>
              <w:spacing w:line="247" w:lineRule="exact"/>
              <w:ind w:left="191" w:right="0"/>
              <w:jc w:val="left"/>
              <w:rPr>
                <w:rFonts w:ascii="宋体" w:hAnsi="宋体" w:cs="宋体" w:eastAsia="宋体" w:hint="default"/>
                <w:sz w:val="20"/>
                <w:szCs w:val="20"/>
              </w:rPr>
            </w:pPr>
            <w:r>
              <w:rPr>
                <w:rFonts w:ascii="宋体"/>
                <w:sz w:val="20"/>
              </w:rPr>
              <w:t>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579,5</w:t>
            </w:r>
          </w:p>
          <w:p>
            <w:pPr>
              <w:pStyle w:val="TableParagraph"/>
              <w:spacing w:line="233" w:lineRule="exact"/>
              <w:ind w:left="93" w:right="0"/>
              <w:jc w:val="left"/>
              <w:rPr>
                <w:rFonts w:ascii="宋体" w:hAnsi="宋体" w:cs="宋体" w:eastAsia="宋体" w:hint="default"/>
                <w:sz w:val="20"/>
                <w:szCs w:val="20"/>
              </w:rPr>
            </w:pPr>
            <w:r>
              <w:rPr>
                <w:rFonts w:ascii="宋体"/>
                <w:sz w:val="20"/>
              </w:rPr>
              <w:t>16,20</w:t>
            </w:r>
          </w:p>
          <w:p>
            <w:pPr>
              <w:pStyle w:val="TableParagraph"/>
              <w:spacing w:line="247" w:lineRule="exact"/>
              <w:ind w:left="191" w:right="0"/>
              <w:jc w:val="left"/>
              <w:rPr>
                <w:rFonts w:ascii="宋体" w:hAnsi="宋体" w:cs="宋体" w:eastAsia="宋体" w:hint="default"/>
                <w:sz w:val="20"/>
                <w:szCs w:val="20"/>
              </w:rPr>
            </w:pPr>
            <w:r>
              <w:rPr>
                <w:rFonts w:ascii="宋体"/>
                <w:sz w:val="20"/>
              </w:rPr>
              <w:t>3.70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63,20</w:t>
            </w:r>
          </w:p>
          <w:p>
            <w:pPr>
              <w:pStyle w:val="TableParagraph"/>
              <w:spacing w:line="233" w:lineRule="exact"/>
              <w:ind w:left="93" w:right="0"/>
              <w:jc w:val="left"/>
              <w:rPr>
                <w:rFonts w:ascii="宋体" w:hAnsi="宋体" w:cs="宋体" w:eastAsia="宋体" w:hint="default"/>
                <w:sz w:val="20"/>
                <w:szCs w:val="20"/>
              </w:rPr>
            </w:pPr>
            <w:r>
              <w:rPr>
                <w:rFonts w:ascii="宋体"/>
                <w:sz w:val="20"/>
              </w:rPr>
              <w:t>6,829</w:t>
            </w:r>
          </w:p>
          <w:p>
            <w:pPr>
              <w:pStyle w:val="TableParagraph"/>
              <w:spacing w:line="247" w:lineRule="exact"/>
              <w:ind w:left="292" w:right="0"/>
              <w:jc w:val="left"/>
              <w:rPr>
                <w:rFonts w:ascii="宋体" w:hAnsi="宋体" w:cs="宋体" w:eastAsia="宋体" w:hint="default"/>
                <w:sz w:val="20"/>
                <w:szCs w:val="20"/>
              </w:rPr>
            </w:pPr>
            <w:r>
              <w:rPr>
                <w:rFonts w:ascii="宋体"/>
                <w:sz w:val="20"/>
              </w:rPr>
              <w:t>.92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197,4</w:t>
            </w:r>
          </w:p>
          <w:p>
            <w:pPr>
              <w:pStyle w:val="TableParagraph"/>
              <w:spacing w:line="233" w:lineRule="exact"/>
              <w:ind w:left="93" w:right="0"/>
              <w:jc w:val="left"/>
              <w:rPr>
                <w:rFonts w:ascii="宋体" w:hAnsi="宋体" w:cs="宋体" w:eastAsia="宋体" w:hint="default"/>
                <w:sz w:val="20"/>
                <w:szCs w:val="20"/>
              </w:rPr>
            </w:pPr>
            <w:r>
              <w:rPr>
                <w:rFonts w:ascii="宋体"/>
                <w:sz w:val="20"/>
              </w:rPr>
              <w:t>37,21</w:t>
            </w:r>
          </w:p>
          <w:p>
            <w:pPr>
              <w:pStyle w:val="TableParagraph"/>
              <w:spacing w:line="247" w:lineRule="exact"/>
              <w:ind w:left="191" w:right="0"/>
              <w:jc w:val="left"/>
              <w:rPr>
                <w:rFonts w:ascii="宋体" w:hAnsi="宋体" w:cs="宋体" w:eastAsia="宋体" w:hint="default"/>
                <w:sz w:val="20"/>
                <w:szCs w:val="20"/>
              </w:rPr>
            </w:pPr>
            <w:r>
              <w:rPr>
                <w:rFonts w:ascii="宋体"/>
                <w:sz w:val="20"/>
              </w:rPr>
              <w:t>2.68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46,34</w:t>
            </w:r>
          </w:p>
          <w:p>
            <w:pPr>
              <w:pStyle w:val="TableParagraph"/>
              <w:spacing w:line="233" w:lineRule="exact"/>
              <w:ind w:left="93" w:right="0"/>
              <w:jc w:val="left"/>
              <w:rPr>
                <w:rFonts w:ascii="宋体" w:hAnsi="宋体" w:cs="宋体" w:eastAsia="宋体" w:hint="default"/>
                <w:sz w:val="20"/>
                <w:szCs w:val="20"/>
              </w:rPr>
            </w:pPr>
            <w:r>
              <w:rPr>
                <w:rFonts w:ascii="宋体"/>
                <w:sz w:val="20"/>
              </w:rPr>
              <w:t>7,392</w:t>
            </w:r>
          </w:p>
          <w:p>
            <w:pPr>
              <w:pStyle w:val="TableParagraph"/>
              <w:spacing w:line="247"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1,010</w:t>
            </w:r>
          </w:p>
          <w:p>
            <w:pPr>
              <w:pStyle w:val="TableParagraph"/>
              <w:spacing w:line="233" w:lineRule="exact"/>
              <w:ind w:left="93" w:right="0"/>
              <w:jc w:val="left"/>
              <w:rPr>
                <w:rFonts w:ascii="宋体" w:hAnsi="宋体" w:cs="宋体" w:eastAsia="宋体" w:hint="default"/>
                <w:sz w:val="20"/>
                <w:szCs w:val="20"/>
              </w:rPr>
            </w:pPr>
            <w:r>
              <w:rPr>
                <w:rFonts w:ascii="宋体"/>
                <w:sz w:val="20"/>
              </w:rPr>
              <w:t>,631,</w:t>
            </w:r>
          </w:p>
          <w:p>
            <w:pPr>
              <w:pStyle w:val="TableParagraph"/>
              <w:spacing w:line="234" w:lineRule="exact"/>
              <w:ind w:left="93" w:right="0"/>
              <w:jc w:val="left"/>
              <w:rPr>
                <w:rFonts w:ascii="宋体" w:hAnsi="宋体" w:cs="宋体" w:eastAsia="宋体" w:hint="default"/>
                <w:sz w:val="20"/>
                <w:szCs w:val="20"/>
              </w:rPr>
            </w:pPr>
            <w:r>
              <w:rPr>
                <w:rFonts w:ascii="宋体"/>
                <w:sz w:val="20"/>
              </w:rPr>
              <w:t>810.3</w:t>
            </w:r>
          </w:p>
          <w:p>
            <w:pPr>
              <w:pStyle w:val="TableParagraph"/>
              <w:spacing w:line="248" w:lineRule="exact"/>
              <w:ind w:right="20"/>
              <w:jc w:val="right"/>
              <w:rPr>
                <w:rFonts w:ascii="宋体" w:hAnsi="宋体" w:cs="宋体" w:eastAsia="宋体" w:hint="default"/>
                <w:sz w:val="20"/>
                <w:szCs w:val="20"/>
              </w:rPr>
            </w:pPr>
            <w:r>
              <w:rPr>
                <w:rFonts w:ascii="宋体"/>
                <w:w w:val="99"/>
                <w:sz w:val="20"/>
              </w:rPr>
              <w:t>0</w:t>
            </w:r>
            <w:r>
              <w:rPr>
                <w:rFonts w:ascii="宋体"/>
                <w:sz w:val="20"/>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110,0</w:t>
            </w:r>
          </w:p>
          <w:p>
            <w:pPr>
              <w:pStyle w:val="TableParagraph"/>
              <w:spacing w:line="233" w:lineRule="exact"/>
              <w:ind w:left="93" w:right="0"/>
              <w:jc w:val="left"/>
              <w:rPr>
                <w:rFonts w:ascii="宋体" w:hAnsi="宋体" w:cs="宋体" w:eastAsia="宋体" w:hint="default"/>
                <w:sz w:val="20"/>
                <w:szCs w:val="20"/>
              </w:rPr>
            </w:pPr>
            <w:r>
              <w:rPr>
                <w:rFonts w:ascii="宋体"/>
                <w:sz w:val="20"/>
              </w:rPr>
              <w:t>00,00</w:t>
            </w:r>
          </w:p>
          <w:p>
            <w:pPr>
              <w:pStyle w:val="TableParagraph"/>
              <w:spacing w:line="247" w:lineRule="exact"/>
              <w:ind w:left="191" w:right="0"/>
              <w:jc w:val="left"/>
              <w:rPr>
                <w:rFonts w:ascii="宋体" w:hAnsi="宋体" w:cs="宋体" w:eastAsia="宋体" w:hint="default"/>
                <w:sz w:val="20"/>
                <w:szCs w:val="20"/>
              </w:rPr>
            </w:pPr>
            <w:r>
              <w:rPr>
                <w:rFonts w:ascii="宋体"/>
                <w:sz w:val="20"/>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248,5</w:t>
            </w:r>
          </w:p>
          <w:p>
            <w:pPr>
              <w:pStyle w:val="TableParagraph"/>
              <w:spacing w:line="233" w:lineRule="exact"/>
              <w:ind w:left="93" w:right="0"/>
              <w:jc w:val="left"/>
              <w:rPr>
                <w:rFonts w:ascii="宋体" w:hAnsi="宋体" w:cs="宋体" w:eastAsia="宋体" w:hint="default"/>
                <w:sz w:val="20"/>
                <w:szCs w:val="20"/>
              </w:rPr>
            </w:pPr>
            <w:r>
              <w:rPr>
                <w:rFonts w:ascii="宋体"/>
                <w:sz w:val="20"/>
              </w:rPr>
              <w:t>31,76</w:t>
            </w:r>
          </w:p>
          <w:p>
            <w:pPr>
              <w:pStyle w:val="TableParagraph"/>
              <w:spacing w:line="247" w:lineRule="exact"/>
              <w:ind w:left="192" w:right="0"/>
              <w:jc w:val="left"/>
              <w:rPr>
                <w:rFonts w:ascii="宋体" w:hAnsi="宋体" w:cs="宋体" w:eastAsia="宋体" w:hint="default"/>
                <w:sz w:val="20"/>
                <w:szCs w:val="20"/>
              </w:rPr>
            </w:pPr>
            <w:r>
              <w:rPr>
                <w:rFonts w:ascii="宋体"/>
                <w:sz w:val="20"/>
              </w:rPr>
              <w:t>1.17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54,46</w:t>
            </w:r>
          </w:p>
          <w:p>
            <w:pPr>
              <w:pStyle w:val="TableParagraph"/>
              <w:spacing w:line="233" w:lineRule="exact"/>
              <w:ind w:left="93" w:right="0"/>
              <w:jc w:val="left"/>
              <w:rPr>
                <w:rFonts w:ascii="宋体" w:hAnsi="宋体" w:cs="宋体" w:eastAsia="宋体" w:hint="default"/>
                <w:sz w:val="20"/>
                <w:szCs w:val="20"/>
              </w:rPr>
            </w:pPr>
            <w:r>
              <w:rPr>
                <w:rFonts w:ascii="宋体"/>
                <w:sz w:val="20"/>
              </w:rPr>
              <w:t>4,269</w:t>
            </w:r>
          </w:p>
          <w:p>
            <w:pPr>
              <w:pStyle w:val="TableParagraph"/>
              <w:spacing w:line="247" w:lineRule="exact"/>
              <w:ind w:left="292" w:right="0"/>
              <w:jc w:val="left"/>
              <w:rPr>
                <w:rFonts w:ascii="宋体" w:hAnsi="宋体" w:cs="宋体" w:eastAsia="宋体" w:hint="default"/>
                <w:sz w:val="20"/>
                <w:szCs w:val="20"/>
              </w:rPr>
            </w:pPr>
            <w:r>
              <w:rPr>
                <w:rFonts w:ascii="宋体"/>
                <w:sz w:val="20"/>
              </w:rPr>
              <w:t>.56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159,9</w:t>
            </w:r>
          </w:p>
          <w:p>
            <w:pPr>
              <w:pStyle w:val="TableParagraph"/>
              <w:spacing w:line="233" w:lineRule="exact"/>
              <w:ind w:left="93" w:right="0"/>
              <w:jc w:val="left"/>
              <w:rPr>
                <w:rFonts w:ascii="宋体" w:hAnsi="宋体" w:cs="宋体" w:eastAsia="宋体" w:hint="default"/>
                <w:sz w:val="20"/>
                <w:szCs w:val="20"/>
              </w:rPr>
            </w:pPr>
            <w:r>
              <w:rPr>
                <w:rFonts w:ascii="宋体"/>
                <w:sz w:val="20"/>
              </w:rPr>
              <w:t>85,33</w:t>
            </w:r>
          </w:p>
          <w:p>
            <w:pPr>
              <w:pStyle w:val="TableParagraph"/>
              <w:spacing w:line="247" w:lineRule="exact"/>
              <w:ind w:left="192" w:right="0"/>
              <w:jc w:val="left"/>
              <w:rPr>
                <w:rFonts w:ascii="宋体" w:hAnsi="宋体" w:cs="宋体" w:eastAsia="宋体" w:hint="default"/>
                <w:sz w:val="20"/>
                <w:szCs w:val="20"/>
              </w:rPr>
            </w:pPr>
            <w:r>
              <w:rPr>
                <w:rFonts w:ascii="宋体"/>
                <w:sz w:val="20"/>
              </w:rPr>
              <w:t>0.98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39,08</w:t>
            </w:r>
          </w:p>
          <w:p>
            <w:pPr>
              <w:pStyle w:val="TableParagraph"/>
              <w:spacing w:line="233" w:lineRule="exact"/>
              <w:ind w:left="93" w:right="0"/>
              <w:jc w:val="left"/>
              <w:rPr>
                <w:rFonts w:ascii="宋体" w:hAnsi="宋体" w:cs="宋体" w:eastAsia="宋体" w:hint="default"/>
                <w:sz w:val="20"/>
                <w:szCs w:val="20"/>
              </w:rPr>
            </w:pPr>
            <w:r>
              <w:rPr>
                <w:rFonts w:ascii="宋体"/>
                <w:sz w:val="20"/>
              </w:rPr>
              <w:t>1,983</w:t>
            </w:r>
          </w:p>
          <w:p>
            <w:pPr>
              <w:pStyle w:val="TableParagraph"/>
              <w:spacing w:line="247" w:lineRule="exact"/>
              <w:ind w:left="292" w:right="0"/>
              <w:jc w:val="left"/>
              <w:rPr>
                <w:rFonts w:ascii="宋体" w:hAnsi="宋体" w:cs="宋体" w:eastAsia="宋体" w:hint="default"/>
                <w:sz w:val="20"/>
                <w:szCs w:val="20"/>
              </w:rPr>
            </w:pPr>
            <w:r>
              <w:rPr>
                <w:rFonts w:ascii="宋体"/>
                <w:sz w:val="20"/>
              </w:rPr>
              <w:t>.84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612,0</w:t>
            </w:r>
          </w:p>
          <w:p>
            <w:pPr>
              <w:pStyle w:val="TableParagraph"/>
              <w:spacing w:line="233" w:lineRule="exact"/>
              <w:ind w:left="93" w:right="0"/>
              <w:jc w:val="left"/>
              <w:rPr>
                <w:rFonts w:ascii="宋体" w:hAnsi="宋体" w:cs="宋体" w:eastAsia="宋体" w:hint="default"/>
                <w:sz w:val="20"/>
                <w:szCs w:val="20"/>
              </w:rPr>
            </w:pPr>
            <w:r>
              <w:rPr>
                <w:rFonts w:ascii="宋体"/>
                <w:sz w:val="20"/>
              </w:rPr>
              <w:t>63,34</w:t>
            </w:r>
          </w:p>
          <w:p>
            <w:pPr>
              <w:pStyle w:val="TableParagraph"/>
              <w:spacing w:line="247" w:lineRule="exact"/>
              <w:ind w:left="191" w:right="0"/>
              <w:jc w:val="left"/>
              <w:rPr>
                <w:rFonts w:ascii="宋体" w:hAnsi="宋体" w:cs="宋体" w:eastAsia="宋体" w:hint="default"/>
                <w:sz w:val="20"/>
                <w:szCs w:val="20"/>
              </w:rPr>
            </w:pPr>
            <w:r>
              <w:rPr>
                <w:rFonts w:ascii="宋体"/>
                <w:sz w:val="20"/>
              </w:rPr>
              <w:t>5.55</w:t>
            </w: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5"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124,1</w:t>
            </w:r>
          </w:p>
          <w:p>
            <w:pPr>
              <w:pStyle w:val="TableParagraph"/>
              <w:spacing w:line="234" w:lineRule="exact"/>
              <w:ind w:left="93" w:right="0"/>
              <w:jc w:val="left"/>
              <w:rPr>
                <w:rFonts w:ascii="宋体" w:hAnsi="宋体" w:cs="宋体" w:eastAsia="宋体" w:hint="default"/>
                <w:sz w:val="20"/>
                <w:szCs w:val="20"/>
              </w:rPr>
            </w:pPr>
            <w:r>
              <w:rPr>
                <w:rFonts w:ascii="宋体"/>
                <w:sz w:val="20"/>
              </w:rPr>
              <w:t>24,17</w:t>
            </w:r>
          </w:p>
          <w:p>
            <w:pPr>
              <w:pStyle w:val="TableParagraph"/>
              <w:spacing w:line="248" w:lineRule="exact"/>
              <w:ind w:left="191" w:right="0"/>
              <w:jc w:val="left"/>
              <w:rPr>
                <w:rFonts w:ascii="宋体" w:hAnsi="宋体" w:cs="宋体" w:eastAsia="宋体" w:hint="default"/>
                <w:sz w:val="20"/>
                <w:szCs w:val="20"/>
              </w:rPr>
            </w:pPr>
            <w:r>
              <w:rPr>
                <w:rFonts w:ascii="宋体"/>
                <w:sz w:val="20"/>
              </w:rPr>
              <w:t>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579,5</w:t>
            </w:r>
          </w:p>
          <w:p>
            <w:pPr>
              <w:pStyle w:val="TableParagraph"/>
              <w:spacing w:line="234" w:lineRule="exact"/>
              <w:ind w:left="93" w:right="0"/>
              <w:jc w:val="left"/>
              <w:rPr>
                <w:rFonts w:ascii="宋体" w:hAnsi="宋体" w:cs="宋体" w:eastAsia="宋体" w:hint="default"/>
                <w:sz w:val="20"/>
                <w:szCs w:val="20"/>
              </w:rPr>
            </w:pPr>
            <w:r>
              <w:rPr>
                <w:rFonts w:ascii="宋体"/>
                <w:sz w:val="20"/>
              </w:rPr>
              <w:t>16,20</w:t>
            </w:r>
          </w:p>
          <w:p>
            <w:pPr>
              <w:pStyle w:val="TableParagraph"/>
              <w:spacing w:line="248" w:lineRule="exact"/>
              <w:ind w:left="191" w:right="0"/>
              <w:jc w:val="left"/>
              <w:rPr>
                <w:rFonts w:ascii="宋体" w:hAnsi="宋体" w:cs="宋体" w:eastAsia="宋体" w:hint="default"/>
                <w:sz w:val="20"/>
                <w:szCs w:val="20"/>
              </w:rPr>
            </w:pPr>
            <w:r>
              <w:rPr>
                <w:rFonts w:ascii="宋体"/>
                <w:sz w:val="20"/>
              </w:rPr>
              <w:t>3.70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63,20</w:t>
            </w:r>
          </w:p>
          <w:p>
            <w:pPr>
              <w:pStyle w:val="TableParagraph"/>
              <w:spacing w:line="234" w:lineRule="exact"/>
              <w:ind w:left="93" w:right="0"/>
              <w:jc w:val="left"/>
              <w:rPr>
                <w:rFonts w:ascii="宋体" w:hAnsi="宋体" w:cs="宋体" w:eastAsia="宋体" w:hint="default"/>
                <w:sz w:val="20"/>
                <w:szCs w:val="20"/>
              </w:rPr>
            </w:pPr>
            <w:r>
              <w:rPr>
                <w:rFonts w:ascii="宋体"/>
                <w:sz w:val="20"/>
              </w:rPr>
              <w:t>6,829</w:t>
            </w:r>
          </w:p>
          <w:p>
            <w:pPr>
              <w:pStyle w:val="TableParagraph"/>
              <w:spacing w:line="248" w:lineRule="exact"/>
              <w:ind w:left="292" w:right="0"/>
              <w:jc w:val="left"/>
              <w:rPr>
                <w:rFonts w:ascii="宋体" w:hAnsi="宋体" w:cs="宋体" w:eastAsia="宋体" w:hint="default"/>
                <w:sz w:val="20"/>
                <w:szCs w:val="20"/>
              </w:rPr>
            </w:pPr>
            <w:r>
              <w:rPr>
                <w:rFonts w:ascii="宋体"/>
                <w:sz w:val="20"/>
              </w:rPr>
              <w:t>.92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197,4</w:t>
            </w:r>
          </w:p>
          <w:p>
            <w:pPr>
              <w:pStyle w:val="TableParagraph"/>
              <w:spacing w:line="234" w:lineRule="exact"/>
              <w:ind w:left="93" w:right="0"/>
              <w:jc w:val="left"/>
              <w:rPr>
                <w:rFonts w:ascii="宋体" w:hAnsi="宋体" w:cs="宋体" w:eastAsia="宋体" w:hint="default"/>
                <w:sz w:val="20"/>
                <w:szCs w:val="20"/>
              </w:rPr>
            </w:pPr>
            <w:r>
              <w:rPr>
                <w:rFonts w:ascii="宋体"/>
                <w:sz w:val="20"/>
              </w:rPr>
              <w:t>37,21</w:t>
            </w:r>
          </w:p>
          <w:p>
            <w:pPr>
              <w:pStyle w:val="TableParagraph"/>
              <w:spacing w:line="248" w:lineRule="exact"/>
              <w:ind w:left="191" w:right="0"/>
              <w:jc w:val="left"/>
              <w:rPr>
                <w:rFonts w:ascii="宋体" w:hAnsi="宋体" w:cs="宋体" w:eastAsia="宋体" w:hint="default"/>
                <w:sz w:val="20"/>
                <w:szCs w:val="20"/>
              </w:rPr>
            </w:pPr>
            <w:r>
              <w:rPr>
                <w:rFonts w:ascii="宋体"/>
                <w:sz w:val="20"/>
              </w:rPr>
              <w:t>2.68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46,34</w:t>
            </w:r>
          </w:p>
          <w:p>
            <w:pPr>
              <w:pStyle w:val="TableParagraph"/>
              <w:spacing w:line="234" w:lineRule="exact"/>
              <w:ind w:left="93" w:right="0"/>
              <w:jc w:val="left"/>
              <w:rPr>
                <w:rFonts w:ascii="宋体" w:hAnsi="宋体" w:cs="宋体" w:eastAsia="宋体" w:hint="default"/>
                <w:sz w:val="20"/>
                <w:szCs w:val="20"/>
              </w:rPr>
            </w:pPr>
            <w:r>
              <w:rPr>
                <w:rFonts w:ascii="宋体"/>
                <w:sz w:val="20"/>
              </w:rPr>
              <w:t>7,392</w:t>
            </w:r>
          </w:p>
          <w:p>
            <w:pPr>
              <w:pStyle w:val="TableParagraph"/>
              <w:spacing w:line="248"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93" w:right="0"/>
              <w:jc w:val="left"/>
              <w:rPr>
                <w:rFonts w:ascii="宋体" w:hAnsi="宋体" w:cs="宋体" w:eastAsia="宋体" w:hint="default"/>
                <w:sz w:val="20"/>
                <w:szCs w:val="20"/>
              </w:rPr>
            </w:pPr>
            <w:r>
              <w:rPr>
                <w:rFonts w:ascii="宋体"/>
                <w:sz w:val="20"/>
              </w:rPr>
              <w:t>1,010</w:t>
            </w:r>
          </w:p>
          <w:p>
            <w:pPr>
              <w:pStyle w:val="TableParagraph"/>
              <w:spacing w:line="234" w:lineRule="exact"/>
              <w:ind w:left="93" w:right="0"/>
              <w:jc w:val="left"/>
              <w:rPr>
                <w:rFonts w:ascii="宋体" w:hAnsi="宋体" w:cs="宋体" w:eastAsia="宋体" w:hint="default"/>
                <w:sz w:val="20"/>
                <w:szCs w:val="20"/>
              </w:rPr>
            </w:pPr>
            <w:r>
              <w:rPr>
                <w:rFonts w:ascii="宋体"/>
                <w:sz w:val="20"/>
              </w:rPr>
              <w:t>,631,</w:t>
            </w:r>
          </w:p>
          <w:p>
            <w:pPr>
              <w:pStyle w:val="TableParagraph"/>
              <w:spacing w:line="233" w:lineRule="exact"/>
              <w:ind w:left="93" w:right="0"/>
              <w:jc w:val="left"/>
              <w:rPr>
                <w:rFonts w:ascii="宋体" w:hAnsi="宋体" w:cs="宋体" w:eastAsia="宋体" w:hint="default"/>
                <w:sz w:val="20"/>
                <w:szCs w:val="20"/>
              </w:rPr>
            </w:pPr>
            <w:r>
              <w:rPr>
                <w:rFonts w:ascii="宋体"/>
                <w:sz w:val="20"/>
              </w:rPr>
              <w:t>810.3</w:t>
            </w:r>
          </w:p>
          <w:p>
            <w:pPr>
              <w:pStyle w:val="TableParagraph"/>
              <w:spacing w:line="247" w:lineRule="exact"/>
              <w:ind w:right="20"/>
              <w:jc w:val="right"/>
              <w:rPr>
                <w:rFonts w:ascii="宋体" w:hAnsi="宋体" w:cs="宋体" w:eastAsia="宋体" w:hint="default"/>
                <w:sz w:val="20"/>
                <w:szCs w:val="20"/>
              </w:rPr>
            </w:pPr>
            <w:r>
              <w:rPr>
                <w:rFonts w:ascii="宋体"/>
                <w:w w:val="99"/>
                <w:sz w:val="20"/>
              </w:rPr>
              <w:t>0</w:t>
            </w:r>
            <w:r>
              <w:rPr>
                <w:rFonts w:ascii="宋体"/>
                <w:sz w:val="20"/>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110,0</w:t>
            </w:r>
          </w:p>
          <w:p>
            <w:pPr>
              <w:pStyle w:val="TableParagraph"/>
              <w:spacing w:line="234" w:lineRule="exact"/>
              <w:ind w:left="93" w:right="0"/>
              <w:jc w:val="left"/>
              <w:rPr>
                <w:rFonts w:ascii="宋体" w:hAnsi="宋体" w:cs="宋体" w:eastAsia="宋体" w:hint="default"/>
                <w:sz w:val="20"/>
                <w:szCs w:val="20"/>
              </w:rPr>
            </w:pPr>
            <w:r>
              <w:rPr>
                <w:rFonts w:ascii="宋体"/>
                <w:sz w:val="20"/>
              </w:rPr>
              <w:t>00,00</w:t>
            </w:r>
          </w:p>
          <w:p>
            <w:pPr>
              <w:pStyle w:val="TableParagraph"/>
              <w:spacing w:line="248" w:lineRule="exact"/>
              <w:ind w:left="191" w:right="0"/>
              <w:jc w:val="left"/>
              <w:rPr>
                <w:rFonts w:ascii="宋体" w:hAnsi="宋体" w:cs="宋体" w:eastAsia="宋体" w:hint="default"/>
                <w:sz w:val="20"/>
                <w:szCs w:val="20"/>
              </w:rPr>
            </w:pPr>
            <w:r>
              <w:rPr>
                <w:rFonts w:ascii="宋体"/>
                <w:sz w:val="20"/>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248,5</w:t>
            </w:r>
          </w:p>
          <w:p>
            <w:pPr>
              <w:pStyle w:val="TableParagraph"/>
              <w:spacing w:line="234" w:lineRule="exact"/>
              <w:ind w:left="93" w:right="0"/>
              <w:jc w:val="left"/>
              <w:rPr>
                <w:rFonts w:ascii="宋体" w:hAnsi="宋体" w:cs="宋体" w:eastAsia="宋体" w:hint="default"/>
                <w:sz w:val="20"/>
                <w:szCs w:val="20"/>
              </w:rPr>
            </w:pPr>
            <w:r>
              <w:rPr>
                <w:rFonts w:ascii="宋体"/>
                <w:sz w:val="20"/>
              </w:rPr>
              <w:t>31,76</w:t>
            </w:r>
          </w:p>
          <w:p>
            <w:pPr>
              <w:pStyle w:val="TableParagraph"/>
              <w:spacing w:line="248" w:lineRule="exact"/>
              <w:ind w:left="192" w:right="0"/>
              <w:jc w:val="left"/>
              <w:rPr>
                <w:rFonts w:ascii="宋体" w:hAnsi="宋体" w:cs="宋体" w:eastAsia="宋体" w:hint="default"/>
                <w:sz w:val="20"/>
                <w:szCs w:val="20"/>
              </w:rPr>
            </w:pPr>
            <w:r>
              <w:rPr>
                <w:rFonts w:ascii="宋体"/>
                <w:sz w:val="20"/>
              </w:rPr>
              <w:t>1.17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54,46</w:t>
            </w:r>
          </w:p>
          <w:p>
            <w:pPr>
              <w:pStyle w:val="TableParagraph"/>
              <w:spacing w:line="234" w:lineRule="exact"/>
              <w:ind w:left="93" w:right="0"/>
              <w:jc w:val="left"/>
              <w:rPr>
                <w:rFonts w:ascii="宋体" w:hAnsi="宋体" w:cs="宋体" w:eastAsia="宋体" w:hint="default"/>
                <w:sz w:val="20"/>
                <w:szCs w:val="20"/>
              </w:rPr>
            </w:pPr>
            <w:r>
              <w:rPr>
                <w:rFonts w:ascii="宋体"/>
                <w:sz w:val="20"/>
              </w:rPr>
              <w:t>4,269</w:t>
            </w:r>
          </w:p>
          <w:p>
            <w:pPr>
              <w:pStyle w:val="TableParagraph"/>
              <w:spacing w:line="248" w:lineRule="exact"/>
              <w:ind w:left="292" w:right="0"/>
              <w:jc w:val="left"/>
              <w:rPr>
                <w:rFonts w:ascii="宋体" w:hAnsi="宋体" w:cs="宋体" w:eastAsia="宋体" w:hint="default"/>
                <w:sz w:val="20"/>
                <w:szCs w:val="20"/>
              </w:rPr>
            </w:pPr>
            <w:r>
              <w:rPr>
                <w:rFonts w:ascii="宋体"/>
                <w:sz w:val="20"/>
              </w:rPr>
              <w:t>.56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159,9</w:t>
            </w:r>
          </w:p>
          <w:p>
            <w:pPr>
              <w:pStyle w:val="TableParagraph"/>
              <w:spacing w:line="234" w:lineRule="exact"/>
              <w:ind w:left="93" w:right="0"/>
              <w:jc w:val="left"/>
              <w:rPr>
                <w:rFonts w:ascii="宋体" w:hAnsi="宋体" w:cs="宋体" w:eastAsia="宋体" w:hint="default"/>
                <w:sz w:val="20"/>
                <w:szCs w:val="20"/>
              </w:rPr>
            </w:pPr>
            <w:r>
              <w:rPr>
                <w:rFonts w:ascii="宋体"/>
                <w:sz w:val="20"/>
              </w:rPr>
              <w:t>85,33</w:t>
            </w:r>
          </w:p>
          <w:p>
            <w:pPr>
              <w:pStyle w:val="TableParagraph"/>
              <w:spacing w:line="248" w:lineRule="exact"/>
              <w:ind w:left="192" w:right="0"/>
              <w:jc w:val="left"/>
              <w:rPr>
                <w:rFonts w:ascii="宋体" w:hAnsi="宋体" w:cs="宋体" w:eastAsia="宋体" w:hint="default"/>
                <w:sz w:val="20"/>
                <w:szCs w:val="20"/>
              </w:rPr>
            </w:pPr>
            <w:r>
              <w:rPr>
                <w:rFonts w:ascii="宋体"/>
                <w:sz w:val="20"/>
              </w:rPr>
              <w:t>0.98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39,08</w:t>
            </w:r>
          </w:p>
          <w:p>
            <w:pPr>
              <w:pStyle w:val="TableParagraph"/>
              <w:spacing w:line="234" w:lineRule="exact"/>
              <w:ind w:left="93" w:right="0"/>
              <w:jc w:val="left"/>
              <w:rPr>
                <w:rFonts w:ascii="宋体" w:hAnsi="宋体" w:cs="宋体" w:eastAsia="宋体" w:hint="default"/>
                <w:sz w:val="20"/>
                <w:szCs w:val="20"/>
              </w:rPr>
            </w:pPr>
            <w:r>
              <w:rPr>
                <w:rFonts w:ascii="宋体"/>
                <w:sz w:val="20"/>
              </w:rPr>
              <w:t>1,983</w:t>
            </w:r>
          </w:p>
          <w:p>
            <w:pPr>
              <w:pStyle w:val="TableParagraph"/>
              <w:spacing w:line="248" w:lineRule="exact"/>
              <w:ind w:left="292" w:right="0"/>
              <w:jc w:val="left"/>
              <w:rPr>
                <w:rFonts w:ascii="宋体" w:hAnsi="宋体" w:cs="宋体" w:eastAsia="宋体" w:hint="default"/>
                <w:sz w:val="20"/>
                <w:szCs w:val="20"/>
              </w:rPr>
            </w:pPr>
            <w:r>
              <w:rPr>
                <w:rFonts w:ascii="宋体"/>
                <w:sz w:val="20"/>
              </w:rPr>
              <w:t>.84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612,0</w:t>
            </w:r>
          </w:p>
          <w:p>
            <w:pPr>
              <w:pStyle w:val="TableParagraph"/>
              <w:spacing w:line="234" w:lineRule="exact"/>
              <w:ind w:left="93" w:right="0"/>
              <w:jc w:val="left"/>
              <w:rPr>
                <w:rFonts w:ascii="宋体" w:hAnsi="宋体" w:cs="宋体" w:eastAsia="宋体" w:hint="default"/>
                <w:sz w:val="20"/>
                <w:szCs w:val="20"/>
              </w:rPr>
            </w:pPr>
            <w:r>
              <w:rPr>
                <w:rFonts w:ascii="宋体"/>
                <w:sz w:val="20"/>
              </w:rPr>
              <w:t>63,34</w:t>
            </w:r>
          </w:p>
          <w:p>
            <w:pPr>
              <w:pStyle w:val="TableParagraph"/>
              <w:spacing w:line="248" w:lineRule="exact"/>
              <w:ind w:left="191" w:right="0"/>
              <w:jc w:val="left"/>
              <w:rPr>
                <w:rFonts w:ascii="宋体" w:hAnsi="宋体" w:cs="宋体" w:eastAsia="宋体" w:hint="default"/>
                <w:sz w:val="20"/>
                <w:szCs w:val="20"/>
              </w:rPr>
            </w:pPr>
            <w:r>
              <w:rPr>
                <w:rFonts w:ascii="宋体"/>
                <w:sz w:val="20"/>
              </w:rPr>
              <w:t>5.55</w:t>
            </w: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24" w:right="0"/>
              <w:jc w:val="left"/>
              <w:rPr>
                <w:rFonts w:ascii="宋体" w:hAnsi="宋体" w:cs="宋体" w:eastAsia="宋体" w:hint="default"/>
                <w:sz w:val="20"/>
                <w:szCs w:val="20"/>
              </w:rPr>
            </w:pPr>
            <w:r>
              <w:rPr>
                <w:rFonts w:ascii="宋体" w:hAnsi="宋体" w:cs="宋体" w:eastAsia="宋体" w:hint="default"/>
                <w:sz w:val="20"/>
                <w:szCs w:val="20"/>
              </w:rPr>
              <w:t>三、本年增减变动金额</w:t>
            </w:r>
          </w:p>
          <w:p>
            <w:pPr>
              <w:pStyle w:val="TableParagraph"/>
              <w:spacing w:line="248" w:lineRule="exact"/>
              <w:ind w:left="24" w:right="0"/>
              <w:jc w:val="left"/>
              <w:rPr>
                <w:rFonts w:ascii="宋体" w:hAnsi="宋体" w:cs="宋体" w:eastAsia="宋体" w:hint="default"/>
                <w:sz w:val="20"/>
                <w:szCs w:val="20"/>
              </w:rPr>
            </w:pPr>
            <w:r>
              <w:rPr>
                <w:rFonts w:ascii="宋体" w:hAnsi="宋体" w:cs="宋体" w:eastAsia="宋体" w:hint="default"/>
                <w:sz w:val="20"/>
                <w:szCs w:val="20"/>
              </w:rPr>
              <w:t>（减少以“</w:t>
            </w:r>
            <w:r>
              <w:rPr>
                <w:rFonts w:ascii="宋体" w:hAnsi="宋体" w:cs="宋体" w:eastAsia="宋体" w:hint="default"/>
                <w:sz w:val="20"/>
                <w:szCs w:val="20"/>
              </w:rPr>
              <w:t>-</w:t>
            </w:r>
            <w:r>
              <w:rPr>
                <w:rFonts w:ascii="宋体" w:hAnsi="宋体" w:cs="宋体" w:eastAsia="宋体" w:hint="default"/>
                <w:sz w:val="20"/>
                <w:szCs w:val="20"/>
              </w:rPr>
              <w:t>”号填列）</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2,290</w:t>
            </w:r>
          </w:p>
          <w:p>
            <w:pPr>
              <w:pStyle w:val="TableParagraph"/>
              <w:spacing w:line="233" w:lineRule="exact"/>
              <w:ind w:left="93" w:right="0"/>
              <w:jc w:val="left"/>
              <w:rPr>
                <w:rFonts w:ascii="宋体" w:hAnsi="宋体" w:cs="宋体" w:eastAsia="宋体" w:hint="default"/>
                <w:sz w:val="20"/>
                <w:szCs w:val="20"/>
              </w:rPr>
            </w:pPr>
            <w:r>
              <w:rPr>
                <w:rFonts w:ascii="宋体"/>
                <w:sz w:val="20"/>
              </w:rPr>
              <w:t>,000.</w:t>
            </w:r>
          </w:p>
          <w:p>
            <w:pPr>
              <w:pStyle w:val="TableParagraph"/>
              <w:spacing w:line="247" w:lineRule="exact"/>
              <w:ind w:left="393"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20,60</w:t>
            </w:r>
          </w:p>
          <w:p>
            <w:pPr>
              <w:pStyle w:val="TableParagraph"/>
              <w:spacing w:line="233" w:lineRule="exact"/>
              <w:ind w:left="93" w:right="0"/>
              <w:jc w:val="left"/>
              <w:rPr>
                <w:rFonts w:ascii="宋体" w:hAnsi="宋体" w:cs="宋体" w:eastAsia="宋体" w:hint="default"/>
                <w:sz w:val="20"/>
                <w:szCs w:val="20"/>
              </w:rPr>
            </w:pPr>
            <w:r>
              <w:rPr>
                <w:rFonts w:ascii="宋体"/>
                <w:sz w:val="20"/>
              </w:rPr>
              <w:t>9,074</w:t>
            </w:r>
          </w:p>
          <w:p>
            <w:pPr>
              <w:pStyle w:val="TableParagraph"/>
              <w:spacing w:line="247" w:lineRule="exact"/>
              <w:ind w:left="292" w:right="0"/>
              <w:jc w:val="left"/>
              <w:rPr>
                <w:rFonts w:ascii="宋体" w:hAnsi="宋体" w:cs="宋体" w:eastAsia="宋体" w:hint="default"/>
                <w:sz w:val="20"/>
                <w:szCs w:val="20"/>
              </w:rPr>
            </w:pPr>
            <w:r>
              <w:rPr>
                <w:rFonts w:ascii="宋体"/>
                <w:sz w:val="20"/>
              </w:rPr>
              <w:t>.99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12,04</w:t>
            </w:r>
          </w:p>
          <w:p>
            <w:pPr>
              <w:pStyle w:val="TableParagraph"/>
              <w:spacing w:line="233" w:lineRule="exact"/>
              <w:ind w:left="93" w:right="0"/>
              <w:jc w:val="left"/>
              <w:rPr>
                <w:rFonts w:ascii="宋体" w:hAnsi="宋体" w:cs="宋体" w:eastAsia="宋体" w:hint="default"/>
                <w:sz w:val="20"/>
                <w:szCs w:val="20"/>
              </w:rPr>
            </w:pPr>
            <w:r>
              <w:rPr>
                <w:rFonts w:ascii="宋体"/>
                <w:sz w:val="20"/>
              </w:rPr>
              <w:t>0,972</w:t>
            </w:r>
          </w:p>
          <w:p>
            <w:pPr>
              <w:pStyle w:val="TableParagraph"/>
              <w:spacing w:line="247" w:lineRule="exact"/>
              <w:ind w:left="292" w:right="0"/>
              <w:jc w:val="left"/>
              <w:rPr>
                <w:rFonts w:ascii="宋体" w:hAnsi="宋体" w:cs="宋体" w:eastAsia="宋体" w:hint="default"/>
                <w:sz w:val="20"/>
                <w:szCs w:val="20"/>
              </w:rPr>
            </w:pPr>
            <w:r>
              <w:rPr>
                <w:rFonts w:ascii="宋体"/>
                <w:sz w:val="20"/>
              </w:rPr>
              <w:t>.56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50,31</w:t>
            </w:r>
          </w:p>
          <w:p>
            <w:pPr>
              <w:pStyle w:val="TableParagraph"/>
              <w:spacing w:line="233" w:lineRule="exact"/>
              <w:ind w:left="93" w:right="0"/>
              <w:jc w:val="left"/>
              <w:rPr>
                <w:rFonts w:ascii="宋体" w:hAnsi="宋体" w:cs="宋体" w:eastAsia="宋体" w:hint="default"/>
                <w:sz w:val="20"/>
                <w:szCs w:val="20"/>
              </w:rPr>
            </w:pPr>
            <w:r>
              <w:rPr>
                <w:rFonts w:ascii="宋体"/>
                <w:sz w:val="20"/>
              </w:rPr>
              <w:t>7,386</w:t>
            </w:r>
          </w:p>
          <w:p>
            <w:pPr>
              <w:pStyle w:val="TableParagraph"/>
              <w:spacing w:line="247" w:lineRule="exact"/>
              <w:ind w:left="292" w:right="0"/>
              <w:jc w:val="left"/>
              <w:rPr>
                <w:rFonts w:ascii="宋体" w:hAnsi="宋体" w:cs="宋体" w:eastAsia="宋体" w:hint="default"/>
                <w:sz w:val="20"/>
                <w:szCs w:val="20"/>
              </w:rPr>
            </w:pPr>
            <w:r>
              <w:rPr>
                <w:rFonts w:ascii="宋体"/>
                <w:sz w:val="20"/>
              </w:rPr>
              <w:t>.69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2,047</w:t>
            </w:r>
          </w:p>
          <w:p>
            <w:pPr>
              <w:pStyle w:val="TableParagraph"/>
              <w:spacing w:line="233" w:lineRule="exact"/>
              <w:ind w:left="93" w:right="0"/>
              <w:jc w:val="left"/>
              <w:rPr>
                <w:rFonts w:ascii="宋体" w:hAnsi="宋体" w:cs="宋体" w:eastAsia="宋体" w:hint="default"/>
                <w:sz w:val="20"/>
                <w:szCs w:val="20"/>
              </w:rPr>
            </w:pPr>
            <w:r>
              <w:rPr>
                <w:rFonts w:ascii="宋体"/>
                <w:sz w:val="20"/>
              </w:rPr>
              <w:t>,785.</w:t>
            </w:r>
          </w:p>
          <w:p>
            <w:pPr>
              <w:pStyle w:val="TableParagraph"/>
              <w:spacing w:line="247" w:lineRule="exact"/>
              <w:ind w:left="393" w:right="0"/>
              <w:jc w:val="left"/>
              <w:rPr>
                <w:rFonts w:ascii="宋体" w:hAnsi="宋体" w:cs="宋体" w:eastAsia="宋体" w:hint="default"/>
                <w:sz w:val="20"/>
                <w:szCs w:val="20"/>
              </w:rPr>
            </w:pPr>
            <w:r>
              <w:rPr>
                <w:rFonts w:ascii="宋体"/>
                <w:sz w:val="20"/>
              </w:rPr>
              <w:t>84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87,30</w:t>
            </w:r>
          </w:p>
          <w:p>
            <w:pPr>
              <w:pStyle w:val="TableParagraph"/>
              <w:spacing w:line="233" w:lineRule="exact"/>
              <w:ind w:left="93" w:right="0"/>
              <w:jc w:val="left"/>
              <w:rPr>
                <w:rFonts w:ascii="宋体" w:hAnsi="宋体" w:cs="宋体" w:eastAsia="宋体" w:hint="default"/>
                <w:sz w:val="20"/>
                <w:szCs w:val="20"/>
              </w:rPr>
            </w:pPr>
            <w:r>
              <w:rPr>
                <w:rFonts w:ascii="宋体"/>
                <w:sz w:val="20"/>
              </w:rPr>
              <w:t>5,220</w:t>
            </w:r>
          </w:p>
          <w:p>
            <w:pPr>
              <w:pStyle w:val="TableParagraph"/>
              <w:spacing w:line="247" w:lineRule="exact"/>
              <w:ind w:left="293" w:right="0"/>
              <w:jc w:val="left"/>
              <w:rPr>
                <w:rFonts w:ascii="宋体" w:hAnsi="宋体" w:cs="宋体" w:eastAsia="宋体" w:hint="default"/>
                <w:sz w:val="20"/>
                <w:szCs w:val="20"/>
              </w:rPr>
            </w:pPr>
            <w:r>
              <w:rPr>
                <w:rFonts w:ascii="宋体"/>
                <w:sz w:val="20"/>
              </w:rPr>
              <w:t>.08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14,12</w:t>
            </w:r>
          </w:p>
          <w:p>
            <w:pPr>
              <w:pStyle w:val="TableParagraph"/>
              <w:spacing w:line="233" w:lineRule="exact"/>
              <w:ind w:left="93" w:right="0"/>
              <w:jc w:val="left"/>
              <w:rPr>
                <w:rFonts w:ascii="宋体" w:hAnsi="宋体" w:cs="宋体" w:eastAsia="宋体" w:hint="default"/>
                <w:sz w:val="20"/>
                <w:szCs w:val="20"/>
              </w:rPr>
            </w:pPr>
            <w:r>
              <w:rPr>
                <w:rFonts w:ascii="宋体"/>
                <w:sz w:val="20"/>
              </w:rPr>
              <w:t>4,172</w:t>
            </w:r>
          </w:p>
          <w:p>
            <w:pPr>
              <w:pStyle w:val="TableParagraph"/>
              <w:spacing w:line="247"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330,9</w:t>
            </w:r>
          </w:p>
          <w:p>
            <w:pPr>
              <w:pStyle w:val="TableParagraph"/>
              <w:spacing w:line="233" w:lineRule="exact"/>
              <w:ind w:left="93" w:right="0"/>
              <w:jc w:val="left"/>
              <w:rPr>
                <w:rFonts w:ascii="宋体" w:hAnsi="宋体" w:cs="宋体" w:eastAsia="宋体" w:hint="default"/>
                <w:sz w:val="20"/>
                <w:szCs w:val="20"/>
              </w:rPr>
            </w:pPr>
            <w:r>
              <w:rPr>
                <w:rFonts w:ascii="宋体"/>
                <w:sz w:val="20"/>
              </w:rPr>
              <w:t>84,44</w:t>
            </w:r>
          </w:p>
          <w:p>
            <w:pPr>
              <w:pStyle w:val="TableParagraph"/>
              <w:spacing w:line="247" w:lineRule="exact"/>
              <w:ind w:left="192" w:right="0"/>
              <w:jc w:val="left"/>
              <w:rPr>
                <w:rFonts w:ascii="宋体" w:hAnsi="宋体" w:cs="宋体" w:eastAsia="宋体" w:hint="default"/>
                <w:sz w:val="20"/>
                <w:szCs w:val="20"/>
              </w:rPr>
            </w:pPr>
            <w:r>
              <w:rPr>
                <w:rFonts w:ascii="宋体"/>
                <w:sz w:val="20"/>
              </w:rPr>
              <w:t>2.53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8,742</w:t>
            </w:r>
          </w:p>
          <w:p>
            <w:pPr>
              <w:pStyle w:val="TableParagraph"/>
              <w:spacing w:line="233" w:lineRule="exact"/>
              <w:ind w:left="93" w:right="0"/>
              <w:jc w:val="left"/>
              <w:rPr>
                <w:rFonts w:ascii="宋体" w:hAnsi="宋体" w:cs="宋体" w:eastAsia="宋体" w:hint="default"/>
                <w:sz w:val="20"/>
                <w:szCs w:val="20"/>
              </w:rPr>
            </w:pPr>
            <w:r>
              <w:rPr>
                <w:rFonts w:ascii="宋体"/>
                <w:sz w:val="20"/>
              </w:rPr>
              <w:t>,560.</w:t>
            </w:r>
          </w:p>
          <w:p>
            <w:pPr>
              <w:pStyle w:val="TableParagraph"/>
              <w:spacing w:line="247" w:lineRule="exact"/>
              <w:ind w:left="393" w:right="0"/>
              <w:jc w:val="left"/>
              <w:rPr>
                <w:rFonts w:ascii="宋体" w:hAnsi="宋体" w:cs="宋体" w:eastAsia="宋体" w:hint="default"/>
                <w:sz w:val="20"/>
                <w:szCs w:val="20"/>
              </w:rPr>
            </w:pPr>
            <w:r>
              <w:rPr>
                <w:rFonts w:ascii="宋体"/>
                <w:sz w:val="20"/>
              </w:rPr>
              <w:t>36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37,45</w:t>
            </w:r>
          </w:p>
          <w:p>
            <w:pPr>
              <w:pStyle w:val="TableParagraph"/>
              <w:spacing w:line="233" w:lineRule="exact"/>
              <w:ind w:left="93" w:right="0"/>
              <w:jc w:val="left"/>
              <w:rPr>
                <w:rFonts w:ascii="宋体" w:hAnsi="宋体" w:cs="宋体" w:eastAsia="宋体" w:hint="default"/>
                <w:sz w:val="20"/>
                <w:szCs w:val="20"/>
              </w:rPr>
            </w:pPr>
            <w:r>
              <w:rPr>
                <w:rFonts w:ascii="宋体"/>
                <w:sz w:val="20"/>
              </w:rPr>
              <w:t>1,881</w:t>
            </w:r>
          </w:p>
          <w:p>
            <w:pPr>
              <w:pStyle w:val="TableParagraph"/>
              <w:spacing w:line="247" w:lineRule="exact"/>
              <w:ind w:left="292" w:right="0"/>
              <w:jc w:val="left"/>
              <w:rPr>
                <w:rFonts w:ascii="宋体" w:hAnsi="宋体" w:cs="宋体" w:eastAsia="宋体" w:hint="default"/>
                <w:sz w:val="20"/>
                <w:szCs w:val="20"/>
              </w:rPr>
            </w:pPr>
            <w:r>
              <w:rPr>
                <w:rFonts w:ascii="宋体"/>
                <w:sz w:val="20"/>
              </w:rPr>
              <w:t>.70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7,265</w:t>
            </w:r>
          </w:p>
          <w:p>
            <w:pPr>
              <w:pStyle w:val="TableParagraph"/>
              <w:spacing w:line="233" w:lineRule="exact"/>
              <w:ind w:left="93" w:right="0"/>
              <w:jc w:val="left"/>
              <w:rPr>
                <w:rFonts w:ascii="宋体" w:hAnsi="宋体" w:cs="宋体" w:eastAsia="宋体" w:hint="default"/>
                <w:sz w:val="20"/>
                <w:szCs w:val="20"/>
              </w:rPr>
            </w:pPr>
            <w:r>
              <w:rPr>
                <w:rFonts w:ascii="宋体"/>
                <w:sz w:val="20"/>
              </w:rPr>
              <w:t>,408.</w:t>
            </w:r>
          </w:p>
          <w:p>
            <w:pPr>
              <w:pStyle w:val="TableParagraph"/>
              <w:spacing w:line="247" w:lineRule="exact"/>
              <w:ind w:left="393" w:right="0"/>
              <w:jc w:val="left"/>
              <w:rPr>
                <w:rFonts w:ascii="宋体" w:hAnsi="宋体" w:cs="宋体" w:eastAsia="宋体" w:hint="default"/>
                <w:sz w:val="20"/>
                <w:szCs w:val="20"/>
              </w:rPr>
            </w:pPr>
            <w:r>
              <w:rPr>
                <w:rFonts w:ascii="宋体"/>
                <w:sz w:val="20"/>
              </w:rPr>
              <w:t>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398,5</w:t>
            </w:r>
          </w:p>
          <w:p>
            <w:pPr>
              <w:pStyle w:val="TableParagraph"/>
              <w:spacing w:line="233" w:lineRule="exact"/>
              <w:ind w:left="93" w:right="0"/>
              <w:jc w:val="left"/>
              <w:rPr>
                <w:rFonts w:ascii="宋体" w:hAnsi="宋体" w:cs="宋体" w:eastAsia="宋体" w:hint="default"/>
                <w:sz w:val="20"/>
                <w:szCs w:val="20"/>
              </w:rPr>
            </w:pPr>
            <w:r>
              <w:rPr>
                <w:rFonts w:ascii="宋体"/>
                <w:sz w:val="20"/>
              </w:rPr>
              <w:t>68,46</w:t>
            </w:r>
          </w:p>
          <w:p>
            <w:pPr>
              <w:pStyle w:val="TableParagraph"/>
              <w:spacing w:line="247" w:lineRule="exact"/>
              <w:ind w:left="191" w:right="0"/>
              <w:jc w:val="left"/>
              <w:rPr>
                <w:rFonts w:ascii="宋体" w:hAnsi="宋体" w:cs="宋体" w:eastAsia="宋体" w:hint="default"/>
                <w:sz w:val="20"/>
                <w:szCs w:val="20"/>
              </w:rPr>
            </w:pPr>
            <w:r>
              <w:rPr>
                <w:rFonts w:ascii="宋体"/>
                <w:sz w:val="20"/>
              </w:rPr>
              <w:t>4.75</w:t>
            </w: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86,96</w:t>
            </w:r>
          </w:p>
          <w:p>
            <w:pPr>
              <w:pStyle w:val="TableParagraph"/>
              <w:spacing w:line="233" w:lineRule="exact"/>
              <w:ind w:left="93" w:right="0"/>
              <w:jc w:val="left"/>
              <w:rPr>
                <w:rFonts w:ascii="宋体" w:hAnsi="宋体" w:cs="宋体" w:eastAsia="宋体" w:hint="default"/>
                <w:sz w:val="20"/>
                <w:szCs w:val="20"/>
              </w:rPr>
            </w:pPr>
            <w:r>
              <w:rPr>
                <w:rFonts w:ascii="宋体"/>
                <w:sz w:val="20"/>
              </w:rPr>
              <w:t>4,360</w:t>
            </w:r>
          </w:p>
          <w:p>
            <w:pPr>
              <w:pStyle w:val="TableParagraph"/>
              <w:spacing w:line="247" w:lineRule="exact"/>
              <w:ind w:left="292" w:right="0"/>
              <w:jc w:val="left"/>
              <w:rPr>
                <w:rFonts w:ascii="宋体" w:hAnsi="宋体" w:cs="宋体" w:eastAsia="宋体" w:hint="default"/>
                <w:sz w:val="20"/>
                <w:szCs w:val="20"/>
              </w:rPr>
            </w:pPr>
            <w:r>
              <w:rPr>
                <w:rFonts w:ascii="宋体"/>
                <w:sz w:val="20"/>
              </w:rPr>
              <w:t>.30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9,191</w:t>
            </w:r>
          </w:p>
          <w:p>
            <w:pPr>
              <w:pStyle w:val="TableParagraph"/>
              <w:spacing w:line="233" w:lineRule="exact"/>
              <w:ind w:left="93" w:right="0"/>
              <w:jc w:val="left"/>
              <w:rPr>
                <w:rFonts w:ascii="宋体" w:hAnsi="宋体" w:cs="宋体" w:eastAsia="宋体" w:hint="default"/>
                <w:sz w:val="20"/>
                <w:szCs w:val="20"/>
              </w:rPr>
            </w:pPr>
            <w:r>
              <w:rPr>
                <w:rFonts w:ascii="宋体"/>
                <w:sz w:val="20"/>
              </w:rPr>
              <w:t>,989.</w:t>
            </w:r>
          </w:p>
          <w:p>
            <w:pPr>
              <w:pStyle w:val="TableParagraph"/>
              <w:spacing w:line="247" w:lineRule="exact"/>
              <w:ind w:left="393" w:right="0"/>
              <w:jc w:val="left"/>
              <w:rPr>
                <w:rFonts w:ascii="宋体" w:hAnsi="宋体" w:cs="宋体" w:eastAsia="宋体" w:hint="default"/>
                <w:sz w:val="20"/>
                <w:szCs w:val="20"/>
              </w:rPr>
            </w:pPr>
            <w:r>
              <w:rPr>
                <w:rFonts w:ascii="宋体"/>
                <w:sz w:val="20"/>
              </w:rPr>
              <w:t>24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96,15</w:t>
            </w:r>
          </w:p>
          <w:p>
            <w:pPr>
              <w:pStyle w:val="TableParagraph"/>
              <w:spacing w:line="233" w:lineRule="exact"/>
              <w:ind w:left="93" w:right="0"/>
              <w:jc w:val="left"/>
              <w:rPr>
                <w:rFonts w:ascii="宋体" w:hAnsi="宋体" w:cs="宋体" w:eastAsia="宋体" w:hint="default"/>
                <w:sz w:val="20"/>
                <w:szCs w:val="20"/>
              </w:rPr>
            </w:pPr>
            <w:r>
              <w:rPr>
                <w:rFonts w:ascii="宋体"/>
                <w:sz w:val="20"/>
              </w:rPr>
              <w:t>6,349</w:t>
            </w:r>
          </w:p>
          <w:p>
            <w:pPr>
              <w:pStyle w:val="TableParagraph"/>
              <w:spacing w:line="247" w:lineRule="exact"/>
              <w:ind w:left="293" w:right="0"/>
              <w:jc w:val="left"/>
              <w:rPr>
                <w:rFonts w:ascii="宋体" w:hAnsi="宋体" w:cs="宋体" w:eastAsia="宋体" w:hint="default"/>
                <w:sz w:val="20"/>
                <w:szCs w:val="20"/>
              </w:rPr>
            </w:pPr>
            <w:r>
              <w:rPr>
                <w:rFonts w:ascii="宋体"/>
                <w:sz w:val="20"/>
              </w:rPr>
              <w:t>.54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79,19</w:t>
            </w:r>
          </w:p>
          <w:p>
            <w:pPr>
              <w:pStyle w:val="TableParagraph"/>
              <w:spacing w:line="233" w:lineRule="exact"/>
              <w:ind w:left="93" w:right="0"/>
              <w:jc w:val="left"/>
              <w:rPr>
                <w:rFonts w:ascii="宋体" w:hAnsi="宋体" w:cs="宋体" w:eastAsia="宋体" w:hint="default"/>
                <w:sz w:val="20"/>
                <w:szCs w:val="20"/>
              </w:rPr>
            </w:pPr>
            <w:r>
              <w:rPr>
                <w:rFonts w:ascii="宋体"/>
                <w:sz w:val="20"/>
              </w:rPr>
              <w:t>4,442</w:t>
            </w:r>
          </w:p>
          <w:p>
            <w:pPr>
              <w:pStyle w:val="TableParagraph"/>
              <w:spacing w:line="247" w:lineRule="exact"/>
              <w:ind w:left="292" w:right="0"/>
              <w:jc w:val="left"/>
              <w:rPr>
                <w:rFonts w:ascii="宋体" w:hAnsi="宋体" w:cs="宋体" w:eastAsia="宋体" w:hint="default"/>
                <w:sz w:val="20"/>
                <w:szCs w:val="20"/>
              </w:rPr>
            </w:pPr>
            <w:r>
              <w:rPr>
                <w:rFonts w:ascii="宋体"/>
                <w:sz w:val="20"/>
              </w:rPr>
              <w:t>.06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7,877</w:t>
            </w:r>
          </w:p>
          <w:p>
            <w:pPr>
              <w:pStyle w:val="TableParagraph"/>
              <w:spacing w:line="233" w:lineRule="exact"/>
              <w:ind w:left="93" w:right="0"/>
              <w:jc w:val="left"/>
              <w:rPr>
                <w:rFonts w:ascii="宋体" w:hAnsi="宋体" w:cs="宋体" w:eastAsia="宋体" w:hint="default"/>
                <w:sz w:val="20"/>
                <w:szCs w:val="20"/>
              </w:rPr>
            </w:pPr>
            <w:r>
              <w:rPr>
                <w:rFonts w:ascii="宋体"/>
                <w:sz w:val="20"/>
              </w:rPr>
              <w:t>,216.</w:t>
            </w:r>
          </w:p>
          <w:p>
            <w:pPr>
              <w:pStyle w:val="TableParagraph"/>
              <w:spacing w:line="247" w:lineRule="exact"/>
              <w:ind w:left="393" w:right="0"/>
              <w:jc w:val="left"/>
              <w:rPr>
                <w:rFonts w:ascii="宋体" w:hAnsi="宋体" w:cs="宋体" w:eastAsia="宋体" w:hint="default"/>
                <w:sz w:val="20"/>
                <w:szCs w:val="20"/>
              </w:rPr>
            </w:pPr>
            <w:r>
              <w:rPr>
                <w:rFonts w:ascii="宋体"/>
                <w:sz w:val="20"/>
              </w:rPr>
              <w:t>73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93" w:right="0"/>
              <w:jc w:val="left"/>
              <w:rPr>
                <w:rFonts w:ascii="宋体" w:hAnsi="宋体" w:cs="宋体" w:eastAsia="宋体" w:hint="default"/>
                <w:sz w:val="20"/>
                <w:szCs w:val="20"/>
              </w:rPr>
            </w:pPr>
            <w:r>
              <w:rPr>
                <w:rFonts w:ascii="宋体"/>
                <w:sz w:val="20"/>
              </w:rPr>
              <w:t>87,07</w:t>
            </w:r>
          </w:p>
          <w:p>
            <w:pPr>
              <w:pStyle w:val="TableParagraph"/>
              <w:spacing w:line="233" w:lineRule="exact"/>
              <w:ind w:left="93" w:right="0"/>
              <w:jc w:val="left"/>
              <w:rPr>
                <w:rFonts w:ascii="宋体" w:hAnsi="宋体" w:cs="宋体" w:eastAsia="宋体" w:hint="default"/>
                <w:sz w:val="20"/>
                <w:szCs w:val="20"/>
              </w:rPr>
            </w:pPr>
            <w:r>
              <w:rPr>
                <w:rFonts w:ascii="宋体"/>
                <w:sz w:val="20"/>
              </w:rPr>
              <w:t>1,658</w:t>
            </w:r>
          </w:p>
          <w:p>
            <w:pPr>
              <w:pStyle w:val="TableParagraph"/>
              <w:spacing w:line="247" w:lineRule="exact"/>
              <w:ind w:left="292" w:right="0"/>
              <w:jc w:val="left"/>
              <w:rPr>
                <w:rFonts w:ascii="宋体" w:hAnsi="宋体" w:cs="宋体" w:eastAsia="宋体" w:hint="default"/>
                <w:sz w:val="20"/>
                <w:szCs w:val="20"/>
              </w:rPr>
            </w:pPr>
            <w:r>
              <w:rPr>
                <w:rFonts w:ascii="宋体"/>
                <w:sz w:val="20"/>
              </w:rPr>
              <w:t>.79</w:t>
            </w: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5"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225" w:right="0"/>
              <w:jc w:val="left"/>
              <w:rPr>
                <w:rFonts w:ascii="宋体" w:hAnsi="宋体" w:cs="宋体" w:eastAsia="宋体" w:hint="default"/>
                <w:sz w:val="20"/>
                <w:szCs w:val="20"/>
              </w:rPr>
            </w:pPr>
            <w:r>
              <w:rPr>
                <w:rFonts w:ascii="宋体" w:hAnsi="宋体" w:cs="宋体" w:eastAsia="宋体" w:hint="default"/>
                <w:spacing w:val="-5"/>
                <w:sz w:val="20"/>
                <w:szCs w:val="20"/>
              </w:rPr>
              <w:t>上述（一）和（二）小</w:t>
            </w:r>
          </w:p>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86,96</w:t>
            </w:r>
          </w:p>
          <w:p>
            <w:pPr>
              <w:pStyle w:val="TableParagraph"/>
              <w:spacing w:line="234" w:lineRule="exact"/>
              <w:ind w:left="93" w:right="0"/>
              <w:jc w:val="left"/>
              <w:rPr>
                <w:rFonts w:ascii="宋体" w:hAnsi="宋体" w:cs="宋体" w:eastAsia="宋体" w:hint="default"/>
                <w:sz w:val="20"/>
                <w:szCs w:val="20"/>
              </w:rPr>
            </w:pPr>
            <w:r>
              <w:rPr>
                <w:rFonts w:ascii="宋体"/>
                <w:sz w:val="20"/>
              </w:rPr>
              <w:t>4,360</w:t>
            </w:r>
          </w:p>
          <w:p>
            <w:pPr>
              <w:pStyle w:val="TableParagraph"/>
              <w:spacing w:line="248" w:lineRule="exact"/>
              <w:ind w:left="292" w:right="0"/>
              <w:jc w:val="left"/>
              <w:rPr>
                <w:rFonts w:ascii="宋体" w:hAnsi="宋体" w:cs="宋体" w:eastAsia="宋体" w:hint="default"/>
                <w:sz w:val="20"/>
                <w:szCs w:val="20"/>
              </w:rPr>
            </w:pPr>
            <w:r>
              <w:rPr>
                <w:rFonts w:ascii="宋体"/>
                <w:sz w:val="20"/>
              </w:rPr>
              <w:t>.30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9,191</w:t>
            </w:r>
          </w:p>
          <w:p>
            <w:pPr>
              <w:pStyle w:val="TableParagraph"/>
              <w:spacing w:line="234" w:lineRule="exact"/>
              <w:ind w:left="93" w:right="0"/>
              <w:jc w:val="left"/>
              <w:rPr>
                <w:rFonts w:ascii="宋体" w:hAnsi="宋体" w:cs="宋体" w:eastAsia="宋体" w:hint="default"/>
                <w:sz w:val="20"/>
                <w:szCs w:val="20"/>
              </w:rPr>
            </w:pPr>
            <w:r>
              <w:rPr>
                <w:rFonts w:ascii="宋体"/>
                <w:sz w:val="20"/>
              </w:rPr>
              <w:t>,989.</w:t>
            </w:r>
          </w:p>
          <w:p>
            <w:pPr>
              <w:pStyle w:val="TableParagraph"/>
              <w:spacing w:line="248" w:lineRule="exact"/>
              <w:ind w:left="393" w:right="0"/>
              <w:jc w:val="left"/>
              <w:rPr>
                <w:rFonts w:ascii="宋体" w:hAnsi="宋体" w:cs="宋体" w:eastAsia="宋体" w:hint="default"/>
                <w:sz w:val="20"/>
                <w:szCs w:val="20"/>
              </w:rPr>
            </w:pPr>
            <w:r>
              <w:rPr>
                <w:rFonts w:ascii="宋体"/>
                <w:sz w:val="20"/>
              </w:rPr>
              <w:t>24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96,15</w:t>
            </w:r>
          </w:p>
          <w:p>
            <w:pPr>
              <w:pStyle w:val="TableParagraph"/>
              <w:spacing w:line="234" w:lineRule="exact"/>
              <w:ind w:left="93" w:right="0"/>
              <w:jc w:val="left"/>
              <w:rPr>
                <w:rFonts w:ascii="宋体" w:hAnsi="宋体" w:cs="宋体" w:eastAsia="宋体" w:hint="default"/>
                <w:sz w:val="20"/>
                <w:szCs w:val="20"/>
              </w:rPr>
            </w:pPr>
            <w:r>
              <w:rPr>
                <w:rFonts w:ascii="宋体"/>
                <w:sz w:val="20"/>
              </w:rPr>
              <w:t>6,349</w:t>
            </w:r>
          </w:p>
          <w:p>
            <w:pPr>
              <w:pStyle w:val="TableParagraph"/>
              <w:spacing w:line="248" w:lineRule="exact"/>
              <w:ind w:left="293" w:right="0"/>
              <w:jc w:val="left"/>
              <w:rPr>
                <w:rFonts w:ascii="宋体" w:hAnsi="宋体" w:cs="宋体" w:eastAsia="宋体" w:hint="default"/>
                <w:sz w:val="20"/>
                <w:szCs w:val="20"/>
              </w:rPr>
            </w:pPr>
            <w:r>
              <w:rPr>
                <w:rFonts w:ascii="宋体"/>
                <w:sz w:val="20"/>
              </w:rPr>
              <w:t>.54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79,19</w:t>
            </w:r>
          </w:p>
          <w:p>
            <w:pPr>
              <w:pStyle w:val="TableParagraph"/>
              <w:spacing w:line="234" w:lineRule="exact"/>
              <w:ind w:left="93" w:right="0"/>
              <w:jc w:val="left"/>
              <w:rPr>
                <w:rFonts w:ascii="宋体" w:hAnsi="宋体" w:cs="宋体" w:eastAsia="宋体" w:hint="default"/>
                <w:sz w:val="20"/>
                <w:szCs w:val="20"/>
              </w:rPr>
            </w:pPr>
            <w:r>
              <w:rPr>
                <w:rFonts w:ascii="宋体"/>
                <w:sz w:val="20"/>
              </w:rPr>
              <w:t>4,442</w:t>
            </w:r>
          </w:p>
          <w:p>
            <w:pPr>
              <w:pStyle w:val="TableParagraph"/>
              <w:spacing w:line="248" w:lineRule="exact"/>
              <w:ind w:left="292" w:right="0"/>
              <w:jc w:val="left"/>
              <w:rPr>
                <w:rFonts w:ascii="宋体" w:hAnsi="宋体" w:cs="宋体" w:eastAsia="宋体" w:hint="default"/>
                <w:sz w:val="20"/>
                <w:szCs w:val="20"/>
              </w:rPr>
            </w:pPr>
            <w:r>
              <w:rPr>
                <w:rFonts w:ascii="宋体"/>
                <w:sz w:val="20"/>
              </w:rPr>
              <w:t>.06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7,877</w:t>
            </w:r>
          </w:p>
          <w:p>
            <w:pPr>
              <w:pStyle w:val="TableParagraph"/>
              <w:spacing w:line="234" w:lineRule="exact"/>
              <w:ind w:left="93" w:right="0"/>
              <w:jc w:val="left"/>
              <w:rPr>
                <w:rFonts w:ascii="宋体" w:hAnsi="宋体" w:cs="宋体" w:eastAsia="宋体" w:hint="default"/>
                <w:sz w:val="20"/>
                <w:szCs w:val="20"/>
              </w:rPr>
            </w:pPr>
            <w:r>
              <w:rPr>
                <w:rFonts w:ascii="宋体"/>
                <w:sz w:val="20"/>
              </w:rPr>
              <w:t>,216.</w:t>
            </w:r>
          </w:p>
          <w:p>
            <w:pPr>
              <w:pStyle w:val="TableParagraph"/>
              <w:spacing w:line="248" w:lineRule="exact"/>
              <w:ind w:left="393" w:right="0"/>
              <w:jc w:val="left"/>
              <w:rPr>
                <w:rFonts w:ascii="宋体" w:hAnsi="宋体" w:cs="宋体" w:eastAsia="宋体" w:hint="default"/>
                <w:sz w:val="20"/>
                <w:szCs w:val="20"/>
              </w:rPr>
            </w:pPr>
            <w:r>
              <w:rPr>
                <w:rFonts w:ascii="宋体"/>
                <w:sz w:val="20"/>
              </w:rPr>
              <w:t>73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87,07</w:t>
            </w:r>
          </w:p>
          <w:p>
            <w:pPr>
              <w:pStyle w:val="TableParagraph"/>
              <w:spacing w:line="234" w:lineRule="exact"/>
              <w:ind w:left="93" w:right="0"/>
              <w:jc w:val="left"/>
              <w:rPr>
                <w:rFonts w:ascii="宋体" w:hAnsi="宋体" w:cs="宋体" w:eastAsia="宋体" w:hint="default"/>
                <w:sz w:val="20"/>
                <w:szCs w:val="20"/>
              </w:rPr>
            </w:pPr>
            <w:r>
              <w:rPr>
                <w:rFonts w:ascii="宋体"/>
                <w:sz w:val="20"/>
              </w:rPr>
              <w:t>1,658</w:t>
            </w:r>
          </w:p>
          <w:p>
            <w:pPr>
              <w:pStyle w:val="TableParagraph"/>
              <w:spacing w:line="248" w:lineRule="exact"/>
              <w:ind w:left="292" w:right="0"/>
              <w:jc w:val="left"/>
              <w:rPr>
                <w:rFonts w:ascii="宋体" w:hAnsi="宋体" w:cs="宋体" w:eastAsia="宋体" w:hint="default"/>
                <w:sz w:val="20"/>
                <w:szCs w:val="20"/>
              </w:rPr>
            </w:pPr>
            <w:r>
              <w:rPr>
                <w:rFonts w:ascii="宋体"/>
                <w:sz w:val="20"/>
              </w:rPr>
              <w:t>.79</w:t>
            </w:r>
          </w:p>
        </w:tc>
      </w:tr>
      <w:tr>
        <w:trPr>
          <w:trHeight w:val="71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20" w:firstLine="201"/>
              <w:jc w:val="left"/>
              <w:rPr>
                <w:rFonts w:ascii="宋体" w:hAnsi="宋体" w:cs="宋体" w:eastAsia="宋体" w:hint="default"/>
                <w:sz w:val="20"/>
                <w:szCs w:val="20"/>
              </w:rPr>
            </w:pPr>
            <w:r>
              <w:rPr>
                <w:rFonts w:ascii="宋体" w:hAnsi="宋体" w:cs="宋体" w:eastAsia="宋体" w:hint="default"/>
                <w:spacing w:val="-5"/>
                <w:sz w:val="20"/>
                <w:szCs w:val="20"/>
              </w:rPr>
              <w:t>（三）所有者投入和减</w:t>
            </w:r>
            <w:r>
              <w:rPr>
                <w:rFonts w:ascii="宋体" w:hAnsi="宋体" w:cs="宋体" w:eastAsia="宋体" w:hint="default"/>
                <w:w w:val="99"/>
                <w:sz w:val="20"/>
                <w:szCs w:val="20"/>
              </w:rPr>
              <w:t> </w:t>
            </w:r>
            <w:r>
              <w:rPr>
                <w:rFonts w:ascii="宋体" w:hAnsi="宋体" w:cs="宋体" w:eastAsia="宋体" w:hint="default"/>
                <w:sz w:val="20"/>
                <w:szCs w:val="20"/>
              </w:rPr>
              <w:t>少资本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2,290</w:t>
            </w:r>
          </w:p>
          <w:p>
            <w:pPr>
              <w:pStyle w:val="TableParagraph"/>
              <w:spacing w:line="233" w:lineRule="exact"/>
              <w:ind w:left="93" w:right="0"/>
              <w:jc w:val="left"/>
              <w:rPr>
                <w:rFonts w:ascii="宋体" w:hAnsi="宋体" w:cs="宋体" w:eastAsia="宋体" w:hint="default"/>
                <w:sz w:val="20"/>
                <w:szCs w:val="20"/>
              </w:rPr>
            </w:pPr>
            <w:r>
              <w:rPr>
                <w:rFonts w:ascii="宋体"/>
                <w:sz w:val="20"/>
              </w:rPr>
              <w:t>,000.</w:t>
            </w:r>
          </w:p>
          <w:p>
            <w:pPr>
              <w:pStyle w:val="TableParagraph"/>
              <w:spacing w:line="247" w:lineRule="exact"/>
              <w:ind w:left="393"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20,77</w:t>
            </w:r>
          </w:p>
          <w:p>
            <w:pPr>
              <w:pStyle w:val="TableParagraph"/>
              <w:spacing w:line="233" w:lineRule="exact"/>
              <w:ind w:left="93" w:right="0"/>
              <w:jc w:val="left"/>
              <w:rPr>
                <w:rFonts w:ascii="宋体" w:hAnsi="宋体" w:cs="宋体" w:eastAsia="宋体" w:hint="default"/>
                <w:sz w:val="20"/>
                <w:szCs w:val="20"/>
              </w:rPr>
            </w:pPr>
            <w:r>
              <w:rPr>
                <w:rFonts w:ascii="宋体"/>
                <w:sz w:val="20"/>
              </w:rPr>
              <w:t>3,200</w:t>
            </w:r>
          </w:p>
          <w:p>
            <w:pPr>
              <w:pStyle w:val="TableParagraph"/>
              <w:spacing w:line="247"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23,06</w:t>
            </w:r>
          </w:p>
          <w:p>
            <w:pPr>
              <w:pStyle w:val="TableParagraph"/>
              <w:spacing w:line="233" w:lineRule="exact"/>
              <w:ind w:left="93" w:right="0"/>
              <w:jc w:val="left"/>
              <w:rPr>
                <w:rFonts w:ascii="宋体" w:hAnsi="宋体" w:cs="宋体" w:eastAsia="宋体" w:hint="default"/>
                <w:sz w:val="20"/>
                <w:szCs w:val="20"/>
              </w:rPr>
            </w:pPr>
            <w:r>
              <w:rPr>
                <w:rFonts w:ascii="宋体"/>
                <w:sz w:val="20"/>
              </w:rPr>
              <w:t>3,200</w:t>
            </w:r>
          </w:p>
          <w:p>
            <w:pPr>
              <w:pStyle w:val="TableParagraph"/>
              <w:spacing w:line="247" w:lineRule="exact"/>
              <w:ind w:left="293"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14,12</w:t>
            </w:r>
          </w:p>
          <w:p>
            <w:pPr>
              <w:pStyle w:val="TableParagraph"/>
              <w:spacing w:line="233" w:lineRule="exact"/>
              <w:ind w:left="93" w:right="0"/>
              <w:jc w:val="left"/>
              <w:rPr>
                <w:rFonts w:ascii="宋体" w:hAnsi="宋体" w:cs="宋体" w:eastAsia="宋体" w:hint="default"/>
                <w:sz w:val="20"/>
                <w:szCs w:val="20"/>
              </w:rPr>
            </w:pPr>
            <w:r>
              <w:rPr>
                <w:rFonts w:ascii="宋体"/>
                <w:sz w:val="20"/>
              </w:rPr>
              <w:t>4,172</w:t>
            </w:r>
          </w:p>
          <w:p>
            <w:pPr>
              <w:pStyle w:val="TableParagraph"/>
              <w:spacing w:line="247"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330,9</w:t>
            </w:r>
          </w:p>
          <w:p>
            <w:pPr>
              <w:pStyle w:val="TableParagraph"/>
              <w:spacing w:line="233" w:lineRule="exact"/>
              <w:ind w:left="93" w:right="0"/>
              <w:jc w:val="left"/>
              <w:rPr>
                <w:rFonts w:ascii="宋体" w:hAnsi="宋体" w:cs="宋体" w:eastAsia="宋体" w:hint="default"/>
                <w:sz w:val="20"/>
                <w:szCs w:val="20"/>
              </w:rPr>
            </w:pPr>
            <w:r>
              <w:rPr>
                <w:rFonts w:ascii="宋体"/>
                <w:sz w:val="20"/>
              </w:rPr>
              <w:t>84,44</w:t>
            </w:r>
          </w:p>
          <w:p>
            <w:pPr>
              <w:pStyle w:val="TableParagraph"/>
              <w:spacing w:line="247" w:lineRule="exact"/>
              <w:ind w:left="192" w:right="0"/>
              <w:jc w:val="left"/>
              <w:rPr>
                <w:rFonts w:ascii="宋体" w:hAnsi="宋体" w:cs="宋体" w:eastAsia="宋体" w:hint="default"/>
                <w:sz w:val="20"/>
                <w:szCs w:val="20"/>
              </w:rPr>
            </w:pPr>
            <w:r>
              <w:rPr>
                <w:rFonts w:ascii="宋体"/>
                <w:sz w:val="20"/>
              </w:rPr>
              <w:t>2.53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4,275</w:t>
            </w:r>
          </w:p>
          <w:p>
            <w:pPr>
              <w:pStyle w:val="TableParagraph"/>
              <w:spacing w:line="233" w:lineRule="exact"/>
              <w:ind w:left="93" w:right="0"/>
              <w:jc w:val="left"/>
              <w:rPr>
                <w:rFonts w:ascii="宋体" w:hAnsi="宋体" w:cs="宋体" w:eastAsia="宋体" w:hint="default"/>
                <w:sz w:val="20"/>
                <w:szCs w:val="20"/>
              </w:rPr>
            </w:pPr>
            <w:r>
              <w:rPr>
                <w:rFonts w:ascii="宋体"/>
                <w:sz w:val="20"/>
              </w:rPr>
              <w:t>,000.</w:t>
            </w:r>
          </w:p>
          <w:p>
            <w:pPr>
              <w:pStyle w:val="TableParagraph"/>
              <w:spacing w:line="247" w:lineRule="exact"/>
              <w:ind w:left="393"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349,3</w:t>
            </w:r>
          </w:p>
          <w:p>
            <w:pPr>
              <w:pStyle w:val="TableParagraph"/>
              <w:spacing w:line="233" w:lineRule="exact"/>
              <w:ind w:left="93" w:right="0"/>
              <w:jc w:val="left"/>
              <w:rPr>
                <w:rFonts w:ascii="宋体" w:hAnsi="宋体" w:cs="宋体" w:eastAsia="宋体" w:hint="default"/>
                <w:sz w:val="20"/>
                <w:szCs w:val="20"/>
              </w:rPr>
            </w:pPr>
            <w:r>
              <w:rPr>
                <w:rFonts w:ascii="宋体"/>
                <w:sz w:val="20"/>
              </w:rPr>
              <w:t>83,61</w:t>
            </w:r>
          </w:p>
          <w:p>
            <w:pPr>
              <w:pStyle w:val="TableParagraph"/>
              <w:spacing w:line="247" w:lineRule="exact"/>
              <w:ind w:left="191" w:right="0"/>
              <w:jc w:val="left"/>
              <w:rPr>
                <w:rFonts w:ascii="宋体" w:hAnsi="宋体" w:cs="宋体" w:eastAsia="宋体" w:hint="default"/>
                <w:sz w:val="20"/>
                <w:szCs w:val="20"/>
              </w:rPr>
            </w:pPr>
            <w:r>
              <w:rPr>
                <w:rFonts w:ascii="宋体"/>
                <w:sz w:val="20"/>
              </w:rPr>
              <w:t>4.53</w:t>
            </w: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75"/>
              <w:jc w:val="right"/>
              <w:rPr>
                <w:rFonts w:ascii="宋体" w:hAnsi="宋体" w:cs="宋体" w:eastAsia="宋体" w:hint="default"/>
                <w:sz w:val="20"/>
                <w:szCs w:val="20"/>
              </w:rPr>
            </w:pPr>
            <w:r>
              <w:rPr>
                <w:rFonts w:ascii="宋体" w:hAnsi="宋体" w:cs="宋体" w:eastAsia="宋体" w:hint="default"/>
                <w:w w:val="95"/>
                <w:sz w:val="20"/>
                <w:szCs w:val="20"/>
              </w:rPr>
              <w:t>1</w:t>
            </w:r>
            <w:r>
              <w:rPr>
                <w:rFonts w:ascii="宋体" w:hAnsi="宋体" w:cs="宋体" w:eastAsia="宋体" w:hint="default"/>
                <w:w w:val="95"/>
                <w:sz w:val="20"/>
                <w:szCs w:val="20"/>
              </w:rPr>
              <w:t>．所有者投入资本</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2,290</w:t>
            </w:r>
          </w:p>
          <w:p>
            <w:pPr>
              <w:pStyle w:val="TableParagraph"/>
              <w:spacing w:line="233" w:lineRule="exact"/>
              <w:ind w:left="93" w:right="0"/>
              <w:jc w:val="left"/>
              <w:rPr>
                <w:rFonts w:ascii="宋体" w:hAnsi="宋体" w:cs="宋体" w:eastAsia="宋体" w:hint="default"/>
                <w:sz w:val="20"/>
                <w:szCs w:val="20"/>
              </w:rPr>
            </w:pPr>
            <w:r>
              <w:rPr>
                <w:rFonts w:ascii="宋体"/>
                <w:sz w:val="20"/>
              </w:rPr>
              <w:t>,000.</w:t>
            </w:r>
          </w:p>
          <w:p>
            <w:pPr>
              <w:pStyle w:val="TableParagraph"/>
              <w:spacing w:line="247" w:lineRule="exact"/>
              <w:ind w:left="393"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19,99</w:t>
            </w:r>
          </w:p>
          <w:p>
            <w:pPr>
              <w:pStyle w:val="TableParagraph"/>
              <w:spacing w:line="233" w:lineRule="exact"/>
              <w:ind w:left="93" w:right="0"/>
              <w:jc w:val="left"/>
              <w:rPr>
                <w:rFonts w:ascii="宋体" w:hAnsi="宋体" w:cs="宋体" w:eastAsia="宋体" w:hint="default"/>
                <w:sz w:val="20"/>
                <w:szCs w:val="20"/>
              </w:rPr>
            </w:pPr>
            <w:r>
              <w:rPr>
                <w:rFonts w:ascii="宋体"/>
                <w:sz w:val="20"/>
              </w:rPr>
              <w:t>1,700</w:t>
            </w:r>
          </w:p>
          <w:p>
            <w:pPr>
              <w:pStyle w:val="TableParagraph"/>
              <w:spacing w:line="247"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22,28</w:t>
            </w:r>
          </w:p>
          <w:p>
            <w:pPr>
              <w:pStyle w:val="TableParagraph"/>
              <w:spacing w:line="233" w:lineRule="exact"/>
              <w:ind w:left="93" w:right="0"/>
              <w:jc w:val="left"/>
              <w:rPr>
                <w:rFonts w:ascii="宋体" w:hAnsi="宋体" w:cs="宋体" w:eastAsia="宋体" w:hint="default"/>
                <w:sz w:val="20"/>
                <w:szCs w:val="20"/>
              </w:rPr>
            </w:pPr>
            <w:r>
              <w:rPr>
                <w:rFonts w:ascii="宋体"/>
                <w:sz w:val="20"/>
              </w:rPr>
              <w:t>1,700</w:t>
            </w:r>
          </w:p>
          <w:p>
            <w:pPr>
              <w:pStyle w:val="TableParagraph"/>
              <w:spacing w:line="247" w:lineRule="exact"/>
              <w:ind w:left="293"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14,12</w:t>
            </w:r>
          </w:p>
          <w:p>
            <w:pPr>
              <w:pStyle w:val="TableParagraph"/>
              <w:spacing w:line="233" w:lineRule="exact"/>
              <w:ind w:left="93" w:right="0"/>
              <w:jc w:val="left"/>
              <w:rPr>
                <w:rFonts w:ascii="宋体" w:hAnsi="宋体" w:cs="宋体" w:eastAsia="宋体" w:hint="default"/>
                <w:sz w:val="20"/>
                <w:szCs w:val="20"/>
              </w:rPr>
            </w:pPr>
            <w:r>
              <w:rPr>
                <w:rFonts w:ascii="宋体"/>
                <w:sz w:val="20"/>
              </w:rPr>
              <w:t>4,172</w:t>
            </w:r>
          </w:p>
          <w:p>
            <w:pPr>
              <w:pStyle w:val="TableParagraph"/>
              <w:spacing w:line="247"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330,9</w:t>
            </w:r>
          </w:p>
          <w:p>
            <w:pPr>
              <w:pStyle w:val="TableParagraph"/>
              <w:spacing w:line="233" w:lineRule="exact"/>
              <w:ind w:left="93" w:right="0"/>
              <w:jc w:val="left"/>
              <w:rPr>
                <w:rFonts w:ascii="宋体" w:hAnsi="宋体" w:cs="宋体" w:eastAsia="宋体" w:hint="default"/>
                <w:sz w:val="20"/>
                <w:szCs w:val="20"/>
              </w:rPr>
            </w:pPr>
            <w:r>
              <w:rPr>
                <w:rFonts w:ascii="宋体"/>
                <w:sz w:val="20"/>
              </w:rPr>
              <w:t>84,44</w:t>
            </w:r>
          </w:p>
          <w:p>
            <w:pPr>
              <w:pStyle w:val="TableParagraph"/>
              <w:spacing w:line="247" w:lineRule="exact"/>
              <w:ind w:left="192" w:right="0"/>
              <w:jc w:val="left"/>
              <w:rPr>
                <w:rFonts w:ascii="宋体" w:hAnsi="宋体" w:cs="宋体" w:eastAsia="宋体" w:hint="default"/>
                <w:sz w:val="20"/>
                <w:szCs w:val="20"/>
              </w:rPr>
            </w:pPr>
            <w:r>
              <w:rPr>
                <w:rFonts w:ascii="宋体"/>
                <w:sz w:val="20"/>
              </w:rPr>
              <w:t>2.53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4,275</w:t>
            </w:r>
          </w:p>
          <w:p>
            <w:pPr>
              <w:pStyle w:val="TableParagraph"/>
              <w:spacing w:line="233" w:lineRule="exact"/>
              <w:ind w:left="93" w:right="0"/>
              <w:jc w:val="left"/>
              <w:rPr>
                <w:rFonts w:ascii="宋体" w:hAnsi="宋体" w:cs="宋体" w:eastAsia="宋体" w:hint="default"/>
                <w:sz w:val="20"/>
                <w:szCs w:val="20"/>
              </w:rPr>
            </w:pPr>
            <w:r>
              <w:rPr>
                <w:rFonts w:ascii="宋体"/>
                <w:sz w:val="20"/>
              </w:rPr>
              <w:t>,000.</w:t>
            </w:r>
          </w:p>
          <w:p>
            <w:pPr>
              <w:pStyle w:val="TableParagraph"/>
              <w:spacing w:line="247" w:lineRule="exact"/>
              <w:ind w:left="393"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349,3</w:t>
            </w:r>
          </w:p>
          <w:p>
            <w:pPr>
              <w:pStyle w:val="TableParagraph"/>
              <w:spacing w:line="233" w:lineRule="exact"/>
              <w:ind w:left="93" w:right="0"/>
              <w:jc w:val="left"/>
              <w:rPr>
                <w:rFonts w:ascii="宋体" w:hAnsi="宋体" w:cs="宋体" w:eastAsia="宋体" w:hint="default"/>
                <w:sz w:val="20"/>
                <w:szCs w:val="20"/>
              </w:rPr>
            </w:pPr>
            <w:r>
              <w:rPr>
                <w:rFonts w:ascii="宋体"/>
                <w:sz w:val="20"/>
              </w:rPr>
              <w:t>83,61</w:t>
            </w:r>
          </w:p>
          <w:p>
            <w:pPr>
              <w:pStyle w:val="TableParagraph"/>
              <w:spacing w:line="247" w:lineRule="exact"/>
              <w:ind w:left="191" w:right="0"/>
              <w:jc w:val="left"/>
              <w:rPr>
                <w:rFonts w:ascii="宋体" w:hAnsi="宋体" w:cs="宋体" w:eastAsia="宋体" w:hint="default"/>
                <w:sz w:val="20"/>
                <w:szCs w:val="20"/>
              </w:rPr>
            </w:pPr>
            <w:r>
              <w:rPr>
                <w:rFonts w:ascii="宋体"/>
                <w:sz w:val="20"/>
              </w:rPr>
              <w:t>4.53</w:t>
            </w: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5"/>
              <w:jc w:val="right"/>
              <w:rPr>
                <w:rFonts w:ascii="宋体" w:hAnsi="宋体" w:cs="宋体" w:eastAsia="宋体" w:hint="default"/>
                <w:sz w:val="20"/>
                <w:szCs w:val="20"/>
              </w:rPr>
            </w:pPr>
            <w:r>
              <w:rPr>
                <w:rFonts w:ascii="宋体" w:hAnsi="宋体" w:cs="宋体" w:eastAsia="宋体" w:hint="default"/>
                <w:w w:val="95"/>
                <w:sz w:val="20"/>
                <w:szCs w:val="20"/>
              </w:rPr>
              <w:t>2</w:t>
            </w:r>
            <w:r>
              <w:rPr>
                <w:rFonts w:ascii="宋体" w:hAnsi="宋体" w:cs="宋体" w:eastAsia="宋体" w:hint="default"/>
                <w:w w:val="95"/>
                <w:sz w:val="20"/>
                <w:szCs w:val="20"/>
              </w:rPr>
              <w:t>．股份支付计入所</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20"/>
                <w:szCs w:val="20"/>
              </w:rPr>
            </w:pPr>
            <w:r>
              <w:rPr>
                <w:rFonts w:ascii="宋体"/>
                <w:sz w:val="20"/>
              </w:rPr>
              <w:t>781,5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20"/>
                <w:szCs w:val="20"/>
              </w:rPr>
            </w:pPr>
            <w:r>
              <w:rPr>
                <w:rFonts w:ascii="宋体"/>
                <w:sz w:val="20"/>
              </w:rPr>
              <w:t>781,5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4"/>
          <w:footerReference w:type="default" r:id="rId25"/>
          <w:pgSz w:w="16840" w:h="11910" w:orient="landscape"/>
          <w:pgMar w:header="928" w:footer="1153" w:top="1260" w:bottom="1340" w:left="960" w:right="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211"/>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24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20"/>
                <w:szCs w:val="20"/>
              </w:rPr>
            </w:pPr>
            <w:r>
              <w:rPr>
                <w:rFonts w:ascii="宋体" w:hAnsi="宋体" w:cs="宋体" w:eastAsia="宋体" w:hint="default"/>
                <w:sz w:val="20"/>
                <w:szCs w:val="20"/>
              </w:rPr>
              <w:t>有者权益的金额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20"/>
                <w:szCs w:val="20"/>
              </w:rPr>
            </w:pPr>
            <w:r>
              <w:rPr>
                <w:rFonts w:ascii="宋体"/>
                <w:sz w:val="20"/>
              </w:rPr>
              <w:t>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20"/>
                <w:szCs w:val="20"/>
              </w:rPr>
            </w:pPr>
            <w:r>
              <w:rPr>
                <w:rFonts w:ascii="宋体"/>
                <w:sz w:val="20"/>
              </w:rPr>
              <w:t>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25"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12,04</w:t>
            </w:r>
          </w:p>
          <w:p>
            <w:pPr>
              <w:pStyle w:val="TableParagraph"/>
              <w:spacing w:line="233" w:lineRule="exact"/>
              <w:ind w:left="93" w:right="0"/>
              <w:jc w:val="left"/>
              <w:rPr>
                <w:rFonts w:ascii="宋体" w:hAnsi="宋体" w:cs="宋体" w:eastAsia="宋体" w:hint="default"/>
                <w:sz w:val="20"/>
                <w:szCs w:val="20"/>
              </w:rPr>
            </w:pPr>
            <w:r>
              <w:rPr>
                <w:rFonts w:ascii="宋体"/>
                <w:sz w:val="20"/>
              </w:rPr>
              <w:t>0,972</w:t>
            </w:r>
          </w:p>
          <w:p>
            <w:pPr>
              <w:pStyle w:val="TableParagraph"/>
              <w:spacing w:line="247" w:lineRule="exact"/>
              <w:ind w:left="292" w:right="0"/>
              <w:jc w:val="left"/>
              <w:rPr>
                <w:rFonts w:ascii="宋体" w:hAnsi="宋体" w:cs="宋体" w:eastAsia="宋体" w:hint="default"/>
                <w:sz w:val="20"/>
                <w:szCs w:val="20"/>
              </w:rPr>
            </w:pPr>
            <w:r>
              <w:rPr>
                <w:rFonts w:ascii="宋体"/>
                <w:sz w:val="20"/>
              </w:rPr>
              <w:t>.56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-36,8</w:t>
            </w:r>
          </w:p>
          <w:p>
            <w:pPr>
              <w:pStyle w:val="TableParagraph"/>
              <w:spacing w:line="233" w:lineRule="exact"/>
              <w:ind w:left="93" w:right="0"/>
              <w:jc w:val="left"/>
              <w:rPr>
                <w:rFonts w:ascii="宋体" w:hAnsi="宋体" w:cs="宋体" w:eastAsia="宋体" w:hint="default"/>
                <w:sz w:val="20"/>
                <w:szCs w:val="20"/>
              </w:rPr>
            </w:pPr>
            <w:r>
              <w:rPr>
                <w:rFonts w:ascii="宋体"/>
                <w:sz w:val="20"/>
              </w:rPr>
              <w:t>65,80</w:t>
            </w:r>
          </w:p>
          <w:p>
            <w:pPr>
              <w:pStyle w:val="TableParagraph"/>
              <w:spacing w:line="247" w:lineRule="exact"/>
              <w:ind w:left="191" w:right="0"/>
              <w:jc w:val="left"/>
              <w:rPr>
                <w:rFonts w:ascii="宋体" w:hAnsi="宋体" w:cs="宋体" w:eastAsia="宋体" w:hint="default"/>
                <w:sz w:val="20"/>
                <w:szCs w:val="20"/>
              </w:rPr>
            </w:pPr>
            <w:r>
              <w:rPr>
                <w:rFonts w:ascii="宋体"/>
                <w:sz w:val="20"/>
              </w:rPr>
              <w:t>6.96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-7,08</w:t>
            </w:r>
          </w:p>
          <w:p>
            <w:pPr>
              <w:pStyle w:val="TableParagraph"/>
              <w:spacing w:line="233" w:lineRule="exact"/>
              <w:ind w:left="93" w:right="0"/>
              <w:jc w:val="left"/>
              <w:rPr>
                <w:rFonts w:ascii="宋体" w:hAnsi="宋体" w:cs="宋体" w:eastAsia="宋体" w:hint="default"/>
                <w:sz w:val="20"/>
                <w:szCs w:val="20"/>
              </w:rPr>
            </w:pPr>
            <w:r>
              <w:rPr>
                <w:rFonts w:ascii="宋体"/>
                <w:sz w:val="20"/>
              </w:rPr>
              <w:t>9,495</w:t>
            </w:r>
          </w:p>
          <w:p>
            <w:pPr>
              <w:pStyle w:val="TableParagraph"/>
              <w:spacing w:line="247" w:lineRule="exact"/>
              <w:ind w:left="292" w:right="0"/>
              <w:jc w:val="left"/>
              <w:rPr>
                <w:rFonts w:ascii="宋体" w:hAnsi="宋体" w:cs="宋体" w:eastAsia="宋体" w:hint="default"/>
                <w:sz w:val="20"/>
                <w:szCs w:val="20"/>
              </w:rPr>
            </w:pPr>
            <w:r>
              <w:rPr>
                <w:rFonts w:ascii="宋体"/>
                <w:sz w:val="20"/>
              </w:rPr>
              <w:t>.06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-31,9</w:t>
            </w:r>
          </w:p>
          <w:p>
            <w:pPr>
              <w:pStyle w:val="TableParagraph"/>
              <w:spacing w:line="233" w:lineRule="exact"/>
              <w:ind w:left="93" w:right="0"/>
              <w:jc w:val="left"/>
              <w:rPr>
                <w:rFonts w:ascii="宋体" w:hAnsi="宋体" w:cs="宋体" w:eastAsia="宋体" w:hint="default"/>
                <w:sz w:val="20"/>
                <w:szCs w:val="20"/>
              </w:rPr>
            </w:pPr>
            <w:r>
              <w:rPr>
                <w:rFonts w:ascii="宋体"/>
                <w:sz w:val="20"/>
              </w:rPr>
              <w:t>14,32</w:t>
            </w:r>
          </w:p>
          <w:p>
            <w:pPr>
              <w:pStyle w:val="TableParagraph"/>
              <w:spacing w:line="247" w:lineRule="exact"/>
              <w:ind w:left="192" w:right="0"/>
              <w:jc w:val="left"/>
              <w:rPr>
                <w:rFonts w:ascii="宋体" w:hAnsi="宋体" w:cs="宋体" w:eastAsia="宋体" w:hint="default"/>
                <w:sz w:val="20"/>
                <w:szCs w:val="20"/>
              </w:rPr>
            </w:pPr>
            <w:r>
              <w:rPr>
                <w:rFonts w:ascii="宋体"/>
                <w:sz w:val="20"/>
              </w:rPr>
              <w:t>9.46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8,742</w:t>
            </w:r>
          </w:p>
          <w:p>
            <w:pPr>
              <w:pStyle w:val="TableParagraph"/>
              <w:spacing w:line="233" w:lineRule="exact"/>
              <w:ind w:left="93" w:right="0"/>
              <w:jc w:val="left"/>
              <w:rPr>
                <w:rFonts w:ascii="宋体" w:hAnsi="宋体" w:cs="宋体" w:eastAsia="宋体" w:hint="default"/>
                <w:sz w:val="20"/>
                <w:szCs w:val="20"/>
              </w:rPr>
            </w:pPr>
            <w:r>
              <w:rPr>
                <w:rFonts w:ascii="宋体"/>
                <w:sz w:val="20"/>
              </w:rPr>
              <w:t>,560.</w:t>
            </w:r>
          </w:p>
          <w:p>
            <w:pPr>
              <w:pStyle w:val="TableParagraph"/>
              <w:spacing w:line="247" w:lineRule="exact"/>
              <w:ind w:left="393" w:right="0"/>
              <w:jc w:val="left"/>
              <w:rPr>
                <w:rFonts w:ascii="宋体" w:hAnsi="宋体" w:cs="宋体" w:eastAsia="宋体" w:hint="default"/>
                <w:sz w:val="20"/>
                <w:szCs w:val="20"/>
              </w:rPr>
            </w:pPr>
            <w:r>
              <w:rPr>
                <w:rFonts w:ascii="宋体"/>
                <w:sz w:val="20"/>
              </w:rPr>
              <w:t>36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-41,7</w:t>
            </w:r>
          </w:p>
          <w:p>
            <w:pPr>
              <w:pStyle w:val="TableParagraph"/>
              <w:spacing w:line="233" w:lineRule="exact"/>
              <w:ind w:left="93" w:right="0"/>
              <w:jc w:val="left"/>
              <w:rPr>
                <w:rFonts w:ascii="宋体" w:hAnsi="宋体" w:cs="宋体" w:eastAsia="宋体" w:hint="default"/>
                <w:sz w:val="20"/>
                <w:szCs w:val="20"/>
              </w:rPr>
            </w:pPr>
            <w:r>
              <w:rPr>
                <w:rFonts w:ascii="宋体"/>
                <w:sz w:val="20"/>
              </w:rPr>
              <w:t>42,56</w:t>
            </w:r>
          </w:p>
          <w:p>
            <w:pPr>
              <w:pStyle w:val="TableParagraph"/>
              <w:spacing w:line="247" w:lineRule="exact"/>
              <w:ind w:left="192" w:right="0"/>
              <w:jc w:val="left"/>
              <w:rPr>
                <w:rFonts w:ascii="宋体" w:hAnsi="宋体" w:cs="宋体" w:eastAsia="宋体" w:hint="default"/>
                <w:sz w:val="20"/>
                <w:szCs w:val="20"/>
              </w:rPr>
            </w:pPr>
            <w:r>
              <w:rPr>
                <w:rFonts w:ascii="宋体"/>
                <w:sz w:val="20"/>
              </w:rPr>
              <w:t>0.36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-4,88</w:t>
            </w:r>
          </w:p>
          <w:p>
            <w:pPr>
              <w:pStyle w:val="TableParagraph"/>
              <w:spacing w:line="233" w:lineRule="exact"/>
              <w:ind w:left="93" w:right="0"/>
              <w:jc w:val="left"/>
              <w:rPr>
                <w:rFonts w:ascii="宋体" w:hAnsi="宋体" w:cs="宋体" w:eastAsia="宋体" w:hint="default"/>
                <w:sz w:val="20"/>
                <w:szCs w:val="20"/>
              </w:rPr>
            </w:pPr>
            <w:r>
              <w:rPr>
                <w:rFonts w:ascii="宋体"/>
                <w:sz w:val="20"/>
              </w:rPr>
              <w:t>6,808</w:t>
            </w:r>
          </w:p>
          <w:p>
            <w:pPr>
              <w:pStyle w:val="TableParagraph"/>
              <w:spacing w:line="247" w:lineRule="exact"/>
              <w:ind w:left="292" w:right="0"/>
              <w:jc w:val="left"/>
              <w:rPr>
                <w:rFonts w:ascii="宋体" w:hAnsi="宋体" w:cs="宋体" w:eastAsia="宋体" w:hint="default"/>
                <w:sz w:val="20"/>
                <w:szCs w:val="20"/>
              </w:rPr>
            </w:pPr>
            <w:r>
              <w:rPr>
                <w:rFonts w:ascii="宋体"/>
                <w:sz w:val="20"/>
              </w:rPr>
              <w:t>.57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-37,8</w:t>
            </w:r>
          </w:p>
          <w:p>
            <w:pPr>
              <w:pStyle w:val="TableParagraph"/>
              <w:spacing w:line="233" w:lineRule="exact"/>
              <w:ind w:left="93" w:right="0"/>
              <w:jc w:val="left"/>
              <w:rPr>
                <w:rFonts w:ascii="宋体" w:hAnsi="宋体" w:cs="宋体" w:eastAsia="宋体" w:hint="default"/>
                <w:sz w:val="20"/>
                <w:szCs w:val="20"/>
              </w:rPr>
            </w:pPr>
            <w:r>
              <w:rPr>
                <w:rFonts w:ascii="宋体"/>
                <w:sz w:val="20"/>
              </w:rPr>
              <w:t>86,80</w:t>
            </w:r>
          </w:p>
          <w:p>
            <w:pPr>
              <w:pStyle w:val="TableParagraph"/>
              <w:spacing w:line="247" w:lineRule="exact"/>
              <w:ind w:left="191" w:right="0"/>
              <w:jc w:val="left"/>
              <w:rPr>
                <w:rFonts w:ascii="宋体" w:hAnsi="宋体" w:cs="宋体" w:eastAsia="宋体" w:hint="default"/>
                <w:sz w:val="20"/>
                <w:szCs w:val="20"/>
              </w:rPr>
            </w:pPr>
            <w:r>
              <w:rPr>
                <w:rFonts w:ascii="宋体"/>
                <w:sz w:val="20"/>
              </w:rPr>
              <w:t>8.57</w:t>
            </w: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12,04</w:t>
            </w:r>
          </w:p>
          <w:p>
            <w:pPr>
              <w:pStyle w:val="TableParagraph"/>
              <w:spacing w:line="233" w:lineRule="exact"/>
              <w:ind w:left="93" w:right="0"/>
              <w:jc w:val="left"/>
              <w:rPr>
                <w:rFonts w:ascii="宋体" w:hAnsi="宋体" w:cs="宋体" w:eastAsia="宋体" w:hint="default"/>
                <w:sz w:val="20"/>
                <w:szCs w:val="20"/>
              </w:rPr>
            </w:pPr>
            <w:r>
              <w:rPr>
                <w:rFonts w:ascii="宋体"/>
                <w:sz w:val="20"/>
              </w:rPr>
              <w:t>0,972</w:t>
            </w:r>
          </w:p>
          <w:p>
            <w:pPr>
              <w:pStyle w:val="TableParagraph"/>
              <w:spacing w:line="247" w:lineRule="exact"/>
              <w:ind w:left="292" w:right="0"/>
              <w:jc w:val="left"/>
              <w:rPr>
                <w:rFonts w:ascii="宋体" w:hAnsi="宋体" w:cs="宋体" w:eastAsia="宋体" w:hint="default"/>
                <w:sz w:val="20"/>
                <w:szCs w:val="20"/>
              </w:rPr>
            </w:pPr>
            <w:r>
              <w:rPr>
                <w:rFonts w:ascii="宋体"/>
                <w:sz w:val="20"/>
              </w:rPr>
              <w:t>.56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-12,0</w:t>
            </w:r>
          </w:p>
          <w:p>
            <w:pPr>
              <w:pStyle w:val="TableParagraph"/>
              <w:spacing w:line="233" w:lineRule="exact"/>
              <w:ind w:left="93" w:right="0"/>
              <w:jc w:val="left"/>
              <w:rPr>
                <w:rFonts w:ascii="宋体" w:hAnsi="宋体" w:cs="宋体" w:eastAsia="宋体" w:hint="default"/>
                <w:sz w:val="20"/>
                <w:szCs w:val="20"/>
              </w:rPr>
            </w:pPr>
            <w:r>
              <w:rPr>
                <w:rFonts w:ascii="宋体"/>
                <w:sz w:val="20"/>
              </w:rPr>
              <w:t>40,97</w:t>
            </w:r>
          </w:p>
          <w:p>
            <w:pPr>
              <w:pStyle w:val="TableParagraph"/>
              <w:spacing w:line="247" w:lineRule="exact"/>
              <w:ind w:left="191" w:right="0"/>
              <w:jc w:val="left"/>
              <w:rPr>
                <w:rFonts w:ascii="宋体" w:hAnsi="宋体" w:cs="宋体" w:eastAsia="宋体" w:hint="default"/>
                <w:sz w:val="20"/>
                <w:szCs w:val="20"/>
              </w:rPr>
            </w:pPr>
            <w:r>
              <w:rPr>
                <w:rFonts w:ascii="宋体"/>
                <w:sz w:val="20"/>
              </w:rPr>
              <w:t>2.56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8,742</w:t>
            </w:r>
          </w:p>
          <w:p>
            <w:pPr>
              <w:pStyle w:val="TableParagraph"/>
              <w:spacing w:line="233" w:lineRule="exact"/>
              <w:ind w:left="93" w:right="0"/>
              <w:jc w:val="left"/>
              <w:rPr>
                <w:rFonts w:ascii="宋体" w:hAnsi="宋体" w:cs="宋体" w:eastAsia="宋体" w:hint="default"/>
                <w:sz w:val="20"/>
                <w:szCs w:val="20"/>
              </w:rPr>
            </w:pPr>
            <w:r>
              <w:rPr>
                <w:rFonts w:ascii="宋体"/>
                <w:sz w:val="20"/>
              </w:rPr>
              <w:t>,560.</w:t>
            </w:r>
          </w:p>
          <w:p>
            <w:pPr>
              <w:pStyle w:val="TableParagraph"/>
              <w:spacing w:line="247" w:lineRule="exact"/>
              <w:ind w:left="393" w:right="0"/>
              <w:jc w:val="left"/>
              <w:rPr>
                <w:rFonts w:ascii="宋体" w:hAnsi="宋体" w:cs="宋体" w:eastAsia="宋体" w:hint="default"/>
                <w:sz w:val="20"/>
                <w:szCs w:val="20"/>
              </w:rPr>
            </w:pPr>
            <w:r>
              <w:rPr>
                <w:rFonts w:ascii="宋体"/>
                <w:sz w:val="20"/>
              </w:rPr>
              <w:t>36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93" w:right="0"/>
              <w:jc w:val="left"/>
              <w:rPr>
                <w:rFonts w:ascii="宋体" w:hAnsi="宋体" w:cs="宋体" w:eastAsia="宋体" w:hint="default"/>
                <w:sz w:val="20"/>
                <w:szCs w:val="20"/>
              </w:rPr>
            </w:pPr>
            <w:r>
              <w:rPr>
                <w:rFonts w:ascii="宋体"/>
                <w:sz w:val="20"/>
              </w:rPr>
              <w:t>-8,74</w:t>
            </w:r>
          </w:p>
          <w:p>
            <w:pPr>
              <w:pStyle w:val="TableParagraph"/>
              <w:spacing w:line="233" w:lineRule="exact"/>
              <w:ind w:left="93" w:right="0"/>
              <w:jc w:val="left"/>
              <w:rPr>
                <w:rFonts w:ascii="宋体" w:hAnsi="宋体" w:cs="宋体" w:eastAsia="宋体" w:hint="default"/>
                <w:sz w:val="20"/>
                <w:szCs w:val="20"/>
              </w:rPr>
            </w:pPr>
            <w:r>
              <w:rPr>
                <w:rFonts w:ascii="宋体"/>
                <w:sz w:val="20"/>
              </w:rPr>
              <w:t>2,560</w:t>
            </w:r>
          </w:p>
          <w:p>
            <w:pPr>
              <w:pStyle w:val="TableParagraph"/>
              <w:spacing w:line="247" w:lineRule="exact"/>
              <w:ind w:left="292" w:right="0"/>
              <w:jc w:val="left"/>
              <w:rPr>
                <w:rFonts w:ascii="宋体" w:hAnsi="宋体" w:cs="宋体" w:eastAsia="宋体" w:hint="default"/>
                <w:sz w:val="20"/>
                <w:szCs w:val="20"/>
              </w:rPr>
            </w:pPr>
            <w:r>
              <w:rPr>
                <w:rFonts w:ascii="宋体"/>
                <w:sz w:val="20"/>
              </w:rPr>
              <w:t>.36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42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．提取一般风险准</w:t>
            </w:r>
          </w:p>
          <w:p>
            <w:pPr>
              <w:pStyle w:val="TableParagraph"/>
              <w:spacing w:line="248"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75" w:firstLine="40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．对所有者（或股</w:t>
            </w:r>
            <w:r>
              <w:rPr>
                <w:rFonts w:ascii="宋体" w:hAnsi="宋体" w:cs="宋体" w:eastAsia="宋体" w:hint="default"/>
                <w:w w:val="99"/>
                <w:sz w:val="20"/>
                <w:szCs w:val="20"/>
              </w:rPr>
              <w:t> </w:t>
            </w:r>
            <w:r>
              <w:rPr>
                <w:rFonts w:ascii="宋体" w:hAnsi="宋体" w:cs="宋体" w:eastAsia="宋体" w:hint="default"/>
                <w:sz w:val="20"/>
                <w:szCs w:val="20"/>
              </w:rPr>
              <w:t>东）的分配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93" w:right="0"/>
              <w:jc w:val="left"/>
              <w:rPr>
                <w:rFonts w:ascii="宋体" w:hAnsi="宋体" w:cs="宋体" w:eastAsia="宋体" w:hint="default"/>
                <w:sz w:val="20"/>
                <w:szCs w:val="20"/>
              </w:rPr>
            </w:pPr>
            <w:r>
              <w:rPr>
                <w:rFonts w:ascii="宋体"/>
                <w:sz w:val="20"/>
              </w:rPr>
              <w:t>-24,8</w:t>
            </w:r>
          </w:p>
          <w:p>
            <w:pPr>
              <w:pStyle w:val="TableParagraph"/>
              <w:spacing w:line="234" w:lineRule="exact"/>
              <w:ind w:left="93" w:right="0"/>
              <w:jc w:val="left"/>
              <w:rPr>
                <w:rFonts w:ascii="宋体" w:hAnsi="宋体" w:cs="宋体" w:eastAsia="宋体" w:hint="default"/>
                <w:sz w:val="20"/>
                <w:szCs w:val="20"/>
              </w:rPr>
            </w:pPr>
            <w:r>
              <w:rPr>
                <w:rFonts w:ascii="宋体"/>
                <w:sz w:val="20"/>
              </w:rPr>
              <w:t>24,83</w:t>
            </w:r>
          </w:p>
          <w:p>
            <w:pPr>
              <w:pStyle w:val="TableParagraph"/>
              <w:spacing w:line="247" w:lineRule="exact"/>
              <w:ind w:left="191" w:right="0"/>
              <w:jc w:val="left"/>
              <w:rPr>
                <w:rFonts w:ascii="宋体" w:hAnsi="宋体" w:cs="宋体" w:eastAsia="宋体" w:hint="default"/>
                <w:sz w:val="20"/>
                <w:szCs w:val="20"/>
              </w:rPr>
            </w:pPr>
            <w:r>
              <w:rPr>
                <w:rFonts w:ascii="宋体"/>
                <w:sz w:val="20"/>
              </w:rPr>
              <w:t>4.40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93" w:right="0"/>
              <w:jc w:val="left"/>
              <w:rPr>
                <w:rFonts w:ascii="宋体" w:hAnsi="宋体" w:cs="宋体" w:eastAsia="宋体" w:hint="default"/>
                <w:sz w:val="20"/>
                <w:szCs w:val="20"/>
              </w:rPr>
            </w:pPr>
            <w:r>
              <w:rPr>
                <w:rFonts w:ascii="宋体"/>
                <w:sz w:val="20"/>
              </w:rPr>
              <w:t>-7,08</w:t>
            </w:r>
          </w:p>
          <w:p>
            <w:pPr>
              <w:pStyle w:val="TableParagraph"/>
              <w:spacing w:line="234" w:lineRule="exact"/>
              <w:ind w:left="93" w:right="0"/>
              <w:jc w:val="left"/>
              <w:rPr>
                <w:rFonts w:ascii="宋体" w:hAnsi="宋体" w:cs="宋体" w:eastAsia="宋体" w:hint="default"/>
                <w:sz w:val="20"/>
                <w:szCs w:val="20"/>
              </w:rPr>
            </w:pPr>
            <w:r>
              <w:rPr>
                <w:rFonts w:ascii="宋体"/>
                <w:sz w:val="20"/>
              </w:rPr>
              <w:t>9,495</w:t>
            </w:r>
          </w:p>
          <w:p>
            <w:pPr>
              <w:pStyle w:val="TableParagraph"/>
              <w:spacing w:line="247" w:lineRule="exact"/>
              <w:ind w:left="292" w:right="0"/>
              <w:jc w:val="left"/>
              <w:rPr>
                <w:rFonts w:ascii="宋体" w:hAnsi="宋体" w:cs="宋体" w:eastAsia="宋体" w:hint="default"/>
                <w:sz w:val="20"/>
                <w:szCs w:val="20"/>
              </w:rPr>
            </w:pPr>
            <w:r>
              <w:rPr>
                <w:rFonts w:ascii="宋体"/>
                <w:sz w:val="20"/>
              </w:rPr>
              <w:t>.06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93" w:right="0"/>
              <w:jc w:val="left"/>
              <w:rPr>
                <w:rFonts w:ascii="宋体" w:hAnsi="宋体" w:cs="宋体" w:eastAsia="宋体" w:hint="default"/>
                <w:sz w:val="20"/>
                <w:szCs w:val="20"/>
              </w:rPr>
            </w:pPr>
            <w:r>
              <w:rPr>
                <w:rFonts w:ascii="宋体"/>
                <w:sz w:val="20"/>
              </w:rPr>
              <w:t>-31,9</w:t>
            </w:r>
          </w:p>
          <w:p>
            <w:pPr>
              <w:pStyle w:val="TableParagraph"/>
              <w:spacing w:line="234" w:lineRule="exact"/>
              <w:ind w:left="93" w:right="0"/>
              <w:jc w:val="left"/>
              <w:rPr>
                <w:rFonts w:ascii="宋体" w:hAnsi="宋体" w:cs="宋体" w:eastAsia="宋体" w:hint="default"/>
                <w:sz w:val="20"/>
                <w:szCs w:val="20"/>
              </w:rPr>
            </w:pPr>
            <w:r>
              <w:rPr>
                <w:rFonts w:ascii="宋体"/>
                <w:sz w:val="20"/>
              </w:rPr>
              <w:t>14,32</w:t>
            </w:r>
          </w:p>
          <w:p>
            <w:pPr>
              <w:pStyle w:val="TableParagraph"/>
              <w:spacing w:line="247" w:lineRule="exact"/>
              <w:ind w:left="192" w:right="0"/>
              <w:jc w:val="left"/>
              <w:rPr>
                <w:rFonts w:ascii="宋体" w:hAnsi="宋体" w:cs="宋体" w:eastAsia="宋体" w:hint="default"/>
                <w:sz w:val="20"/>
                <w:szCs w:val="20"/>
              </w:rPr>
            </w:pPr>
            <w:r>
              <w:rPr>
                <w:rFonts w:ascii="宋体"/>
                <w:sz w:val="20"/>
              </w:rPr>
              <w:t>9.46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93" w:right="0"/>
              <w:jc w:val="left"/>
              <w:rPr>
                <w:rFonts w:ascii="宋体" w:hAnsi="宋体" w:cs="宋体" w:eastAsia="宋体" w:hint="default"/>
                <w:sz w:val="20"/>
                <w:szCs w:val="20"/>
              </w:rPr>
            </w:pPr>
            <w:r>
              <w:rPr>
                <w:rFonts w:ascii="宋体"/>
                <w:sz w:val="20"/>
              </w:rPr>
              <w:t>-33,0</w:t>
            </w:r>
          </w:p>
          <w:p>
            <w:pPr>
              <w:pStyle w:val="TableParagraph"/>
              <w:spacing w:line="234" w:lineRule="exact"/>
              <w:ind w:left="93" w:right="0"/>
              <w:jc w:val="left"/>
              <w:rPr>
                <w:rFonts w:ascii="宋体" w:hAnsi="宋体" w:cs="宋体" w:eastAsia="宋体" w:hint="default"/>
                <w:sz w:val="20"/>
                <w:szCs w:val="20"/>
              </w:rPr>
            </w:pPr>
            <w:r>
              <w:rPr>
                <w:rFonts w:ascii="宋体"/>
                <w:sz w:val="20"/>
              </w:rPr>
              <w:t>00,00</w:t>
            </w:r>
          </w:p>
          <w:p>
            <w:pPr>
              <w:pStyle w:val="TableParagraph"/>
              <w:spacing w:line="247" w:lineRule="exact"/>
              <w:ind w:left="192" w:right="0"/>
              <w:jc w:val="left"/>
              <w:rPr>
                <w:rFonts w:ascii="宋体" w:hAnsi="宋体" w:cs="宋体" w:eastAsia="宋体" w:hint="default"/>
                <w:sz w:val="20"/>
                <w:szCs w:val="20"/>
              </w:rPr>
            </w:pPr>
            <w:r>
              <w:rPr>
                <w:rFonts w:ascii="宋体"/>
                <w:sz w:val="20"/>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93" w:right="0"/>
              <w:jc w:val="left"/>
              <w:rPr>
                <w:rFonts w:ascii="宋体" w:hAnsi="宋体" w:cs="宋体" w:eastAsia="宋体" w:hint="default"/>
                <w:sz w:val="20"/>
                <w:szCs w:val="20"/>
              </w:rPr>
            </w:pPr>
            <w:r>
              <w:rPr>
                <w:rFonts w:ascii="宋体"/>
                <w:sz w:val="20"/>
              </w:rPr>
              <w:t>-4,88</w:t>
            </w:r>
          </w:p>
          <w:p>
            <w:pPr>
              <w:pStyle w:val="TableParagraph"/>
              <w:spacing w:line="234" w:lineRule="exact"/>
              <w:ind w:left="93" w:right="0"/>
              <w:jc w:val="left"/>
              <w:rPr>
                <w:rFonts w:ascii="宋体" w:hAnsi="宋体" w:cs="宋体" w:eastAsia="宋体" w:hint="default"/>
                <w:sz w:val="20"/>
                <w:szCs w:val="20"/>
              </w:rPr>
            </w:pPr>
            <w:r>
              <w:rPr>
                <w:rFonts w:ascii="宋体"/>
                <w:sz w:val="20"/>
              </w:rPr>
              <w:t>6,808</w:t>
            </w:r>
          </w:p>
          <w:p>
            <w:pPr>
              <w:pStyle w:val="TableParagraph"/>
              <w:spacing w:line="247" w:lineRule="exact"/>
              <w:ind w:left="292" w:right="0"/>
              <w:jc w:val="left"/>
              <w:rPr>
                <w:rFonts w:ascii="宋体" w:hAnsi="宋体" w:cs="宋体" w:eastAsia="宋体" w:hint="default"/>
                <w:sz w:val="20"/>
                <w:szCs w:val="20"/>
              </w:rPr>
            </w:pPr>
            <w:r>
              <w:rPr>
                <w:rFonts w:ascii="宋体"/>
                <w:sz w:val="20"/>
              </w:rPr>
              <w:t>.57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93" w:right="0"/>
              <w:jc w:val="left"/>
              <w:rPr>
                <w:rFonts w:ascii="宋体" w:hAnsi="宋体" w:cs="宋体" w:eastAsia="宋体" w:hint="default"/>
                <w:sz w:val="20"/>
                <w:szCs w:val="20"/>
              </w:rPr>
            </w:pPr>
            <w:r>
              <w:rPr>
                <w:rFonts w:ascii="宋体"/>
                <w:sz w:val="20"/>
              </w:rPr>
              <w:t>-37,8</w:t>
            </w:r>
          </w:p>
          <w:p>
            <w:pPr>
              <w:pStyle w:val="TableParagraph"/>
              <w:spacing w:line="234" w:lineRule="exact"/>
              <w:ind w:left="93" w:right="0"/>
              <w:jc w:val="left"/>
              <w:rPr>
                <w:rFonts w:ascii="宋体" w:hAnsi="宋体" w:cs="宋体" w:eastAsia="宋体" w:hint="default"/>
                <w:sz w:val="20"/>
                <w:szCs w:val="20"/>
              </w:rPr>
            </w:pPr>
            <w:r>
              <w:rPr>
                <w:rFonts w:ascii="宋体"/>
                <w:sz w:val="20"/>
              </w:rPr>
              <w:t>86,80</w:t>
            </w:r>
          </w:p>
          <w:p>
            <w:pPr>
              <w:pStyle w:val="TableParagraph"/>
              <w:spacing w:line="247" w:lineRule="exact"/>
              <w:ind w:left="191" w:right="0"/>
              <w:jc w:val="left"/>
              <w:rPr>
                <w:rFonts w:ascii="宋体" w:hAnsi="宋体" w:cs="宋体" w:eastAsia="宋体" w:hint="default"/>
                <w:sz w:val="20"/>
                <w:szCs w:val="20"/>
              </w:rPr>
            </w:pPr>
            <w:r>
              <w:rPr>
                <w:rFonts w:ascii="宋体"/>
                <w:sz w:val="20"/>
              </w:rPr>
              <w:t>8.57</w:t>
            </w: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4"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9" w:firstLine="201"/>
              <w:jc w:val="left"/>
              <w:rPr>
                <w:rFonts w:ascii="宋体" w:hAnsi="宋体" w:cs="宋体" w:eastAsia="宋体" w:hint="default"/>
                <w:sz w:val="20"/>
                <w:szCs w:val="20"/>
              </w:rPr>
            </w:pPr>
            <w:r>
              <w:rPr>
                <w:rFonts w:ascii="宋体" w:hAnsi="宋体" w:cs="宋体" w:eastAsia="宋体" w:hint="default"/>
                <w:spacing w:val="-5"/>
                <w:sz w:val="20"/>
                <w:szCs w:val="20"/>
              </w:rPr>
              <w:t>（五）所有者权益内部</w:t>
            </w:r>
            <w:r>
              <w:rPr>
                <w:rFonts w:ascii="宋体" w:hAnsi="宋体" w:cs="宋体" w:eastAsia="宋体" w:hint="default"/>
                <w:w w:val="99"/>
                <w:sz w:val="20"/>
                <w:szCs w:val="20"/>
              </w:rPr>
              <w:t> </w:t>
            </w:r>
            <w:r>
              <w:rPr>
                <w:rFonts w:ascii="宋体" w:hAnsi="宋体" w:cs="宋体" w:eastAsia="宋体" w:hint="default"/>
                <w:sz w:val="20"/>
                <w:szCs w:val="20"/>
              </w:rPr>
              <w:t>结转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8"/>
              <w:jc w:val="right"/>
              <w:rPr>
                <w:rFonts w:ascii="宋体" w:hAnsi="宋体" w:cs="宋体" w:eastAsia="宋体" w:hint="default"/>
                <w:sz w:val="20"/>
                <w:szCs w:val="20"/>
              </w:rPr>
            </w:pPr>
            <w:r>
              <w:rPr>
                <w:rFonts w:ascii="宋体"/>
                <w:w w:val="95"/>
                <w:sz w:val="20"/>
              </w:rPr>
              <w:t>-164,</w:t>
            </w:r>
            <w:r>
              <w:rPr>
                <w:rFonts w:ascii="宋体"/>
                <w:sz w:val="20"/>
              </w:rPr>
            </w:r>
          </w:p>
          <w:p>
            <w:pPr>
              <w:pStyle w:val="TableParagraph"/>
              <w:spacing w:line="233" w:lineRule="exact"/>
              <w:ind w:right="19"/>
              <w:jc w:val="right"/>
              <w:rPr>
                <w:rFonts w:ascii="宋体" w:hAnsi="宋体" w:cs="宋体" w:eastAsia="宋体" w:hint="default"/>
                <w:sz w:val="20"/>
                <w:szCs w:val="20"/>
              </w:rPr>
            </w:pPr>
            <w:r>
              <w:rPr>
                <w:rFonts w:ascii="宋体"/>
                <w:w w:val="95"/>
                <w:sz w:val="20"/>
              </w:rPr>
              <w:t>125.0</w:t>
            </w:r>
            <w:r>
              <w:rPr>
                <w:rFonts w:ascii="宋体"/>
                <w:sz w:val="20"/>
              </w:rPr>
            </w:r>
          </w:p>
          <w:p>
            <w:pPr>
              <w:pStyle w:val="TableParagraph"/>
              <w:spacing w:line="247" w:lineRule="exact"/>
              <w:ind w:right="20"/>
              <w:jc w:val="right"/>
              <w:rPr>
                <w:rFonts w:ascii="宋体" w:hAnsi="宋体" w:cs="宋体" w:eastAsia="宋体" w:hint="default"/>
                <w:sz w:val="20"/>
                <w:szCs w:val="20"/>
              </w:rPr>
            </w:pPr>
            <w:r>
              <w:rPr>
                <w:rFonts w:ascii="宋体"/>
                <w:w w:val="99"/>
                <w:sz w:val="20"/>
              </w:rPr>
              <w:t>1</w:t>
            </w:r>
            <w:r>
              <w:rPr>
                <w:rFonts w:ascii="宋体"/>
                <w:sz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218,8</w:t>
            </w:r>
          </w:p>
          <w:p>
            <w:pPr>
              <w:pStyle w:val="TableParagraph"/>
              <w:spacing w:line="247" w:lineRule="exact"/>
              <w:ind w:left="93" w:right="0"/>
              <w:jc w:val="left"/>
              <w:rPr>
                <w:rFonts w:ascii="宋体" w:hAnsi="宋体" w:cs="宋体" w:eastAsia="宋体" w:hint="default"/>
                <w:sz w:val="20"/>
                <w:szCs w:val="20"/>
              </w:rPr>
            </w:pPr>
            <w:r>
              <w:rPr>
                <w:rFonts w:ascii="宋体"/>
                <w:sz w:val="20"/>
              </w:rPr>
              <w:t>33.35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-54,7</w:t>
            </w:r>
          </w:p>
          <w:p>
            <w:pPr>
              <w:pStyle w:val="TableParagraph"/>
              <w:spacing w:line="247" w:lineRule="exact"/>
              <w:ind w:left="93" w:right="0"/>
              <w:jc w:val="left"/>
              <w:rPr>
                <w:rFonts w:ascii="宋体" w:hAnsi="宋体" w:cs="宋体" w:eastAsia="宋体" w:hint="default"/>
                <w:sz w:val="20"/>
                <w:szCs w:val="20"/>
              </w:rPr>
            </w:pPr>
            <w:r>
              <w:rPr>
                <w:rFonts w:ascii="宋体"/>
                <w:sz w:val="20"/>
              </w:rPr>
              <w:t>08.34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4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．资本公积转增资</w:t>
            </w:r>
          </w:p>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sz w:val="20"/>
                <w:szCs w:val="20"/>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2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．盈余公积转增资</w:t>
            </w:r>
          </w:p>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sz w:val="20"/>
                <w:szCs w:val="20"/>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42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w:t>
            </w:r>
          </w:p>
          <w:p>
            <w:pPr>
              <w:pStyle w:val="TableParagraph"/>
              <w:spacing w:line="248" w:lineRule="exact"/>
              <w:ind w:left="24" w:right="0"/>
              <w:jc w:val="left"/>
              <w:rPr>
                <w:rFonts w:ascii="宋体" w:hAnsi="宋体" w:cs="宋体" w:eastAsia="宋体" w:hint="default"/>
                <w:sz w:val="20"/>
                <w:szCs w:val="20"/>
              </w:rPr>
            </w:pPr>
            <w:r>
              <w:rPr>
                <w:rFonts w:ascii="宋体" w:hAnsi="宋体" w:cs="宋体" w:eastAsia="宋体" w:hint="default"/>
                <w:w w:val="99"/>
                <w:sz w:val="20"/>
                <w:szCs w:val="20"/>
              </w:rPr>
              <w:t>损</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24"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8"/>
              <w:jc w:val="right"/>
              <w:rPr>
                <w:rFonts w:ascii="宋体" w:hAnsi="宋体" w:cs="宋体" w:eastAsia="宋体" w:hint="default"/>
                <w:sz w:val="20"/>
                <w:szCs w:val="20"/>
              </w:rPr>
            </w:pPr>
            <w:r>
              <w:rPr>
                <w:rFonts w:ascii="宋体"/>
                <w:w w:val="95"/>
                <w:sz w:val="20"/>
              </w:rPr>
              <w:t>-164,</w:t>
            </w:r>
            <w:r>
              <w:rPr>
                <w:rFonts w:ascii="宋体"/>
                <w:sz w:val="20"/>
              </w:rPr>
            </w:r>
          </w:p>
          <w:p>
            <w:pPr>
              <w:pStyle w:val="TableParagraph"/>
              <w:spacing w:line="233" w:lineRule="exact"/>
              <w:ind w:right="19"/>
              <w:jc w:val="right"/>
              <w:rPr>
                <w:rFonts w:ascii="宋体" w:hAnsi="宋体" w:cs="宋体" w:eastAsia="宋体" w:hint="default"/>
                <w:sz w:val="20"/>
                <w:szCs w:val="20"/>
              </w:rPr>
            </w:pPr>
            <w:r>
              <w:rPr>
                <w:rFonts w:ascii="宋体"/>
                <w:w w:val="95"/>
                <w:sz w:val="20"/>
              </w:rPr>
              <w:t>125.0</w:t>
            </w:r>
            <w:r>
              <w:rPr>
                <w:rFonts w:ascii="宋体"/>
                <w:sz w:val="20"/>
              </w:rPr>
            </w:r>
          </w:p>
          <w:p>
            <w:pPr>
              <w:pStyle w:val="TableParagraph"/>
              <w:spacing w:line="247" w:lineRule="exact"/>
              <w:ind w:right="20"/>
              <w:jc w:val="right"/>
              <w:rPr>
                <w:rFonts w:ascii="宋体" w:hAnsi="宋体" w:cs="宋体" w:eastAsia="宋体" w:hint="default"/>
                <w:sz w:val="20"/>
                <w:szCs w:val="20"/>
              </w:rPr>
            </w:pPr>
            <w:r>
              <w:rPr>
                <w:rFonts w:ascii="宋体"/>
                <w:w w:val="99"/>
                <w:sz w:val="20"/>
              </w:rPr>
              <w:t>1</w:t>
            </w:r>
            <w:r>
              <w:rPr>
                <w:rFonts w:ascii="宋体"/>
                <w:sz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218,8</w:t>
            </w:r>
          </w:p>
          <w:p>
            <w:pPr>
              <w:pStyle w:val="TableParagraph"/>
              <w:spacing w:line="247" w:lineRule="exact"/>
              <w:ind w:left="93" w:right="0"/>
              <w:jc w:val="left"/>
              <w:rPr>
                <w:rFonts w:ascii="宋体" w:hAnsi="宋体" w:cs="宋体" w:eastAsia="宋体" w:hint="default"/>
                <w:sz w:val="20"/>
                <w:szCs w:val="20"/>
              </w:rPr>
            </w:pPr>
            <w:r>
              <w:rPr>
                <w:rFonts w:ascii="宋体"/>
                <w:sz w:val="20"/>
              </w:rPr>
              <w:t>33.35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64"/>
              <w:ind w:left="93" w:right="0"/>
              <w:jc w:val="left"/>
              <w:rPr>
                <w:rFonts w:ascii="宋体" w:hAnsi="宋体" w:cs="宋体" w:eastAsia="宋体" w:hint="default"/>
                <w:sz w:val="20"/>
                <w:szCs w:val="20"/>
              </w:rPr>
            </w:pPr>
            <w:r>
              <w:rPr>
                <w:rFonts w:ascii="宋体"/>
                <w:sz w:val="20"/>
              </w:rPr>
              <w:t>-54,7</w:t>
            </w:r>
          </w:p>
          <w:p>
            <w:pPr>
              <w:pStyle w:val="TableParagraph"/>
              <w:spacing w:line="247" w:lineRule="exact"/>
              <w:ind w:left="93" w:right="0"/>
              <w:jc w:val="left"/>
              <w:rPr>
                <w:rFonts w:ascii="宋体" w:hAnsi="宋体" w:cs="宋体" w:eastAsia="宋体" w:hint="default"/>
                <w:sz w:val="20"/>
                <w:szCs w:val="20"/>
              </w:rPr>
            </w:pPr>
            <w:r>
              <w:rPr>
                <w:rFonts w:ascii="宋体"/>
                <w:sz w:val="20"/>
              </w:rPr>
              <w:t>08.34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5"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4"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5"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126,4</w:t>
            </w:r>
          </w:p>
          <w:p>
            <w:pPr>
              <w:pStyle w:val="TableParagraph"/>
              <w:spacing w:line="234" w:lineRule="exact"/>
              <w:ind w:left="93" w:right="0"/>
              <w:jc w:val="left"/>
              <w:rPr>
                <w:rFonts w:ascii="宋体" w:hAnsi="宋体" w:cs="宋体" w:eastAsia="宋体" w:hint="default"/>
                <w:sz w:val="20"/>
                <w:szCs w:val="20"/>
              </w:rPr>
            </w:pPr>
            <w:r>
              <w:rPr>
                <w:rFonts w:ascii="宋体"/>
                <w:sz w:val="20"/>
              </w:rPr>
              <w:t>14,17</w:t>
            </w:r>
          </w:p>
          <w:p>
            <w:pPr>
              <w:pStyle w:val="TableParagraph"/>
              <w:spacing w:line="247" w:lineRule="exact"/>
              <w:ind w:left="191" w:right="0"/>
              <w:jc w:val="left"/>
              <w:rPr>
                <w:rFonts w:ascii="宋体" w:hAnsi="宋体" w:cs="宋体" w:eastAsia="宋体" w:hint="default"/>
                <w:sz w:val="20"/>
                <w:szCs w:val="20"/>
              </w:rPr>
            </w:pPr>
            <w:r>
              <w:rPr>
                <w:rFonts w:ascii="宋体"/>
                <w:sz w:val="20"/>
              </w:rPr>
              <w:t>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600,1</w:t>
            </w:r>
          </w:p>
          <w:p>
            <w:pPr>
              <w:pStyle w:val="TableParagraph"/>
              <w:spacing w:line="234" w:lineRule="exact"/>
              <w:ind w:left="93" w:right="0"/>
              <w:jc w:val="left"/>
              <w:rPr>
                <w:rFonts w:ascii="宋体" w:hAnsi="宋体" w:cs="宋体" w:eastAsia="宋体" w:hint="default"/>
                <w:sz w:val="20"/>
                <w:szCs w:val="20"/>
              </w:rPr>
            </w:pPr>
            <w:r>
              <w:rPr>
                <w:rFonts w:ascii="宋体"/>
                <w:sz w:val="20"/>
              </w:rPr>
              <w:t>25,27</w:t>
            </w:r>
          </w:p>
          <w:p>
            <w:pPr>
              <w:pStyle w:val="TableParagraph"/>
              <w:spacing w:line="247" w:lineRule="exact"/>
              <w:ind w:left="191" w:right="0"/>
              <w:jc w:val="left"/>
              <w:rPr>
                <w:rFonts w:ascii="宋体" w:hAnsi="宋体" w:cs="宋体" w:eastAsia="宋体" w:hint="default"/>
                <w:sz w:val="20"/>
                <w:szCs w:val="20"/>
              </w:rPr>
            </w:pPr>
            <w:r>
              <w:rPr>
                <w:rFonts w:ascii="宋体"/>
                <w:sz w:val="20"/>
              </w:rPr>
              <w:t>8.69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75,24</w:t>
            </w:r>
          </w:p>
          <w:p>
            <w:pPr>
              <w:pStyle w:val="TableParagraph"/>
              <w:spacing w:line="234" w:lineRule="exact"/>
              <w:ind w:left="93" w:right="0"/>
              <w:jc w:val="left"/>
              <w:rPr>
                <w:rFonts w:ascii="宋体" w:hAnsi="宋体" w:cs="宋体" w:eastAsia="宋体" w:hint="default"/>
                <w:sz w:val="20"/>
                <w:szCs w:val="20"/>
              </w:rPr>
            </w:pPr>
            <w:r>
              <w:rPr>
                <w:rFonts w:ascii="宋体"/>
                <w:sz w:val="20"/>
              </w:rPr>
              <w:t>7,802</w:t>
            </w:r>
          </w:p>
          <w:p>
            <w:pPr>
              <w:pStyle w:val="TableParagraph"/>
              <w:spacing w:line="247" w:lineRule="exact"/>
              <w:ind w:left="292" w:right="0"/>
              <w:jc w:val="left"/>
              <w:rPr>
                <w:rFonts w:ascii="宋体" w:hAnsi="宋体" w:cs="宋体" w:eastAsia="宋体" w:hint="default"/>
                <w:sz w:val="20"/>
                <w:szCs w:val="20"/>
              </w:rPr>
            </w:pPr>
            <w:r>
              <w:rPr>
                <w:rFonts w:ascii="宋体"/>
                <w:sz w:val="20"/>
              </w:rPr>
              <w:t>.48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247,7</w:t>
            </w:r>
          </w:p>
          <w:p>
            <w:pPr>
              <w:pStyle w:val="TableParagraph"/>
              <w:spacing w:line="234" w:lineRule="exact"/>
              <w:ind w:left="93" w:right="0"/>
              <w:jc w:val="left"/>
              <w:rPr>
                <w:rFonts w:ascii="宋体" w:hAnsi="宋体" w:cs="宋体" w:eastAsia="宋体" w:hint="default"/>
                <w:sz w:val="20"/>
                <w:szCs w:val="20"/>
              </w:rPr>
            </w:pPr>
            <w:r>
              <w:rPr>
                <w:rFonts w:ascii="宋体"/>
                <w:sz w:val="20"/>
              </w:rPr>
              <w:t>54,59</w:t>
            </w:r>
          </w:p>
          <w:p>
            <w:pPr>
              <w:pStyle w:val="TableParagraph"/>
              <w:spacing w:line="247" w:lineRule="exact"/>
              <w:ind w:left="191" w:right="0"/>
              <w:jc w:val="left"/>
              <w:rPr>
                <w:rFonts w:ascii="宋体" w:hAnsi="宋体" w:cs="宋体" w:eastAsia="宋体" w:hint="default"/>
                <w:sz w:val="20"/>
                <w:szCs w:val="20"/>
              </w:rPr>
            </w:pPr>
            <w:r>
              <w:rPr>
                <w:rFonts w:ascii="宋体"/>
                <w:sz w:val="20"/>
              </w:rPr>
              <w:t>9.37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48,39</w:t>
            </w:r>
          </w:p>
          <w:p>
            <w:pPr>
              <w:pStyle w:val="TableParagraph"/>
              <w:spacing w:line="234" w:lineRule="exact"/>
              <w:ind w:left="93" w:right="0"/>
              <w:jc w:val="left"/>
              <w:rPr>
                <w:rFonts w:ascii="宋体" w:hAnsi="宋体" w:cs="宋体" w:eastAsia="宋体" w:hint="default"/>
                <w:sz w:val="20"/>
                <w:szCs w:val="20"/>
              </w:rPr>
            </w:pPr>
            <w:r>
              <w:rPr>
                <w:rFonts w:ascii="宋体"/>
                <w:sz w:val="20"/>
              </w:rPr>
              <w:t>5,177</w:t>
            </w:r>
          </w:p>
          <w:p>
            <w:pPr>
              <w:pStyle w:val="TableParagraph"/>
              <w:spacing w:line="247" w:lineRule="exact"/>
              <w:ind w:left="292" w:right="0"/>
              <w:jc w:val="left"/>
              <w:rPr>
                <w:rFonts w:ascii="宋体" w:hAnsi="宋体" w:cs="宋体" w:eastAsia="宋体" w:hint="default"/>
                <w:sz w:val="20"/>
                <w:szCs w:val="20"/>
              </w:rPr>
            </w:pPr>
            <w:r>
              <w:rPr>
                <w:rFonts w:ascii="宋体"/>
                <w:sz w:val="20"/>
              </w:rPr>
              <w:t>.84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93" w:right="0"/>
              <w:jc w:val="left"/>
              <w:rPr>
                <w:rFonts w:ascii="宋体" w:hAnsi="宋体" w:cs="宋体" w:eastAsia="宋体" w:hint="default"/>
                <w:sz w:val="20"/>
                <w:szCs w:val="20"/>
              </w:rPr>
            </w:pPr>
            <w:r>
              <w:rPr>
                <w:rFonts w:ascii="宋体"/>
                <w:sz w:val="20"/>
              </w:rPr>
              <w:t>1,097</w:t>
            </w:r>
          </w:p>
          <w:p>
            <w:pPr>
              <w:pStyle w:val="TableParagraph"/>
              <w:spacing w:line="233" w:lineRule="exact"/>
              <w:ind w:left="93" w:right="0"/>
              <w:jc w:val="left"/>
              <w:rPr>
                <w:rFonts w:ascii="宋体" w:hAnsi="宋体" w:cs="宋体" w:eastAsia="宋体" w:hint="default"/>
                <w:sz w:val="20"/>
                <w:szCs w:val="20"/>
              </w:rPr>
            </w:pPr>
            <w:r>
              <w:rPr>
                <w:rFonts w:ascii="宋体"/>
                <w:sz w:val="20"/>
              </w:rPr>
              <w:t>,937,</w:t>
            </w:r>
          </w:p>
          <w:p>
            <w:pPr>
              <w:pStyle w:val="TableParagraph"/>
              <w:spacing w:line="233" w:lineRule="exact"/>
              <w:ind w:left="93" w:right="0"/>
              <w:jc w:val="left"/>
              <w:rPr>
                <w:rFonts w:ascii="宋体" w:hAnsi="宋体" w:cs="宋体" w:eastAsia="宋体" w:hint="default"/>
                <w:sz w:val="20"/>
                <w:szCs w:val="20"/>
              </w:rPr>
            </w:pPr>
            <w:r>
              <w:rPr>
                <w:rFonts w:ascii="宋体"/>
                <w:sz w:val="20"/>
              </w:rPr>
              <w:t>030.3</w:t>
            </w:r>
          </w:p>
          <w:p>
            <w:pPr>
              <w:pStyle w:val="TableParagraph"/>
              <w:spacing w:line="247" w:lineRule="exact"/>
              <w:ind w:right="20"/>
              <w:jc w:val="right"/>
              <w:rPr>
                <w:rFonts w:ascii="宋体" w:hAnsi="宋体" w:cs="宋体" w:eastAsia="宋体" w:hint="default"/>
                <w:sz w:val="20"/>
                <w:szCs w:val="20"/>
              </w:rPr>
            </w:pPr>
            <w:r>
              <w:rPr>
                <w:rFonts w:ascii="宋体"/>
                <w:w w:val="99"/>
                <w:sz w:val="20"/>
              </w:rPr>
              <w:t>8</w:t>
            </w:r>
            <w:r>
              <w:rPr>
                <w:rFonts w:ascii="宋体"/>
                <w:sz w:val="20"/>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124,1</w:t>
            </w:r>
          </w:p>
          <w:p>
            <w:pPr>
              <w:pStyle w:val="TableParagraph"/>
              <w:spacing w:line="234" w:lineRule="exact"/>
              <w:ind w:left="93" w:right="0"/>
              <w:jc w:val="left"/>
              <w:rPr>
                <w:rFonts w:ascii="宋体" w:hAnsi="宋体" w:cs="宋体" w:eastAsia="宋体" w:hint="default"/>
                <w:sz w:val="20"/>
                <w:szCs w:val="20"/>
              </w:rPr>
            </w:pPr>
            <w:r>
              <w:rPr>
                <w:rFonts w:ascii="宋体"/>
                <w:sz w:val="20"/>
              </w:rPr>
              <w:t>24,17</w:t>
            </w:r>
          </w:p>
          <w:p>
            <w:pPr>
              <w:pStyle w:val="TableParagraph"/>
              <w:spacing w:line="247" w:lineRule="exact"/>
              <w:ind w:left="191" w:right="0"/>
              <w:jc w:val="left"/>
              <w:rPr>
                <w:rFonts w:ascii="宋体" w:hAnsi="宋体" w:cs="宋体" w:eastAsia="宋体" w:hint="default"/>
                <w:sz w:val="20"/>
                <w:szCs w:val="20"/>
              </w:rPr>
            </w:pPr>
            <w:r>
              <w:rPr>
                <w:rFonts w:ascii="宋体"/>
                <w:sz w:val="20"/>
              </w:rPr>
              <w:t>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579,5</w:t>
            </w:r>
          </w:p>
          <w:p>
            <w:pPr>
              <w:pStyle w:val="TableParagraph"/>
              <w:spacing w:line="234" w:lineRule="exact"/>
              <w:ind w:left="93" w:right="0"/>
              <w:jc w:val="left"/>
              <w:rPr>
                <w:rFonts w:ascii="宋体" w:hAnsi="宋体" w:cs="宋体" w:eastAsia="宋体" w:hint="default"/>
                <w:sz w:val="20"/>
                <w:szCs w:val="20"/>
              </w:rPr>
            </w:pPr>
            <w:r>
              <w:rPr>
                <w:rFonts w:ascii="宋体"/>
                <w:sz w:val="20"/>
              </w:rPr>
              <w:t>16,20</w:t>
            </w:r>
          </w:p>
          <w:p>
            <w:pPr>
              <w:pStyle w:val="TableParagraph"/>
              <w:spacing w:line="247" w:lineRule="exact"/>
              <w:ind w:left="192" w:right="0"/>
              <w:jc w:val="left"/>
              <w:rPr>
                <w:rFonts w:ascii="宋体" w:hAnsi="宋体" w:cs="宋体" w:eastAsia="宋体" w:hint="default"/>
                <w:sz w:val="20"/>
                <w:szCs w:val="20"/>
              </w:rPr>
            </w:pPr>
            <w:r>
              <w:rPr>
                <w:rFonts w:ascii="宋体"/>
                <w:sz w:val="20"/>
              </w:rPr>
              <w:t>3.70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63,20</w:t>
            </w:r>
          </w:p>
          <w:p>
            <w:pPr>
              <w:pStyle w:val="TableParagraph"/>
              <w:spacing w:line="234" w:lineRule="exact"/>
              <w:ind w:left="93" w:right="0"/>
              <w:jc w:val="left"/>
              <w:rPr>
                <w:rFonts w:ascii="宋体" w:hAnsi="宋体" w:cs="宋体" w:eastAsia="宋体" w:hint="default"/>
                <w:sz w:val="20"/>
                <w:szCs w:val="20"/>
              </w:rPr>
            </w:pPr>
            <w:r>
              <w:rPr>
                <w:rFonts w:ascii="宋体"/>
                <w:sz w:val="20"/>
              </w:rPr>
              <w:t>6,829</w:t>
            </w:r>
          </w:p>
          <w:p>
            <w:pPr>
              <w:pStyle w:val="TableParagraph"/>
              <w:spacing w:line="247" w:lineRule="exact"/>
              <w:ind w:left="292" w:right="0"/>
              <w:jc w:val="left"/>
              <w:rPr>
                <w:rFonts w:ascii="宋体" w:hAnsi="宋体" w:cs="宋体" w:eastAsia="宋体" w:hint="default"/>
                <w:sz w:val="20"/>
                <w:szCs w:val="20"/>
              </w:rPr>
            </w:pPr>
            <w:r>
              <w:rPr>
                <w:rFonts w:ascii="宋体"/>
                <w:sz w:val="20"/>
              </w:rPr>
              <w:t>.92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197,4</w:t>
            </w:r>
          </w:p>
          <w:p>
            <w:pPr>
              <w:pStyle w:val="TableParagraph"/>
              <w:spacing w:line="234" w:lineRule="exact"/>
              <w:ind w:left="93" w:right="0"/>
              <w:jc w:val="left"/>
              <w:rPr>
                <w:rFonts w:ascii="宋体" w:hAnsi="宋体" w:cs="宋体" w:eastAsia="宋体" w:hint="default"/>
                <w:sz w:val="20"/>
                <w:szCs w:val="20"/>
              </w:rPr>
            </w:pPr>
            <w:r>
              <w:rPr>
                <w:rFonts w:ascii="宋体"/>
                <w:sz w:val="20"/>
              </w:rPr>
              <w:t>37,21</w:t>
            </w:r>
          </w:p>
          <w:p>
            <w:pPr>
              <w:pStyle w:val="TableParagraph"/>
              <w:spacing w:line="247" w:lineRule="exact"/>
              <w:ind w:left="192" w:right="0"/>
              <w:jc w:val="left"/>
              <w:rPr>
                <w:rFonts w:ascii="宋体" w:hAnsi="宋体" w:cs="宋体" w:eastAsia="宋体" w:hint="default"/>
                <w:sz w:val="20"/>
                <w:szCs w:val="20"/>
              </w:rPr>
            </w:pPr>
            <w:r>
              <w:rPr>
                <w:rFonts w:ascii="宋体"/>
                <w:sz w:val="20"/>
              </w:rPr>
              <w:t>2.68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64"/>
              <w:ind w:left="93" w:right="0"/>
              <w:jc w:val="left"/>
              <w:rPr>
                <w:rFonts w:ascii="宋体" w:hAnsi="宋体" w:cs="宋体" w:eastAsia="宋体" w:hint="default"/>
                <w:sz w:val="20"/>
                <w:szCs w:val="20"/>
              </w:rPr>
            </w:pPr>
            <w:r>
              <w:rPr>
                <w:rFonts w:ascii="宋体"/>
                <w:sz w:val="20"/>
              </w:rPr>
              <w:t>46,34</w:t>
            </w:r>
          </w:p>
          <w:p>
            <w:pPr>
              <w:pStyle w:val="TableParagraph"/>
              <w:spacing w:line="234" w:lineRule="exact"/>
              <w:ind w:left="93" w:right="0"/>
              <w:jc w:val="left"/>
              <w:rPr>
                <w:rFonts w:ascii="宋体" w:hAnsi="宋体" w:cs="宋体" w:eastAsia="宋体" w:hint="default"/>
                <w:sz w:val="20"/>
                <w:szCs w:val="20"/>
              </w:rPr>
            </w:pPr>
            <w:r>
              <w:rPr>
                <w:rFonts w:ascii="宋体"/>
                <w:sz w:val="20"/>
              </w:rPr>
              <w:t>7,392</w:t>
            </w:r>
          </w:p>
          <w:p>
            <w:pPr>
              <w:pStyle w:val="TableParagraph"/>
              <w:spacing w:line="247" w:lineRule="exact"/>
              <w:ind w:left="292" w:right="0"/>
              <w:jc w:val="left"/>
              <w:rPr>
                <w:rFonts w:ascii="宋体" w:hAnsi="宋体" w:cs="宋体" w:eastAsia="宋体" w:hint="default"/>
                <w:sz w:val="20"/>
                <w:szCs w:val="20"/>
              </w:rPr>
            </w:pPr>
            <w:r>
              <w:rPr>
                <w:rFonts w:ascii="宋体"/>
                <w:sz w:val="20"/>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93" w:right="0"/>
              <w:jc w:val="left"/>
              <w:rPr>
                <w:rFonts w:ascii="宋体" w:hAnsi="宋体" w:cs="宋体" w:eastAsia="宋体" w:hint="default"/>
                <w:sz w:val="20"/>
                <w:szCs w:val="20"/>
              </w:rPr>
            </w:pPr>
            <w:r>
              <w:rPr>
                <w:rFonts w:ascii="宋体"/>
                <w:sz w:val="20"/>
              </w:rPr>
              <w:t>1,010</w:t>
            </w:r>
          </w:p>
          <w:p>
            <w:pPr>
              <w:pStyle w:val="TableParagraph"/>
              <w:spacing w:line="233" w:lineRule="exact"/>
              <w:ind w:left="93" w:right="0"/>
              <w:jc w:val="left"/>
              <w:rPr>
                <w:rFonts w:ascii="宋体" w:hAnsi="宋体" w:cs="宋体" w:eastAsia="宋体" w:hint="default"/>
                <w:sz w:val="20"/>
                <w:szCs w:val="20"/>
              </w:rPr>
            </w:pPr>
            <w:r>
              <w:rPr>
                <w:rFonts w:ascii="宋体"/>
                <w:sz w:val="20"/>
              </w:rPr>
              <w:t>,631,</w:t>
            </w:r>
          </w:p>
          <w:p>
            <w:pPr>
              <w:pStyle w:val="TableParagraph"/>
              <w:spacing w:line="233" w:lineRule="exact"/>
              <w:ind w:left="93" w:right="0"/>
              <w:jc w:val="left"/>
              <w:rPr>
                <w:rFonts w:ascii="宋体" w:hAnsi="宋体" w:cs="宋体" w:eastAsia="宋体" w:hint="default"/>
                <w:sz w:val="20"/>
                <w:szCs w:val="20"/>
              </w:rPr>
            </w:pPr>
            <w:r>
              <w:rPr>
                <w:rFonts w:ascii="宋体"/>
                <w:sz w:val="20"/>
              </w:rPr>
              <w:t>810.3</w:t>
            </w:r>
          </w:p>
          <w:p>
            <w:pPr>
              <w:pStyle w:val="TableParagraph"/>
              <w:spacing w:line="247" w:lineRule="exact"/>
              <w:ind w:right="20"/>
              <w:jc w:val="right"/>
              <w:rPr>
                <w:rFonts w:ascii="宋体" w:hAnsi="宋体" w:cs="宋体" w:eastAsia="宋体" w:hint="default"/>
                <w:sz w:val="20"/>
                <w:szCs w:val="20"/>
              </w:rPr>
            </w:pPr>
            <w:r>
              <w:rPr>
                <w:rFonts w:ascii="宋体"/>
                <w:w w:val="99"/>
                <w:sz w:val="20"/>
              </w:rPr>
              <w:t>0</w:t>
            </w:r>
            <w:r>
              <w:rPr>
                <w:rFonts w:ascii="宋体"/>
                <w:sz w:val="20"/>
              </w:rPr>
            </w:r>
          </w:p>
        </w:tc>
      </w:tr>
    </w:tbl>
    <w:p>
      <w:pPr>
        <w:spacing w:after="0" w:line="247" w:lineRule="exact"/>
        <w:jc w:val="right"/>
        <w:rPr>
          <w:rFonts w:ascii="宋体" w:hAnsi="宋体" w:cs="宋体" w:eastAsia="宋体" w:hint="default"/>
          <w:sz w:val="20"/>
          <w:szCs w:val="20"/>
        </w:rPr>
        <w:sectPr>
          <w:pgSz w:w="16840" w:h="11910" w:orient="landscape"/>
          <w:pgMar w:header="928" w:footer="1153" w:top="1260" w:bottom="1340" w:left="960" w:right="0"/>
        </w:sectPr>
      </w:pPr>
    </w:p>
    <w:p>
      <w:pPr>
        <w:spacing w:line="240" w:lineRule="auto" w:before="1"/>
        <w:rPr>
          <w:rFonts w:ascii="Times New Roman" w:hAnsi="Times New Roman" w:cs="Times New Roman" w:eastAsia="Times New Roman" w:hint="default"/>
          <w:sz w:val="11"/>
          <w:szCs w:val="11"/>
        </w:rPr>
      </w:pPr>
    </w:p>
    <w:p>
      <w:pPr>
        <w:pStyle w:val="Heading2"/>
        <w:spacing w:line="413" w:lineRule="exact"/>
        <w:ind w:right="847"/>
        <w:jc w:val="center"/>
        <w:rPr>
          <w:b w:val="0"/>
          <w:bCs w:val="0"/>
        </w:rPr>
      </w:pPr>
      <w:r>
        <w:rPr/>
        <w:t>资产负债表</w:t>
      </w:r>
      <w:r>
        <w:rPr>
          <w:b w:val="0"/>
          <w:bCs w:val="0"/>
        </w:rPr>
      </w:r>
    </w:p>
    <w:p>
      <w:pPr>
        <w:spacing w:before="50"/>
        <w:ind w:left="0" w:right="846"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539" w:val="left" w:leader="none"/>
        </w:tabs>
        <w:spacing w:before="88"/>
        <w:ind w:left="0" w:right="744"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215"/>
        <w:gridCol w:w="977"/>
        <w:gridCol w:w="2179"/>
        <w:gridCol w:w="2288"/>
      </w:tblGrid>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tabs>
                <w:tab w:pos="799" w:val="left" w:leader="none"/>
              </w:tabs>
              <w:spacing w:line="240" w:lineRule="auto" w:before="9"/>
              <w:ind w:right="1553"/>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3"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3"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275,917,341.63</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384,017,489.26</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1,336,000.00</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403,600.00</w:t>
            </w:r>
            <w:r>
              <w:rPr>
                <w:rFonts w:ascii="宋体"/>
                <w:sz w:val="20"/>
              </w:rPr>
            </w:r>
          </w:p>
        </w:tc>
      </w:tr>
      <w:tr>
        <w:trPr>
          <w:trHeight w:val="348"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9" w:right="0"/>
              <w:jc w:val="center"/>
              <w:rPr>
                <w:rFonts w:ascii="宋体" w:hAnsi="宋体" w:cs="宋体" w:eastAsia="宋体" w:hint="default"/>
                <w:sz w:val="20"/>
                <w:szCs w:val="20"/>
              </w:rPr>
            </w:pPr>
            <w:r>
              <w:rPr>
                <w:rFonts w:ascii="宋体" w:hAnsi="宋体" w:cs="宋体" w:eastAsia="宋体" w:hint="default"/>
                <w:spacing w:val="-10"/>
                <w:sz w:val="20"/>
                <w:szCs w:val="20"/>
              </w:rPr>
              <w:t>十四、</w:t>
            </w:r>
            <w:r>
              <w:rPr>
                <w:rFonts w:ascii="宋体" w:hAnsi="宋体" w:cs="宋体" w:eastAsia="宋体" w:hint="default"/>
                <w:spacing w:val="-10"/>
                <w:sz w:val="20"/>
                <w:szCs w:val="20"/>
              </w:rPr>
              <w:t>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40,734,630.71</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24,962,528.00</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1,313,867.29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837,755.40</w:t>
            </w:r>
            <w:r>
              <w:rPr>
                <w:rFonts w:ascii="宋体"/>
                <w:sz w:val="20"/>
              </w:rPr>
            </w:r>
          </w:p>
        </w:tc>
      </w:tr>
      <w:tr>
        <w:trPr>
          <w:trHeight w:val="35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9" w:right="0"/>
              <w:jc w:val="center"/>
              <w:rPr>
                <w:rFonts w:ascii="宋体" w:hAnsi="宋体" w:cs="宋体" w:eastAsia="宋体" w:hint="default"/>
                <w:sz w:val="20"/>
                <w:szCs w:val="20"/>
              </w:rPr>
            </w:pPr>
            <w:r>
              <w:rPr>
                <w:rFonts w:ascii="宋体" w:hAnsi="宋体" w:cs="宋体" w:eastAsia="宋体" w:hint="default"/>
                <w:spacing w:val="-10"/>
                <w:sz w:val="20"/>
                <w:szCs w:val="20"/>
              </w:rPr>
              <w:t>十四、</w:t>
            </w:r>
            <w:r>
              <w:rPr>
                <w:rFonts w:ascii="宋体" w:hAnsi="宋体" w:cs="宋体" w:eastAsia="宋体" w:hint="default"/>
                <w:spacing w:val="-10"/>
                <w:sz w:val="20"/>
                <w:szCs w:val="20"/>
              </w:rPr>
              <w:t>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8,017,260.79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8,265,340.12</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44,898,466.46</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43,504,534.08</w:t>
            </w:r>
            <w:r>
              <w:rPr>
                <w:rFonts w:ascii="宋体"/>
                <w:sz w:val="20"/>
              </w:rPr>
            </w:r>
          </w:p>
        </w:tc>
      </w:tr>
      <w:tr>
        <w:trPr>
          <w:trHeight w:val="348"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135,548.00</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146,897.81</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202,165.76</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372,364,464.69</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462,328,960.62</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9" w:right="0"/>
              <w:jc w:val="center"/>
              <w:rPr>
                <w:rFonts w:ascii="宋体" w:hAnsi="宋体" w:cs="宋体" w:eastAsia="宋体" w:hint="default"/>
                <w:sz w:val="20"/>
                <w:szCs w:val="20"/>
              </w:rPr>
            </w:pPr>
            <w:r>
              <w:rPr>
                <w:rFonts w:ascii="宋体" w:hAnsi="宋体" w:cs="宋体" w:eastAsia="宋体" w:hint="default"/>
                <w:spacing w:val="-10"/>
                <w:sz w:val="20"/>
                <w:szCs w:val="20"/>
              </w:rPr>
              <w:t>十四、</w:t>
            </w:r>
            <w:r>
              <w:rPr>
                <w:rFonts w:ascii="宋体" w:hAnsi="宋体" w:cs="宋体" w:eastAsia="宋体" w:hint="default"/>
                <w:spacing w:val="-10"/>
                <w:sz w:val="20"/>
                <w:szCs w:val="20"/>
              </w:rPr>
              <w:t>3</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312,107,767.50</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182,107,767.50</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415,693,333.30</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348,156,912.69</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17,102,197.70</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97,945,359.63</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42,077,885.97</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42,974,502.73</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6,220,791.03</w:t>
            </w: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783,408.34</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726,167.21</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426,860.96</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794,711,551.05</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671,611,403.51</w:t>
            </w:r>
            <w:r>
              <w:rPr>
                <w:rFonts w:ascii="宋体"/>
                <w:sz w:val="20"/>
              </w:rPr>
            </w:r>
          </w:p>
        </w:tc>
      </w:tr>
      <w:tr>
        <w:trPr>
          <w:trHeight w:val="35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602"/>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1,167,076,015.74</w:t>
            </w:r>
            <w:r>
              <w:rPr>
                <w:rFonts w:ascii="宋体"/>
                <w:sz w:val="20"/>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1,133,940,364.13</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26"/>
          <w:footerReference w:type="default" r:id="rId27"/>
          <w:pgSz w:w="11910" w:h="16840"/>
          <w:pgMar w:header="928" w:footer="1153" w:top="1260" w:bottom="1340" w:left="1180" w:right="0"/>
          <w:pgNumType w:start="56"/>
        </w:sectPr>
      </w:pPr>
    </w:p>
    <w:p>
      <w:pPr>
        <w:spacing w:line="240" w:lineRule="auto" w:before="10"/>
        <w:rPr>
          <w:rFonts w:ascii="宋体" w:hAnsi="宋体" w:cs="宋体" w:eastAsia="宋体" w:hint="default"/>
          <w:sz w:val="9"/>
          <w:szCs w:val="9"/>
        </w:rPr>
      </w:pPr>
    </w:p>
    <w:p>
      <w:pPr>
        <w:pStyle w:val="Heading2"/>
        <w:spacing w:line="413" w:lineRule="exact"/>
        <w:ind w:right="1160"/>
        <w:jc w:val="center"/>
        <w:rPr>
          <w:rFonts w:ascii="Trebuchet MS" w:hAnsi="Trebuchet MS" w:cs="Trebuchet MS" w:eastAsia="Trebuchet MS" w:hint="default"/>
          <w:b w:val="0"/>
          <w:bCs w:val="0"/>
        </w:rPr>
      </w:pPr>
      <w:r>
        <w:rPr>
          <w:w w:val="110"/>
        </w:rPr>
        <w:t>资产负债表</w:t>
      </w:r>
      <w:r>
        <w:rPr>
          <w:rFonts w:ascii="Trebuchet MS" w:hAnsi="Trebuchet MS" w:cs="Trebuchet MS" w:eastAsia="Trebuchet MS" w:hint="default"/>
          <w:w w:val="110"/>
        </w:rPr>
        <w:t>(</w:t>
      </w:r>
      <w:r>
        <w:rPr>
          <w:w w:val="110"/>
        </w:rPr>
        <w:t>续</w:t>
      </w:r>
      <w:r>
        <w:rPr>
          <w:rFonts w:ascii="Trebuchet MS" w:hAnsi="Trebuchet MS" w:cs="Trebuchet MS" w:eastAsia="Trebuchet MS" w:hint="default"/>
          <w:w w:val="110"/>
        </w:rPr>
        <w:t>)</w:t>
      </w:r>
      <w:r>
        <w:rPr>
          <w:rFonts w:ascii="Trebuchet MS" w:hAnsi="Trebuchet MS" w:cs="Trebuchet MS" w:eastAsia="Trebuchet MS" w:hint="default"/>
          <w:b w:val="0"/>
          <w:bCs w:val="0"/>
        </w:rPr>
      </w:r>
    </w:p>
    <w:p>
      <w:pPr>
        <w:spacing w:before="19"/>
        <w:ind w:left="0" w:right="1161"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260" w:val="left" w:leader="none"/>
        </w:tabs>
        <w:spacing w:before="45"/>
        <w:ind w:left="0" w:right="1059"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6"/>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251"/>
        <w:gridCol w:w="619"/>
        <w:gridCol w:w="2199"/>
        <w:gridCol w:w="2309"/>
      </w:tblGrid>
      <w:tr>
        <w:trPr>
          <w:trHeight w:val="293"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tabs>
                <w:tab w:pos="897" w:val="left" w:leader="none"/>
              </w:tabs>
              <w:spacing w:line="242" w:lineRule="exact"/>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73,093,354.31</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56,712,529.91</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64,966,965.07</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51,524,572.28</w:t>
            </w:r>
            <w:r>
              <w:rPr>
                <w:rFonts w:ascii="宋体"/>
                <w:sz w:val="20"/>
              </w:rPr>
            </w:r>
          </w:p>
        </w:tc>
      </w:tr>
      <w:tr>
        <w:trPr>
          <w:trHeight w:val="348"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16,434,328.01</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7,103,629.99</w:t>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5,610,193.34</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7,162,288.25</w:t>
            </w:r>
          </w:p>
        </w:tc>
      </w:tr>
      <w:tr>
        <w:trPr>
          <w:trHeight w:val="351"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4,197,928.32</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-2,442,997.94</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25,355,825.02</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114,974,435.96</w:t>
            </w:r>
            <w:r>
              <w:rPr>
                <w:rFonts w:ascii="宋体"/>
                <w:sz w:val="20"/>
              </w:rPr>
            </w:r>
          </w:p>
        </w:tc>
      </w:tr>
      <w:tr>
        <w:trPr>
          <w:trHeight w:val="348"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189,658,594.07</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235,034,458.45</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7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189,658,594.07</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235,034,458.45</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实收资本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126,414,172.00</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124,124,172.00</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598,944,406.15</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578,171,206.15</w:t>
            </w:r>
            <w:r>
              <w:rPr>
                <w:rFonts w:ascii="宋体"/>
                <w:sz w:val="20"/>
              </w:rPr>
            </w:r>
          </w:p>
        </w:tc>
      </w:tr>
      <w:tr>
        <w:trPr>
          <w:trHeight w:val="351"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75,247,802.48</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63,206,829.92</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176,811,041.04</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133,403,697.61</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86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合计</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977,417,421.67</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898,905,905.68</w:t>
            </w:r>
            <w:r>
              <w:rPr>
                <w:rFonts w:ascii="宋体"/>
                <w:sz w:val="20"/>
              </w:rPr>
            </w:r>
          </w:p>
        </w:tc>
      </w:tr>
      <w:tr>
        <w:trPr>
          <w:trHeight w:val="350" w:hRule="exact"/>
        </w:trPr>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6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负债和所有者权益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或股东权益</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总计</w:t>
            </w:r>
            <w:r>
              <w:rPr>
                <w:rFonts w:ascii="Microsoft JhengHei" w:hAnsi="Microsoft JhengHei" w:cs="Microsoft JhengHei" w:eastAsia="Microsoft JhengHei" w:hint="default"/>
                <w:sz w:val="20"/>
                <w:szCs w:val="20"/>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1,167,076,015.74</w:t>
            </w:r>
            <w:r>
              <w:rPr>
                <w:rFonts w:ascii="宋体"/>
                <w:sz w:val="20"/>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1,133,940,364.13</w:t>
            </w:r>
            <w:r>
              <w:rPr>
                <w:rFonts w:ascii="宋体"/>
                <w:sz w:val="20"/>
              </w:rPr>
            </w:r>
          </w:p>
        </w:tc>
      </w:tr>
    </w:tbl>
    <w:p>
      <w:pPr>
        <w:tabs>
          <w:tab w:pos="2982" w:val="left" w:leader="none"/>
          <w:tab w:pos="6503" w:val="left" w:leader="none"/>
        </w:tabs>
        <w:spacing w:line="249" w:lineRule="exact" w:before="0"/>
        <w:ind w:left="342"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t>会计机构负责人：</w:t>
      </w:r>
    </w:p>
    <w:p>
      <w:pPr>
        <w:spacing w:after="0" w:line="249" w:lineRule="exact"/>
        <w:jc w:val="left"/>
        <w:rPr>
          <w:rFonts w:ascii="宋体" w:hAnsi="宋体" w:cs="宋体" w:eastAsia="宋体" w:hint="default"/>
          <w:sz w:val="22"/>
          <w:szCs w:val="22"/>
        </w:rPr>
        <w:sectPr>
          <w:pgSz w:w="11910" w:h="16840"/>
          <w:pgMar w:header="928" w:footer="1153" w:top="1260" w:bottom="1340" w:left="1120" w:right="0"/>
        </w:sectPr>
      </w:pPr>
    </w:p>
    <w:p>
      <w:pPr>
        <w:spacing w:line="240" w:lineRule="auto" w:before="12"/>
        <w:rPr>
          <w:rFonts w:ascii="宋体" w:hAnsi="宋体" w:cs="宋体" w:eastAsia="宋体" w:hint="default"/>
          <w:sz w:val="14"/>
          <w:szCs w:val="14"/>
        </w:rPr>
      </w:pPr>
    </w:p>
    <w:p>
      <w:pPr>
        <w:pStyle w:val="Heading2"/>
        <w:spacing w:line="413" w:lineRule="exact"/>
        <w:ind w:right="799"/>
        <w:jc w:val="center"/>
        <w:rPr>
          <w:b w:val="0"/>
          <w:bCs w:val="0"/>
        </w:rPr>
      </w:pPr>
      <w:r>
        <w:rPr/>
        <w:t>利润表</w:t>
      </w:r>
      <w:r>
        <w:rPr>
          <w:b w:val="0"/>
          <w:bCs w:val="0"/>
        </w:rPr>
      </w:r>
    </w:p>
    <w:p>
      <w:pPr>
        <w:spacing w:before="108"/>
        <w:ind w:left="0" w:right="796"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年度</w:t>
      </w:r>
    </w:p>
    <w:p>
      <w:pPr>
        <w:tabs>
          <w:tab w:pos="7530" w:val="left" w:leader="none"/>
        </w:tabs>
        <w:spacing w:before="76"/>
        <w:ind w:left="0" w:right="693"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820"/>
        <w:gridCol w:w="1143"/>
        <w:gridCol w:w="1844"/>
        <w:gridCol w:w="1841"/>
      </w:tblGrid>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tabs>
                <w:tab w:pos="1102" w:val="left" w:leader="none"/>
              </w:tabs>
              <w:spacing w:line="240" w:lineRule="auto" w:before="9"/>
              <w:ind w:left="10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6"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67"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67"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 w:right="0"/>
              <w:jc w:val="center"/>
              <w:rPr>
                <w:rFonts w:ascii="宋体" w:hAnsi="宋体" w:cs="宋体" w:eastAsia="宋体" w:hint="default"/>
                <w:sz w:val="20"/>
                <w:szCs w:val="20"/>
              </w:rPr>
            </w:pPr>
            <w:r>
              <w:rPr>
                <w:rFonts w:ascii="宋体" w:hAnsi="宋体" w:cs="宋体" w:eastAsia="宋体" w:hint="default"/>
                <w:sz w:val="20"/>
                <w:szCs w:val="20"/>
              </w:rPr>
              <w:t>十四、</w:t>
            </w:r>
            <w:r>
              <w:rPr>
                <w:rFonts w:ascii="宋体" w:hAnsi="宋体" w:cs="宋体" w:eastAsia="宋体" w:hint="default"/>
                <w:sz w:val="20"/>
                <w:szCs w:val="20"/>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540,463,246.00</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504,326,097.98</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 w:right="0"/>
              <w:jc w:val="center"/>
              <w:rPr>
                <w:rFonts w:ascii="宋体" w:hAnsi="宋体" w:cs="宋体" w:eastAsia="宋体" w:hint="default"/>
                <w:sz w:val="20"/>
                <w:szCs w:val="20"/>
              </w:rPr>
            </w:pPr>
            <w:r>
              <w:rPr>
                <w:rFonts w:ascii="宋体" w:hAnsi="宋体" w:cs="宋体" w:eastAsia="宋体" w:hint="default"/>
                <w:sz w:val="20"/>
                <w:szCs w:val="20"/>
              </w:rPr>
              <w:t>十四、</w:t>
            </w:r>
            <w:r>
              <w:rPr>
                <w:rFonts w:ascii="宋体" w:hAnsi="宋体" w:cs="宋体" w:eastAsia="宋体" w:hint="default"/>
                <w:sz w:val="20"/>
                <w:szCs w:val="20"/>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411,757,887.23</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378,416,034.88</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3,230,535.82</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w w:val="95"/>
                <w:sz w:val="20"/>
              </w:rPr>
              <w:t>273.67</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34,273,401.40</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33,608,574.75</w:t>
            </w:r>
            <w:r>
              <w:rPr>
                <w:rFonts w:ascii="宋体"/>
                <w:sz w:val="20"/>
              </w:rPr>
            </w:r>
          </w:p>
        </w:tc>
      </w:tr>
      <w:tr>
        <w:trPr>
          <w:trHeight w:val="34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44,982,400.72</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46,168,392.61</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-3,216,860.67</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2,518,125.55</w:t>
            </w:r>
            <w:r>
              <w:rPr>
                <w:rFonts w:ascii="宋体"/>
                <w:sz w:val="20"/>
              </w:rPr>
            </w:r>
          </w:p>
        </w:tc>
      </w:tr>
      <w:tr>
        <w:trPr>
          <w:trHeight w:val="35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411,866.04</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967,069.41</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hAnsi="宋体" w:cs="宋体" w:eastAsia="宋体" w:hint="default"/>
                <w:w w:val="95"/>
                <w:sz w:val="20"/>
                <w:szCs w:val="20"/>
              </w:rPr>
              <w:t>加：公允价值变动收益（损失以“－”号填列）</w:t>
            </w:r>
            <w:r>
              <w:rPr>
                <w:rFonts w:ascii="宋体" w:hAnsi="宋体" w:cs="宋体" w:eastAsia="宋体"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04"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 w:right="0"/>
              <w:jc w:val="center"/>
              <w:rPr>
                <w:rFonts w:ascii="宋体" w:hAnsi="宋体" w:cs="宋体" w:eastAsia="宋体" w:hint="default"/>
                <w:sz w:val="20"/>
                <w:szCs w:val="20"/>
              </w:rPr>
            </w:pPr>
            <w:r>
              <w:rPr>
                <w:rFonts w:ascii="宋体" w:hAnsi="宋体" w:cs="宋体" w:eastAsia="宋体" w:hint="default"/>
                <w:sz w:val="20"/>
                <w:szCs w:val="20"/>
              </w:rPr>
              <w:t>十四、</w:t>
            </w:r>
            <w:r>
              <w:rPr>
                <w:rFonts w:ascii="宋体" w:hAnsi="宋体" w:cs="宋体" w:eastAsia="宋体" w:hint="default"/>
                <w:sz w:val="20"/>
                <w:szCs w:val="20"/>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37,533,079.52</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22,317,483.76</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hAnsi="宋体" w:cs="宋体" w:eastAsia="宋体" w:hint="default"/>
                <w:w w:val="95"/>
                <w:sz w:val="20"/>
                <w:szCs w:val="20"/>
              </w:rPr>
              <w:t>其中：对联营企业和合营企业的投资收益</w:t>
            </w:r>
            <w:r>
              <w:rPr>
                <w:rFonts w:ascii="宋体" w:hAnsi="宋体" w:cs="宋体" w:eastAsia="宋体"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二、营业利润（亏损以“－”号填列）</w:t>
            </w:r>
            <w:r>
              <w:rPr>
                <w:rFonts w:ascii="Microsoft JhengHei" w:hAnsi="Microsoft JhengHei" w:cs="Microsoft JhengHei" w:eastAsia="Microsoft JhengHei"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86,557,094.98</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64,965,110.87</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7"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1,670,040.18</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846,481.53</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347,815.22</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271,945.83</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04" w:right="0"/>
              <w:jc w:val="left"/>
              <w:rPr>
                <w:rFonts w:ascii="宋体" w:hAnsi="宋体" w:cs="宋体" w:eastAsia="宋体" w:hint="default"/>
                <w:sz w:val="20"/>
                <w:szCs w:val="20"/>
              </w:rPr>
            </w:pPr>
            <w:r>
              <w:rPr>
                <w:rFonts w:ascii="宋体" w:hAnsi="宋体" w:cs="宋体" w:eastAsia="宋体" w:hint="default"/>
                <w:sz w:val="20"/>
                <w:szCs w:val="20"/>
              </w:rPr>
              <w:t>其中：非流动资产处臵损失</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64,187.35</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208,467.33</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Trebuchet MS" w:hAnsi="Trebuchet MS" w:cs="Trebuchet MS" w:eastAsia="Trebuchet MS" w:hint="default"/>
                <w:sz w:val="20"/>
                <w:szCs w:val="20"/>
              </w:rPr>
            </w:pPr>
            <w:r>
              <w:rPr>
                <w:rFonts w:ascii="Microsoft JhengHei" w:hAnsi="Microsoft JhengHei" w:cs="Microsoft JhengHei" w:eastAsia="Microsoft JhengHei" w:hint="default"/>
                <w:b/>
                <w:bCs/>
                <w:sz w:val="20"/>
                <w:szCs w:val="20"/>
              </w:rPr>
              <w:t>三、利润总额（亏损总额以“－”号填列</w:t>
            </w:r>
            <w:r>
              <w:rPr>
                <w:rFonts w:ascii="Trebuchet MS" w:hAnsi="Trebuchet MS" w:cs="Trebuchet MS" w:eastAsia="Trebuchet MS" w:hint="default"/>
                <w:b/>
                <w:bCs/>
                <w:sz w:val="20"/>
                <w:szCs w:val="20"/>
              </w:rPr>
              <w:t>)</w:t>
            </w:r>
            <w:r>
              <w:rPr>
                <w:rFonts w:ascii="Trebuchet MS" w:hAnsi="Trebuchet MS" w:cs="Trebuchet MS" w:eastAsia="Trebuchet MS"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87,879,319.94</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65,539,646.57</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7,606,169.55</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7,255,910.84</w:t>
            </w:r>
            <w:r>
              <w:rPr>
                <w:rFonts w:ascii="宋体"/>
                <w:sz w:val="20"/>
              </w:rPr>
            </w:r>
          </w:p>
        </w:tc>
      </w:tr>
      <w:tr>
        <w:trPr>
          <w:trHeight w:val="34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四、净利润（净亏损以</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w:t>
            </w:r>
            <w:r>
              <w:rPr>
                <w:rFonts w:ascii="Trebuchet MS" w:hAnsi="Trebuchet MS" w:cs="Trebuchet MS" w:eastAsia="Trebuchet MS" w:hint="default"/>
                <w:b/>
                <w:bCs/>
                <w:w w:val="105"/>
                <w:sz w:val="20"/>
                <w:szCs w:val="20"/>
              </w:rPr>
              <w:t>"</w:t>
            </w:r>
            <w:r>
              <w:rPr>
                <w:rFonts w:ascii="Microsoft JhengHei" w:hAnsi="Microsoft JhengHei" w:cs="Microsoft JhengHei" w:eastAsia="Microsoft JhengHei" w:hint="default"/>
                <w:b/>
                <w:bCs/>
                <w:w w:val="105"/>
                <w:sz w:val="20"/>
                <w:szCs w:val="20"/>
              </w:rPr>
              <w:t>号填列）</w:t>
            </w:r>
            <w:r>
              <w:rPr>
                <w:rFonts w:ascii="Microsoft JhengHei" w:hAnsi="Microsoft JhengHei" w:cs="Microsoft JhengHei" w:eastAsia="Microsoft JhengHei"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80,273,150.39</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58,283,735.73</w:t>
            </w:r>
            <w:r>
              <w:rPr>
                <w:rFonts w:ascii="宋体"/>
                <w:sz w:val="20"/>
              </w:rPr>
            </w: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Trebuchet MS" w:hAnsi="Trebuchet MS" w:cs="Trebuchet MS" w:eastAsia="Trebuchet MS" w:hint="default"/>
                <w:sz w:val="20"/>
                <w:szCs w:val="20"/>
              </w:rPr>
            </w:pPr>
            <w:r>
              <w:rPr>
                <w:rFonts w:ascii="Microsoft JhengHei" w:hAnsi="Microsoft JhengHei" w:cs="Microsoft JhengHei" w:eastAsia="Microsoft JhengHei" w:hint="default"/>
                <w:b/>
                <w:bCs/>
                <w:w w:val="105"/>
                <w:sz w:val="20"/>
                <w:szCs w:val="20"/>
              </w:rPr>
              <w:t>五、每股收益</w:t>
            </w:r>
            <w:r>
              <w:rPr>
                <w:rFonts w:ascii="Trebuchet MS" w:hAnsi="Trebuchet MS" w:cs="Trebuchet MS" w:eastAsia="Trebuchet MS" w:hint="default"/>
                <w:b/>
                <w:bCs/>
                <w:w w:val="105"/>
                <w:sz w:val="20"/>
                <w:szCs w:val="20"/>
              </w:rPr>
              <w:t>:</w:t>
            </w:r>
            <w:r>
              <w:rPr>
                <w:rFonts w:ascii="Trebuchet MS" w:hAnsi="Trebuchet MS" w:cs="Trebuchet MS" w:eastAsia="Trebuchet MS"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基本每股收益</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稀释每股收益</w:t>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五、其他综合收益</w:t>
            </w:r>
            <w:r>
              <w:rPr>
                <w:rFonts w:ascii="Microsoft JhengHei" w:hAnsi="Microsoft JhengHei" w:cs="Microsoft JhengHei" w:eastAsia="Microsoft JhengHei"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六、综合收益总额</w:t>
            </w:r>
            <w:r>
              <w:rPr>
                <w:rFonts w:ascii="Microsoft JhengHei" w:hAnsi="Microsoft JhengHei" w:cs="Microsoft JhengHei" w:eastAsia="Microsoft JhengHei" w:hint="default"/>
                <w:sz w:val="20"/>
                <w:szCs w:val="20"/>
              </w:rPr>
            </w:r>
          </w:p>
        </w:tc>
        <w:tc>
          <w:tcPr>
            <w:tcW w:w="11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80,273,150.39</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58,283,735.73</w:t>
            </w:r>
            <w:r>
              <w:rPr>
                <w:rFonts w:ascii="宋体"/>
                <w:sz w:val="20"/>
              </w:rPr>
            </w:r>
          </w:p>
        </w:tc>
      </w:tr>
    </w:tbl>
    <w:p>
      <w:pPr>
        <w:spacing w:line="240" w:lineRule="auto" w:before="8"/>
        <w:rPr>
          <w:rFonts w:ascii="宋体" w:hAnsi="宋体" w:cs="宋体" w:eastAsia="宋体" w:hint="default"/>
          <w:sz w:val="22"/>
          <w:szCs w:val="22"/>
        </w:rPr>
      </w:pPr>
    </w:p>
    <w:p>
      <w:pPr>
        <w:tabs>
          <w:tab w:pos="3080" w:val="left" w:leader="none"/>
          <w:tab w:pos="6491" w:val="left" w:leader="none"/>
        </w:tabs>
        <w:spacing w:before="32"/>
        <w:ind w:left="330" w:right="1273"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会计机构负责人：</w:t>
      </w:r>
    </w:p>
    <w:p>
      <w:pPr>
        <w:spacing w:after="0"/>
        <w:jc w:val="left"/>
        <w:rPr>
          <w:rFonts w:ascii="宋体" w:hAnsi="宋体" w:cs="宋体" w:eastAsia="宋体" w:hint="default"/>
          <w:sz w:val="22"/>
          <w:szCs w:val="22"/>
        </w:rPr>
        <w:sectPr>
          <w:pgSz w:w="11910" w:h="16840"/>
          <w:pgMar w:header="928" w:footer="1153" w:top="1260" w:bottom="1340" w:left="1240" w:right="0"/>
        </w:sectPr>
      </w:pPr>
    </w:p>
    <w:p>
      <w:pPr>
        <w:spacing w:line="240" w:lineRule="auto" w:before="3"/>
        <w:rPr>
          <w:rFonts w:ascii="宋体" w:hAnsi="宋体" w:cs="宋体" w:eastAsia="宋体" w:hint="default"/>
          <w:sz w:val="9"/>
          <w:szCs w:val="9"/>
        </w:rPr>
      </w:pPr>
    </w:p>
    <w:p>
      <w:pPr>
        <w:pStyle w:val="Heading2"/>
        <w:spacing w:line="413" w:lineRule="exact"/>
        <w:ind w:right="702"/>
        <w:jc w:val="center"/>
        <w:rPr>
          <w:b w:val="0"/>
          <w:bCs w:val="0"/>
        </w:rPr>
      </w:pPr>
      <w:r>
        <w:rPr/>
        <w:t>现金流量表</w:t>
      </w:r>
      <w:r>
        <w:rPr>
          <w:b w:val="0"/>
          <w:bCs w:val="0"/>
        </w:rPr>
      </w:r>
    </w:p>
    <w:p>
      <w:pPr>
        <w:spacing w:before="41"/>
        <w:ind w:left="0" w:right="702"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年度</w:t>
      </w:r>
    </w:p>
    <w:p>
      <w:pPr>
        <w:tabs>
          <w:tab w:pos="7808" w:val="left" w:leader="none"/>
        </w:tabs>
        <w:spacing w:before="115"/>
        <w:ind w:left="0" w:right="599" w:firstLine="0"/>
        <w:jc w:val="center"/>
        <w:rPr>
          <w:rFonts w:ascii="宋体" w:hAnsi="宋体" w:cs="宋体" w:eastAsia="宋体" w:hint="default"/>
          <w:sz w:val="20"/>
          <w:szCs w:val="20"/>
        </w:rPr>
      </w:pPr>
      <w:r>
        <w:rPr>
          <w:rFonts w:ascii="宋体" w:hAnsi="宋体" w:cs="宋体" w:eastAsia="宋体" w:hint="default"/>
          <w:w w:val="95"/>
          <w:sz w:val="20"/>
          <w:szCs w:val="20"/>
        </w:rPr>
        <w:t>编制单位：东港安全印刷股份有限公司</w:t>
        <w:tab/>
      </w:r>
      <w:r>
        <w:rPr>
          <w:rFonts w:ascii="宋体" w:hAnsi="宋体" w:cs="宋体" w:eastAsia="宋体" w:hint="default"/>
          <w:sz w:val="20"/>
          <w:szCs w:val="20"/>
        </w:rPr>
        <w:t>金额单位：人民币元</w:t>
      </w:r>
    </w:p>
    <w:p>
      <w:pPr>
        <w:spacing w:line="240" w:lineRule="auto" w:before="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5661"/>
        <w:gridCol w:w="720"/>
        <w:gridCol w:w="1717"/>
        <w:gridCol w:w="1829"/>
      </w:tblGrid>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tabs>
                <w:tab w:pos="1596" w:val="left" w:leader="none"/>
              </w:tabs>
              <w:spacing w:line="242" w:lineRule="exact"/>
              <w:ind w:left="96"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4"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2"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59"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641,641,942.52</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568,544,554.77</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62,200.96</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50,222,311.67</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447,423,641.64</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691,864,254.19</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1,016,030,397.37</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505,548,266.04</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421,184,576.73</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51,568,965.79</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44,645,305.76</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37,869,686.74</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19,138,495.73</w:t>
            </w:r>
            <w:r>
              <w:rPr>
                <w:rFonts w:ascii="宋体"/>
                <w:sz w:val="20"/>
              </w:rPr>
            </w:r>
          </w:p>
        </w:tc>
      </w:tr>
      <w:tr>
        <w:trPr>
          <w:trHeight w:val="296"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0"/>
                <w:szCs w:val="20"/>
              </w:rPr>
            </w:pPr>
            <w:r>
              <w:rPr>
                <w:rFonts w:ascii="宋体"/>
                <w:w w:val="95"/>
                <w:sz w:val="20"/>
              </w:rPr>
              <w:t>56,293,930.54</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0"/>
              <w:jc w:val="right"/>
              <w:rPr>
                <w:rFonts w:ascii="宋体" w:hAnsi="宋体" w:cs="宋体" w:eastAsia="宋体" w:hint="default"/>
                <w:sz w:val="20"/>
                <w:szCs w:val="20"/>
              </w:rPr>
            </w:pPr>
            <w:r>
              <w:rPr>
                <w:rFonts w:ascii="宋体"/>
                <w:w w:val="95"/>
                <w:sz w:val="20"/>
              </w:rPr>
              <w:t>354,973,130.78</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651,280,849.11</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839,941,509.00</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40,583,405.08</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176,088,888.37</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37,533,079.52</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22,317,483.76</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处臵固定资产、无形资产和其他长期资产收回的现金净额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21,380,620.01</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21,331,048.37</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处臵子公司及其他营业单位收到的现金净额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58,913,699.53</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43,648,532.13</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75,027,371.41</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212,753,966.48</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130,000,000.00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12,825,000.00</w:t>
            </w:r>
            <w:r>
              <w:rPr>
                <w:rFonts w:ascii="宋体"/>
                <w:sz w:val="20"/>
              </w:rPr>
            </w:r>
          </w:p>
        </w:tc>
      </w:tr>
      <w:tr>
        <w:trPr>
          <w:trHeight w:val="296"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605"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205,027,371.41</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225,578,966.48</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5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-146,113,671.88</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-181,930,434.35</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22,281,700.00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347,207,479.75</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159,200,000.00</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22,281,700.00</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506,407,479.75</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5"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189,200,000.00</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5"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24,851,580.83</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36,234,943.66</w:t>
            </w:r>
            <w:r>
              <w:rPr>
                <w:rFonts w:ascii="宋体"/>
                <w:sz w:val="20"/>
              </w:rPr>
            </w:r>
          </w:p>
        </w:tc>
      </w:tr>
      <w:tr>
        <w:trPr>
          <w:trHeight w:val="296"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605"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1"/>
              <w:jc w:val="right"/>
              <w:rPr>
                <w:rFonts w:ascii="宋体" w:hAnsi="宋体" w:cs="宋体" w:eastAsia="宋体" w:hint="default"/>
                <w:sz w:val="20"/>
                <w:szCs w:val="20"/>
              </w:rPr>
            </w:pPr>
            <w:r>
              <w:rPr>
                <w:rFonts w:ascii="宋体"/>
                <w:w w:val="95"/>
                <w:sz w:val="20"/>
              </w:rPr>
              <w:t>2,079,424.17</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24,851,580.83</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227,514,367.83</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5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0"/>
                <w:szCs w:val="20"/>
              </w:rPr>
            </w:pPr>
            <w:r>
              <w:rPr>
                <w:rFonts w:ascii="宋体"/>
                <w:sz w:val="20"/>
              </w:rPr>
              <w:t>-2,569,880.83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278,893,111.92</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w w:val="95"/>
                <w:sz w:val="20"/>
              </w:rPr>
              <w:t>-36.56</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-108,100,147.63</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273,051,529.38</w:t>
            </w:r>
            <w:r>
              <w:rPr>
                <w:rFonts w:ascii="宋体"/>
                <w:sz w:val="20"/>
              </w:rPr>
            </w:r>
          </w:p>
        </w:tc>
      </w:tr>
      <w:tr>
        <w:trPr>
          <w:trHeight w:val="293"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384,017,489.26</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110,965,959.88</w:t>
            </w:r>
            <w:r>
              <w:rPr>
                <w:rFonts w:ascii="宋体"/>
                <w:sz w:val="20"/>
              </w:rPr>
            </w:r>
          </w:p>
        </w:tc>
      </w:tr>
      <w:tr>
        <w:trPr>
          <w:trHeight w:val="295" w:hRule="exact"/>
        </w:trPr>
        <w:tc>
          <w:tcPr>
            <w:tcW w:w="56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275,917,341.63</w:t>
            </w:r>
            <w:r>
              <w:rPr>
                <w:rFonts w:ascii="宋体"/>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w w:val="95"/>
                <w:sz w:val="20"/>
              </w:rPr>
              <w:t>384,017,489.26</w:t>
            </w:r>
            <w:r>
              <w:rPr>
                <w:rFonts w:ascii="宋体"/>
                <w:sz w:val="20"/>
              </w:rPr>
            </w:r>
          </w:p>
        </w:tc>
      </w:tr>
    </w:tbl>
    <w:p>
      <w:pPr>
        <w:tabs>
          <w:tab w:pos="2868" w:val="left" w:leader="none"/>
          <w:tab w:pos="6278" w:val="left" w:leader="none"/>
        </w:tabs>
        <w:spacing w:line="249" w:lineRule="exact" w:before="0"/>
        <w:ind w:left="338"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t>会计机构负责人：</w:t>
      </w:r>
    </w:p>
    <w:p>
      <w:pPr>
        <w:spacing w:after="0" w:line="249" w:lineRule="exact"/>
        <w:jc w:val="left"/>
        <w:rPr>
          <w:rFonts w:ascii="宋体" w:hAnsi="宋体" w:cs="宋体" w:eastAsia="宋体" w:hint="default"/>
          <w:sz w:val="22"/>
          <w:szCs w:val="22"/>
        </w:rPr>
        <w:sectPr>
          <w:pgSz w:w="11910" w:h="16840"/>
          <w:pgMar w:header="928" w:footer="1153" w:top="1260" w:bottom="1340" w:left="1040" w:right="0"/>
        </w:sectPr>
      </w:pPr>
    </w:p>
    <w:p>
      <w:pPr>
        <w:spacing w:line="240" w:lineRule="auto" w:before="1"/>
        <w:rPr>
          <w:rFonts w:ascii="宋体" w:hAnsi="宋体" w:cs="宋体" w:eastAsia="宋体" w:hint="default"/>
          <w:sz w:val="22"/>
          <w:szCs w:val="22"/>
        </w:rPr>
      </w:pPr>
    </w:p>
    <w:p>
      <w:pPr>
        <w:pStyle w:val="Heading2"/>
        <w:spacing w:line="401" w:lineRule="exact"/>
        <w:ind w:right="1316"/>
        <w:jc w:val="center"/>
        <w:rPr>
          <w:b w:val="0"/>
          <w:bCs w:val="0"/>
        </w:rPr>
      </w:pPr>
      <w:r>
        <w:rPr/>
        <w:t>母公司所有者权益变动表</w:t>
      </w:r>
      <w:r>
        <w:rPr>
          <w:b w:val="0"/>
          <w:bCs w:val="0"/>
        </w:rPr>
      </w:r>
    </w:p>
    <w:p>
      <w:pPr>
        <w:tabs>
          <w:tab w:pos="6828" w:val="left" w:leader="none"/>
          <w:tab w:pos="12969" w:val="left" w:leader="none"/>
        </w:tabs>
        <w:spacing w:line="263" w:lineRule="exact" w:before="0"/>
        <w:ind w:left="0" w:right="146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编制单位：东港安全印刷股份有限公司</w:t>
        <w:tab/>
      </w:r>
      <w:r>
        <w:rPr>
          <w:rFonts w:ascii="宋体" w:hAnsi="宋体" w:cs="宋体" w:eastAsia="宋体" w:hint="default"/>
          <w:spacing w:val="-2"/>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年度</w:t>
        <w:tab/>
      </w: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254" w:hRule="exact"/>
        </w:trPr>
        <w:tc>
          <w:tcPr>
            <w:tcW w:w="221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744" w:hRule="exact"/>
        </w:trPr>
        <w:tc>
          <w:tcPr>
            <w:tcW w:w="2211" w:type="dxa"/>
            <w:vMerge/>
            <w:tcBorders>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44" w:lineRule="exact" w:before="35"/>
              <w:ind w:left="67" w:right="67"/>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spacing w:val="-102"/>
                <w:sz w:val="21"/>
                <w:szCs w:val="21"/>
              </w:rPr>
              <w:t> </w:t>
            </w:r>
            <w:r>
              <w:rPr>
                <w:rFonts w:ascii="宋体" w:hAnsi="宋体" w:cs="宋体" w:eastAsia="宋体" w:hint="default"/>
                <w:sz w:val="21"/>
                <w:szCs w:val="21"/>
              </w:rPr>
              <w:t>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278" w:right="67"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173" w:right="68" w:hanging="107"/>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278" w:right="67"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278" w:right="67"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67" w:right="67"/>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172" w:right="6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4" w:lineRule="exact" w:before="35"/>
              <w:ind w:left="278" w:right="67"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44" w:lineRule="exact" w:before="35"/>
              <w:ind w:left="67" w:right="67"/>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spacing w:val="-102"/>
                <w:sz w:val="21"/>
                <w:szCs w:val="21"/>
              </w:rPr>
              <w:t> </w:t>
            </w:r>
            <w:r>
              <w:rPr>
                <w:rFonts w:ascii="宋体" w:hAnsi="宋体" w:cs="宋体" w:eastAsia="宋体" w:hint="default"/>
                <w:sz w:val="21"/>
                <w:szCs w:val="21"/>
              </w:rPr>
              <w:t>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278" w:right="67" w:hanging="212"/>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172" w:right="67"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278" w:right="68"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278" w:right="67"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67" w:right="67"/>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172" w:right="67"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4" w:lineRule="exact" w:before="35"/>
              <w:ind w:left="278" w:right="69"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74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124,12</w:t>
            </w:r>
          </w:p>
          <w:p>
            <w:pPr>
              <w:pStyle w:val="TableParagraph"/>
              <w:spacing w:line="245" w:lineRule="exact"/>
              <w:ind w:right="19"/>
              <w:jc w:val="right"/>
              <w:rPr>
                <w:rFonts w:ascii="宋体" w:hAnsi="宋体" w:cs="宋体" w:eastAsia="宋体" w:hint="default"/>
                <w:sz w:val="21"/>
                <w:szCs w:val="21"/>
              </w:rPr>
            </w:pPr>
            <w:r>
              <w:rPr>
                <w:rFonts w:ascii="宋体"/>
                <w:sz w:val="21"/>
              </w:rPr>
              <w:t>4,172.</w:t>
            </w:r>
          </w:p>
          <w:p>
            <w:pPr>
              <w:pStyle w:val="TableParagraph"/>
              <w:spacing w:line="260" w:lineRule="exact"/>
              <w:ind w:right="23"/>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578,17</w:t>
            </w:r>
          </w:p>
          <w:p>
            <w:pPr>
              <w:pStyle w:val="TableParagraph"/>
              <w:spacing w:line="245" w:lineRule="exact"/>
              <w:ind w:right="19"/>
              <w:jc w:val="right"/>
              <w:rPr>
                <w:rFonts w:ascii="宋体" w:hAnsi="宋体" w:cs="宋体" w:eastAsia="宋体" w:hint="default"/>
                <w:sz w:val="21"/>
                <w:szCs w:val="21"/>
              </w:rPr>
            </w:pPr>
            <w:r>
              <w:rPr>
                <w:rFonts w:ascii="宋体"/>
                <w:sz w:val="21"/>
              </w:rPr>
              <w:t>1,206.</w:t>
            </w:r>
          </w:p>
          <w:p>
            <w:pPr>
              <w:pStyle w:val="TableParagraph"/>
              <w:spacing w:line="260" w:lineRule="exact"/>
              <w:ind w:right="23"/>
              <w:jc w:val="right"/>
              <w:rPr>
                <w:rFonts w:ascii="宋体" w:hAnsi="宋体" w:cs="宋体" w:eastAsia="宋体" w:hint="default"/>
                <w:sz w:val="21"/>
                <w:szCs w:val="21"/>
              </w:rPr>
            </w:pPr>
            <w:r>
              <w:rPr>
                <w:rFonts w:ascii="宋体"/>
                <w:sz w:val="21"/>
              </w:rPr>
              <w:t>15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63,206</w:t>
            </w:r>
          </w:p>
          <w:p>
            <w:pPr>
              <w:pStyle w:val="TableParagraph"/>
              <w:spacing w:line="245" w:lineRule="exact"/>
              <w:ind w:right="19"/>
              <w:jc w:val="right"/>
              <w:rPr>
                <w:rFonts w:ascii="宋体" w:hAnsi="宋体" w:cs="宋体" w:eastAsia="宋体" w:hint="default"/>
                <w:sz w:val="21"/>
                <w:szCs w:val="21"/>
              </w:rPr>
            </w:pPr>
            <w:r>
              <w:rPr>
                <w:rFonts w:ascii="宋体"/>
                <w:sz w:val="21"/>
              </w:rPr>
              <w:t>,829.9</w:t>
            </w:r>
          </w:p>
          <w:p>
            <w:pPr>
              <w:pStyle w:val="TableParagraph"/>
              <w:spacing w:line="260" w:lineRule="exact"/>
              <w:ind w:right="23"/>
              <w:jc w:val="right"/>
              <w:rPr>
                <w:rFonts w:ascii="宋体" w:hAnsi="宋体" w:cs="宋体" w:eastAsia="宋体" w:hint="default"/>
                <w:sz w:val="21"/>
                <w:szCs w:val="21"/>
              </w:rPr>
            </w:pPr>
            <w:r>
              <w:rPr>
                <w:rFonts w:ascii="宋体"/>
                <w:w w:val="100"/>
                <w:sz w:val="21"/>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21"/>
                <w:szCs w:val="21"/>
              </w:rPr>
            </w:pPr>
            <w:r>
              <w:rPr>
                <w:rFonts w:ascii="宋体"/>
                <w:sz w:val="21"/>
              </w:rPr>
              <w:t>133,40</w:t>
            </w:r>
          </w:p>
          <w:p>
            <w:pPr>
              <w:pStyle w:val="TableParagraph"/>
              <w:spacing w:line="245" w:lineRule="exact"/>
              <w:ind w:right="21"/>
              <w:jc w:val="right"/>
              <w:rPr>
                <w:rFonts w:ascii="宋体" w:hAnsi="宋体" w:cs="宋体" w:eastAsia="宋体" w:hint="default"/>
                <w:sz w:val="21"/>
                <w:szCs w:val="21"/>
              </w:rPr>
            </w:pPr>
            <w:r>
              <w:rPr>
                <w:rFonts w:ascii="宋体"/>
                <w:sz w:val="21"/>
              </w:rPr>
              <w:t>3,697.</w:t>
            </w:r>
          </w:p>
          <w:p>
            <w:pPr>
              <w:pStyle w:val="TableParagraph"/>
              <w:spacing w:line="260" w:lineRule="exact"/>
              <w:ind w:right="22"/>
              <w:jc w:val="right"/>
              <w:rPr>
                <w:rFonts w:ascii="宋体" w:hAnsi="宋体" w:cs="宋体" w:eastAsia="宋体" w:hint="default"/>
                <w:sz w:val="21"/>
                <w:szCs w:val="21"/>
              </w:rPr>
            </w:pPr>
            <w:r>
              <w:rPr>
                <w:rFonts w:ascii="宋体"/>
                <w:sz w:val="21"/>
              </w:rPr>
              <w:t>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898,90</w:t>
            </w:r>
          </w:p>
          <w:p>
            <w:pPr>
              <w:pStyle w:val="TableParagraph"/>
              <w:spacing w:line="245" w:lineRule="exact"/>
              <w:ind w:right="19"/>
              <w:jc w:val="right"/>
              <w:rPr>
                <w:rFonts w:ascii="宋体" w:hAnsi="宋体" w:cs="宋体" w:eastAsia="宋体" w:hint="default"/>
                <w:sz w:val="21"/>
                <w:szCs w:val="21"/>
              </w:rPr>
            </w:pPr>
            <w:r>
              <w:rPr>
                <w:rFonts w:ascii="宋体"/>
                <w:sz w:val="21"/>
              </w:rPr>
              <w:t>5,905.</w:t>
            </w:r>
          </w:p>
          <w:p>
            <w:pPr>
              <w:pStyle w:val="TableParagraph"/>
              <w:spacing w:line="260" w:lineRule="exact"/>
              <w:ind w:right="23"/>
              <w:jc w:val="right"/>
              <w:rPr>
                <w:rFonts w:ascii="宋体" w:hAnsi="宋体" w:cs="宋体" w:eastAsia="宋体" w:hint="default"/>
                <w:sz w:val="21"/>
                <w:szCs w:val="21"/>
              </w:rPr>
            </w:pPr>
            <w:r>
              <w:rPr>
                <w:rFonts w:ascii="宋体"/>
                <w:sz w:val="21"/>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110,00</w:t>
            </w:r>
          </w:p>
          <w:p>
            <w:pPr>
              <w:pStyle w:val="TableParagraph"/>
              <w:spacing w:line="245" w:lineRule="exact"/>
              <w:ind w:right="19"/>
              <w:jc w:val="right"/>
              <w:rPr>
                <w:rFonts w:ascii="宋体" w:hAnsi="宋体" w:cs="宋体" w:eastAsia="宋体" w:hint="default"/>
                <w:sz w:val="21"/>
                <w:szCs w:val="21"/>
              </w:rPr>
            </w:pPr>
            <w:r>
              <w:rPr>
                <w:rFonts w:ascii="宋体"/>
                <w:sz w:val="21"/>
              </w:rPr>
              <w:t>0,000.</w:t>
            </w:r>
          </w:p>
          <w:p>
            <w:pPr>
              <w:pStyle w:val="TableParagraph"/>
              <w:spacing w:line="260" w:lineRule="exact"/>
              <w:ind w:right="23"/>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247,18</w:t>
            </w:r>
          </w:p>
          <w:p>
            <w:pPr>
              <w:pStyle w:val="TableParagraph"/>
              <w:spacing w:line="245" w:lineRule="exact"/>
              <w:ind w:right="19"/>
              <w:jc w:val="right"/>
              <w:rPr>
                <w:rFonts w:ascii="宋体" w:hAnsi="宋体" w:cs="宋体" w:eastAsia="宋体" w:hint="default"/>
                <w:sz w:val="21"/>
                <w:szCs w:val="21"/>
              </w:rPr>
            </w:pPr>
            <w:r>
              <w:rPr>
                <w:rFonts w:ascii="宋体"/>
                <w:sz w:val="21"/>
              </w:rPr>
              <w:t>6,763.</w:t>
            </w:r>
          </w:p>
          <w:p>
            <w:pPr>
              <w:pStyle w:val="TableParagraph"/>
              <w:spacing w:line="260" w:lineRule="exact"/>
              <w:ind w:right="23"/>
              <w:jc w:val="right"/>
              <w:rPr>
                <w:rFonts w:ascii="宋体" w:hAnsi="宋体" w:cs="宋体" w:eastAsia="宋体" w:hint="default"/>
                <w:sz w:val="21"/>
                <w:szCs w:val="21"/>
              </w:rPr>
            </w:pPr>
            <w:r>
              <w:rPr>
                <w:rFonts w:ascii="宋体"/>
                <w:sz w:val="21"/>
              </w:rPr>
              <w:t>62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54,464</w:t>
            </w:r>
          </w:p>
          <w:p>
            <w:pPr>
              <w:pStyle w:val="TableParagraph"/>
              <w:spacing w:line="245" w:lineRule="exact"/>
              <w:ind w:right="19"/>
              <w:jc w:val="right"/>
              <w:rPr>
                <w:rFonts w:ascii="宋体" w:hAnsi="宋体" w:cs="宋体" w:eastAsia="宋体" w:hint="default"/>
                <w:sz w:val="21"/>
                <w:szCs w:val="21"/>
              </w:rPr>
            </w:pPr>
            <w:r>
              <w:rPr>
                <w:rFonts w:ascii="宋体"/>
                <w:sz w:val="21"/>
              </w:rPr>
              <w:t>,269.5</w:t>
            </w:r>
          </w:p>
          <w:p>
            <w:pPr>
              <w:pStyle w:val="TableParagraph"/>
              <w:spacing w:line="260" w:lineRule="exact"/>
              <w:ind w:right="23"/>
              <w:jc w:val="right"/>
              <w:rPr>
                <w:rFonts w:ascii="宋体" w:hAnsi="宋体" w:cs="宋体" w:eastAsia="宋体" w:hint="default"/>
                <w:sz w:val="21"/>
                <w:szCs w:val="21"/>
              </w:rPr>
            </w:pPr>
            <w:r>
              <w:rPr>
                <w:rFonts w:ascii="宋体"/>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116,86</w:t>
            </w:r>
          </w:p>
          <w:p>
            <w:pPr>
              <w:pStyle w:val="TableParagraph"/>
              <w:spacing w:line="245" w:lineRule="exact"/>
              <w:ind w:right="19"/>
              <w:jc w:val="right"/>
              <w:rPr>
                <w:rFonts w:ascii="宋体" w:hAnsi="宋体" w:cs="宋体" w:eastAsia="宋体" w:hint="default"/>
                <w:sz w:val="21"/>
                <w:szCs w:val="21"/>
              </w:rPr>
            </w:pPr>
            <w:r>
              <w:rPr>
                <w:rFonts w:ascii="宋体"/>
                <w:sz w:val="21"/>
              </w:rPr>
              <w:t>2,522.</w:t>
            </w:r>
          </w:p>
          <w:p>
            <w:pPr>
              <w:pStyle w:val="TableParagraph"/>
              <w:spacing w:line="260" w:lineRule="exact"/>
              <w:ind w:right="23"/>
              <w:jc w:val="right"/>
              <w:rPr>
                <w:rFonts w:ascii="宋体" w:hAnsi="宋体" w:cs="宋体" w:eastAsia="宋体" w:hint="default"/>
                <w:sz w:val="21"/>
                <w:szCs w:val="21"/>
              </w:rPr>
            </w:pPr>
            <w:r>
              <w:rPr>
                <w:rFonts w:ascii="宋体"/>
                <w:sz w:val="21"/>
              </w:rPr>
              <w:t>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21"/>
                <w:szCs w:val="21"/>
              </w:rPr>
            </w:pPr>
            <w:r>
              <w:rPr>
                <w:rFonts w:ascii="宋体"/>
                <w:sz w:val="21"/>
              </w:rPr>
              <w:t>528,51</w:t>
            </w:r>
          </w:p>
          <w:p>
            <w:pPr>
              <w:pStyle w:val="TableParagraph"/>
              <w:spacing w:line="245" w:lineRule="exact"/>
              <w:ind w:right="21"/>
              <w:jc w:val="right"/>
              <w:rPr>
                <w:rFonts w:ascii="宋体" w:hAnsi="宋体" w:cs="宋体" w:eastAsia="宋体" w:hint="default"/>
                <w:sz w:val="21"/>
                <w:szCs w:val="21"/>
              </w:rPr>
            </w:pPr>
            <w:r>
              <w:rPr>
                <w:rFonts w:ascii="宋体"/>
                <w:sz w:val="21"/>
              </w:rPr>
              <w:t>3,555.</w:t>
            </w:r>
          </w:p>
          <w:p>
            <w:pPr>
              <w:pStyle w:val="TableParagraph"/>
              <w:spacing w:line="260" w:lineRule="exact"/>
              <w:ind w:right="22"/>
              <w:jc w:val="right"/>
              <w:rPr>
                <w:rFonts w:ascii="宋体" w:hAnsi="宋体" w:cs="宋体" w:eastAsia="宋体" w:hint="default"/>
                <w:sz w:val="21"/>
                <w:szCs w:val="21"/>
              </w:rPr>
            </w:pPr>
            <w:r>
              <w:rPr>
                <w:rFonts w:ascii="宋体"/>
                <w:sz w:val="21"/>
              </w:rPr>
              <w:t>42</w:t>
            </w: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5"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4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124,12</w:t>
            </w:r>
          </w:p>
          <w:p>
            <w:pPr>
              <w:pStyle w:val="TableParagraph"/>
              <w:spacing w:line="245" w:lineRule="exact"/>
              <w:ind w:right="19"/>
              <w:jc w:val="right"/>
              <w:rPr>
                <w:rFonts w:ascii="宋体" w:hAnsi="宋体" w:cs="宋体" w:eastAsia="宋体" w:hint="default"/>
                <w:sz w:val="21"/>
                <w:szCs w:val="21"/>
              </w:rPr>
            </w:pPr>
            <w:r>
              <w:rPr>
                <w:rFonts w:ascii="宋体"/>
                <w:sz w:val="21"/>
              </w:rPr>
              <w:t>4,172.</w:t>
            </w:r>
          </w:p>
          <w:p>
            <w:pPr>
              <w:pStyle w:val="TableParagraph"/>
              <w:spacing w:line="260" w:lineRule="exact"/>
              <w:ind w:right="23"/>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578,17</w:t>
            </w:r>
          </w:p>
          <w:p>
            <w:pPr>
              <w:pStyle w:val="TableParagraph"/>
              <w:spacing w:line="245" w:lineRule="exact"/>
              <w:ind w:right="19"/>
              <w:jc w:val="right"/>
              <w:rPr>
                <w:rFonts w:ascii="宋体" w:hAnsi="宋体" w:cs="宋体" w:eastAsia="宋体" w:hint="default"/>
                <w:sz w:val="21"/>
                <w:szCs w:val="21"/>
              </w:rPr>
            </w:pPr>
            <w:r>
              <w:rPr>
                <w:rFonts w:ascii="宋体"/>
                <w:sz w:val="21"/>
              </w:rPr>
              <w:t>1,206.</w:t>
            </w:r>
          </w:p>
          <w:p>
            <w:pPr>
              <w:pStyle w:val="TableParagraph"/>
              <w:spacing w:line="260" w:lineRule="exact"/>
              <w:ind w:right="23"/>
              <w:jc w:val="right"/>
              <w:rPr>
                <w:rFonts w:ascii="宋体" w:hAnsi="宋体" w:cs="宋体" w:eastAsia="宋体" w:hint="default"/>
                <w:sz w:val="21"/>
                <w:szCs w:val="21"/>
              </w:rPr>
            </w:pPr>
            <w:r>
              <w:rPr>
                <w:rFonts w:ascii="宋体"/>
                <w:sz w:val="21"/>
              </w:rPr>
              <w:t>15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63,206</w:t>
            </w:r>
          </w:p>
          <w:p>
            <w:pPr>
              <w:pStyle w:val="TableParagraph"/>
              <w:spacing w:line="245" w:lineRule="exact"/>
              <w:ind w:right="19"/>
              <w:jc w:val="right"/>
              <w:rPr>
                <w:rFonts w:ascii="宋体" w:hAnsi="宋体" w:cs="宋体" w:eastAsia="宋体" w:hint="default"/>
                <w:sz w:val="21"/>
                <w:szCs w:val="21"/>
              </w:rPr>
            </w:pPr>
            <w:r>
              <w:rPr>
                <w:rFonts w:ascii="宋体"/>
                <w:sz w:val="21"/>
              </w:rPr>
              <w:t>,829.9</w:t>
            </w:r>
          </w:p>
          <w:p>
            <w:pPr>
              <w:pStyle w:val="TableParagraph"/>
              <w:spacing w:line="260" w:lineRule="exact"/>
              <w:ind w:right="23"/>
              <w:jc w:val="right"/>
              <w:rPr>
                <w:rFonts w:ascii="宋体" w:hAnsi="宋体" w:cs="宋体" w:eastAsia="宋体" w:hint="default"/>
                <w:sz w:val="21"/>
                <w:szCs w:val="21"/>
              </w:rPr>
            </w:pPr>
            <w:r>
              <w:rPr>
                <w:rFonts w:ascii="宋体"/>
                <w:w w:val="100"/>
                <w:sz w:val="21"/>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21"/>
                <w:szCs w:val="21"/>
              </w:rPr>
            </w:pPr>
            <w:r>
              <w:rPr>
                <w:rFonts w:ascii="宋体"/>
                <w:sz w:val="21"/>
              </w:rPr>
              <w:t>133,40</w:t>
            </w:r>
          </w:p>
          <w:p>
            <w:pPr>
              <w:pStyle w:val="TableParagraph"/>
              <w:spacing w:line="245" w:lineRule="exact"/>
              <w:ind w:right="21"/>
              <w:jc w:val="right"/>
              <w:rPr>
                <w:rFonts w:ascii="宋体" w:hAnsi="宋体" w:cs="宋体" w:eastAsia="宋体" w:hint="default"/>
                <w:sz w:val="21"/>
                <w:szCs w:val="21"/>
              </w:rPr>
            </w:pPr>
            <w:r>
              <w:rPr>
                <w:rFonts w:ascii="宋体"/>
                <w:sz w:val="21"/>
              </w:rPr>
              <w:t>3,697.</w:t>
            </w:r>
          </w:p>
          <w:p>
            <w:pPr>
              <w:pStyle w:val="TableParagraph"/>
              <w:spacing w:line="260" w:lineRule="exact"/>
              <w:ind w:right="22"/>
              <w:jc w:val="right"/>
              <w:rPr>
                <w:rFonts w:ascii="宋体" w:hAnsi="宋体" w:cs="宋体" w:eastAsia="宋体" w:hint="default"/>
                <w:sz w:val="21"/>
                <w:szCs w:val="21"/>
              </w:rPr>
            </w:pPr>
            <w:r>
              <w:rPr>
                <w:rFonts w:ascii="宋体"/>
                <w:sz w:val="21"/>
              </w:rPr>
              <w:t>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898,90</w:t>
            </w:r>
          </w:p>
          <w:p>
            <w:pPr>
              <w:pStyle w:val="TableParagraph"/>
              <w:spacing w:line="245" w:lineRule="exact"/>
              <w:ind w:right="19"/>
              <w:jc w:val="right"/>
              <w:rPr>
                <w:rFonts w:ascii="宋体" w:hAnsi="宋体" w:cs="宋体" w:eastAsia="宋体" w:hint="default"/>
                <w:sz w:val="21"/>
                <w:szCs w:val="21"/>
              </w:rPr>
            </w:pPr>
            <w:r>
              <w:rPr>
                <w:rFonts w:ascii="宋体"/>
                <w:sz w:val="21"/>
              </w:rPr>
              <w:t>5,905.</w:t>
            </w:r>
          </w:p>
          <w:p>
            <w:pPr>
              <w:pStyle w:val="TableParagraph"/>
              <w:spacing w:line="260" w:lineRule="exact"/>
              <w:ind w:right="23"/>
              <w:jc w:val="right"/>
              <w:rPr>
                <w:rFonts w:ascii="宋体" w:hAnsi="宋体" w:cs="宋体" w:eastAsia="宋体" w:hint="default"/>
                <w:sz w:val="21"/>
                <w:szCs w:val="21"/>
              </w:rPr>
            </w:pPr>
            <w:r>
              <w:rPr>
                <w:rFonts w:ascii="宋体"/>
                <w:sz w:val="21"/>
              </w:rPr>
              <w:t>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110,00</w:t>
            </w:r>
          </w:p>
          <w:p>
            <w:pPr>
              <w:pStyle w:val="TableParagraph"/>
              <w:spacing w:line="245" w:lineRule="exact"/>
              <w:ind w:right="19"/>
              <w:jc w:val="right"/>
              <w:rPr>
                <w:rFonts w:ascii="宋体" w:hAnsi="宋体" w:cs="宋体" w:eastAsia="宋体" w:hint="default"/>
                <w:sz w:val="21"/>
                <w:szCs w:val="21"/>
              </w:rPr>
            </w:pPr>
            <w:r>
              <w:rPr>
                <w:rFonts w:ascii="宋体"/>
                <w:sz w:val="21"/>
              </w:rPr>
              <w:t>0,000.</w:t>
            </w:r>
          </w:p>
          <w:p>
            <w:pPr>
              <w:pStyle w:val="TableParagraph"/>
              <w:spacing w:line="260" w:lineRule="exact"/>
              <w:ind w:right="23"/>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247,18</w:t>
            </w:r>
          </w:p>
          <w:p>
            <w:pPr>
              <w:pStyle w:val="TableParagraph"/>
              <w:spacing w:line="245" w:lineRule="exact"/>
              <w:ind w:right="19"/>
              <w:jc w:val="right"/>
              <w:rPr>
                <w:rFonts w:ascii="宋体" w:hAnsi="宋体" w:cs="宋体" w:eastAsia="宋体" w:hint="default"/>
                <w:sz w:val="21"/>
                <w:szCs w:val="21"/>
              </w:rPr>
            </w:pPr>
            <w:r>
              <w:rPr>
                <w:rFonts w:ascii="宋体"/>
                <w:sz w:val="21"/>
              </w:rPr>
              <w:t>6,763.</w:t>
            </w:r>
          </w:p>
          <w:p>
            <w:pPr>
              <w:pStyle w:val="TableParagraph"/>
              <w:spacing w:line="260" w:lineRule="exact"/>
              <w:ind w:right="23"/>
              <w:jc w:val="right"/>
              <w:rPr>
                <w:rFonts w:ascii="宋体" w:hAnsi="宋体" w:cs="宋体" w:eastAsia="宋体" w:hint="default"/>
                <w:sz w:val="21"/>
                <w:szCs w:val="21"/>
              </w:rPr>
            </w:pPr>
            <w:r>
              <w:rPr>
                <w:rFonts w:ascii="宋体"/>
                <w:sz w:val="21"/>
              </w:rPr>
              <w:t>62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54,464</w:t>
            </w:r>
          </w:p>
          <w:p>
            <w:pPr>
              <w:pStyle w:val="TableParagraph"/>
              <w:spacing w:line="245" w:lineRule="exact"/>
              <w:ind w:right="19"/>
              <w:jc w:val="right"/>
              <w:rPr>
                <w:rFonts w:ascii="宋体" w:hAnsi="宋体" w:cs="宋体" w:eastAsia="宋体" w:hint="default"/>
                <w:sz w:val="21"/>
                <w:szCs w:val="21"/>
              </w:rPr>
            </w:pPr>
            <w:r>
              <w:rPr>
                <w:rFonts w:ascii="宋体"/>
                <w:sz w:val="21"/>
              </w:rPr>
              <w:t>,269.5</w:t>
            </w:r>
          </w:p>
          <w:p>
            <w:pPr>
              <w:pStyle w:val="TableParagraph"/>
              <w:spacing w:line="260" w:lineRule="exact"/>
              <w:ind w:right="23"/>
              <w:jc w:val="right"/>
              <w:rPr>
                <w:rFonts w:ascii="宋体" w:hAnsi="宋体" w:cs="宋体" w:eastAsia="宋体" w:hint="default"/>
                <w:sz w:val="21"/>
                <w:szCs w:val="21"/>
              </w:rPr>
            </w:pPr>
            <w:r>
              <w:rPr>
                <w:rFonts w:ascii="宋体"/>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116,86</w:t>
            </w:r>
          </w:p>
          <w:p>
            <w:pPr>
              <w:pStyle w:val="TableParagraph"/>
              <w:spacing w:line="245" w:lineRule="exact"/>
              <w:ind w:right="19"/>
              <w:jc w:val="right"/>
              <w:rPr>
                <w:rFonts w:ascii="宋体" w:hAnsi="宋体" w:cs="宋体" w:eastAsia="宋体" w:hint="default"/>
                <w:sz w:val="21"/>
                <w:szCs w:val="21"/>
              </w:rPr>
            </w:pPr>
            <w:r>
              <w:rPr>
                <w:rFonts w:ascii="宋体"/>
                <w:sz w:val="21"/>
              </w:rPr>
              <w:t>2,522.</w:t>
            </w:r>
          </w:p>
          <w:p>
            <w:pPr>
              <w:pStyle w:val="TableParagraph"/>
              <w:spacing w:line="260" w:lineRule="exact"/>
              <w:ind w:right="23"/>
              <w:jc w:val="right"/>
              <w:rPr>
                <w:rFonts w:ascii="宋体" w:hAnsi="宋体" w:cs="宋体" w:eastAsia="宋体" w:hint="default"/>
                <w:sz w:val="21"/>
                <w:szCs w:val="21"/>
              </w:rPr>
            </w:pPr>
            <w:r>
              <w:rPr>
                <w:rFonts w:ascii="宋体"/>
                <w:sz w:val="21"/>
              </w:rPr>
              <w:t>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21"/>
                <w:szCs w:val="21"/>
              </w:rPr>
            </w:pPr>
            <w:r>
              <w:rPr>
                <w:rFonts w:ascii="宋体"/>
                <w:sz w:val="21"/>
              </w:rPr>
              <w:t>528,51</w:t>
            </w:r>
          </w:p>
          <w:p>
            <w:pPr>
              <w:pStyle w:val="TableParagraph"/>
              <w:spacing w:line="245" w:lineRule="exact"/>
              <w:ind w:right="21"/>
              <w:jc w:val="right"/>
              <w:rPr>
                <w:rFonts w:ascii="宋体" w:hAnsi="宋体" w:cs="宋体" w:eastAsia="宋体" w:hint="default"/>
                <w:sz w:val="21"/>
                <w:szCs w:val="21"/>
              </w:rPr>
            </w:pPr>
            <w:r>
              <w:rPr>
                <w:rFonts w:ascii="宋体"/>
                <w:sz w:val="21"/>
              </w:rPr>
              <w:t>3,555.</w:t>
            </w:r>
          </w:p>
          <w:p>
            <w:pPr>
              <w:pStyle w:val="TableParagraph"/>
              <w:spacing w:line="260" w:lineRule="exact"/>
              <w:ind w:right="22"/>
              <w:jc w:val="right"/>
              <w:rPr>
                <w:rFonts w:ascii="宋体" w:hAnsi="宋体" w:cs="宋体" w:eastAsia="宋体" w:hint="default"/>
                <w:sz w:val="21"/>
                <w:szCs w:val="21"/>
              </w:rPr>
            </w:pPr>
            <w:r>
              <w:rPr>
                <w:rFonts w:ascii="宋体"/>
                <w:sz w:val="21"/>
              </w:rPr>
              <w:t>42</w:t>
            </w:r>
          </w:p>
        </w:tc>
      </w:tr>
      <w:tr>
        <w:trPr>
          <w:trHeight w:val="74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9"/>
              <w:ind w:left="2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60" w:lineRule="exact"/>
              <w:ind w:left="23" w:right="-30"/>
              <w:jc w:val="left"/>
              <w:rPr>
                <w:rFonts w:ascii="宋体" w:hAnsi="宋体" w:cs="宋体" w:eastAsia="宋体" w:hint="default"/>
                <w:sz w:val="21"/>
                <w:szCs w:val="21"/>
              </w:rPr>
            </w:pPr>
            <w:r>
              <w:rPr>
                <w:rFonts w:ascii="宋体" w:hAnsi="宋体" w:cs="宋体" w:eastAsia="宋体" w:hint="default"/>
                <w:spacing w:val="-2"/>
                <w:sz w:val="21"/>
                <w:szCs w:val="21"/>
              </w:rPr>
              <w:t>（减少以“</w:t>
            </w:r>
            <w:r>
              <w:rPr>
                <w:rFonts w:ascii="宋体" w:hAnsi="宋体" w:cs="宋体" w:eastAsia="宋体" w:hint="default"/>
                <w:spacing w:val="-2"/>
                <w:sz w:val="21"/>
                <w:szCs w:val="21"/>
              </w:rPr>
              <w:t>-</w:t>
            </w:r>
            <w:r>
              <w:rPr>
                <w:rFonts w:ascii="宋体" w:hAnsi="宋体" w:cs="宋体" w:eastAsia="宋体" w:hint="default"/>
                <w:spacing w:val="-2"/>
                <w:sz w:val="21"/>
                <w:szCs w:val="21"/>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9"/>
              <w:ind w:left="115" w:right="0"/>
              <w:jc w:val="left"/>
              <w:rPr>
                <w:rFonts w:ascii="宋体" w:hAnsi="宋体" w:cs="宋体" w:eastAsia="宋体" w:hint="default"/>
                <w:sz w:val="21"/>
                <w:szCs w:val="21"/>
              </w:rPr>
            </w:pPr>
            <w:r>
              <w:rPr>
                <w:rFonts w:ascii="宋体"/>
                <w:sz w:val="21"/>
              </w:rPr>
              <w:t>2,290,</w:t>
            </w:r>
          </w:p>
          <w:p>
            <w:pPr>
              <w:pStyle w:val="TableParagraph"/>
              <w:spacing w:line="260" w:lineRule="exact"/>
              <w:ind w:left="115" w:right="0"/>
              <w:jc w:val="left"/>
              <w:rPr>
                <w:rFonts w:ascii="宋体" w:hAnsi="宋体" w:cs="宋体" w:eastAsia="宋体" w:hint="default"/>
                <w:sz w:val="21"/>
                <w:szCs w:val="21"/>
              </w:rPr>
            </w:pPr>
            <w:r>
              <w:rPr>
                <w:rFonts w:ascii="宋体"/>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20,773</w:t>
            </w:r>
          </w:p>
          <w:p>
            <w:pPr>
              <w:pStyle w:val="TableParagraph"/>
              <w:spacing w:line="245" w:lineRule="exact"/>
              <w:ind w:right="19"/>
              <w:jc w:val="right"/>
              <w:rPr>
                <w:rFonts w:ascii="宋体" w:hAnsi="宋体" w:cs="宋体" w:eastAsia="宋体" w:hint="default"/>
                <w:sz w:val="21"/>
                <w:szCs w:val="21"/>
              </w:rPr>
            </w:pPr>
            <w:r>
              <w:rPr>
                <w:rFonts w:ascii="宋体"/>
                <w:sz w:val="21"/>
              </w:rPr>
              <w:t>,200.0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12,040</w:t>
            </w:r>
          </w:p>
          <w:p>
            <w:pPr>
              <w:pStyle w:val="TableParagraph"/>
              <w:spacing w:line="245" w:lineRule="exact"/>
              <w:ind w:right="19"/>
              <w:jc w:val="right"/>
              <w:rPr>
                <w:rFonts w:ascii="宋体" w:hAnsi="宋体" w:cs="宋体" w:eastAsia="宋体" w:hint="default"/>
                <w:sz w:val="21"/>
                <w:szCs w:val="21"/>
              </w:rPr>
            </w:pPr>
            <w:r>
              <w:rPr>
                <w:rFonts w:ascii="宋体"/>
                <w:sz w:val="21"/>
              </w:rPr>
              <w:t>,972.5</w:t>
            </w:r>
          </w:p>
          <w:p>
            <w:pPr>
              <w:pStyle w:val="TableParagraph"/>
              <w:spacing w:line="260" w:lineRule="exact"/>
              <w:ind w:right="23"/>
              <w:jc w:val="right"/>
              <w:rPr>
                <w:rFonts w:ascii="宋体" w:hAnsi="宋体" w:cs="宋体" w:eastAsia="宋体" w:hint="default"/>
                <w:sz w:val="21"/>
                <w:szCs w:val="21"/>
              </w:rPr>
            </w:pPr>
            <w:r>
              <w:rPr>
                <w:rFonts w:ascii="宋体"/>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21"/>
                <w:szCs w:val="21"/>
              </w:rPr>
            </w:pPr>
            <w:r>
              <w:rPr>
                <w:rFonts w:ascii="宋体"/>
                <w:sz w:val="21"/>
              </w:rPr>
              <w:t>43,407</w:t>
            </w:r>
          </w:p>
          <w:p>
            <w:pPr>
              <w:pStyle w:val="TableParagraph"/>
              <w:spacing w:line="245" w:lineRule="exact"/>
              <w:ind w:right="21"/>
              <w:jc w:val="right"/>
              <w:rPr>
                <w:rFonts w:ascii="宋体" w:hAnsi="宋体" w:cs="宋体" w:eastAsia="宋体" w:hint="default"/>
                <w:sz w:val="21"/>
                <w:szCs w:val="21"/>
              </w:rPr>
            </w:pPr>
            <w:r>
              <w:rPr>
                <w:rFonts w:ascii="宋体"/>
                <w:sz w:val="21"/>
              </w:rPr>
              <w:t>,343.4</w:t>
            </w:r>
          </w:p>
          <w:p>
            <w:pPr>
              <w:pStyle w:val="TableParagraph"/>
              <w:spacing w:line="260" w:lineRule="exact"/>
              <w:ind w:right="23"/>
              <w:jc w:val="right"/>
              <w:rPr>
                <w:rFonts w:ascii="宋体" w:hAnsi="宋体" w:cs="宋体" w:eastAsia="宋体" w:hint="default"/>
                <w:sz w:val="21"/>
                <w:szCs w:val="21"/>
              </w:rPr>
            </w:pPr>
            <w:r>
              <w:rPr>
                <w:rFonts w:ascii="宋体"/>
                <w:w w:val="100"/>
                <w:sz w:val="21"/>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78,511</w:t>
            </w:r>
          </w:p>
          <w:p>
            <w:pPr>
              <w:pStyle w:val="TableParagraph"/>
              <w:spacing w:line="245" w:lineRule="exact"/>
              <w:ind w:right="19"/>
              <w:jc w:val="right"/>
              <w:rPr>
                <w:rFonts w:ascii="宋体" w:hAnsi="宋体" w:cs="宋体" w:eastAsia="宋体" w:hint="default"/>
                <w:sz w:val="21"/>
                <w:szCs w:val="21"/>
              </w:rPr>
            </w:pPr>
            <w:r>
              <w:rPr>
                <w:rFonts w:ascii="宋体"/>
                <w:sz w:val="21"/>
              </w:rPr>
              <w:t>,515.9</w:t>
            </w:r>
          </w:p>
          <w:p>
            <w:pPr>
              <w:pStyle w:val="TableParagraph"/>
              <w:spacing w:line="260" w:lineRule="exact"/>
              <w:ind w:right="23"/>
              <w:jc w:val="right"/>
              <w:rPr>
                <w:rFonts w:ascii="宋体" w:hAnsi="宋体" w:cs="宋体" w:eastAsia="宋体" w:hint="default"/>
                <w:sz w:val="21"/>
                <w:szCs w:val="21"/>
              </w:rPr>
            </w:pPr>
            <w:r>
              <w:rPr>
                <w:rFonts w:ascii="宋体"/>
                <w:w w:val="100"/>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14,124</w:t>
            </w:r>
          </w:p>
          <w:p>
            <w:pPr>
              <w:pStyle w:val="TableParagraph"/>
              <w:spacing w:line="245" w:lineRule="exact"/>
              <w:ind w:right="19"/>
              <w:jc w:val="right"/>
              <w:rPr>
                <w:rFonts w:ascii="宋体" w:hAnsi="宋体" w:cs="宋体" w:eastAsia="宋体" w:hint="default"/>
                <w:sz w:val="21"/>
                <w:szCs w:val="21"/>
              </w:rPr>
            </w:pPr>
            <w:r>
              <w:rPr>
                <w:rFonts w:ascii="宋体"/>
                <w:sz w:val="21"/>
              </w:rPr>
              <w:t>,172.0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330,98</w:t>
            </w:r>
          </w:p>
          <w:p>
            <w:pPr>
              <w:pStyle w:val="TableParagraph"/>
              <w:spacing w:line="245" w:lineRule="exact"/>
              <w:ind w:right="19"/>
              <w:jc w:val="right"/>
              <w:rPr>
                <w:rFonts w:ascii="宋体" w:hAnsi="宋体" w:cs="宋体" w:eastAsia="宋体" w:hint="default"/>
                <w:sz w:val="21"/>
                <w:szCs w:val="21"/>
              </w:rPr>
            </w:pPr>
            <w:r>
              <w:rPr>
                <w:rFonts w:ascii="宋体"/>
                <w:sz w:val="21"/>
              </w:rPr>
              <w:t>4,442.</w:t>
            </w:r>
          </w:p>
          <w:p>
            <w:pPr>
              <w:pStyle w:val="TableParagraph"/>
              <w:spacing w:line="260" w:lineRule="exact"/>
              <w:ind w:right="23"/>
              <w:jc w:val="right"/>
              <w:rPr>
                <w:rFonts w:ascii="宋体" w:hAnsi="宋体" w:cs="宋体" w:eastAsia="宋体" w:hint="default"/>
                <w:sz w:val="21"/>
                <w:szCs w:val="21"/>
              </w:rPr>
            </w:pPr>
            <w:r>
              <w:rPr>
                <w:rFonts w:ascii="宋体"/>
                <w:sz w:val="21"/>
              </w:rPr>
              <w:t>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9"/>
              <w:ind w:left="115" w:right="0"/>
              <w:jc w:val="left"/>
              <w:rPr>
                <w:rFonts w:ascii="宋体" w:hAnsi="宋体" w:cs="宋体" w:eastAsia="宋体" w:hint="default"/>
                <w:sz w:val="21"/>
                <w:szCs w:val="21"/>
              </w:rPr>
            </w:pPr>
            <w:r>
              <w:rPr>
                <w:rFonts w:ascii="宋体"/>
                <w:sz w:val="21"/>
              </w:rPr>
              <w:t>8,742,</w:t>
            </w:r>
          </w:p>
          <w:p>
            <w:pPr>
              <w:pStyle w:val="TableParagraph"/>
              <w:spacing w:line="260" w:lineRule="exact"/>
              <w:ind w:left="115" w:right="0"/>
              <w:jc w:val="left"/>
              <w:rPr>
                <w:rFonts w:ascii="宋体" w:hAnsi="宋体" w:cs="宋体" w:eastAsia="宋体" w:hint="default"/>
                <w:sz w:val="21"/>
                <w:szCs w:val="21"/>
              </w:rPr>
            </w:pPr>
            <w:r>
              <w:rPr>
                <w:rFonts w:ascii="宋体"/>
                <w:sz w:val="21"/>
              </w:rPr>
              <w:t>560.36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16,541</w:t>
            </w:r>
          </w:p>
          <w:p>
            <w:pPr>
              <w:pStyle w:val="TableParagraph"/>
              <w:spacing w:line="245" w:lineRule="exact"/>
              <w:ind w:right="19"/>
              <w:jc w:val="right"/>
              <w:rPr>
                <w:rFonts w:ascii="宋体" w:hAnsi="宋体" w:cs="宋体" w:eastAsia="宋体" w:hint="default"/>
                <w:sz w:val="21"/>
                <w:szCs w:val="21"/>
              </w:rPr>
            </w:pPr>
            <w:r>
              <w:rPr>
                <w:rFonts w:ascii="宋体"/>
                <w:sz w:val="21"/>
              </w:rPr>
              <w:t>,175.3</w:t>
            </w:r>
          </w:p>
          <w:p>
            <w:pPr>
              <w:pStyle w:val="TableParagraph"/>
              <w:spacing w:line="260" w:lineRule="exact"/>
              <w:ind w:right="23"/>
              <w:jc w:val="right"/>
              <w:rPr>
                <w:rFonts w:ascii="宋体" w:hAnsi="宋体" w:cs="宋体" w:eastAsia="宋体" w:hint="default"/>
                <w:sz w:val="21"/>
                <w:szCs w:val="21"/>
              </w:rPr>
            </w:pPr>
            <w:r>
              <w:rPr>
                <w:rFonts w:ascii="宋体"/>
                <w:w w:val="100"/>
                <w:sz w:val="21"/>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21"/>
                <w:szCs w:val="21"/>
              </w:rPr>
            </w:pPr>
            <w:r>
              <w:rPr>
                <w:rFonts w:ascii="宋体"/>
                <w:sz w:val="21"/>
              </w:rPr>
              <w:t>370,39</w:t>
            </w:r>
          </w:p>
          <w:p>
            <w:pPr>
              <w:pStyle w:val="TableParagraph"/>
              <w:spacing w:line="245" w:lineRule="exact"/>
              <w:ind w:right="21"/>
              <w:jc w:val="right"/>
              <w:rPr>
                <w:rFonts w:ascii="宋体" w:hAnsi="宋体" w:cs="宋体" w:eastAsia="宋体" w:hint="default"/>
                <w:sz w:val="21"/>
                <w:szCs w:val="21"/>
              </w:rPr>
            </w:pPr>
            <w:r>
              <w:rPr>
                <w:rFonts w:ascii="宋体"/>
                <w:sz w:val="21"/>
              </w:rPr>
              <w:t>2,350.</w:t>
            </w:r>
          </w:p>
          <w:p>
            <w:pPr>
              <w:pStyle w:val="TableParagraph"/>
              <w:spacing w:line="260" w:lineRule="exact"/>
              <w:ind w:right="22"/>
              <w:jc w:val="right"/>
              <w:rPr>
                <w:rFonts w:ascii="宋体" w:hAnsi="宋体" w:cs="宋体" w:eastAsia="宋体" w:hint="default"/>
                <w:sz w:val="21"/>
                <w:szCs w:val="21"/>
              </w:rPr>
            </w:pPr>
            <w:r>
              <w:rPr>
                <w:rFonts w:ascii="宋体"/>
                <w:sz w:val="21"/>
              </w:rPr>
              <w:t>26</w:t>
            </w:r>
          </w:p>
        </w:tc>
      </w:tr>
      <w:tr>
        <w:trPr>
          <w:trHeight w:val="74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21"/>
                <w:szCs w:val="21"/>
              </w:rPr>
            </w:pPr>
            <w:r>
              <w:rPr>
                <w:rFonts w:ascii="宋体"/>
                <w:sz w:val="21"/>
              </w:rPr>
              <w:t>80,273</w:t>
            </w:r>
          </w:p>
          <w:p>
            <w:pPr>
              <w:pStyle w:val="TableParagraph"/>
              <w:spacing w:line="245" w:lineRule="exact"/>
              <w:ind w:right="21"/>
              <w:jc w:val="right"/>
              <w:rPr>
                <w:rFonts w:ascii="宋体" w:hAnsi="宋体" w:cs="宋体" w:eastAsia="宋体" w:hint="default"/>
                <w:sz w:val="21"/>
                <w:szCs w:val="21"/>
              </w:rPr>
            </w:pPr>
            <w:r>
              <w:rPr>
                <w:rFonts w:ascii="宋体"/>
                <w:sz w:val="21"/>
              </w:rPr>
              <w:t>,150.3</w:t>
            </w:r>
          </w:p>
          <w:p>
            <w:pPr>
              <w:pStyle w:val="TableParagraph"/>
              <w:spacing w:line="260" w:lineRule="exact"/>
              <w:ind w:right="23"/>
              <w:jc w:val="right"/>
              <w:rPr>
                <w:rFonts w:ascii="宋体" w:hAnsi="宋体" w:cs="宋体" w:eastAsia="宋体" w:hint="default"/>
                <w:sz w:val="21"/>
                <w:szCs w:val="21"/>
              </w:rPr>
            </w:pPr>
            <w:r>
              <w:rPr>
                <w:rFonts w:ascii="宋体"/>
                <w:w w:val="100"/>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80,273</w:t>
            </w:r>
          </w:p>
          <w:p>
            <w:pPr>
              <w:pStyle w:val="TableParagraph"/>
              <w:spacing w:line="245" w:lineRule="exact"/>
              <w:ind w:right="19"/>
              <w:jc w:val="right"/>
              <w:rPr>
                <w:rFonts w:ascii="宋体" w:hAnsi="宋体" w:cs="宋体" w:eastAsia="宋体" w:hint="default"/>
                <w:sz w:val="21"/>
                <w:szCs w:val="21"/>
              </w:rPr>
            </w:pPr>
            <w:r>
              <w:rPr>
                <w:rFonts w:ascii="宋体"/>
                <w:sz w:val="21"/>
              </w:rPr>
              <w:t>,150.3</w:t>
            </w:r>
          </w:p>
          <w:p>
            <w:pPr>
              <w:pStyle w:val="TableParagraph"/>
              <w:spacing w:line="260" w:lineRule="exact"/>
              <w:ind w:right="23"/>
              <w:jc w:val="right"/>
              <w:rPr>
                <w:rFonts w:ascii="宋体" w:hAnsi="宋体" w:cs="宋体" w:eastAsia="宋体" w:hint="default"/>
                <w:sz w:val="21"/>
                <w:szCs w:val="21"/>
              </w:rPr>
            </w:pPr>
            <w:r>
              <w:rPr>
                <w:rFonts w:ascii="宋体"/>
                <w:w w:val="100"/>
                <w:sz w:val="21"/>
              </w:rPr>
              <w:t>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58,283</w:t>
            </w:r>
          </w:p>
          <w:p>
            <w:pPr>
              <w:pStyle w:val="TableParagraph"/>
              <w:spacing w:line="245" w:lineRule="exact"/>
              <w:ind w:right="19"/>
              <w:jc w:val="right"/>
              <w:rPr>
                <w:rFonts w:ascii="宋体" w:hAnsi="宋体" w:cs="宋体" w:eastAsia="宋体" w:hint="default"/>
                <w:sz w:val="21"/>
                <w:szCs w:val="21"/>
              </w:rPr>
            </w:pPr>
            <w:r>
              <w:rPr>
                <w:rFonts w:ascii="宋体"/>
                <w:sz w:val="21"/>
              </w:rPr>
              <w:t>,735.7</w:t>
            </w:r>
          </w:p>
          <w:p>
            <w:pPr>
              <w:pStyle w:val="TableParagraph"/>
              <w:spacing w:line="260" w:lineRule="exact"/>
              <w:ind w:right="23"/>
              <w:jc w:val="right"/>
              <w:rPr>
                <w:rFonts w:ascii="宋体" w:hAnsi="宋体" w:cs="宋体" w:eastAsia="宋体" w:hint="default"/>
                <w:sz w:val="21"/>
                <w:szCs w:val="21"/>
              </w:rPr>
            </w:pPr>
            <w:r>
              <w:rPr>
                <w:rFonts w:ascii="宋体"/>
                <w:w w:val="100"/>
                <w:sz w:val="21"/>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21"/>
                <w:szCs w:val="21"/>
              </w:rPr>
            </w:pPr>
            <w:r>
              <w:rPr>
                <w:rFonts w:ascii="宋体"/>
                <w:sz w:val="21"/>
              </w:rPr>
              <w:t>58,283</w:t>
            </w:r>
          </w:p>
          <w:p>
            <w:pPr>
              <w:pStyle w:val="TableParagraph"/>
              <w:spacing w:line="245" w:lineRule="exact"/>
              <w:ind w:right="21"/>
              <w:jc w:val="right"/>
              <w:rPr>
                <w:rFonts w:ascii="宋体" w:hAnsi="宋体" w:cs="宋体" w:eastAsia="宋体" w:hint="default"/>
                <w:sz w:val="21"/>
                <w:szCs w:val="21"/>
              </w:rPr>
            </w:pPr>
            <w:r>
              <w:rPr>
                <w:rFonts w:ascii="宋体"/>
                <w:sz w:val="21"/>
              </w:rPr>
              <w:t>,735.7</w:t>
            </w:r>
          </w:p>
          <w:p>
            <w:pPr>
              <w:pStyle w:val="TableParagraph"/>
              <w:spacing w:line="260" w:lineRule="exact"/>
              <w:ind w:right="22"/>
              <w:jc w:val="right"/>
              <w:rPr>
                <w:rFonts w:ascii="宋体" w:hAnsi="宋体" w:cs="宋体" w:eastAsia="宋体" w:hint="default"/>
                <w:sz w:val="21"/>
                <w:szCs w:val="21"/>
              </w:rPr>
            </w:pPr>
            <w:r>
              <w:rPr>
                <w:rFonts w:ascii="宋体"/>
                <w:w w:val="100"/>
                <w:sz w:val="21"/>
              </w:rPr>
              <w:t>3</w:t>
            </w: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4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7"/>
              <w:ind w:left="23" w:right="72" w:firstLine="211"/>
              <w:jc w:val="left"/>
              <w:rPr>
                <w:rFonts w:ascii="宋体" w:hAnsi="宋体" w:cs="宋体" w:eastAsia="宋体" w:hint="default"/>
                <w:sz w:val="21"/>
                <w:szCs w:val="21"/>
              </w:rPr>
            </w:pPr>
            <w:r>
              <w:rPr>
                <w:rFonts w:ascii="宋体" w:hAnsi="宋体" w:cs="宋体" w:eastAsia="宋体" w:hint="default"/>
                <w:spacing w:val="-2"/>
                <w:sz w:val="21"/>
                <w:szCs w:val="21"/>
              </w:rPr>
              <w:t>上述（一）和（二）</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21"/>
                <w:szCs w:val="21"/>
              </w:rPr>
            </w:pPr>
            <w:r>
              <w:rPr>
                <w:rFonts w:ascii="宋体"/>
                <w:sz w:val="21"/>
              </w:rPr>
              <w:t>80,273</w:t>
            </w:r>
          </w:p>
          <w:p>
            <w:pPr>
              <w:pStyle w:val="TableParagraph"/>
              <w:spacing w:line="245" w:lineRule="exact"/>
              <w:ind w:right="21"/>
              <w:jc w:val="right"/>
              <w:rPr>
                <w:rFonts w:ascii="宋体" w:hAnsi="宋体" w:cs="宋体" w:eastAsia="宋体" w:hint="default"/>
                <w:sz w:val="21"/>
                <w:szCs w:val="21"/>
              </w:rPr>
            </w:pPr>
            <w:r>
              <w:rPr>
                <w:rFonts w:ascii="宋体"/>
                <w:sz w:val="21"/>
              </w:rPr>
              <w:t>,150.3</w:t>
            </w:r>
          </w:p>
          <w:p>
            <w:pPr>
              <w:pStyle w:val="TableParagraph"/>
              <w:spacing w:line="260" w:lineRule="exact"/>
              <w:ind w:right="23"/>
              <w:jc w:val="right"/>
              <w:rPr>
                <w:rFonts w:ascii="宋体" w:hAnsi="宋体" w:cs="宋体" w:eastAsia="宋体" w:hint="default"/>
                <w:sz w:val="21"/>
                <w:szCs w:val="21"/>
              </w:rPr>
            </w:pPr>
            <w:r>
              <w:rPr>
                <w:rFonts w:ascii="宋体"/>
                <w:w w:val="100"/>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80,273</w:t>
            </w:r>
          </w:p>
          <w:p>
            <w:pPr>
              <w:pStyle w:val="TableParagraph"/>
              <w:spacing w:line="245" w:lineRule="exact"/>
              <w:ind w:right="19"/>
              <w:jc w:val="right"/>
              <w:rPr>
                <w:rFonts w:ascii="宋体" w:hAnsi="宋体" w:cs="宋体" w:eastAsia="宋体" w:hint="default"/>
                <w:sz w:val="21"/>
                <w:szCs w:val="21"/>
              </w:rPr>
            </w:pPr>
            <w:r>
              <w:rPr>
                <w:rFonts w:ascii="宋体"/>
                <w:sz w:val="21"/>
              </w:rPr>
              <w:t>,150.3</w:t>
            </w:r>
          </w:p>
          <w:p>
            <w:pPr>
              <w:pStyle w:val="TableParagraph"/>
              <w:spacing w:line="260" w:lineRule="exact"/>
              <w:ind w:right="23"/>
              <w:jc w:val="right"/>
              <w:rPr>
                <w:rFonts w:ascii="宋体" w:hAnsi="宋体" w:cs="宋体" w:eastAsia="宋体" w:hint="default"/>
                <w:sz w:val="21"/>
                <w:szCs w:val="21"/>
              </w:rPr>
            </w:pPr>
            <w:r>
              <w:rPr>
                <w:rFonts w:ascii="宋体"/>
                <w:w w:val="100"/>
                <w:sz w:val="21"/>
              </w:rPr>
              <w:t>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58,283</w:t>
            </w:r>
          </w:p>
          <w:p>
            <w:pPr>
              <w:pStyle w:val="TableParagraph"/>
              <w:spacing w:line="245" w:lineRule="exact"/>
              <w:ind w:right="19"/>
              <w:jc w:val="right"/>
              <w:rPr>
                <w:rFonts w:ascii="宋体" w:hAnsi="宋体" w:cs="宋体" w:eastAsia="宋体" w:hint="default"/>
                <w:sz w:val="21"/>
                <w:szCs w:val="21"/>
              </w:rPr>
            </w:pPr>
            <w:r>
              <w:rPr>
                <w:rFonts w:ascii="宋体"/>
                <w:sz w:val="21"/>
              </w:rPr>
              <w:t>,735.7</w:t>
            </w:r>
          </w:p>
          <w:p>
            <w:pPr>
              <w:pStyle w:val="TableParagraph"/>
              <w:spacing w:line="260" w:lineRule="exact"/>
              <w:ind w:right="23"/>
              <w:jc w:val="right"/>
              <w:rPr>
                <w:rFonts w:ascii="宋体" w:hAnsi="宋体" w:cs="宋体" w:eastAsia="宋体" w:hint="default"/>
                <w:sz w:val="21"/>
                <w:szCs w:val="21"/>
              </w:rPr>
            </w:pPr>
            <w:r>
              <w:rPr>
                <w:rFonts w:ascii="宋体"/>
                <w:w w:val="100"/>
                <w:sz w:val="21"/>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21"/>
                <w:szCs w:val="21"/>
              </w:rPr>
            </w:pPr>
            <w:r>
              <w:rPr>
                <w:rFonts w:ascii="宋体"/>
                <w:sz w:val="21"/>
              </w:rPr>
              <w:t>58,283</w:t>
            </w:r>
          </w:p>
          <w:p>
            <w:pPr>
              <w:pStyle w:val="TableParagraph"/>
              <w:spacing w:line="245" w:lineRule="exact"/>
              <w:ind w:right="21"/>
              <w:jc w:val="right"/>
              <w:rPr>
                <w:rFonts w:ascii="宋体" w:hAnsi="宋体" w:cs="宋体" w:eastAsia="宋体" w:hint="default"/>
                <w:sz w:val="21"/>
                <w:szCs w:val="21"/>
              </w:rPr>
            </w:pPr>
            <w:r>
              <w:rPr>
                <w:rFonts w:ascii="宋体"/>
                <w:sz w:val="21"/>
              </w:rPr>
              <w:t>,735.7</w:t>
            </w:r>
          </w:p>
          <w:p>
            <w:pPr>
              <w:pStyle w:val="TableParagraph"/>
              <w:spacing w:line="260" w:lineRule="exact"/>
              <w:ind w:right="22"/>
              <w:jc w:val="right"/>
              <w:rPr>
                <w:rFonts w:ascii="宋体" w:hAnsi="宋体" w:cs="宋体" w:eastAsia="宋体" w:hint="default"/>
                <w:sz w:val="21"/>
                <w:szCs w:val="21"/>
              </w:rPr>
            </w:pPr>
            <w:r>
              <w:rPr>
                <w:rFonts w:ascii="宋体"/>
                <w:w w:val="100"/>
                <w:sz w:val="21"/>
              </w:rPr>
              <w:t>3</w:t>
            </w:r>
          </w:p>
        </w:tc>
      </w:tr>
      <w:tr>
        <w:trPr>
          <w:trHeight w:val="74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9"/>
              <w:ind w:left="23" w:right="72" w:firstLine="211"/>
              <w:jc w:val="left"/>
              <w:rPr>
                <w:rFonts w:ascii="宋体" w:hAnsi="宋体" w:cs="宋体" w:eastAsia="宋体" w:hint="default"/>
                <w:sz w:val="21"/>
                <w:szCs w:val="21"/>
              </w:rPr>
            </w:pPr>
            <w:r>
              <w:rPr>
                <w:rFonts w:ascii="宋体" w:hAnsi="宋体" w:cs="宋体" w:eastAsia="宋体" w:hint="default"/>
                <w:spacing w:val="-2"/>
                <w:sz w:val="21"/>
                <w:szCs w:val="21"/>
              </w:rPr>
              <w:t>（三）所有者投入和</w:t>
            </w:r>
            <w:r>
              <w:rPr>
                <w:rFonts w:ascii="宋体" w:hAnsi="宋体" w:cs="宋体" w:eastAsia="宋体" w:hint="default"/>
                <w:w w:val="100"/>
                <w:sz w:val="21"/>
                <w:szCs w:val="21"/>
              </w:rPr>
              <w:t> </w:t>
            </w:r>
            <w:r>
              <w:rPr>
                <w:rFonts w:ascii="宋体" w:hAnsi="宋体" w:cs="宋体" w:eastAsia="宋体" w:hint="default"/>
                <w:sz w:val="21"/>
                <w:szCs w:val="21"/>
              </w:rPr>
              <w:t>减少资本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9"/>
              <w:ind w:left="115" w:right="0"/>
              <w:jc w:val="left"/>
              <w:rPr>
                <w:rFonts w:ascii="宋体" w:hAnsi="宋体" w:cs="宋体" w:eastAsia="宋体" w:hint="default"/>
                <w:sz w:val="21"/>
                <w:szCs w:val="21"/>
              </w:rPr>
            </w:pPr>
            <w:r>
              <w:rPr>
                <w:rFonts w:ascii="宋体"/>
                <w:sz w:val="21"/>
              </w:rPr>
              <w:t>2,290,</w:t>
            </w:r>
          </w:p>
          <w:p>
            <w:pPr>
              <w:pStyle w:val="TableParagraph"/>
              <w:spacing w:line="260" w:lineRule="exact"/>
              <w:ind w:left="115" w:right="0"/>
              <w:jc w:val="left"/>
              <w:rPr>
                <w:rFonts w:ascii="宋体" w:hAnsi="宋体" w:cs="宋体" w:eastAsia="宋体" w:hint="default"/>
                <w:sz w:val="21"/>
                <w:szCs w:val="21"/>
              </w:rPr>
            </w:pPr>
            <w:r>
              <w:rPr>
                <w:rFonts w:ascii="宋体"/>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20,773</w:t>
            </w:r>
          </w:p>
          <w:p>
            <w:pPr>
              <w:pStyle w:val="TableParagraph"/>
              <w:spacing w:line="245" w:lineRule="exact"/>
              <w:ind w:right="19"/>
              <w:jc w:val="right"/>
              <w:rPr>
                <w:rFonts w:ascii="宋体" w:hAnsi="宋体" w:cs="宋体" w:eastAsia="宋体" w:hint="default"/>
                <w:sz w:val="21"/>
                <w:szCs w:val="21"/>
              </w:rPr>
            </w:pPr>
            <w:r>
              <w:rPr>
                <w:rFonts w:ascii="宋体"/>
                <w:sz w:val="21"/>
              </w:rPr>
              <w:t>,200.0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23,063</w:t>
            </w:r>
          </w:p>
          <w:p>
            <w:pPr>
              <w:pStyle w:val="TableParagraph"/>
              <w:spacing w:line="245" w:lineRule="exact"/>
              <w:ind w:right="19"/>
              <w:jc w:val="right"/>
              <w:rPr>
                <w:rFonts w:ascii="宋体" w:hAnsi="宋体" w:cs="宋体" w:eastAsia="宋体" w:hint="default"/>
                <w:sz w:val="21"/>
                <w:szCs w:val="21"/>
              </w:rPr>
            </w:pPr>
            <w:r>
              <w:rPr>
                <w:rFonts w:ascii="宋体"/>
                <w:sz w:val="21"/>
              </w:rPr>
              <w:t>,200.0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14,124</w:t>
            </w:r>
          </w:p>
          <w:p>
            <w:pPr>
              <w:pStyle w:val="TableParagraph"/>
              <w:spacing w:line="245" w:lineRule="exact"/>
              <w:ind w:right="19"/>
              <w:jc w:val="right"/>
              <w:rPr>
                <w:rFonts w:ascii="宋体" w:hAnsi="宋体" w:cs="宋体" w:eastAsia="宋体" w:hint="default"/>
                <w:sz w:val="21"/>
                <w:szCs w:val="21"/>
              </w:rPr>
            </w:pPr>
            <w:r>
              <w:rPr>
                <w:rFonts w:ascii="宋体"/>
                <w:sz w:val="21"/>
              </w:rPr>
              <w:t>,172.0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9"/>
              <w:jc w:val="right"/>
              <w:rPr>
                <w:rFonts w:ascii="宋体" w:hAnsi="宋体" w:cs="宋体" w:eastAsia="宋体" w:hint="default"/>
                <w:sz w:val="21"/>
                <w:szCs w:val="21"/>
              </w:rPr>
            </w:pPr>
            <w:r>
              <w:rPr>
                <w:rFonts w:ascii="宋体"/>
                <w:sz w:val="21"/>
              </w:rPr>
              <w:t>330,98</w:t>
            </w:r>
          </w:p>
          <w:p>
            <w:pPr>
              <w:pStyle w:val="TableParagraph"/>
              <w:spacing w:line="245" w:lineRule="exact"/>
              <w:ind w:right="19"/>
              <w:jc w:val="right"/>
              <w:rPr>
                <w:rFonts w:ascii="宋体" w:hAnsi="宋体" w:cs="宋体" w:eastAsia="宋体" w:hint="default"/>
                <w:sz w:val="21"/>
                <w:szCs w:val="21"/>
              </w:rPr>
            </w:pPr>
            <w:r>
              <w:rPr>
                <w:rFonts w:ascii="宋体"/>
                <w:sz w:val="21"/>
              </w:rPr>
              <w:t>4,442.</w:t>
            </w:r>
          </w:p>
          <w:p>
            <w:pPr>
              <w:pStyle w:val="TableParagraph"/>
              <w:spacing w:line="260" w:lineRule="exact"/>
              <w:ind w:right="23"/>
              <w:jc w:val="right"/>
              <w:rPr>
                <w:rFonts w:ascii="宋体" w:hAnsi="宋体" w:cs="宋体" w:eastAsia="宋体" w:hint="default"/>
                <w:sz w:val="21"/>
                <w:szCs w:val="21"/>
              </w:rPr>
            </w:pPr>
            <w:r>
              <w:rPr>
                <w:rFonts w:ascii="宋体"/>
                <w:sz w:val="21"/>
              </w:rPr>
              <w:t>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
              <w:jc w:val="right"/>
              <w:rPr>
                <w:rFonts w:ascii="宋体" w:hAnsi="宋体" w:cs="宋体" w:eastAsia="宋体" w:hint="default"/>
                <w:sz w:val="21"/>
                <w:szCs w:val="21"/>
              </w:rPr>
            </w:pPr>
            <w:r>
              <w:rPr>
                <w:rFonts w:ascii="宋体"/>
                <w:sz w:val="21"/>
              </w:rPr>
              <w:t>345,10</w:t>
            </w:r>
          </w:p>
          <w:p>
            <w:pPr>
              <w:pStyle w:val="TableParagraph"/>
              <w:spacing w:line="245" w:lineRule="exact"/>
              <w:ind w:right="21"/>
              <w:jc w:val="right"/>
              <w:rPr>
                <w:rFonts w:ascii="宋体" w:hAnsi="宋体" w:cs="宋体" w:eastAsia="宋体" w:hint="default"/>
                <w:sz w:val="21"/>
                <w:szCs w:val="21"/>
              </w:rPr>
            </w:pPr>
            <w:r>
              <w:rPr>
                <w:rFonts w:ascii="宋体"/>
                <w:sz w:val="21"/>
              </w:rPr>
              <w:t>8,614.</w:t>
            </w:r>
          </w:p>
          <w:p>
            <w:pPr>
              <w:pStyle w:val="TableParagraph"/>
              <w:spacing w:line="260" w:lineRule="exact"/>
              <w:ind w:right="22"/>
              <w:jc w:val="right"/>
              <w:rPr>
                <w:rFonts w:ascii="宋体" w:hAnsi="宋体" w:cs="宋体" w:eastAsia="宋体" w:hint="default"/>
                <w:sz w:val="21"/>
                <w:szCs w:val="21"/>
              </w:rPr>
            </w:pPr>
            <w:r>
              <w:rPr>
                <w:rFonts w:ascii="宋体"/>
                <w:sz w:val="21"/>
              </w:rPr>
              <w:t>53</w:t>
            </w:r>
          </w:p>
        </w:tc>
      </w:tr>
      <w:tr>
        <w:trPr>
          <w:trHeight w:val="74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7"/>
              <w:ind w:left="115" w:right="0"/>
              <w:jc w:val="left"/>
              <w:rPr>
                <w:rFonts w:ascii="宋体" w:hAnsi="宋体" w:cs="宋体" w:eastAsia="宋体" w:hint="default"/>
                <w:sz w:val="21"/>
                <w:szCs w:val="21"/>
              </w:rPr>
            </w:pPr>
            <w:r>
              <w:rPr>
                <w:rFonts w:ascii="宋体"/>
                <w:sz w:val="21"/>
              </w:rPr>
              <w:t>2,290,</w:t>
            </w:r>
          </w:p>
          <w:p>
            <w:pPr>
              <w:pStyle w:val="TableParagraph"/>
              <w:spacing w:line="260" w:lineRule="exact"/>
              <w:ind w:left="115" w:right="0"/>
              <w:jc w:val="left"/>
              <w:rPr>
                <w:rFonts w:ascii="宋体" w:hAnsi="宋体" w:cs="宋体" w:eastAsia="宋体" w:hint="default"/>
                <w:sz w:val="21"/>
                <w:szCs w:val="21"/>
              </w:rPr>
            </w:pPr>
            <w:r>
              <w:rPr>
                <w:rFonts w:ascii="宋体"/>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19,991</w:t>
            </w:r>
          </w:p>
          <w:p>
            <w:pPr>
              <w:pStyle w:val="TableParagraph"/>
              <w:spacing w:line="245" w:lineRule="exact"/>
              <w:ind w:right="19"/>
              <w:jc w:val="right"/>
              <w:rPr>
                <w:rFonts w:ascii="宋体" w:hAnsi="宋体" w:cs="宋体" w:eastAsia="宋体" w:hint="default"/>
                <w:sz w:val="21"/>
                <w:szCs w:val="21"/>
              </w:rPr>
            </w:pPr>
            <w:r>
              <w:rPr>
                <w:rFonts w:ascii="宋体"/>
                <w:sz w:val="21"/>
              </w:rPr>
              <w:t>,700.0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22,281</w:t>
            </w:r>
          </w:p>
          <w:p>
            <w:pPr>
              <w:pStyle w:val="TableParagraph"/>
              <w:spacing w:line="245" w:lineRule="exact"/>
              <w:ind w:right="19"/>
              <w:jc w:val="right"/>
              <w:rPr>
                <w:rFonts w:ascii="宋体" w:hAnsi="宋体" w:cs="宋体" w:eastAsia="宋体" w:hint="default"/>
                <w:sz w:val="21"/>
                <w:szCs w:val="21"/>
              </w:rPr>
            </w:pPr>
            <w:r>
              <w:rPr>
                <w:rFonts w:ascii="宋体"/>
                <w:sz w:val="21"/>
              </w:rPr>
              <w:t>,700.0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14,124</w:t>
            </w:r>
          </w:p>
          <w:p>
            <w:pPr>
              <w:pStyle w:val="TableParagraph"/>
              <w:spacing w:line="245" w:lineRule="exact"/>
              <w:ind w:right="19"/>
              <w:jc w:val="right"/>
              <w:rPr>
                <w:rFonts w:ascii="宋体" w:hAnsi="宋体" w:cs="宋体" w:eastAsia="宋体" w:hint="default"/>
                <w:sz w:val="21"/>
                <w:szCs w:val="21"/>
              </w:rPr>
            </w:pPr>
            <w:r>
              <w:rPr>
                <w:rFonts w:ascii="宋体"/>
                <w:sz w:val="21"/>
              </w:rPr>
              <w:t>,172.0</w:t>
            </w:r>
          </w:p>
          <w:p>
            <w:pPr>
              <w:pStyle w:val="TableParagraph"/>
              <w:spacing w:line="260" w:lineRule="exact"/>
              <w:ind w:right="23"/>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330,98</w:t>
            </w:r>
          </w:p>
          <w:p>
            <w:pPr>
              <w:pStyle w:val="TableParagraph"/>
              <w:spacing w:line="245" w:lineRule="exact"/>
              <w:ind w:right="19"/>
              <w:jc w:val="right"/>
              <w:rPr>
                <w:rFonts w:ascii="宋体" w:hAnsi="宋体" w:cs="宋体" w:eastAsia="宋体" w:hint="default"/>
                <w:sz w:val="21"/>
                <w:szCs w:val="21"/>
              </w:rPr>
            </w:pPr>
            <w:r>
              <w:rPr>
                <w:rFonts w:ascii="宋体"/>
                <w:sz w:val="21"/>
              </w:rPr>
              <w:t>4,442.</w:t>
            </w:r>
          </w:p>
          <w:p>
            <w:pPr>
              <w:pStyle w:val="TableParagraph"/>
              <w:spacing w:line="260" w:lineRule="exact"/>
              <w:ind w:right="23"/>
              <w:jc w:val="right"/>
              <w:rPr>
                <w:rFonts w:ascii="宋体" w:hAnsi="宋体" w:cs="宋体" w:eastAsia="宋体" w:hint="default"/>
                <w:sz w:val="21"/>
                <w:szCs w:val="21"/>
              </w:rPr>
            </w:pPr>
            <w:r>
              <w:rPr>
                <w:rFonts w:ascii="宋体"/>
                <w:sz w:val="21"/>
              </w:rPr>
              <w:t>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21"/>
                <w:szCs w:val="21"/>
              </w:rPr>
            </w:pPr>
            <w:r>
              <w:rPr>
                <w:rFonts w:ascii="宋体"/>
                <w:sz w:val="21"/>
              </w:rPr>
              <w:t>345,10</w:t>
            </w:r>
          </w:p>
          <w:p>
            <w:pPr>
              <w:pStyle w:val="TableParagraph"/>
              <w:spacing w:line="245" w:lineRule="exact"/>
              <w:ind w:right="21"/>
              <w:jc w:val="right"/>
              <w:rPr>
                <w:rFonts w:ascii="宋体" w:hAnsi="宋体" w:cs="宋体" w:eastAsia="宋体" w:hint="default"/>
                <w:sz w:val="21"/>
                <w:szCs w:val="21"/>
              </w:rPr>
            </w:pPr>
            <w:r>
              <w:rPr>
                <w:rFonts w:ascii="宋体"/>
                <w:sz w:val="21"/>
              </w:rPr>
              <w:t>8,614.</w:t>
            </w:r>
          </w:p>
          <w:p>
            <w:pPr>
              <w:pStyle w:val="TableParagraph"/>
              <w:spacing w:line="260" w:lineRule="exact"/>
              <w:ind w:right="22"/>
              <w:jc w:val="right"/>
              <w:rPr>
                <w:rFonts w:ascii="宋体" w:hAnsi="宋体" w:cs="宋体" w:eastAsia="宋体" w:hint="default"/>
                <w:sz w:val="21"/>
                <w:szCs w:val="21"/>
              </w:rPr>
            </w:pPr>
            <w:r>
              <w:rPr>
                <w:rFonts w:ascii="宋体"/>
                <w:sz w:val="21"/>
              </w:rPr>
              <w:t>53</w:t>
            </w:r>
          </w:p>
        </w:tc>
      </w:tr>
      <w:tr>
        <w:trPr>
          <w:trHeight w:val="5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46"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．股份支付计入所</w:t>
            </w:r>
          </w:p>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21"/>
                <w:szCs w:val="21"/>
              </w:rPr>
            </w:pPr>
            <w:r>
              <w:rPr>
                <w:rFonts w:ascii="宋体"/>
                <w:sz w:val="21"/>
              </w:rPr>
              <w:t>781,50</w:t>
            </w:r>
          </w:p>
          <w:p>
            <w:pPr>
              <w:pStyle w:val="TableParagraph"/>
              <w:spacing w:line="260" w:lineRule="exact"/>
              <w:ind w:left="21" w:right="0"/>
              <w:jc w:val="left"/>
              <w:rPr>
                <w:rFonts w:ascii="宋体" w:hAnsi="宋体" w:cs="宋体" w:eastAsia="宋体" w:hint="default"/>
                <w:sz w:val="21"/>
                <w:szCs w:val="21"/>
              </w:rPr>
            </w:pPr>
            <w:r>
              <w:rPr>
                <w:rFonts w:ascii="宋体"/>
                <w:sz w:val="21"/>
              </w:rPr>
              <w:t>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21"/>
                <w:szCs w:val="21"/>
              </w:rPr>
            </w:pPr>
            <w:r>
              <w:rPr>
                <w:rFonts w:ascii="宋体"/>
                <w:sz w:val="21"/>
              </w:rPr>
              <w:t>781,50</w:t>
            </w:r>
          </w:p>
          <w:p>
            <w:pPr>
              <w:pStyle w:val="TableParagraph"/>
              <w:spacing w:line="260" w:lineRule="exact"/>
              <w:ind w:left="21" w:right="0"/>
              <w:jc w:val="left"/>
              <w:rPr>
                <w:rFonts w:ascii="宋体" w:hAnsi="宋体" w:cs="宋体" w:eastAsia="宋体" w:hint="default"/>
                <w:sz w:val="21"/>
                <w:szCs w:val="21"/>
              </w:rPr>
            </w:pPr>
            <w:r>
              <w:rPr>
                <w:rFonts w:ascii="宋体"/>
                <w:sz w:val="21"/>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5"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宋体" w:hAnsi="宋体" w:cs="宋体" w:eastAsia="宋体" w:hint="default"/>
                <w:sz w:val="21"/>
                <w:szCs w:val="21"/>
              </w:rPr>
            </w:pPr>
            <w:r>
              <w:rPr>
                <w:rFonts w:ascii="宋体"/>
                <w:sz w:val="21"/>
              </w:rPr>
              <w:t>12,040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宋体" w:hAnsi="宋体" w:cs="宋体" w:eastAsia="宋体" w:hint="default"/>
                <w:sz w:val="21"/>
                <w:szCs w:val="21"/>
              </w:rPr>
            </w:pPr>
            <w:r>
              <w:rPr>
                <w:rFonts w:ascii="宋体"/>
                <w:sz w:val="21"/>
              </w:rPr>
              <w:t>-36,86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宋体" w:hAnsi="宋体" w:cs="宋体" w:eastAsia="宋体" w:hint="default"/>
                <w:sz w:val="21"/>
                <w:szCs w:val="21"/>
              </w:rPr>
            </w:pPr>
            <w:r>
              <w:rPr>
                <w:rFonts w:ascii="宋体"/>
                <w:sz w:val="21"/>
              </w:rPr>
              <w:t>-24,82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宋体" w:hAnsi="宋体" w:cs="宋体" w:eastAsia="宋体" w:hint="default"/>
                <w:sz w:val="21"/>
                <w:szCs w:val="21"/>
              </w:rPr>
            </w:pPr>
            <w:r>
              <w:rPr>
                <w:rFonts w:ascii="宋体"/>
                <w:sz w:val="21"/>
              </w:rPr>
              <w:t>8,742,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宋体" w:hAnsi="宋体" w:cs="宋体" w:eastAsia="宋体" w:hint="default"/>
                <w:sz w:val="21"/>
                <w:szCs w:val="21"/>
              </w:rPr>
            </w:pPr>
            <w:r>
              <w:rPr>
                <w:rFonts w:ascii="宋体"/>
                <w:sz w:val="21"/>
              </w:rPr>
              <w:t>-41,74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宋体" w:hAnsi="宋体" w:cs="宋体" w:eastAsia="宋体" w:hint="default"/>
                <w:sz w:val="21"/>
                <w:szCs w:val="21"/>
              </w:rPr>
            </w:pPr>
            <w:r>
              <w:rPr>
                <w:rFonts w:ascii="宋体"/>
                <w:sz w:val="21"/>
              </w:rPr>
              <w:t>-33,00</w:t>
            </w:r>
          </w:p>
        </w:tc>
      </w:tr>
    </w:tbl>
    <w:p>
      <w:pPr>
        <w:spacing w:after="0" w:line="219" w:lineRule="exact"/>
        <w:jc w:val="left"/>
        <w:rPr>
          <w:rFonts w:ascii="宋体" w:hAnsi="宋体" w:cs="宋体" w:eastAsia="宋体" w:hint="default"/>
          <w:sz w:val="21"/>
          <w:szCs w:val="21"/>
        </w:rPr>
        <w:sectPr>
          <w:headerReference w:type="default" r:id="rId28"/>
          <w:footerReference w:type="default" r:id="rId29"/>
          <w:pgSz w:w="16840" w:h="11910" w:orient="landscape"/>
          <w:pgMar w:header="928" w:footer="1153" w:top="1260" w:bottom="1380" w:left="1320" w:right="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499" w:hRule="exact"/>
        </w:trPr>
        <w:tc>
          <w:tcPr>
            <w:tcW w:w="221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,972.5</w:t>
            </w:r>
          </w:p>
          <w:p>
            <w:pPr>
              <w:pStyle w:val="TableParagraph"/>
              <w:spacing w:line="260" w:lineRule="exact"/>
              <w:ind w:right="23"/>
              <w:jc w:val="right"/>
              <w:rPr>
                <w:rFonts w:ascii="宋体" w:hAnsi="宋体" w:cs="宋体" w:eastAsia="宋体" w:hint="default"/>
                <w:sz w:val="21"/>
                <w:szCs w:val="21"/>
              </w:rPr>
            </w:pPr>
            <w:r>
              <w:rPr>
                <w:rFonts w:ascii="宋体"/>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21"/>
                <w:szCs w:val="21"/>
              </w:rPr>
            </w:pPr>
            <w:r>
              <w:rPr>
                <w:rFonts w:ascii="宋体"/>
                <w:sz w:val="21"/>
              </w:rPr>
              <w:t>5,806.</w:t>
            </w:r>
          </w:p>
          <w:p>
            <w:pPr>
              <w:pStyle w:val="TableParagraph"/>
              <w:spacing w:line="260" w:lineRule="exact"/>
              <w:ind w:right="22"/>
              <w:jc w:val="right"/>
              <w:rPr>
                <w:rFonts w:ascii="宋体" w:hAnsi="宋体" w:cs="宋体" w:eastAsia="宋体" w:hint="default"/>
                <w:sz w:val="21"/>
                <w:szCs w:val="21"/>
              </w:rPr>
            </w:pPr>
            <w:r>
              <w:rPr>
                <w:rFonts w:ascii="宋体"/>
                <w:sz w:val="21"/>
              </w:rPr>
              <w:t>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4,834.</w:t>
            </w:r>
          </w:p>
          <w:p>
            <w:pPr>
              <w:pStyle w:val="TableParagraph"/>
              <w:spacing w:line="260" w:lineRule="exact"/>
              <w:ind w:right="23"/>
              <w:jc w:val="right"/>
              <w:rPr>
                <w:rFonts w:ascii="宋体" w:hAnsi="宋体" w:cs="宋体" w:eastAsia="宋体" w:hint="default"/>
                <w:sz w:val="21"/>
                <w:szCs w:val="21"/>
              </w:rPr>
            </w:pPr>
            <w:r>
              <w:rPr>
                <w:rFonts w:ascii="宋体"/>
                <w:sz w:val="21"/>
              </w:rPr>
              <w:t>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0"/>
              <w:jc w:val="left"/>
              <w:rPr>
                <w:rFonts w:ascii="宋体" w:hAnsi="宋体" w:cs="宋体" w:eastAsia="宋体" w:hint="default"/>
                <w:sz w:val="21"/>
                <w:szCs w:val="21"/>
              </w:rPr>
            </w:pPr>
            <w:r>
              <w:rPr>
                <w:rFonts w:ascii="宋体"/>
                <w:sz w:val="21"/>
              </w:rPr>
              <w:t>560.36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9"/>
              <w:jc w:val="right"/>
              <w:rPr>
                <w:rFonts w:ascii="宋体" w:hAnsi="宋体" w:cs="宋体" w:eastAsia="宋体" w:hint="default"/>
                <w:sz w:val="21"/>
                <w:szCs w:val="21"/>
              </w:rPr>
            </w:pPr>
            <w:r>
              <w:rPr>
                <w:rFonts w:ascii="宋体"/>
                <w:sz w:val="21"/>
              </w:rPr>
              <w:t>2,560.</w:t>
            </w:r>
          </w:p>
          <w:p>
            <w:pPr>
              <w:pStyle w:val="TableParagraph"/>
              <w:spacing w:line="260" w:lineRule="exact"/>
              <w:ind w:right="23"/>
              <w:jc w:val="right"/>
              <w:rPr>
                <w:rFonts w:ascii="宋体" w:hAnsi="宋体" w:cs="宋体" w:eastAsia="宋体" w:hint="default"/>
                <w:sz w:val="21"/>
                <w:szCs w:val="21"/>
              </w:rPr>
            </w:pPr>
            <w:r>
              <w:rPr>
                <w:rFonts w:ascii="宋体"/>
                <w:sz w:val="21"/>
              </w:rPr>
              <w:t>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21"/>
                <w:szCs w:val="21"/>
              </w:rPr>
            </w:pPr>
            <w:r>
              <w:rPr>
                <w:rFonts w:ascii="宋体"/>
                <w:sz w:val="21"/>
              </w:rPr>
              <w:t>0,000.</w:t>
            </w:r>
          </w:p>
          <w:p>
            <w:pPr>
              <w:pStyle w:val="TableParagraph"/>
              <w:spacing w:line="260" w:lineRule="exact"/>
              <w:ind w:right="22"/>
              <w:jc w:val="right"/>
              <w:rPr>
                <w:rFonts w:ascii="宋体" w:hAnsi="宋体" w:cs="宋体" w:eastAsia="宋体" w:hint="default"/>
                <w:sz w:val="21"/>
                <w:szCs w:val="21"/>
              </w:rPr>
            </w:pPr>
            <w:r>
              <w:rPr>
                <w:rFonts w:ascii="宋体"/>
                <w:sz w:val="21"/>
              </w:rPr>
              <w:t>00</w:t>
            </w:r>
          </w:p>
        </w:tc>
      </w:tr>
      <w:tr>
        <w:trPr>
          <w:trHeight w:val="74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12,040</w:t>
            </w:r>
          </w:p>
          <w:p>
            <w:pPr>
              <w:pStyle w:val="TableParagraph"/>
              <w:spacing w:line="246" w:lineRule="exact"/>
              <w:ind w:right="19"/>
              <w:jc w:val="right"/>
              <w:rPr>
                <w:rFonts w:ascii="宋体" w:hAnsi="宋体" w:cs="宋体" w:eastAsia="宋体" w:hint="default"/>
                <w:sz w:val="21"/>
                <w:szCs w:val="21"/>
              </w:rPr>
            </w:pPr>
            <w:r>
              <w:rPr>
                <w:rFonts w:ascii="宋体"/>
                <w:sz w:val="21"/>
              </w:rPr>
              <w:t>,972.5</w:t>
            </w:r>
          </w:p>
          <w:p>
            <w:pPr>
              <w:pStyle w:val="TableParagraph"/>
              <w:spacing w:line="260" w:lineRule="exact"/>
              <w:ind w:right="23"/>
              <w:jc w:val="right"/>
              <w:rPr>
                <w:rFonts w:ascii="宋体" w:hAnsi="宋体" w:cs="宋体" w:eastAsia="宋体" w:hint="default"/>
                <w:sz w:val="21"/>
                <w:szCs w:val="21"/>
              </w:rPr>
            </w:pPr>
            <w:r>
              <w:rPr>
                <w:rFonts w:ascii="宋体"/>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21"/>
                <w:szCs w:val="21"/>
              </w:rPr>
            </w:pPr>
            <w:r>
              <w:rPr>
                <w:rFonts w:ascii="宋体"/>
                <w:sz w:val="21"/>
              </w:rPr>
              <w:t>-12,04</w:t>
            </w:r>
          </w:p>
          <w:p>
            <w:pPr>
              <w:pStyle w:val="TableParagraph"/>
              <w:spacing w:line="246" w:lineRule="exact"/>
              <w:ind w:right="21"/>
              <w:jc w:val="right"/>
              <w:rPr>
                <w:rFonts w:ascii="宋体" w:hAnsi="宋体" w:cs="宋体" w:eastAsia="宋体" w:hint="default"/>
                <w:sz w:val="21"/>
                <w:szCs w:val="21"/>
              </w:rPr>
            </w:pPr>
            <w:r>
              <w:rPr>
                <w:rFonts w:ascii="宋体"/>
                <w:sz w:val="21"/>
              </w:rPr>
              <w:t>0,972.</w:t>
            </w:r>
          </w:p>
          <w:p>
            <w:pPr>
              <w:pStyle w:val="TableParagraph"/>
              <w:spacing w:line="260" w:lineRule="exact"/>
              <w:ind w:right="22"/>
              <w:jc w:val="right"/>
              <w:rPr>
                <w:rFonts w:ascii="宋体" w:hAnsi="宋体" w:cs="宋体" w:eastAsia="宋体" w:hint="default"/>
                <w:sz w:val="21"/>
                <w:szCs w:val="21"/>
              </w:rPr>
            </w:pPr>
            <w:r>
              <w:rPr>
                <w:rFonts w:ascii="宋体"/>
                <w:sz w:val="21"/>
              </w:rPr>
              <w:t>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66"/>
              <w:ind w:left="115" w:right="0"/>
              <w:jc w:val="left"/>
              <w:rPr>
                <w:rFonts w:ascii="宋体" w:hAnsi="宋体" w:cs="宋体" w:eastAsia="宋体" w:hint="default"/>
                <w:sz w:val="21"/>
                <w:szCs w:val="21"/>
              </w:rPr>
            </w:pPr>
            <w:r>
              <w:rPr>
                <w:rFonts w:ascii="宋体"/>
                <w:sz w:val="21"/>
              </w:rPr>
              <w:t>8,742,</w:t>
            </w:r>
          </w:p>
          <w:p>
            <w:pPr>
              <w:pStyle w:val="TableParagraph"/>
              <w:spacing w:line="261" w:lineRule="exact"/>
              <w:ind w:left="115" w:right="0"/>
              <w:jc w:val="left"/>
              <w:rPr>
                <w:rFonts w:ascii="宋体" w:hAnsi="宋体" w:cs="宋体" w:eastAsia="宋体" w:hint="default"/>
                <w:sz w:val="21"/>
                <w:szCs w:val="21"/>
              </w:rPr>
            </w:pPr>
            <w:r>
              <w:rPr>
                <w:rFonts w:ascii="宋体"/>
                <w:sz w:val="21"/>
              </w:rPr>
              <w:t>560.36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-8,742</w:t>
            </w:r>
          </w:p>
          <w:p>
            <w:pPr>
              <w:pStyle w:val="TableParagraph"/>
              <w:spacing w:line="246" w:lineRule="exact"/>
              <w:ind w:right="19"/>
              <w:jc w:val="right"/>
              <w:rPr>
                <w:rFonts w:ascii="宋体" w:hAnsi="宋体" w:cs="宋体" w:eastAsia="宋体" w:hint="default"/>
                <w:sz w:val="21"/>
                <w:szCs w:val="21"/>
              </w:rPr>
            </w:pPr>
            <w:r>
              <w:rPr>
                <w:rFonts w:ascii="宋体"/>
                <w:sz w:val="21"/>
              </w:rPr>
              <w:t>,560.3</w:t>
            </w:r>
          </w:p>
          <w:p>
            <w:pPr>
              <w:pStyle w:val="TableParagraph"/>
              <w:spacing w:line="260" w:lineRule="exact"/>
              <w:ind w:right="23"/>
              <w:jc w:val="right"/>
              <w:rPr>
                <w:rFonts w:ascii="宋体" w:hAnsi="宋体" w:cs="宋体" w:eastAsia="宋体" w:hint="default"/>
                <w:sz w:val="21"/>
                <w:szCs w:val="21"/>
              </w:rPr>
            </w:pPr>
            <w:r>
              <w:rPr>
                <w:rFonts w:ascii="宋体"/>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46"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．提取一般风险准</w:t>
            </w:r>
          </w:p>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4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113"/>
              <w:ind w:left="23" w:right="16" w:firstLine="422"/>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．对所有者（或股</w:t>
            </w:r>
            <w:r>
              <w:rPr>
                <w:rFonts w:ascii="宋体" w:hAnsi="宋体" w:cs="宋体" w:eastAsia="宋体" w:hint="default"/>
                <w:w w:val="100"/>
                <w:sz w:val="21"/>
                <w:szCs w:val="21"/>
              </w:rPr>
              <w:t> </w:t>
            </w:r>
            <w:r>
              <w:rPr>
                <w:rFonts w:ascii="宋体" w:hAnsi="宋体" w:cs="宋体" w:eastAsia="宋体" w:hint="default"/>
                <w:sz w:val="21"/>
                <w:szCs w:val="21"/>
              </w:rPr>
              <w:t>东）的分配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21"/>
                <w:szCs w:val="21"/>
              </w:rPr>
            </w:pPr>
            <w:r>
              <w:rPr>
                <w:rFonts w:ascii="宋体"/>
                <w:sz w:val="21"/>
              </w:rPr>
              <w:t>-24,82</w:t>
            </w:r>
          </w:p>
          <w:p>
            <w:pPr>
              <w:pStyle w:val="TableParagraph"/>
              <w:spacing w:line="246" w:lineRule="exact"/>
              <w:ind w:right="21"/>
              <w:jc w:val="right"/>
              <w:rPr>
                <w:rFonts w:ascii="宋体" w:hAnsi="宋体" w:cs="宋体" w:eastAsia="宋体" w:hint="default"/>
                <w:sz w:val="21"/>
                <w:szCs w:val="21"/>
              </w:rPr>
            </w:pPr>
            <w:r>
              <w:rPr>
                <w:rFonts w:ascii="宋体"/>
                <w:sz w:val="21"/>
              </w:rPr>
              <w:t>4,834.</w:t>
            </w:r>
          </w:p>
          <w:p>
            <w:pPr>
              <w:pStyle w:val="TableParagraph"/>
              <w:spacing w:line="260" w:lineRule="exact"/>
              <w:ind w:right="22"/>
              <w:jc w:val="right"/>
              <w:rPr>
                <w:rFonts w:ascii="宋体" w:hAnsi="宋体" w:cs="宋体" w:eastAsia="宋体" w:hint="default"/>
                <w:sz w:val="21"/>
                <w:szCs w:val="21"/>
              </w:rPr>
            </w:pPr>
            <w:r>
              <w:rPr>
                <w:rFonts w:ascii="宋体"/>
                <w:sz w:val="21"/>
              </w:rPr>
              <w:t>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21"/>
                <w:szCs w:val="21"/>
              </w:rPr>
            </w:pPr>
            <w:r>
              <w:rPr>
                <w:rFonts w:ascii="宋体"/>
                <w:sz w:val="21"/>
              </w:rPr>
              <w:t>-24,82</w:t>
            </w:r>
          </w:p>
          <w:p>
            <w:pPr>
              <w:pStyle w:val="TableParagraph"/>
              <w:spacing w:line="246" w:lineRule="exact"/>
              <w:ind w:right="19"/>
              <w:jc w:val="right"/>
              <w:rPr>
                <w:rFonts w:ascii="宋体" w:hAnsi="宋体" w:cs="宋体" w:eastAsia="宋体" w:hint="default"/>
                <w:sz w:val="21"/>
                <w:szCs w:val="21"/>
              </w:rPr>
            </w:pPr>
            <w:r>
              <w:rPr>
                <w:rFonts w:ascii="宋体"/>
                <w:sz w:val="21"/>
              </w:rPr>
              <w:t>4,834.</w:t>
            </w:r>
          </w:p>
          <w:p>
            <w:pPr>
              <w:pStyle w:val="TableParagraph"/>
              <w:spacing w:line="260" w:lineRule="exact"/>
              <w:ind w:right="23"/>
              <w:jc w:val="right"/>
              <w:rPr>
                <w:rFonts w:ascii="宋体" w:hAnsi="宋体" w:cs="宋体" w:eastAsia="宋体" w:hint="default"/>
                <w:sz w:val="21"/>
                <w:szCs w:val="21"/>
              </w:rPr>
            </w:pPr>
            <w:r>
              <w:rPr>
                <w:rFonts w:ascii="宋体"/>
                <w:sz w:val="21"/>
              </w:rPr>
              <w:t>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21"/>
                <w:szCs w:val="21"/>
              </w:rPr>
            </w:pPr>
            <w:r>
              <w:rPr>
                <w:rFonts w:ascii="宋体"/>
                <w:sz w:val="21"/>
              </w:rPr>
              <w:t>-33,00</w:t>
            </w:r>
          </w:p>
          <w:p>
            <w:pPr>
              <w:pStyle w:val="TableParagraph"/>
              <w:spacing w:line="246" w:lineRule="exact"/>
              <w:ind w:right="19"/>
              <w:jc w:val="right"/>
              <w:rPr>
                <w:rFonts w:ascii="宋体" w:hAnsi="宋体" w:cs="宋体" w:eastAsia="宋体" w:hint="default"/>
                <w:sz w:val="21"/>
                <w:szCs w:val="21"/>
              </w:rPr>
            </w:pPr>
            <w:r>
              <w:rPr>
                <w:rFonts w:ascii="宋体"/>
                <w:sz w:val="21"/>
              </w:rPr>
              <w:t>0,000.</w:t>
            </w:r>
          </w:p>
          <w:p>
            <w:pPr>
              <w:pStyle w:val="TableParagraph"/>
              <w:spacing w:line="260" w:lineRule="exact"/>
              <w:ind w:right="23"/>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21"/>
                <w:szCs w:val="21"/>
              </w:rPr>
            </w:pPr>
            <w:r>
              <w:rPr>
                <w:rFonts w:ascii="宋体"/>
                <w:sz w:val="21"/>
              </w:rPr>
              <w:t>-33,00</w:t>
            </w:r>
          </w:p>
          <w:p>
            <w:pPr>
              <w:pStyle w:val="TableParagraph"/>
              <w:spacing w:line="246" w:lineRule="exact"/>
              <w:ind w:right="21"/>
              <w:jc w:val="right"/>
              <w:rPr>
                <w:rFonts w:ascii="宋体" w:hAnsi="宋体" w:cs="宋体" w:eastAsia="宋体" w:hint="default"/>
                <w:sz w:val="21"/>
                <w:szCs w:val="21"/>
              </w:rPr>
            </w:pPr>
            <w:r>
              <w:rPr>
                <w:rFonts w:ascii="宋体"/>
                <w:sz w:val="21"/>
              </w:rPr>
              <w:t>0,000.</w:t>
            </w:r>
          </w:p>
          <w:p>
            <w:pPr>
              <w:pStyle w:val="TableParagraph"/>
              <w:spacing w:line="260" w:lineRule="exact"/>
              <w:ind w:right="22"/>
              <w:jc w:val="right"/>
              <w:rPr>
                <w:rFonts w:ascii="宋体" w:hAnsi="宋体" w:cs="宋体" w:eastAsia="宋体" w:hint="default"/>
                <w:sz w:val="21"/>
                <w:szCs w:val="21"/>
              </w:rPr>
            </w:pPr>
            <w:r>
              <w:rPr>
                <w:rFonts w:ascii="宋体"/>
                <w:sz w:val="21"/>
              </w:rPr>
              <w:t>00</w:t>
            </w: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5"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6"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．资本公积转增资</w:t>
            </w:r>
          </w:p>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46"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．盈余公积转增资</w:t>
            </w:r>
          </w:p>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6" w:right="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．盈余公积弥补亏</w:t>
            </w:r>
          </w:p>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5"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5"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4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126,41</w:t>
            </w:r>
          </w:p>
          <w:p>
            <w:pPr>
              <w:pStyle w:val="TableParagraph"/>
              <w:spacing w:line="246" w:lineRule="exact"/>
              <w:ind w:right="19"/>
              <w:jc w:val="right"/>
              <w:rPr>
                <w:rFonts w:ascii="宋体" w:hAnsi="宋体" w:cs="宋体" w:eastAsia="宋体" w:hint="default"/>
                <w:sz w:val="21"/>
                <w:szCs w:val="21"/>
              </w:rPr>
            </w:pPr>
            <w:r>
              <w:rPr>
                <w:rFonts w:ascii="宋体"/>
                <w:sz w:val="21"/>
              </w:rPr>
              <w:t>4,172.</w:t>
            </w:r>
          </w:p>
          <w:p>
            <w:pPr>
              <w:pStyle w:val="TableParagraph"/>
              <w:spacing w:line="260" w:lineRule="exact"/>
              <w:ind w:right="23"/>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598,94</w:t>
            </w:r>
          </w:p>
          <w:p>
            <w:pPr>
              <w:pStyle w:val="TableParagraph"/>
              <w:spacing w:line="246" w:lineRule="exact"/>
              <w:ind w:right="19"/>
              <w:jc w:val="right"/>
              <w:rPr>
                <w:rFonts w:ascii="宋体" w:hAnsi="宋体" w:cs="宋体" w:eastAsia="宋体" w:hint="default"/>
                <w:sz w:val="21"/>
                <w:szCs w:val="21"/>
              </w:rPr>
            </w:pPr>
            <w:r>
              <w:rPr>
                <w:rFonts w:ascii="宋体"/>
                <w:sz w:val="21"/>
              </w:rPr>
              <w:t>4,406.</w:t>
            </w:r>
          </w:p>
          <w:p>
            <w:pPr>
              <w:pStyle w:val="TableParagraph"/>
              <w:spacing w:line="260" w:lineRule="exact"/>
              <w:ind w:right="23"/>
              <w:jc w:val="right"/>
              <w:rPr>
                <w:rFonts w:ascii="宋体" w:hAnsi="宋体" w:cs="宋体" w:eastAsia="宋体" w:hint="default"/>
                <w:sz w:val="21"/>
                <w:szCs w:val="21"/>
              </w:rPr>
            </w:pPr>
            <w:r>
              <w:rPr>
                <w:rFonts w:ascii="宋体"/>
                <w:sz w:val="21"/>
              </w:rPr>
              <w:t>15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75,247</w:t>
            </w:r>
          </w:p>
          <w:p>
            <w:pPr>
              <w:pStyle w:val="TableParagraph"/>
              <w:spacing w:line="246" w:lineRule="exact"/>
              <w:ind w:right="19"/>
              <w:jc w:val="right"/>
              <w:rPr>
                <w:rFonts w:ascii="宋体" w:hAnsi="宋体" w:cs="宋体" w:eastAsia="宋体" w:hint="default"/>
                <w:sz w:val="21"/>
                <w:szCs w:val="21"/>
              </w:rPr>
            </w:pPr>
            <w:r>
              <w:rPr>
                <w:rFonts w:ascii="宋体"/>
                <w:sz w:val="21"/>
              </w:rPr>
              <w:t>,802.4</w:t>
            </w:r>
          </w:p>
          <w:p>
            <w:pPr>
              <w:pStyle w:val="TableParagraph"/>
              <w:spacing w:line="260" w:lineRule="exact"/>
              <w:ind w:right="23"/>
              <w:jc w:val="right"/>
              <w:rPr>
                <w:rFonts w:ascii="宋体" w:hAnsi="宋体" w:cs="宋体" w:eastAsia="宋体" w:hint="default"/>
                <w:sz w:val="21"/>
                <w:szCs w:val="21"/>
              </w:rPr>
            </w:pPr>
            <w:r>
              <w:rPr>
                <w:rFonts w:ascii="宋体"/>
                <w:w w:val="100"/>
                <w:sz w:val="21"/>
              </w:rPr>
              <w:t>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21"/>
                <w:szCs w:val="21"/>
              </w:rPr>
            </w:pPr>
            <w:r>
              <w:rPr>
                <w:rFonts w:ascii="宋体"/>
                <w:sz w:val="21"/>
              </w:rPr>
              <w:t>176,81</w:t>
            </w:r>
          </w:p>
          <w:p>
            <w:pPr>
              <w:pStyle w:val="TableParagraph"/>
              <w:spacing w:line="246" w:lineRule="exact"/>
              <w:ind w:right="21"/>
              <w:jc w:val="right"/>
              <w:rPr>
                <w:rFonts w:ascii="宋体" w:hAnsi="宋体" w:cs="宋体" w:eastAsia="宋体" w:hint="default"/>
                <w:sz w:val="21"/>
                <w:szCs w:val="21"/>
              </w:rPr>
            </w:pPr>
            <w:r>
              <w:rPr>
                <w:rFonts w:ascii="宋体"/>
                <w:sz w:val="21"/>
              </w:rPr>
              <w:t>1,041.</w:t>
            </w:r>
          </w:p>
          <w:p>
            <w:pPr>
              <w:pStyle w:val="TableParagraph"/>
              <w:spacing w:line="260" w:lineRule="exact"/>
              <w:ind w:right="22"/>
              <w:jc w:val="right"/>
              <w:rPr>
                <w:rFonts w:ascii="宋体" w:hAnsi="宋体" w:cs="宋体" w:eastAsia="宋体" w:hint="default"/>
                <w:sz w:val="21"/>
                <w:szCs w:val="21"/>
              </w:rPr>
            </w:pPr>
            <w:r>
              <w:rPr>
                <w:rFonts w:ascii="宋体"/>
                <w:sz w:val="21"/>
              </w:rPr>
              <w:t>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977,41</w:t>
            </w:r>
          </w:p>
          <w:p>
            <w:pPr>
              <w:pStyle w:val="TableParagraph"/>
              <w:spacing w:line="246" w:lineRule="exact"/>
              <w:ind w:right="19"/>
              <w:jc w:val="right"/>
              <w:rPr>
                <w:rFonts w:ascii="宋体" w:hAnsi="宋体" w:cs="宋体" w:eastAsia="宋体" w:hint="default"/>
                <w:sz w:val="21"/>
                <w:szCs w:val="21"/>
              </w:rPr>
            </w:pPr>
            <w:r>
              <w:rPr>
                <w:rFonts w:ascii="宋体"/>
                <w:sz w:val="21"/>
              </w:rPr>
              <w:t>7,421.</w:t>
            </w:r>
          </w:p>
          <w:p>
            <w:pPr>
              <w:pStyle w:val="TableParagraph"/>
              <w:spacing w:line="260" w:lineRule="exact"/>
              <w:ind w:right="23"/>
              <w:jc w:val="right"/>
              <w:rPr>
                <w:rFonts w:ascii="宋体" w:hAnsi="宋体" w:cs="宋体" w:eastAsia="宋体" w:hint="default"/>
                <w:sz w:val="21"/>
                <w:szCs w:val="21"/>
              </w:rPr>
            </w:pPr>
            <w:r>
              <w:rPr>
                <w:rFonts w:ascii="宋体"/>
                <w:sz w:val="21"/>
              </w:rPr>
              <w:t>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124,12</w:t>
            </w:r>
          </w:p>
          <w:p>
            <w:pPr>
              <w:pStyle w:val="TableParagraph"/>
              <w:spacing w:line="246" w:lineRule="exact"/>
              <w:ind w:right="19"/>
              <w:jc w:val="right"/>
              <w:rPr>
                <w:rFonts w:ascii="宋体" w:hAnsi="宋体" w:cs="宋体" w:eastAsia="宋体" w:hint="default"/>
                <w:sz w:val="21"/>
                <w:szCs w:val="21"/>
              </w:rPr>
            </w:pPr>
            <w:r>
              <w:rPr>
                <w:rFonts w:ascii="宋体"/>
                <w:sz w:val="21"/>
              </w:rPr>
              <w:t>4,172.</w:t>
            </w:r>
          </w:p>
          <w:p>
            <w:pPr>
              <w:pStyle w:val="TableParagraph"/>
              <w:spacing w:line="260" w:lineRule="exact"/>
              <w:ind w:right="23"/>
              <w:jc w:val="right"/>
              <w:rPr>
                <w:rFonts w:ascii="宋体" w:hAnsi="宋体" w:cs="宋体" w:eastAsia="宋体" w:hint="default"/>
                <w:sz w:val="21"/>
                <w:szCs w:val="21"/>
              </w:rPr>
            </w:pPr>
            <w:r>
              <w:rPr>
                <w:rFonts w:ascii="宋体"/>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578,17</w:t>
            </w:r>
          </w:p>
          <w:p>
            <w:pPr>
              <w:pStyle w:val="TableParagraph"/>
              <w:spacing w:line="246" w:lineRule="exact"/>
              <w:ind w:right="19"/>
              <w:jc w:val="right"/>
              <w:rPr>
                <w:rFonts w:ascii="宋体" w:hAnsi="宋体" w:cs="宋体" w:eastAsia="宋体" w:hint="default"/>
                <w:sz w:val="21"/>
                <w:szCs w:val="21"/>
              </w:rPr>
            </w:pPr>
            <w:r>
              <w:rPr>
                <w:rFonts w:ascii="宋体"/>
                <w:sz w:val="21"/>
              </w:rPr>
              <w:t>1,206.</w:t>
            </w:r>
          </w:p>
          <w:p>
            <w:pPr>
              <w:pStyle w:val="TableParagraph"/>
              <w:spacing w:line="260" w:lineRule="exact"/>
              <w:ind w:right="23"/>
              <w:jc w:val="right"/>
              <w:rPr>
                <w:rFonts w:ascii="宋体" w:hAnsi="宋体" w:cs="宋体" w:eastAsia="宋体" w:hint="default"/>
                <w:sz w:val="21"/>
                <w:szCs w:val="21"/>
              </w:rPr>
            </w:pPr>
            <w:r>
              <w:rPr>
                <w:rFonts w:ascii="宋体"/>
                <w:sz w:val="21"/>
              </w:rPr>
              <w:t>15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63,206</w:t>
            </w:r>
          </w:p>
          <w:p>
            <w:pPr>
              <w:pStyle w:val="TableParagraph"/>
              <w:spacing w:line="246" w:lineRule="exact"/>
              <w:ind w:right="19"/>
              <w:jc w:val="right"/>
              <w:rPr>
                <w:rFonts w:ascii="宋体" w:hAnsi="宋体" w:cs="宋体" w:eastAsia="宋体" w:hint="default"/>
                <w:sz w:val="21"/>
                <w:szCs w:val="21"/>
              </w:rPr>
            </w:pPr>
            <w:r>
              <w:rPr>
                <w:rFonts w:ascii="宋体"/>
                <w:sz w:val="21"/>
              </w:rPr>
              <w:t>,829.9</w:t>
            </w:r>
          </w:p>
          <w:p>
            <w:pPr>
              <w:pStyle w:val="TableParagraph"/>
              <w:spacing w:line="260" w:lineRule="exact"/>
              <w:ind w:right="23"/>
              <w:jc w:val="right"/>
              <w:rPr>
                <w:rFonts w:ascii="宋体" w:hAnsi="宋体" w:cs="宋体" w:eastAsia="宋体" w:hint="default"/>
                <w:sz w:val="21"/>
                <w:szCs w:val="21"/>
              </w:rPr>
            </w:pPr>
            <w:r>
              <w:rPr>
                <w:rFonts w:ascii="宋体"/>
                <w:w w:val="100"/>
                <w:sz w:val="21"/>
              </w:rPr>
              <w:t>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21"/>
                <w:szCs w:val="21"/>
              </w:rPr>
            </w:pPr>
            <w:r>
              <w:rPr>
                <w:rFonts w:ascii="宋体"/>
                <w:sz w:val="21"/>
              </w:rPr>
              <w:t>133,40</w:t>
            </w:r>
          </w:p>
          <w:p>
            <w:pPr>
              <w:pStyle w:val="TableParagraph"/>
              <w:spacing w:line="246" w:lineRule="exact"/>
              <w:ind w:right="19"/>
              <w:jc w:val="right"/>
              <w:rPr>
                <w:rFonts w:ascii="宋体" w:hAnsi="宋体" w:cs="宋体" w:eastAsia="宋体" w:hint="default"/>
                <w:sz w:val="21"/>
                <w:szCs w:val="21"/>
              </w:rPr>
            </w:pPr>
            <w:r>
              <w:rPr>
                <w:rFonts w:ascii="宋体"/>
                <w:sz w:val="21"/>
              </w:rPr>
              <w:t>3,697.</w:t>
            </w:r>
          </w:p>
          <w:p>
            <w:pPr>
              <w:pStyle w:val="TableParagraph"/>
              <w:spacing w:line="260" w:lineRule="exact"/>
              <w:ind w:right="23"/>
              <w:jc w:val="right"/>
              <w:rPr>
                <w:rFonts w:ascii="宋体" w:hAnsi="宋体" w:cs="宋体" w:eastAsia="宋体" w:hint="default"/>
                <w:sz w:val="21"/>
                <w:szCs w:val="21"/>
              </w:rPr>
            </w:pPr>
            <w:r>
              <w:rPr>
                <w:rFonts w:ascii="宋体"/>
                <w:sz w:val="21"/>
              </w:rPr>
              <w:t>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21"/>
                <w:szCs w:val="21"/>
              </w:rPr>
            </w:pPr>
            <w:r>
              <w:rPr>
                <w:rFonts w:ascii="宋体"/>
                <w:sz w:val="21"/>
              </w:rPr>
              <w:t>898,90</w:t>
            </w:r>
          </w:p>
          <w:p>
            <w:pPr>
              <w:pStyle w:val="TableParagraph"/>
              <w:spacing w:line="246" w:lineRule="exact"/>
              <w:ind w:right="21"/>
              <w:jc w:val="right"/>
              <w:rPr>
                <w:rFonts w:ascii="宋体" w:hAnsi="宋体" w:cs="宋体" w:eastAsia="宋体" w:hint="default"/>
                <w:sz w:val="21"/>
                <w:szCs w:val="21"/>
              </w:rPr>
            </w:pPr>
            <w:r>
              <w:rPr>
                <w:rFonts w:ascii="宋体"/>
                <w:sz w:val="21"/>
              </w:rPr>
              <w:t>5,905.</w:t>
            </w:r>
          </w:p>
          <w:p>
            <w:pPr>
              <w:pStyle w:val="TableParagraph"/>
              <w:spacing w:line="260" w:lineRule="exact"/>
              <w:ind w:right="22"/>
              <w:jc w:val="right"/>
              <w:rPr>
                <w:rFonts w:ascii="宋体" w:hAnsi="宋体" w:cs="宋体" w:eastAsia="宋体" w:hint="default"/>
                <w:sz w:val="21"/>
                <w:szCs w:val="21"/>
              </w:rPr>
            </w:pPr>
            <w:r>
              <w:rPr>
                <w:rFonts w:ascii="宋体"/>
                <w:sz w:val="21"/>
              </w:rPr>
              <w:t>68</w:t>
            </w:r>
          </w:p>
        </w:tc>
      </w:tr>
    </w:tbl>
    <w:p>
      <w:pPr>
        <w:spacing w:after="0" w:line="260" w:lineRule="exact"/>
        <w:jc w:val="right"/>
        <w:rPr>
          <w:rFonts w:ascii="宋体" w:hAnsi="宋体" w:cs="宋体" w:eastAsia="宋体" w:hint="default"/>
          <w:sz w:val="21"/>
          <w:szCs w:val="21"/>
        </w:rPr>
        <w:sectPr>
          <w:pgSz w:w="16840" w:h="11910" w:orient="landscape"/>
          <w:pgMar w:header="928" w:footer="1153" w:top="1260" w:bottom="1340" w:left="1320" w:right="0"/>
        </w:sectPr>
      </w:pPr>
    </w:p>
    <w:p>
      <w:pPr>
        <w:spacing w:line="240" w:lineRule="auto" w:before="5"/>
        <w:rPr>
          <w:rFonts w:ascii="Times New Roman" w:hAnsi="Times New Roman" w:cs="Times New Roman" w:eastAsia="Times New Roman" w:hint="default"/>
          <w:sz w:val="22"/>
          <w:szCs w:val="22"/>
        </w:rPr>
      </w:pPr>
    </w:p>
    <w:p>
      <w:pPr>
        <w:spacing w:line="450" w:lineRule="exact" w:before="0"/>
        <w:ind w:left="2792" w:right="0" w:hanging="279"/>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东港安全印刷股份有限公司</w:t>
      </w:r>
      <w:r>
        <w:rPr>
          <w:rFonts w:ascii="Microsoft JhengHei" w:hAnsi="Microsoft JhengHei" w:cs="Microsoft JhengHei" w:eastAsia="Microsoft JhengHei" w:hint="default"/>
          <w:sz w:val="32"/>
          <w:szCs w:val="32"/>
        </w:rPr>
      </w:r>
    </w:p>
    <w:p>
      <w:pPr>
        <w:spacing w:line="551" w:lineRule="exact" w:before="0"/>
        <w:ind w:left="0" w:right="1522" w:firstLine="0"/>
        <w:jc w:val="center"/>
        <w:rPr>
          <w:rFonts w:ascii="Microsoft JhengHei" w:hAnsi="Microsoft JhengHei" w:cs="Microsoft JhengHei" w:eastAsia="Microsoft JhengHei" w:hint="default"/>
          <w:sz w:val="32"/>
          <w:szCs w:val="32"/>
        </w:rPr>
      </w:pPr>
      <w:r>
        <w:rPr>
          <w:rFonts w:ascii="Trebuchet MS" w:hAnsi="Trebuchet MS" w:cs="Trebuchet MS" w:eastAsia="Trebuchet MS" w:hint="default"/>
          <w:b/>
          <w:bCs/>
          <w:w w:val="95"/>
          <w:sz w:val="32"/>
          <w:szCs w:val="32"/>
        </w:rPr>
        <w:t>2011</w:t>
      </w:r>
      <w:r>
        <w:rPr>
          <w:rFonts w:ascii="Trebuchet MS" w:hAnsi="Trebuchet MS" w:cs="Trebuchet MS" w:eastAsia="Trebuchet MS" w:hint="default"/>
          <w:b/>
          <w:bCs/>
          <w:spacing w:val="55"/>
          <w:w w:val="95"/>
          <w:sz w:val="32"/>
          <w:szCs w:val="32"/>
        </w:rPr>
        <w:t> </w:t>
      </w:r>
      <w:r>
        <w:rPr>
          <w:rFonts w:ascii="Microsoft JhengHei" w:hAnsi="Microsoft JhengHei" w:cs="Microsoft JhengHei" w:eastAsia="Microsoft JhengHei" w:hint="default"/>
          <w:b/>
          <w:bCs/>
          <w:w w:val="95"/>
          <w:sz w:val="32"/>
          <w:szCs w:val="32"/>
        </w:rPr>
        <w:t>年度财务报表附注</w:t>
      </w:r>
      <w:r>
        <w:rPr>
          <w:rFonts w:ascii="Microsoft JhengHei" w:hAnsi="Microsoft JhengHei" w:cs="Microsoft JhengHei" w:eastAsia="Microsoft JhengHei" w:hint="default"/>
          <w:sz w:val="32"/>
          <w:szCs w:val="32"/>
        </w:rPr>
      </w:r>
    </w:p>
    <w:p>
      <w:pPr>
        <w:spacing w:before="5"/>
        <w:ind w:left="254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（除特别说明外，金额单位为人民币元）</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line="314" w:lineRule="auto" w:before="0"/>
        <w:ind w:left="602"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pacing w:val="-32"/>
          <w:sz w:val="24"/>
          <w:szCs w:val="24"/>
        </w:rPr>
        <w:t> </w:t>
      </w:r>
      <w:r>
        <w:rPr>
          <w:rFonts w:ascii="Microsoft JhengHei" w:hAnsi="Microsoft JhengHei" w:cs="Microsoft JhengHei" w:eastAsia="Microsoft JhengHei" w:hint="default"/>
          <w:b/>
          <w:bCs/>
          <w:sz w:val="24"/>
          <w:szCs w:val="24"/>
        </w:rPr>
        <w:t>公司基本情况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东港安全印刷股份有限公司（以下简称“本公司”或“公司”）是由香港喜多来</w:t>
      </w:r>
    </w:p>
    <w:p>
      <w:pPr>
        <w:pStyle w:val="BodyText"/>
        <w:spacing w:line="336" w:lineRule="auto" w:before="53"/>
        <w:ind w:right="1286"/>
        <w:jc w:val="both"/>
      </w:pPr>
      <w:r>
        <w:rPr>
          <w:spacing w:val="2"/>
        </w:rPr>
        <w:t>集团有限公司、浪潮电子信息产业股份有限公司、北京中嘉华信息技术有限公司、济</w:t>
      </w:r>
      <w:r>
        <w:rPr>
          <w:spacing w:val="-97"/>
        </w:rPr>
        <w:t> </w:t>
      </w:r>
      <w:r>
        <w:rPr>
          <w:spacing w:val="-97"/>
        </w:rPr>
      </w:r>
      <w:r>
        <w:rPr>
          <w:spacing w:val="15"/>
        </w:rPr>
        <w:t>南发展国有工业资产经营有限公司、英属维尔京群岛 </w:t>
      </w:r>
      <w:r>
        <w:rPr>
          <w:rFonts w:ascii="宋体" w:hAnsi="宋体" w:cs="宋体" w:eastAsia="宋体" w:hint="default"/>
        </w:rPr>
        <w:t>RICH RIVER</w:t>
      </w:r>
      <w:r>
        <w:rPr>
          <w:rFonts w:ascii="宋体" w:hAnsi="宋体" w:cs="宋体" w:eastAsia="宋体" w:hint="default"/>
          <w:spacing w:val="98"/>
        </w:rPr>
        <w:t> </w:t>
      </w:r>
      <w:r>
        <w:rPr>
          <w:rFonts w:ascii="宋体" w:hAnsi="宋体" w:cs="宋体" w:eastAsia="宋体" w:hint="default"/>
        </w:rPr>
        <w:t>INVESTMENTS</w:t>
      </w:r>
      <w:r>
        <w:rPr>
          <w:rFonts w:ascii="宋体" w:hAnsi="宋体" w:cs="宋体" w:eastAsia="宋体" w:hint="default"/>
        </w:rPr>
        <w:t> LIMITED</w:t>
      </w:r>
      <w:r>
        <w:rPr>
          <w:rFonts w:ascii="宋体" w:hAnsi="宋体" w:cs="宋体" w:eastAsia="宋体" w:hint="default"/>
          <w:spacing w:val="24"/>
        </w:rPr>
        <w:t> </w:t>
      </w:r>
      <w:r>
        <w:rPr>
          <w:spacing w:val="2"/>
        </w:rPr>
        <w:t>等公司共同发起设立的股份有限公司，注册地为中华人民共和国山东省济南</w:t>
      </w:r>
      <w:r>
        <w:rPr>
          <w:spacing w:val="-116"/>
        </w:rPr>
        <w:t> </w:t>
      </w:r>
      <w:r>
        <w:rPr>
          <w:spacing w:val="-116"/>
        </w:rPr>
      </w:r>
      <w:r>
        <w:rPr/>
        <w:t>市。公司于 </w:t>
      </w:r>
      <w:r>
        <w:rPr>
          <w:rFonts w:ascii="宋体" w:hAnsi="宋体" w:cs="宋体" w:eastAsia="宋体" w:hint="default"/>
        </w:rPr>
        <w:t>1996</w:t>
      </w:r>
      <w:r>
        <w:rPr>
          <w:rFonts w:ascii="宋体" w:hAnsi="宋体" w:cs="宋体" w:eastAsia="宋体" w:hint="default"/>
          <w:spacing w:val="38"/>
        </w:rPr>
        <w:t> </w:t>
      </w:r>
      <w:r>
        <w:rPr>
          <w:spacing w:val="2"/>
        </w:rPr>
        <w:t>年经山东省工商行政管理局核准登记，企业法人营业执照注册号：</w:t>
      </w:r>
    </w:p>
    <w:p>
      <w:pPr>
        <w:pStyle w:val="BodyText"/>
        <w:spacing w:line="336" w:lineRule="auto" w:before="29"/>
        <w:ind w:right="1144"/>
        <w:jc w:val="left"/>
      </w:pPr>
      <w:r>
        <w:rPr>
          <w:rFonts w:ascii="宋体" w:hAnsi="宋体" w:cs="宋体" w:eastAsia="宋体" w:hint="default"/>
        </w:rPr>
        <w:t>370000400000101</w:t>
      </w:r>
      <w:r>
        <w:rPr/>
        <w:t>。本公司总部位于山东省济南市山大北路</w:t>
      </w:r>
      <w:r>
        <w:rPr>
          <w:spacing w:val="-68"/>
        </w:rPr>
        <w:t> </w:t>
      </w:r>
      <w:r>
        <w:rPr>
          <w:rFonts w:ascii="宋体" w:hAnsi="宋体" w:cs="宋体" w:eastAsia="宋体" w:hint="default"/>
        </w:rPr>
        <w:t>23</w:t>
      </w:r>
      <w:r>
        <w:rPr>
          <w:rFonts w:ascii="宋体" w:hAnsi="宋体" w:cs="宋体" w:eastAsia="宋体" w:hint="default"/>
          <w:spacing w:val="-69"/>
        </w:rPr>
        <w:t> </w:t>
      </w:r>
      <w:r>
        <w:rPr>
          <w:spacing w:val="-8"/>
        </w:rPr>
        <w:t>号。本公司及子公司（统</w:t>
      </w:r>
      <w:r>
        <w:rPr/>
        <w:t> </w:t>
      </w:r>
      <w:r>
        <w:rPr>
          <w:spacing w:val="-4"/>
        </w:rPr>
        <w:t>称“本集团”）主要从事出版物、包装装潢印刷品、其它类印刷品印刷</w:t>
      </w:r>
      <w:r>
        <w:rPr>
          <w:rFonts w:ascii="宋体" w:hAnsi="宋体" w:cs="宋体" w:eastAsia="宋体" w:hint="default"/>
          <w:spacing w:val="-4"/>
        </w:rPr>
        <w:t>;</w:t>
      </w:r>
      <w:r>
        <w:rPr>
          <w:spacing w:val="-4"/>
        </w:rPr>
        <w:t>纸制品的生产、</w:t>
      </w:r>
      <w:r>
        <w:rPr>
          <w:spacing w:val="-86"/>
        </w:rPr>
        <w:t> </w:t>
      </w:r>
      <w:r>
        <w:rPr>
          <w:spacing w:val="2"/>
        </w:rPr>
        <w:t>销售；高档纸张的防伪处理、销售；数据打印系统的开发、生产；科技信息咨询服务</w:t>
      </w:r>
      <w:r>
        <w:rPr>
          <w:spacing w:val="-97"/>
        </w:rPr>
        <w:t> </w:t>
      </w:r>
      <w:r>
        <w:rPr>
          <w:spacing w:val="-97"/>
        </w:rPr>
      </w:r>
      <w:r>
        <w:rPr>
          <w:rFonts w:ascii="宋体" w:hAnsi="宋体" w:cs="宋体" w:eastAsia="宋体" w:hint="default"/>
        </w:rPr>
        <w:t>IC</w:t>
      </w:r>
      <w:r>
        <w:rPr>
          <w:rFonts w:ascii="宋体" w:hAnsi="宋体" w:cs="宋体" w:eastAsia="宋体" w:hint="default"/>
          <w:spacing w:val="-60"/>
        </w:rPr>
        <w:t> </w:t>
      </w:r>
      <w:r>
        <w:rPr/>
        <w:t>卡产品和智能卷标产品的生产、销售。属制造印刷业。</w:t>
      </w:r>
    </w:p>
    <w:p>
      <w:pPr>
        <w:pStyle w:val="BodyText"/>
        <w:spacing w:line="240" w:lineRule="auto" w:before="29"/>
        <w:ind w:left="602" w:right="0"/>
        <w:jc w:val="left"/>
      </w:pPr>
      <w:r>
        <w:rPr/>
        <w:t>本公司前身为济南东港安全印务有限公司，</w:t>
      </w:r>
      <w:r>
        <w:rPr>
          <w:rFonts w:ascii="宋体" w:hAnsi="宋体" w:cs="宋体" w:eastAsia="宋体" w:hint="default"/>
        </w:rPr>
        <w:t>2002</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30</w:t>
      </w:r>
      <w:r>
        <w:rPr>
          <w:rFonts w:ascii="宋体" w:hAnsi="宋体" w:cs="宋体" w:eastAsia="宋体" w:hint="default"/>
          <w:spacing w:val="-49"/>
        </w:rPr>
        <w:t> </w:t>
      </w:r>
      <w:r>
        <w:rPr/>
        <w:t>日在该公司基础上改</w:t>
      </w:r>
    </w:p>
    <w:p>
      <w:pPr>
        <w:pStyle w:val="BodyText"/>
        <w:spacing w:line="240" w:lineRule="auto" w:before="127"/>
        <w:ind w:right="0"/>
        <w:jc w:val="both"/>
      </w:pPr>
      <w:r>
        <w:rPr>
          <w:spacing w:val="13"/>
        </w:rPr>
        <w:t>制为股份有限公司。</w:t>
      </w:r>
      <w:r>
        <w:rPr>
          <w:rFonts w:ascii="宋体" w:hAnsi="宋体" w:cs="宋体" w:eastAsia="宋体" w:hint="default"/>
          <w:spacing w:val="13"/>
        </w:rPr>
        <w:t>2007 </w:t>
      </w:r>
      <w:r>
        <w:rPr/>
        <w:t>年 </w:t>
      </w:r>
      <w:r>
        <w:rPr>
          <w:rFonts w:ascii="宋体" w:hAnsi="宋体" w:cs="宋体" w:eastAsia="宋体" w:hint="default"/>
        </w:rPr>
        <w:t>1 </w:t>
      </w:r>
      <w:r>
        <w:rPr/>
        <w:t>月 </w:t>
      </w:r>
      <w:r>
        <w:rPr>
          <w:rFonts w:ascii="宋体" w:hAnsi="宋体" w:cs="宋体" w:eastAsia="宋体" w:hint="default"/>
        </w:rPr>
        <w:t>30</w:t>
      </w:r>
      <w:r>
        <w:rPr>
          <w:rFonts w:ascii="宋体" w:hAnsi="宋体" w:cs="宋体" w:eastAsia="宋体" w:hint="default"/>
          <w:spacing w:val="83"/>
        </w:rPr>
        <w:t> </w:t>
      </w:r>
      <w:r>
        <w:rPr>
          <w:spacing w:val="19"/>
        </w:rPr>
        <w:t>日经中国证券监督管理委员会证监发行字</w:t>
      </w:r>
      <w:r>
        <w:rPr/>
      </w:r>
    </w:p>
    <w:p>
      <w:pPr>
        <w:pStyle w:val="BodyText"/>
        <w:spacing w:line="336" w:lineRule="auto" w:before="125"/>
        <w:ind w:right="1282"/>
        <w:jc w:val="both"/>
      </w:pPr>
      <w:r>
        <w:rPr>
          <w:rFonts w:ascii="宋体" w:hAnsi="宋体" w:cs="宋体" w:eastAsia="宋体" w:hint="default"/>
        </w:rPr>
        <w:t>[2007]24</w:t>
      </w:r>
      <w:r>
        <w:rPr>
          <w:rFonts w:ascii="宋体" w:hAnsi="宋体" w:cs="宋体" w:eastAsia="宋体" w:hint="default"/>
          <w:spacing w:val="-2"/>
        </w:rPr>
        <w:t> </w:t>
      </w:r>
      <w:r>
        <w:rPr/>
        <w:t>号文核准，本公司于</w:t>
      </w:r>
      <w:r>
        <w:rPr>
          <w:spacing w:val="-61"/>
        </w:rPr>
        <w:t> </w:t>
      </w:r>
      <w:r>
        <w:rPr>
          <w:rFonts w:ascii="宋体" w:hAnsi="宋体" w:cs="宋体" w:eastAsia="宋体" w:hint="default"/>
        </w:rPr>
        <w:t>2007</w:t>
      </w:r>
      <w:r>
        <w:rPr>
          <w:rFonts w:ascii="宋体" w:hAnsi="宋体" w:cs="宋体" w:eastAsia="宋体" w:hint="default"/>
          <w:spacing w:val="-1"/>
        </w:rPr>
        <w:t> </w:t>
      </w:r>
      <w:r>
        <w:rPr/>
        <w:t>年</w:t>
      </w:r>
      <w:r>
        <w:rPr>
          <w:spacing w:val="-61"/>
        </w:rPr>
        <w:t> </w:t>
      </w:r>
      <w:r>
        <w:rPr>
          <w:rFonts w:ascii="宋体" w:hAnsi="宋体" w:cs="宋体" w:eastAsia="宋体" w:hint="default"/>
        </w:rPr>
        <w:t>2</w:t>
      </w:r>
      <w:r>
        <w:rPr>
          <w:rFonts w:ascii="宋体" w:hAnsi="宋体" w:cs="宋体" w:eastAsia="宋体" w:hint="default"/>
          <w:spacing w:val="-1"/>
        </w:rPr>
        <w:t> </w:t>
      </w:r>
      <w:r>
        <w:rPr/>
        <w:t>月</w:t>
      </w:r>
      <w:r>
        <w:rPr>
          <w:spacing w:val="-61"/>
        </w:rPr>
        <w:t> </w:t>
      </w:r>
      <w:r>
        <w:rPr>
          <w:rFonts w:ascii="宋体" w:hAnsi="宋体" w:cs="宋体" w:eastAsia="宋体" w:hint="default"/>
        </w:rPr>
        <w:t>8</w:t>
      </w:r>
      <w:r>
        <w:rPr>
          <w:rFonts w:ascii="宋体" w:hAnsi="宋体" w:cs="宋体" w:eastAsia="宋体" w:hint="default"/>
          <w:spacing w:val="-1"/>
        </w:rPr>
        <w:t> </w:t>
      </w:r>
      <w:r>
        <w:rPr/>
        <w:t>日向社会发行人民币普通股股票</w:t>
      </w:r>
      <w:r>
        <w:rPr>
          <w:spacing w:val="-61"/>
        </w:rPr>
        <w:t> </w:t>
      </w:r>
      <w:r>
        <w:rPr>
          <w:rFonts w:ascii="宋体" w:hAnsi="宋体" w:cs="宋体" w:eastAsia="宋体" w:hint="default"/>
        </w:rPr>
        <w:t>2,800 </w:t>
      </w:r>
      <w:r>
        <w:rPr>
          <w:spacing w:val="15"/>
        </w:rPr>
        <w:t>万股</w:t>
      </w:r>
      <w:r>
        <w:rPr>
          <w:spacing w:val="-89"/>
        </w:rPr>
        <w:t> </w:t>
      </w:r>
      <w:r>
        <w:rPr/>
        <w:t>，</w:t>
      </w:r>
      <w:r>
        <w:rPr>
          <w:spacing w:val="-87"/>
        </w:rPr>
        <w:t> </w:t>
      </w:r>
      <w:r>
        <w:rPr/>
        <w:t>发</w:t>
      </w:r>
      <w:r>
        <w:rPr>
          <w:spacing w:val="-90"/>
        </w:rPr>
        <w:t> </w:t>
      </w:r>
      <w:r>
        <w:rPr/>
        <w:t>行</w:t>
      </w:r>
      <w:r>
        <w:rPr>
          <w:spacing w:val="-87"/>
        </w:rPr>
        <w:t> </w:t>
      </w:r>
      <w:r>
        <w:rPr/>
        <w:t>后</w:t>
      </w:r>
      <w:r>
        <w:rPr>
          <w:spacing w:val="-89"/>
        </w:rPr>
        <w:t> </w:t>
      </w:r>
      <w:r>
        <w:rPr/>
        <w:t>累</w:t>
      </w:r>
      <w:r>
        <w:rPr>
          <w:spacing w:val="-90"/>
        </w:rPr>
        <w:t> </w:t>
      </w:r>
      <w:r>
        <w:rPr/>
        <w:t>计</w:t>
      </w:r>
      <w:r>
        <w:rPr>
          <w:spacing w:val="-87"/>
        </w:rPr>
        <w:t> </w:t>
      </w:r>
      <w:r>
        <w:rPr/>
        <w:t>注</w:t>
      </w:r>
      <w:r>
        <w:rPr>
          <w:spacing w:val="-87"/>
        </w:rPr>
        <w:t> </w:t>
      </w:r>
      <w:r>
        <w:rPr/>
        <w:t>册</w:t>
      </w:r>
      <w:r>
        <w:rPr>
          <w:spacing w:val="-90"/>
        </w:rPr>
        <w:t> </w:t>
      </w:r>
      <w:r>
        <w:rPr/>
        <w:t>资</w:t>
      </w:r>
      <w:r>
        <w:rPr>
          <w:spacing w:val="-90"/>
        </w:rPr>
        <w:t> </w:t>
      </w:r>
      <w:r>
        <w:rPr/>
        <w:t>本</w:t>
      </w:r>
      <w:r>
        <w:rPr>
          <w:spacing w:val="-87"/>
        </w:rPr>
        <w:t> </w:t>
      </w:r>
      <w:r>
        <w:rPr/>
        <w:t>金</w:t>
      </w:r>
      <w:r>
        <w:rPr>
          <w:spacing w:val="-90"/>
        </w:rPr>
        <w:t> </w:t>
      </w:r>
      <w:r>
        <w:rPr/>
        <w:t>额</w:t>
      </w:r>
      <w:r>
        <w:rPr>
          <w:spacing w:val="-87"/>
        </w:rPr>
        <w:t> </w:t>
      </w:r>
      <w:r>
        <w:rPr/>
        <w:t>为</w:t>
      </w:r>
      <w:r>
        <w:rPr>
          <w:spacing w:val="-90"/>
        </w:rPr>
        <w:t> </w:t>
      </w:r>
      <w:r>
        <w:rPr/>
        <w:t>人</w:t>
      </w:r>
      <w:r>
        <w:rPr>
          <w:spacing w:val="-90"/>
        </w:rPr>
        <w:t> </w:t>
      </w:r>
      <w:r>
        <w:rPr/>
        <w:t>民</w:t>
      </w:r>
      <w:r>
        <w:rPr>
          <w:spacing w:val="-87"/>
        </w:rPr>
        <w:t> </w:t>
      </w:r>
      <w:r>
        <w:rPr/>
        <w:t>币</w:t>
      </w:r>
      <w:r>
        <w:rPr>
          <w:spacing w:val="34"/>
        </w:rPr>
        <w:t> </w:t>
      </w:r>
      <w:r>
        <w:rPr>
          <w:rFonts w:ascii="宋体" w:hAnsi="宋体" w:cs="宋体" w:eastAsia="宋体" w:hint="default"/>
        </w:rPr>
        <w:t>110,000,000.00</w:t>
      </w:r>
      <w:r>
        <w:rPr>
          <w:rFonts w:ascii="宋体" w:hAnsi="宋体" w:cs="宋体" w:eastAsia="宋体" w:hint="default"/>
          <w:spacing w:val="33"/>
        </w:rPr>
        <w:t> </w:t>
      </w:r>
      <w:r>
        <w:rPr/>
        <w:t>元</w:t>
      </w:r>
      <w:r>
        <w:rPr>
          <w:spacing w:val="-90"/>
        </w:rPr>
        <w:t> </w:t>
      </w:r>
      <w:r>
        <w:rPr/>
        <w:t>，</w:t>
      </w:r>
      <w:r>
        <w:rPr>
          <w:spacing w:val="-90"/>
        </w:rPr>
        <w:t> </w:t>
      </w:r>
      <w:r>
        <w:rPr/>
        <w:t>股</w:t>
      </w:r>
      <w:r>
        <w:rPr>
          <w:spacing w:val="-87"/>
        </w:rPr>
        <w:t> </w:t>
      </w:r>
      <w:r>
        <w:rPr/>
        <w:t>本</w:t>
      </w:r>
      <w:r>
        <w:rPr>
          <w:spacing w:val="-90"/>
        </w:rPr>
        <w:t> </w:t>
      </w:r>
      <w:r>
        <w:rPr/>
        <w:t>为</w:t>
      </w:r>
      <w:r>
        <w:rPr>
          <w:spacing w:val="-87"/>
        </w:rPr>
        <w:t> </w:t>
      </w:r>
      <w:r>
        <w:rPr/>
        <w:t>人</w:t>
      </w:r>
      <w:r>
        <w:rPr>
          <w:spacing w:val="-90"/>
        </w:rPr>
        <w:t> </w:t>
      </w:r>
      <w:r>
        <w:rPr/>
        <w:t>民</w:t>
      </w:r>
      <w:r>
        <w:rPr>
          <w:spacing w:val="-90"/>
        </w:rPr>
        <w:t> </w:t>
      </w:r>
      <w:r>
        <w:rPr/>
        <w:t>币</w:t>
      </w:r>
      <w:r>
        <w:rPr/>
        <w:t> </w:t>
      </w:r>
      <w:r>
        <w:rPr>
          <w:rFonts w:ascii="宋体" w:hAnsi="宋体" w:cs="宋体" w:eastAsia="宋体" w:hint="default"/>
        </w:rPr>
        <w:t>110,000,000.00</w:t>
      </w:r>
      <w:r>
        <w:rPr>
          <w:rFonts w:ascii="宋体" w:hAnsi="宋体" w:cs="宋体" w:eastAsia="宋体" w:hint="default"/>
          <w:spacing w:val="-1"/>
        </w:rPr>
        <w:t> </w:t>
      </w:r>
      <w:r>
        <w:rPr/>
        <w:t>元，股票面值为每股人民币</w:t>
      </w:r>
      <w:r>
        <w:rPr>
          <w:spacing w:val="-60"/>
        </w:rPr>
        <w:t> </w:t>
      </w:r>
      <w:r>
        <w:rPr>
          <w:rFonts w:ascii="宋体" w:hAnsi="宋体" w:cs="宋体" w:eastAsia="宋体" w:hint="default"/>
        </w:rPr>
        <w:t>1</w:t>
      </w:r>
      <w:r>
        <w:rPr>
          <w:rFonts w:ascii="宋体" w:hAnsi="宋体" w:cs="宋体" w:eastAsia="宋体" w:hint="default"/>
          <w:spacing w:val="-60"/>
        </w:rPr>
        <w:t> </w:t>
      </w:r>
      <w:r>
        <w:rPr/>
        <w:t>元。</w:t>
      </w:r>
    </w:p>
    <w:p>
      <w:pPr>
        <w:pStyle w:val="BodyText"/>
        <w:spacing w:line="336" w:lineRule="auto" w:before="29"/>
        <w:ind w:right="1280" w:firstLine="479"/>
        <w:jc w:val="both"/>
      </w:pPr>
      <w:r>
        <w:rPr/>
        <w:t>本公司</w:t>
      </w:r>
      <w:r>
        <w:rPr>
          <w:spacing w:val="-61"/>
        </w:rPr>
        <w:t> </w:t>
      </w:r>
      <w:r>
        <w:rPr>
          <w:rFonts w:ascii="宋体" w:hAnsi="宋体" w:cs="宋体" w:eastAsia="宋体" w:hint="default"/>
        </w:rPr>
        <w:t>2009</w:t>
      </w:r>
      <w:r>
        <w:rPr>
          <w:rFonts w:ascii="宋体" w:hAnsi="宋体" w:cs="宋体" w:eastAsia="宋体" w:hint="default"/>
          <w:spacing w:val="-61"/>
        </w:rPr>
        <w:t> </w:t>
      </w:r>
      <w:r>
        <w:rPr/>
        <w:t>年</w:t>
      </w:r>
      <w:r>
        <w:rPr>
          <w:spacing w:val="-61"/>
        </w:rPr>
        <w:t> </w:t>
      </w:r>
      <w:r>
        <w:rPr>
          <w:rFonts w:ascii="宋体" w:hAnsi="宋体" w:cs="宋体" w:eastAsia="宋体" w:hint="default"/>
        </w:rPr>
        <w:t>11</w:t>
      </w:r>
      <w:r>
        <w:rPr>
          <w:rFonts w:ascii="宋体" w:hAnsi="宋体" w:cs="宋体" w:eastAsia="宋体" w:hint="default"/>
          <w:spacing w:val="-61"/>
        </w:rPr>
        <w:t> </w:t>
      </w:r>
      <w:r>
        <w:rPr/>
        <w:t>月</w:t>
      </w:r>
      <w:r>
        <w:rPr>
          <w:spacing w:val="-61"/>
        </w:rPr>
        <w:t> </w:t>
      </w:r>
      <w:r>
        <w:rPr>
          <w:rFonts w:ascii="宋体" w:hAnsi="宋体" w:cs="宋体" w:eastAsia="宋体" w:hint="default"/>
        </w:rPr>
        <w:t>10</w:t>
      </w:r>
      <w:r>
        <w:rPr>
          <w:rFonts w:ascii="宋体" w:hAnsi="宋体" w:cs="宋体" w:eastAsia="宋体" w:hint="default"/>
          <w:spacing w:val="-61"/>
        </w:rPr>
        <w:t> </w:t>
      </w:r>
      <w:r>
        <w:rPr/>
        <w:t>日召开的第三届董事会第三次会议提出《关于公司符合申 请公开增发人民币普通股（</w:t>
      </w:r>
      <w:r>
        <w:rPr>
          <w:rFonts w:ascii="宋体" w:hAnsi="宋体" w:cs="宋体" w:eastAsia="宋体" w:hint="default"/>
        </w:rPr>
        <w:t>A</w:t>
      </w:r>
      <w:r>
        <w:rPr>
          <w:rFonts w:ascii="宋体" w:hAnsi="宋体" w:cs="宋体" w:eastAsia="宋体" w:hint="default"/>
          <w:spacing w:val="-41"/>
        </w:rPr>
        <w:t> </w:t>
      </w:r>
      <w:r>
        <w:rPr/>
        <w:t>股）股票条件的议案</w:t>
      </w:r>
      <w:r>
        <w:rPr>
          <w:rFonts w:ascii="宋体" w:hAnsi="宋体" w:cs="宋体" w:eastAsia="宋体" w:hint="default"/>
        </w:rPr>
        <w:t>》</w:t>
      </w:r>
      <w:r>
        <w:rPr/>
        <w:t>，并获得公司</w:t>
      </w:r>
      <w:r>
        <w:rPr>
          <w:spacing w:val="-41"/>
        </w:rPr>
        <w:t> </w:t>
      </w:r>
      <w:r>
        <w:rPr>
          <w:rFonts w:ascii="宋体" w:hAnsi="宋体" w:cs="宋体" w:eastAsia="宋体" w:hint="default"/>
        </w:rPr>
        <w:t>2009</w:t>
      </w:r>
      <w:r>
        <w:rPr>
          <w:rFonts w:ascii="宋体" w:hAnsi="宋体" w:cs="宋体" w:eastAsia="宋体" w:hint="default"/>
          <w:spacing w:val="-41"/>
        </w:rPr>
        <w:t> </w:t>
      </w:r>
      <w:r>
        <w:rPr/>
        <w:t>年第二次临时 股东大会审议通过，经中国证监会证监许可【</w:t>
      </w:r>
      <w:r>
        <w:rPr>
          <w:rFonts w:ascii="宋体" w:hAnsi="宋体" w:cs="宋体" w:eastAsia="宋体" w:hint="default"/>
        </w:rPr>
        <w:t>2010</w:t>
      </w:r>
      <w:r>
        <w:rPr/>
        <w:t>】</w:t>
      </w:r>
      <w:r>
        <w:rPr>
          <w:rFonts w:ascii="宋体" w:hAnsi="宋体" w:cs="宋体" w:eastAsia="宋体" w:hint="default"/>
        </w:rPr>
        <w:t>1210</w:t>
      </w:r>
      <w:r>
        <w:rPr>
          <w:rFonts w:ascii="宋体" w:hAnsi="宋体" w:cs="宋体" w:eastAsia="宋体" w:hint="default"/>
          <w:spacing w:val="-80"/>
        </w:rPr>
        <w:t> </w:t>
      </w:r>
      <w:r>
        <w:rPr/>
        <w:t>号文核准，本公司于</w:t>
      </w:r>
      <w:r>
        <w:rPr>
          <w:spacing w:val="-80"/>
        </w:rPr>
        <w:t> </w:t>
      </w:r>
      <w:r>
        <w:rPr>
          <w:rFonts w:ascii="宋体" w:hAnsi="宋体" w:cs="宋体" w:eastAsia="宋体" w:hint="default"/>
        </w:rPr>
        <w:t>2010</w:t>
      </w:r>
      <w:r>
        <w:rPr>
          <w:rFonts w:ascii="宋体" w:hAnsi="宋体" w:cs="宋体" w:eastAsia="宋体" w:hint="default"/>
          <w:spacing w:val="-80"/>
        </w:rPr>
        <w:t> </w:t>
      </w:r>
      <w:r>
        <w:rPr/>
        <w:t>年 </w:t>
      </w:r>
      <w:r>
        <w:rPr>
          <w:rFonts w:ascii="宋体" w:hAnsi="宋体" w:cs="宋体" w:eastAsia="宋体" w:hint="default"/>
        </w:rPr>
        <w:t>9</w:t>
      </w:r>
      <w:r>
        <w:rPr>
          <w:rFonts w:ascii="宋体" w:hAnsi="宋体" w:cs="宋体" w:eastAsia="宋体" w:hint="default"/>
          <w:spacing w:val="-60"/>
        </w:rPr>
        <w:t> </w:t>
      </w:r>
      <w:r>
        <w:rPr/>
        <w:t>月增发新股</w:t>
      </w:r>
      <w:r>
        <w:rPr>
          <w:spacing w:val="-61"/>
        </w:rPr>
        <w:t> </w:t>
      </w:r>
      <w:r>
        <w:rPr>
          <w:rFonts w:ascii="宋体" w:hAnsi="宋体" w:cs="宋体" w:eastAsia="宋体" w:hint="default"/>
        </w:rPr>
        <w:t>14,124,172</w:t>
      </w:r>
      <w:r>
        <w:rPr>
          <w:rFonts w:ascii="宋体" w:hAnsi="宋体" w:cs="宋体" w:eastAsia="宋体" w:hint="default"/>
          <w:spacing w:val="-60"/>
        </w:rPr>
        <w:t> </w:t>
      </w:r>
      <w:r>
        <w:rPr/>
        <w:t>股，经本次增发后，本公司注册资本</w:t>
      </w:r>
      <w:r>
        <w:rPr>
          <w:spacing w:val="-60"/>
        </w:rPr>
        <w:t> </w:t>
      </w:r>
      <w:r>
        <w:rPr>
          <w:rFonts w:ascii="宋体" w:hAnsi="宋体" w:cs="宋体" w:eastAsia="宋体" w:hint="default"/>
        </w:rPr>
        <w:t>124,124,172</w:t>
      </w:r>
      <w:r>
        <w:rPr>
          <w:rFonts w:ascii="宋体" w:hAnsi="宋体" w:cs="宋体" w:eastAsia="宋体" w:hint="default"/>
          <w:spacing w:val="-60"/>
        </w:rPr>
        <w:t> </w:t>
      </w:r>
      <w:r>
        <w:rPr/>
        <w:t>元。</w:t>
      </w:r>
    </w:p>
    <w:p>
      <w:pPr>
        <w:pStyle w:val="BodyText"/>
        <w:spacing w:line="240" w:lineRule="auto" w:before="29"/>
        <w:ind w:left="602" w:right="0"/>
        <w:jc w:val="left"/>
      </w:pPr>
      <w:r>
        <w:rPr/>
        <w:t>本公司</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w:t>
      </w:r>
      <w:r>
        <w:rPr>
          <w:spacing w:val="-61"/>
        </w:rPr>
        <w:t> </w:t>
      </w:r>
      <w:r>
        <w:rPr>
          <w:rFonts w:ascii="宋体" w:hAnsi="宋体" w:cs="宋体" w:eastAsia="宋体" w:hint="default"/>
        </w:rPr>
        <w:t>9</w:t>
      </w:r>
      <w:r>
        <w:rPr>
          <w:rFonts w:ascii="宋体" w:hAnsi="宋体" w:cs="宋体" w:eastAsia="宋体" w:hint="default"/>
          <w:spacing w:val="-61"/>
        </w:rPr>
        <w:t> </w:t>
      </w:r>
      <w:r>
        <w:rPr/>
        <w:t>日召开的第三届董事会第二十一次会议审议通了《东港安全</w:t>
      </w:r>
    </w:p>
    <w:p>
      <w:pPr>
        <w:pStyle w:val="BodyText"/>
        <w:spacing w:line="240" w:lineRule="auto" w:before="127"/>
        <w:ind w:right="0"/>
        <w:jc w:val="both"/>
      </w:pPr>
      <w:r>
        <w:rPr/>
        <w:t>印刷股份有限公司限制性股票激励计划</w:t>
      </w:r>
      <w:r>
        <w:rPr>
          <w:rFonts w:ascii="宋体" w:hAnsi="宋体" w:cs="宋体" w:eastAsia="宋体" w:hint="default"/>
        </w:rPr>
        <w:t>(</w:t>
      </w:r>
      <w:r>
        <w:rPr/>
        <w:t>修订稿</w:t>
      </w:r>
      <w:r>
        <w:rPr>
          <w:rFonts w:ascii="宋体" w:hAnsi="宋体" w:cs="宋体" w:eastAsia="宋体" w:hint="default"/>
        </w:rPr>
        <w:t>)</w:t>
      </w:r>
      <w:r>
        <w:rPr/>
        <w:t>》，并获得公司</w:t>
      </w:r>
      <w:r>
        <w:rPr>
          <w:spacing w:val="-62"/>
        </w:rPr>
        <w:t> </w:t>
      </w:r>
      <w:r>
        <w:rPr>
          <w:rFonts w:ascii="宋体" w:hAnsi="宋体" w:cs="宋体" w:eastAsia="宋体" w:hint="default"/>
        </w:rPr>
        <w:t>2011</w:t>
      </w:r>
      <w:r>
        <w:rPr>
          <w:rFonts w:ascii="宋体" w:hAnsi="宋体" w:cs="宋体" w:eastAsia="宋体" w:hint="default"/>
          <w:spacing w:val="-62"/>
        </w:rPr>
        <w:t> </w:t>
      </w:r>
      <w:r>
        <w:rPr/>
        <w:t>年第二次临时股</w:t>
      </w:r>
    </w:p>
    <w:p>
      <w:pPr>
        <w:pStyle w:val="BodyText"/>
        <w:spacing w:line="240" w:lineRule="auto" w:before="125"/>
        <w:ind w:right="0"/>
        <w:jc w:val="both"/>
      </w:pPr>
      <w:r>
        <w:rPr/>
        <w:t>东大会批准。截至</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t>月</w:t>
      </w:r>
      <w:r>
        <w:rPr>
          <w:spacing w:val="-61"/>
        </w:rPr>
        <w:t> </w:t>
      </w:r>
      <w:r>
        <w:rPr>
          <w:rFonts w:ascii="宋体" w:hAnsi="宋体" w:cs="宋体" w:eastAsia="宋体" w:hint="default"/>
        </w:rPr>
        <w:t>24</w:t>
      </w:r>
      <w:r>
        <w:rPr>
          <w:rFonts w:ascii="宋体" w:hAnsi="宋体" w:cs="宋体" w:eastAsia="宋体" w:hint="default"/>
          <w:spacing w:val="-61"/>
        </w:rPr>
        <w:t> </w:t>
      </w:r>
      <w:r>
        <w:rPr/>
        <w:t>日止，公司已收到股权激励对象缴纳的新增股本人</w:t>
      </w:r>
    </w:p>
    <w:p>
      <w:pPr>
        <w:pStyle w:val="BodyText"/>
        <w:spacing w:line="240" w:lineRule="auto" w:before="125"/>
        <w:ind w:right="0"/>
        <w:jc w:val="both"/>
      </w:pPr>
      <w:r>
        <w:rPr/>
        <w:t>民币</w:t>
      </w:r>
      <w:r>
        <w:rPr>
          <w:spacing w:val="-61"/>
        </w:rPr>
        <w:t> </w:t>
      </w:r>
      <w:r>
        <w:rPr>
          <w:rFonts w:ascii="宋体" w:hAnsi="宋体" w:cs="宋体" w:eastAsia="宋体" w:hint="default"/>
        </w:rPr>
        <w:t>2,290,000.00</w:t>
      </w:r>
      <w:r>
        <w:rPr>
          <w:rFonts w:ascii="宋体" w:hAnsi="宋体" w:cs="宋体" w:eastAsia="宋体" w:hint="default"/>
          <w:spacing w:val="-60"/>
        </w:rPr>
        <w:t> </w:t>
      </w:r>
      <w:r>
        <w:rPr/>
        <w:t>元，本次增发后，本公司总股本变更为</w:t>
      </w:r>
      <w:r>
        <w:rPr>
          <w:spacing w:val="-60"/>
        </w:rPr>
        <w:t> </w:t>
      </w:r>
      <w:r>
        <w:rPr>
          <w:rFonts w:ascii="宋体" w:hAnsi="宋体" w:cs="宋体" w:eastAsia="宋体" w:hint="default"/>
        </w:rPr>
        <w:t>126,414,172.00</w:t>
      </w:r>
      <w:r>
        <w:rPr>
          <w:rFonts w:ascii="宋体" w:hAnsi="宋体" w:cs="宋体" w:eastAsia="宋体" w:hint="default"/>
          <w:spacing w:val="-60"/>
        </w:rPr>
        <w:t> </w:t>
      </w:r>
      <w:r>
        <w:rPr/>
        <w:t>元。</w:t>
      </w:r>
    </w:p>
    <w:p>
      <w:pPr>
        <w:pStyle w:val="BodyText"/>
        <w:spacing w:line="240" w:lineRule="auto" w:before="127"/>
        <w:ind w:left="602" w:right="0"/>
        <w:jc w:val="left"/>
      </w:pPr>
      <w:r>
        <w:rPr/>
        <w:t>本公司财务报表于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日已经公司董事会批准报出。</w:t>
      </w:r>
    </w:p>
    <w:p>
      <w:pPr>
        <w:spacing w:line="240" w:lineRule="auto" w:before="6"/>
        <w:rPr>
          <w:rFonts w:ascii="宋体" w:hAnsi="宋体" w:cs="宋体" w:eastAsia="宋体" w:hint="default"/>
          <w:sz w:val="24"/>
          <w:szCs w:val="24"/>
        </w:rPr>
      </w:pPr>
    </w:p>
    <w:p>
      <w:pPr>
        <w:spacing w:line="295" w:lineRule="auto" w:before="0"/>
        <w:ind w:left="602"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w:t>
      </w:r>
      <w:r>
        <w:rPr>
          <w:rFonts w:ascii="Microsoft JhengHei" w:hAnsi="Microsoft JhengHei" w:cs="Microsoft JhengHei" w:eastAsia="Microsoft JhengHei" w:hint="default"/>
          <w:b/>
          <w:bCs/>
          <w:spacing w:val="-32"/>
          <w:sz w:val="24"/>
          <w:szCs w:val="24"/>
        </w:rPr>
        <w:t> </w:t>
      </w:r>
      <w:r>
        <w:rPr>
          <w:rFonts w:ascii="Microsoft JhengHei" w:hAnsi="Microsoft JhengHei" w:cs="Microsoft JhengHei" w:eastAsia="Microsoft JhengHei" w:hint="default"/>
          <w:b/>
          <w:bCs/>
          <w:sz w:val="24"/>
          <w:szCs w:val="24"/>
        </w:rPr>
        <w:t>财务报表的编制基础</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2"/>
          <w:sz w:val="24"/>
          <w:szCs w:val="24"/>
        </w:rPr>
        <w:t>本集团财务报表以持续经营假设为基础编制，根据实际发生的交易和事项，按照</w:t>
      </w:r>
    </w:p>
    <w:p>
      <w:pPr>
        <w:pStyle w:val="BodyText"/>
        <w:spacing w:line="240" w:lineRule="auto" w:before="31"/>
        <w:ind w:right="0"/>
        <w:jc w:val="both"/>
      </w:pPr>
      <w:r>
        <w:rPr/>
        <w:t>财政部于</w:t>
      </w:r>
      <w:r>
        <w:rPr>
          <w:spacing w:val="-62"/>
        </w:rPr>
        <w:t> </w:t>
      </w:r>
      <w:r>
        <w:rPr>
          <w:rFonts w:ascii="宋体" w:hAnsi="宋体" w:cs="宋体" w:eastAsia="宋体" w:hint="default"/>
        </w:rPr>
        <w:t>2006</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15</w:t>
      </w:r>
      <w:r>
        <w:rPr>
          <w:rFonts w:ascii="宋体" w:hAnsi="宋体" w:cs="宋体" w:eastAsia="宋体" w:hint="default"/>
          <w:spacing w:val="-61"/>
        </w:rPr>
        <w:t> </w:t>
      </w:r>
      <w:r>
        <w:rPr/>
        <w:t>日颁布的《企业会计准则——基本准则》和</w:t>
      </w:r>
      <w:r>
        <w:rPr>
          <w:spacing w:val="-61"/>
        </w:rPr>
        <w:t> </w:t>
      </w:r>
      <w:r>
        <w:rPr>
          <w:rFonts w:ascii="宋体" w:hAnsi="宋体" w:cs="宋体" w:eastAsia="宋体" w:hint="default"/>
        </w:rPr>
        <w:t>38</w:t>
      </w:r>
      <w:r>
        <w:rPr>
          <w:rFonts w:ascii="宋体" w:hAnsi="宋体" w:cs="宋体" w:eastAsia="宋体" w:hint="default"/>
          <w:spacing w:val="-61"/>
        </w:rPr>
        <w:t> </w:t>
      </w:r>
      <w:r>
        <w:rPr/>
        <w:t>项具体会计准</w:t>
      </w:r>
    </w:p>
    <w:p>
      <w:pPr>
        <w:spacing w:after="0" w:line="240" w:lineRule="auto"/>
        <w:jc w:val="both"/>
        <w:sectPr>
          <w:headerReference w:type="default" r:id="rId30"/>
          <w:footerReference w:type="default" r:id="rId31"/>
          <w:pgSz w:w="11910" w:h="16840"/>
          <w:pgMar w:header="928" w:footer="1153" w:top="1260" w:bottom="1340" w:left="1500" w:right="0"/>
          <w:pgNumType w:start="62"/>
        </w:sectPr>
      </w:pPr>
    </w:p>
    <w:p>
      <w:pPr>
        <w:spacing w:line="240" w:lineRule="auto" w:before="9"/>
        <w:rPr>
          <w:rFonts w:ascii="宋体" w:hAnsi="宋体" w:cs="宋体" w:eastAsia="宋体" w:hint="default"/>
          <w:sz w:val="13"/>
          <w:szCs w:val="13"/>
        </w:rPr>
      </w:pPr>
    </w:p>
    <w:p>
      <w:pPr>
        <w:pStyle w:val="BodyText"/>
        <w:spacing w:line="304" w:lineRule="auto" w:before="26"/>
        <w:ind w:right="1288"/>
        <w:jc w:val="both"/>
      </w:pPr>
      <w:r>
        <w:rPr>
          <w:spacing w:val="2"/>
        </w:rPr>
        <w:t>则、其后颁布的企业会计准则应用指南、企业会计准则解释及其他相关规定（以下合</w:t>
      </w:r>
      <w:r>
        <w:rPr>
          <w:spacing w:val="-97"/>
        </w:rPr>
        <w:t> </w:t>
      </w:r>
      <w:r>
        <w:rPr>
          <w:spacing w:val="-97"/>
        </w:rPr>
      </w:r>
      <w:r>
        <w:rPr>
          <w:spacing w:val="-4"/>
        </w:rPr>
        <w:t>称“企业会计准则”）、以及中国证券监督管理委员会《公开发行证券的公司信息披露</w:t>
      </w:r>
      <w:r>
        <w:rPr>
          <w:spacing w:val="-107"/>
        </w:rPr>
        <w:t> </w:t>
      </w:r>
      <w:r>
        <w:rPr>
          <w:spacing w:val="-107"/>
        </w:rPr>
      </w:r>
      <w:r>
        <w:rPr/>
        <w:t>编报规则第</w:t>
      </w:r>
      <w:r>
        <w:rPr>
          <w:spacing w:val="-59"/>
        </w:rPr>
        <w:t> </w:t>
      </w:r>
      <w:r>
        <w:rPr>
          <w:rFonts w:ascii="宋体" w:hAnsi="宋体" w:cs="宋体" w:eastAsia="宋体" w:hint="default"/>
        </w:rPr>
        <w:t>15</w:t>
      </w:r>
      <w:r>
        <w:rPr>
          <w:rFonts w:ascii="宋体" w:hAnsi="宋体" w:cs="宋体" w:eastAsia="宋体" w:hint="default"/>
          <w:spacing w:val="-58"/>
        </w:rPr>
        <w:t> </w:t>
      </w:r>
      <w:r>
        <w:rPr>
          <w:spacing w:val="-7"/>
        </w:rPr>
        <w:t>号——财务报告的一般规定》（</w:t>
      </w:r>
      <w:r>
        <w:rPr>
          <w:rFonts w:ascii="宋体" w:hAnsi="宋体" w:cs="宋体" w:eastAsia="宋体" w:hint="default"/>
          <w:spacing w:val="-7"/>
        </w:rPr>
        <w:t>2010</w:t>
      </w:r>
      <w:r>
        <w:rPr>
          <w:rFonts w:ascii="宋体" w:hAnsi="宋体" w:cs="宋体" w:eastAsia="宋体" w:hint="default"/>
          <w:spacing w:val="-58"/>
        </w:rPr>
        <w:t> </w:t>
      </w:r>
      <w:r>
        <w:rPr/>
        <w:t>年修订）的披露规定编制。</w:t>
      </w:r>
    </w:p>
    <w:p>
      <w:pPr>
        <w:pStyle w:val="BodyText"/>
        <w:spacing w:line="304" w:lineRule="auto"/>
        <w:ind w:right="1292" w:firstLine="479"/>
        <w:jc w:val="both"/>
      </w:pPr>
      <w:r>
        <w:rPr>
          <w:spacing w:val="2"/>
        </w:rPr>
        <w:t>根据企业会计准则的相关规定，本集团会计核算以权责发生制为基础。除某些金</w:t>
      </w:r>
      <w:r>
        <w:rPr/>
        <w:t> </w:t>
      </w:r>
      <w:r>
        <w:rPr>
          <w:spacing w:val="2"/>
        </w:rPr>
        <w:t>融工具外，本财务报表均以历史成本为计量基础。资产如果发生减值，则按照相关规</w:t>
      </w:r>
      <w:r>
        <w:rPr>
          <w:spacing w:val="-97"/>
        </w:rPr>
        <w:t> </w:t>
      </w:r>
      <w:r>
        <w:rPr>
          <w:spacing w:val="-97"/>
        </w:rPr>
      </w:r>
      <w:r>
        <w:rPr/>
        <w:t>定计提相应的减值准备。</w:t>
      </w:r>
    </w:p>
    <w:p>
      <w:pPr>
        <w:spacing w:line="240" w:lineRule="auto" w:before="2"/>
        <w:rPr>
          <w:rFonts w:ascii="宋体" w:hAnsi="宋体" w:cs="宋体" w:eastAsia="宋体" w:hint="default"/>
          <w:sz w:val="19"/>
          <w:szCs w:val="19"/>
        </w:rPr>
      </w:pPr>
    </w:p>
    <w:p>
      <w:pPr>
        <w:spacing w:line="295" w:lineRule="auto" w:before="0"/>
        <w:ind w:left="602"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w:t>
      </w:r>
      <w:r>
        <w:rPr>
          <w:rFonts w:ascii="Microsoft JhengHei" w:hAnsi="Microsoft JhengHei" w:cs="Microsoft JhengHei" w:eastAsia="Microsoft JhengHei" w:hint="default"/>
          <w:b/>
          <w:bCs/>
          <w:spacing w:val="-32"/>
          <w:sz w:val="24"/>
          <w:szCs w:val="24"/>
        </w:rPr>
        <w:t> </w:t>
      </w:r>
      <w:r>
        <w:rPr>
          <w:rFonts w:ascii="Microsoft JhengHei" w:hAnsi="Microsoft JhengHei" w:cs="Microsoft JhengHei" w:eastAsia="Microsoft JhengHei" w:hint="default"/>
          <w:b/>
          <w:bCs/>
          <w:sz w:val="24"/>
          <w:szCs w:val="24"/>
        </w:rPr>
        <w:t>遵循企业会计准则的声明</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2"/>
          <w:sz w:val="24"/>
          <w:szCs w:val="24"/>
        </w:rPr>
        <w:t>本集团编制的财务报表符合企业会计准则的要求，真实、完整地反映了本公司及</w:t>
      </w:r>
    </w:p>
    <w:p>
      <w:pPr>
        <w:pStyle w:val="BodyText"/>
        <w:spacing w:line="240" w:lineRule="auto" w:before="31"/>
        <w:ind w:right="0"/>
        <w:jc w:val="both"/>
      </w:pPr>
      <w:r>
        <w:rPr/>
        <w:t>本集团</w:t>
      </w:r>
      <w:r>
        <w:rPr>
          <w:spacing w:val="-62"/>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日的财务状况及</w:t>
      </w:r>
      <w:r>
        <w:rPr>
          <w:spacing w:val="-61"/>
        </w:rPr>
        <w:t> </w:t>
      </w:r>
      <w:r>
        <w:rPr>
          <w:rFonts w:ascii="宋体" w:hAnsi="宋体" w:cs="宋体" w:eastAsia="宋体" w:hint="default"/>
        </w:rPr>
        <w:t>2011</w:t>
      </w:r>
      <w:r>
        <w:rPr>
          <w:rFonts w:ascii="宋体" w:hAnsi="宋体" w:cs="宋体" w:eastAsia="宋体" w:hint="default"/>
          <w:spacing w:val="-61"/>
        </w:rPr>
        <w:t> </w:t>
      </w:r>
      <w:r>
        <w:rPr/>
        <w:t>年度的经营成果和现金流量等有关信息。</w:t>
      </w:r>
    </w:p>
    <w:p>
      <w:pPr>
        <w:pStyle w:val="BodyText"/>
        <w:spacing w:line="240" w:lineRule="auto" w:before="87"/>
        <w:ind w:right="0"/>
        <w:jc w:val="both"/>
        <w:rPr>
          <w:rFonts w:ascii="宋体" w:hAnsi="宋体" w:cs="宋体" w:eastAsia="宋体" w:hint="default"/>
        </w:rPr>
      </w:pPr>
      <w:r>
        <w:rPr/>
        <w:t>此外，本公司及本集团的财务报表在所有重大方面符合中国证券监督管理委员会</w:t>
      </w:r>
      <w:r>
        <w:rPr>
          <w:spacing w:val="-1"/>
        </w:rPr>
        <w:t> </w:t>
      </w:r>
      <w:r>
        <w:rPr>
          <w:rFonts w:ascii="宋体" w:hAnsi="宋体" w:cs="宋体" w:eastAsia="宋体" w:hint="default"/>
        </w:rPr>
        <w:t>2010</w:t>
      </w:r>
    </w:p>
    <w:p>
      <w:pPr>
        <w:pStyle w:val="BodyText"/>
        <w:spacing w:line="307" w:lineRule="auto" w:before="84"/>
        <w:ind w:right="1285"/>
        <w:jc w:val="both"/>
      </w:pPr>
      <w:r>
        <w:rPr/>
        <w:t>年修订的《公开发行证券的公司信息披露编报规则第</w:t>
      </w:r>
      <w:r>
        <w:rPr>
          <w:spacing w:val="-63"/>
        </w:rPr>
        <w:t> </w:t>
      </w:r>
      <w:r>
        <w:rPr>
          <w:rFonts w:ascii="宋体" w:hAnsi="宋体" w:cs="宋体" w:eastAsia="宋体" w:hint="default"/>
        </w:rPr>
        <w:t>15</w:t>
      </w:r>
      <w:r>
        <w:rPr>
          <w:rFonts w:ascii="宋体" w:hAnsi="宋体" w:cs="宋体" w:eastAsia="宋体" w:hint="default"/>
          <w:spacing w:val="-63"/>
        </w:rPr>
        <w:t> </w:t>
      </w:r>
      <w:r>
        <w:rPr/>
        <w:t>号－财务报告的一般规定》有 关财务报表及其附注的披露要求。</w:t>
      </w:r>
    </w:p>
    <w:p>
      <w:pPr>
        <w:spacing w:line="240" w:lineRule="auto" w:before="12"/>
        <w:rPr>
          <w:rFonts w:ascii="宋体" w:hAnsi="宋体" w:cs="宋体" w:eastAsia="宋体" w:hint="default"/>
          <w:sz w:val="18"/>
          <w:szCs w:val="18"/>
        </w:rPr>
      </w:pPr>
    </w:p>
    <w:p>
      <w:pPr>
        <w:pStyle w:val="Heading3"/>
        <w:spacing w:line="252" w:lineRule="auto"/>
        <w:ind w:left="655" w:right="6628" w:hanging="53"/>
        <w:jc w:val="left"/>
        <w:rPr>
          <w:b w:val="0"/>
          <w:bCs w:val="0"/>
        </w:rPr>
      </w:pPr>
      <w:r>
        <w:rPr/>
        <w:t>四、</w:t>
      </w:r>
      <w:r>
        <w:rPr>
          <w:spacing w:val="-24"/>
        </w:rPr>
        <w:t> </w:t>
      </w:r>
      <w:r>
        <w:rPr/>
        <w:t>主要会计政策和会计估计</w:t>
      </w:r>
      <w:r>
        <w:rPr>
          <w:spacing w:val="-58"/>
        </w:rPr>
        <w:t> </w:t>
      </w:r>
      <w:r>
        <w:rPr>
          <w:spacing w:val="-58"/>
        </w:rPr>
      </w:r>
      <w:r>
        <w:rPr>
          <w:rFonts w:ascii="Trebuchet MS" w:hAnsi="Trebuchet MS" w:cs="Trebuchet MS" w:eastAsia="Trebuchet MS" w:hint="default"/>
          <w:spacing w:val="2"/>
        </w:rPr>
        <w:t>1</w:t>
      </w:r>
      <w:r>
        <w:rPr>
          <w:spacing w:val="2"/>
        </w:rPr>
        <w:t>、会计期间</w:t>
      </w:r>
      <w:r>
        <w:rPr>
          <w:b w:val="0"/>
          <w:bCs w:val="0"/>
          <w:spacing w:val="2"/>
        </w:rPr>
      </w:r>
    </w:p>
    <w:p>
      <w:pPr>
        <w:pStyle w:val="BodyText"/>
        <w:spacing w:line="307" w:lineRule="auto" w:before="43"/>
        <w:ind w:right="1296" w:firstLine="479"/>
        <w:jc w:val="both"/>
      </w:pPr>
      <w:r>
        <w:rPr>
          <w:spacing w:val="2"/>
        </w:rPr>
        <w:t>本集团的会计期间分为年度和中期，会计中期指短于一个完整的会计年度的报告</w:t>
      </w:r>
      <w:r>
        <w:rPr/>
        <w:t> 期间。本集团会计年度采用公历年度，即每年自</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Heading3"/>
        <w:spacing w:line="333" w:lineRule="exact"/>
        <w:ind w:left="655" w:right="0"/>
        <w:jc w:val="left"/>
        <w:rPr>
          <w:b w:val="0"/>
          <w:bCs w:val="0"/>
        </w:rPr>
      </w:pPr>
      <w:r>
        <w:rPr>
          <w:rFonts w:ascii="Trebuchet MS" w:hAnsi="Trebuchet MS" w:cs="Trebuchet MS" w:eastAsia="Trebuchet MS" w:hint="default"/>
        </w:rPr>
        <w:t>2</w:t>
      </w:r>
      <w:r>
        <w:rPr/>
        <w:t>、记账本位币</w:t>
      </w:r>
      <w:r>
        <w:rPr>
          <w:b w:val="0"/>
          <w:bCs w:val="0"/>
        </w:rPr>
      </w:r>
    </w:p>
    <w:p>
      <w:pPr>
        <w:pStyle w:val="BodyText"/>
        <w:spacing w:line="307" w:lineRule="auto" w:before="60"/>
        <w:ind w:right="1296" w:firstLine="479"/>
        <w:jc w:val="both"/>
      </w:pPr>
      <w:r>
        <w:rPr>
          <w:spacing w:val="2"/>
        </w:rPr>
        <w:t>人民币为本公司及境内子公司经营所处的主要经济环境中的货币，本公司及境内</w:t>
      </w:r>
      <w:r>
        <w:rPr/>
        <w:t> 子公司以人民币为记账本位币。本集团编制本财务报表时所采用的货币为人民币。</w:t>
      </w:r>
    </w:p>
    <w:p>
      <w:pPr>
        <w:pStyle w:val="Heading3"/>
        <w:spacing w:line="359" w:lineRule="exact"/>
        <w:ind w:left="655" w:right="0"/>
        <w:jc w:val="left"/>
        <w:rPr>
          <w:b w:val="0"/>
          <w:bCs w:val="0"/>
        </w:rPr>
      </w:pPr>
      <w:r>
        <w:rPr>
          <w:rFonts w:ascii="Trebuchet MS" w:hAnsi="Trebuchet MS" w:cs="Trebuchet MS" w:eastAsia="Trebuchet MS" w:hint="default"/>
        </w:rPr>
        <w:t>3</w:t>
      </w:r>
      <w:r>
        <w:rPr/>
        <w:t>、企业合并的会计处理方法</w:t>
      </w:r>
      <w:r>
        <w:rPr>
          <w:b w:val="0"/>
          <w:bCs w:val="0"/>
        </w:rPr>
      </w:r>
    </w:p>
    <w:p>
      <w:pPr>
        <w:pStyle w:val="BodyText"/>
        <w:spacing w:line="307" w:lineRule="auto" w:before="59"/>
        <w:ind w:right="1296" w:firstLine="479"/>
        <w:jc w:val="both"/>
      </w:pPr>
      <w:r>
        <w:rPr>
          <w:spacing w:val="2"/>
        </w:rPr>
        <w:t>企业合并，是指将两个或两个以上单独的企业合并形成一个报告主体的交易或事</w:t>
      </w:r>
      <w:r>
        <w:rPr/>
        <w:t> 项。企业合并分为同一控制下企业合并和非同一控制下企业合并。</w:t>
      </w:r>
    </w:p>
    <w:p>
      <w:pPr>
        <w:pStyle w:val="BodyText"/>
        <w:tabs>
          <w:tab w:pos="1082" w:val="left" w:leader="none"/>
        </w:tabs>
        <w:spacing w:line="307" w:lineRule="auto" w:before="17"/>
        <w:ind w:left="602" w:right="1296"/>
        <w:jc w:val="left"/>
      </w:pPr>
      <w:r>
        <w:rPr/>
        <w:t>⑴</w:t>
        <w:tab/>
        <w:t>同一控制下企业合并 </w:t>
      </w:r>
      <w:r>
        <w:rPr>
          <w:spacing w:val="2"/>
        </w:rPr>
        <w:t>参与合并的企业在合并前后均受同一方或相同的多方最终控制，且该控制并非暂</w:t>
      </w:r>
    </w:p>
    <w:p>
      <w:pPr>
        <w:pStyle w:val="BodyText"/>
        <w:spacing w:line="304" w:lineRule="auto" w:before="19"/>
        <w:ind w:right="1283"/>
        <w:jc w:val="both"/>
      </w:pPr>
      <w:r>
        <w:rPr>
          <w:spacing w:val="2"/>
        </w:rPr>
        <w:t>时性的，为同一控制下的企业合并。在合并日取得对其他参与合并企业控制权的一方</w:t>
      </w:r>
      <w:r>
        <w:rPr>
          <w:spacing w:val="-88"/>
        </w:rPr>
        <w:t> </w:t>
      </w:r>
      <w:r>
        <w:rPr>
          <w:spacing w:val="-88"/>
        </w:rPr>
      </w:r>
      <w:r>
        <w:rPr/>
        <w:t>为合并方，参与合并的其他企业为被合并方。</w:t>
      </w:r>
    </w:p>
    <w:p>
      <w:pPr>
        <w:pStyle w:val="BodyText"/>
        <w:spacing w:line="304" w:lineRule="auto"/>
        <w:ind w:right="1292" w:firstLine="479"/>
        <w:jc w:val="both"/>
      </w:pPr>
      <w:r>
        <w:rPr>
          <w:spacing w:val="2"/>
        </w:rPr>
        <w:t>合并方在企业合并中取得的资产和负债，按合并日在被合并方的账面价值计量。</w:t>
      </w:r>
      <w:r>
        <w:rPr/>
        <w:t> </w:t>
      </w:r>
      <w:r>
        <w:rPr>
          <w:spacing w:val="2"/>
        </w:rPr>
        <w:t>合并方取得的净资产账面价值与支付的合并对价的账面价值（或发行股份面值总额）</w:t>
      </w:r>
      <w:r>
        <w:rPr>
          <w:spacing w:val="-97"/>
        </w:rPr>
        <w:t> </w:t>
      </w:r>
      <w:r>
        <w:rPr>
          <w:spacing w:val="-97"/>
        </w:rPr>
      </w:r>
      <w:r>
        <w:rPr/>
        <w:t>的差额，调整资本公积中的股本溢价，股本溢价不足冲减的则调整留存收益。</w:t>
      </w:r>
    </w:p>
    <w:p>
      <w:pPr>
        <w:pStyle w:val="BodyText"/>
        <w:spacing w:line="240" w:lineRule="auto"/>
        <w:ind w:left="602" w:right="0"/>
        <w:jc w:val="left"/>
      </w:pPr>
      <w:r>
        <w:rPr/>
        <w:t>合并方为进行企业合并发生的各项直接费用，于发生时计入当期损益。</w:t>
      </w:r>
    </w:p>
    <w:p>
      <w:pPr>
        <w:pStyle w:val="BodyText"/>
        <w:spacing w:line="304" w:lineRule="auto" w:before="86"/>
        <w:ind w:left="602" w:right="0"/>
        <w:jc w:val="left"/>
      </w:pPr>
      <w:r>
        <w:rPr/>
        <w:t>⑵ 非同一控制下企业合并 </w:t>
      </w:r>
      <w:r>
        <w:rPr>
          <w:spacing w:val="2"/>
        </w:rPr>
        <w:t>参与合并的企业在合并前后不受同一方或相同的多方最终控制的，为非同一控制</w:t>
      </w:r>
    </w:p>
    <w:p>
      <w:pPr>
        <w:pStyle w:val="BodyText"/>
        <w:spacing w:line="240" w:lineRule="auto"/>
        <w:ind w:right="0"/>
        <w:jc w:val="both"/>
      </w:pPr>
      <w:r>
        <w:rPr>
          <w:spacing w:val="2"/>
        </w:rPr>
        <w:t>下的企业合并。非同一控制下的企业合并，在购买日取得对其他参与合并企业控制权</w:t>
      </w:r>
    </w:p>
    <w:p>
      <w:pPr>
        <w:spacing w:after="0" w:line="240"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0"/>
        <w:jc w:val="left"/>
      </w:pPr>
      <w:r>
        <w:rPr>
          <w:spacing w:val="2"/>
        </w:rPr>
        <w:t>的一方为购买方，参与合并的其他企业为被购买方。购买日，是指为购买方实际取得</w:t>
      </w:r>
      <w:r>
        <w:rPr>
          <w:spacing w:val="-95"/>
        </w:rPr>
        <w:t> </w:t>
      </w:r>
      <w:r>
        <w:rPr>
          <w:spacing w:val="-95"/>
        </w:rPr>
      </w:r>
      <w:r>
        <w:rPr/>
        <w:t>对被购买方控制权的日期。</w:t>
      </w:r>
    </w:p>
    <w:p>
      <w:pPr>
        <w:pStyle w:val="BodyText"/>
        <w:spacing w:line="304" w:lineRule="auto" w:before="17"/>
        <w:ind w:right="1282" w:firstLine="479"/>
        <w:jc w:val="both"/>
      </w:pPr>
      <w:r>
        <w:rPr>
          <w:spacing w:val="2"/>
        </w:rPr>
        <w:t>对于非同一控制下的企业合并，合并成本包含购买日购买方为取得对被购买方的</w:t>
      </w:r>
      <w:r>
        <w:rPr/>
        <w:t> </w:t>
      </w:r>
      <w:r>
        <w:rPr>
          <w:spacing w:val="2"/>
        </w:rPr>
        <w:t>控制权而付出的资产、发生或承担的负债以及发行的权益性证券的公允价值，为企业</w:t>
      </w:r>
      <w:r>
        <w:rPr>
          <w:spacing w:val="-97"/>
        </w:rPr>
        <w:t> </w:t>
      </w:r>
      <w:r>
        <w:rPr>
          <w:spacing w:val="-97"/>
        </w:rPr>
      </w:r>
      <w:r>
        <w:rPr>
          <w:spacing w:val="2"/>
        </w:rPr>
        <w:t>合并发生的审计、法律服务、评估咨询等中介费用以及其他管理费用于发生时计入当</w:t>
      </w:r>
      <w:r>
        <w:rPr>
          <w:spacing w:val="-97"/>
        </w:rPr>
        <w:t> </w:t>
      </w:r>
      <w:r>
        <w:rPr>
          <w:spacing w:val="-97"/>
        </w:rPr>
      </w:r>
      <w:r>
        <w:rPr>
          <w:spacing w:val="2"/>
        </w:rPr>
        <w:t>期损益。购买方作为合并对价发行的权益性证券或债务性证券的交易费用，计入权益</w:t>
      </w:r>
      <w:r>
        <w:rPr>
          <w:spacing w:val="-97"/>
        </w:rPr>
        <w:t> </w:t>
      </w:r>
      <w:r>
        <w:rPr>
          <w:spacing w:val="-97"/>
        </w:rPr>
      </w:r>
      <w:r>
        <w:rPr>
          <w:spacing w:val="2"/>
        </w:rPr>
        <w:t>性证券或债务性证券的初始确认金额。所涉及的或有对价按其在购买日的公允价值计</w:t>
      </w:r>
      <w:r>
        <w:rPr>
          <w:spacing w:val="-97"/>
        </w:rPr>
        <w:t> </w:t>
      </w:r>
      <w:r>
        <w:rPr>
          <w:spacing w:val="-97"/>
        </w:rPr>
      </w:r>
      <w:r>
        <w:rPr/>
        <w:t>入合并成本，购买日后</w:t>
      </w:r>
      <w:r>
        <w:rPr>
          <w:spacing w:val="-61"/>
        </w:rPr>
        <w:t> </w:t>
      </w:r>
      <w:r>
        <w:rPr>
          <w:rFonts w:ascii="宋体" w:hAnsi="宋体" w:cs="宋体" w:eastAsia="宋体" w:hint="default"/>
        </w:rPr>
        <w:t>12</w:t>
      </w:r>
      <w:r>
        <w:rPr>
          <w:rFonts w:ascii="宋体" w:hAnsi="宋体" w:cs="宋体" w:eastAsia="宋体" w:hint="default"/>
          <w:spacing w:val="-61"/>
        </w:rPr>
        <w:t> </w:t>
      </w:r>
      <w:r>
        <w:rPr/>
        <w:t>个月内出现对购买日已存在情况的新的或进一步证据而需要 </w:t>
      </w:r>
      <w:r>
        <w:rPr>
          <w:spacing w:val="2"/>
        </w:rPr>
        <w:t>调整或有对价的，相应调整合并商誉。通过多次交换交易分步实现的企业合并，在本</w:t>
      </w:r>
      <w:r>
        <w:rPr>
          <w:spacing w:val="-93"/>
        </w:rPr>
        <w:t> </w:t>
      </w:r>
      <w:r>
        <w:rPr>
          <w:spacing w:val="-93"/>
        </w:rPr>
      </w:r>
      <w:r>
        <w:rPr>
          <w:spacing w:val="2"/>
        </w:rPr>
        <w:t>集团合并财务报表中，对于购买日之前持有的被购买方的股权，按照该股权在购买日</w:t>
      </w:r>
      <w:r>
        <w:rPr>
          <w:spacing w:val="-97"/>
        </w:rPr>
        <w:t> </w:t>
      </w:r>
      <w:r>
        <w:rPr>
          <w:spacing w:val="-97"/>
        </w:rPr>
      </w:r>
      <w:r>
        <w:rPr>
          <w:spacing w:val="2"/>
        </w:rPr>
        <w:t>的公允价值进行重新计量，公允价值与其账面价值的差额计入购买日所属当期投资收</w:t>
      </w:r>
      <w:r>
        <w:rPr>
          <w:spacing w:val="-97"/>
        </w:rPr>
        <w:t> </w:t>
      </w:r>
      <w:r>
        <w:rPr>
          <w:spacing w:val="-97"/>
        </w:rPr>
      </w:r>
      <w:r>
        <w:rPr>
          <w:spacing w:val="2"/>
        </w:rPr>
        <w:t>益，同时将与购买日之前持有的被购买方的股权相关的其他综合收益转为当期投资收</w:t>
      </w:r>
      <w:r>
        <w:rPr>
          <w:spacing w:val="-97"/>
        </w:rPr>
        <w:t> </w:t>
      </w:r>
      <w:r>
        <w:rPr>
          <w:spacing w:val="-97"/>
        </w:rPr>
      </w:r>
      <w:r>
        <w:rPr>
          <w:spacing w:val="2"/>
        </w:rPr>
        <w:t>益，合并成本为购买日之前持有的被购买方的股权在购买日的公允价值与购买日增持</w:t>
      </w:r>
      <w:r>
        <w:rPr>
          <w:spacing w:val="-97"/>
        </w:rPr>
        <w:t> </w:t>
      </w:r>
      <w:r>
        <w:rPr>
          <w:spacing w:val="-97"/>
        </w:rPr>
      </w:r>
      <w:r>
        <w:rPr/>
        <w:t>的被购买方股权在购买日的公允价值之和。</w:t>
      </w:r>
    </w:p>
    <w:p>
      <w:pPr>
        <w:pStyle w:val="BodyText"/>
        <w:spacing w:line="304" w:lineRule="auto" w:before="19"/>
        <w:ind w:right="1144" w:firstLine="479"/>
        <w:jc w:val="left"/>
      </w:pPr>
      <w:r>
        <w:rPr>
          <w:spacing w:val="9"/>
        </w:rPr>
        <w:t>购买方发生的合并成本及在合并中取得的可辨认净资产按购买日的公允价值计</w:t>
      </w:r>
      <w:r>
        <w:rPr/>
        <w:t> 量。合并成本大于合并中取得的被购买方于购买日可辨认净资产公允价值份额的差额， </w:t>
      </w:r>
      <w:r>
        <w:rPr>
          <w:spacing w:val="2"/>
        </w:rPr>
        <w:t>确认为商誉。合并成本小于合并中取得的被购买方可辨认净资产公允价值份额的，首</w:t>
      </w:r>
      <w:r>
        <w:rPr>
          <w:spacing w:val="-97"/>
        </w:rPr>
        <w:t> </w:t>
      </w:r>
      <w:r>
        <w:rPr>
          <w:spacing w:val="-97"/>
        </w:rPr>
      </w:r>
      <w:r>
        <w:rPr>
          <w:spacing w:val="2"/>
        </w:rPr>
        <w:t>先对取得的被购买方各项可辨认资产、负债及或有负债的公允价值以及合并成本的计</w:t>
      </w:r>
      <w:r>
        <w:rPr>
          <w:spacing w:val="-97"/>
        </w:rPr>
        <w:t> </w:t>
      </w:r>
      <w:r>
        <w:rPr>
          <w:spacing w:val="-97"/>
        </w:rPr>
      </w:r>
      <w:r>
        <w:rPr>
          <w:spacing w:val="2"/>
        </w:rPr>
        <w:t>量进行复核，复核后合并成本仍小于合并中取得的被购买方可辨认净资产公允价值份</w:t>
      </w:r>
      <w:r>
        <w:rPr>
          <w:spacing w:val="-97"/>
        </w:rPr>
        <w:t> </w:t>
      </w:r>
      <w:r>
        <w:rPr>
          <w:spacing w:val="-97"/>
        </w:rPr>
      </w:r>
      <w:r>
        <w:rPr/>
        <w:t>额的，其差额计入当期损益。</w:t>
      </w:r>
    </w:p>
    <w:p>
      <w:pPr>
        <w:pStyle w:val="BodyText"/>
        <w:spacing w:line="304" w:lineRule="auto" w:before="19"/>
        <w:ind w:right="1283" w:firstLine="479"/>
        <w:jc w:val="both"/>
      </w:pPr>
      <w:r>
        <w:rPr>
          <w:spacing w:val="2"/>
        </w:rPr>
        <w:t>购买方取得被购买方的可抵扣暂时性差异，在购买日因不符合递延所得税资产确</w:t>
      </w:r>
      <w:r>
        <w:rPr/>
        <w:t> 认条件而未予确认的，在购买日后</w:t>
      </w:r>
      <w:r>
        <w:rPr>
          <w:spacing w:val="-63"/>
        </w:rPr>
        <w:t> </w:t>
      </w:r>
      <w:r>
        <w:rPr>
          <w:rFonts w:ascii="宋体" w:hAnsi="宋体" w:cs="宋体" w:eastAsia="宋体" w:hint="default"/>
        </w:rPr>
        <w:t>12</w:t>
      </w:r>
      <w:r>
        <w:rPr>
          <w:rFonts w:ascii="宋体" w:hAnsi="宋体" w:cs="宋体" w:eastAsia="宋体" w:hint="default"/>
          <w:spacing w:val="-63"/>
        </w:rPr>
        <w:t> </w:t>
      </w:r>
      <w:r>
        <w:rPr/>
        <w:t>个月内，如取得新的或进一步的信息表明购买日 </w:t>
      </w:r>
      <w:r>
        <w:rPr>
          <w:spacing w:val="2"/>
        </w:rPr>
        <w:t>的相关情况已经存在，预期被购买方在购买日可抵扣暂时性差异带来的经济利益能够</w:t>
      </w:r>
      <w:r>
        <w:rPr>
          <w:spacing w:val="-88"/>
        </w:rPr>
        <w:t> </w:t>
      </w:r>
      <w:r>
        <w:rPr>
          <w:spacing w:val="-88"/>
        </w:rPr>
      </w:r>
      <w:r>
        <w:rPr>
          <w:spacing w:val="2"/>
        </w:rPr>
        <w:t>实现的，则确认相关的递延所得税资产，同时减少商誉，商誉不足冲减的，差额部分</w:t>
      </w:r>
      <w:r>
        <w:rPr>
          <w:spacing w:val="-97"/>
        </w:rPr>
        <w:t> </w:t>
      </w:r>
      <w:r>
        <w:rPr>
          <w:spacing w:val="-97"/>
        </w:rPr>
      </w:r>
      <w:r>
        <w:rPr>
          <w:spacing w:val="2"/>
        </w:rPr>
        <w:t>确认为当期损益；除上述情况以外，确认与企业合并相关的递延所得税资产的，计入</w:t>
      </w:r>
      <w:r>
        <w:rPr>
          <w:spacing w:val="-97"/>
        </w:rPr>
        <w:t> </w:t>
      </w:r>
      <w:r>
        <w:rPr>
          <w:spacing w:val="-97"/>
        </w:rPr>
      </w:r>
      <w:r>
        <w:rPr/>
        <w:t>当期损益。</w:t>
      </w:r>
    </w:p>
    <w:p>
      <w:pPr>
        <w:pStyle w:val="Heading3"/>
        <w:spacing w:line="361" w:lineRule="exact"/>
        <w:ind w:left="655" w:right="0"/>
        <w:jc w:val="left"/>
        <w:rPr>
          <w:b w:val="0"/>
          <w:bCs w:val="0"/>
        </w:rPr>
      </w:pPr>
      <w:r>
        <w:rPr>
          <w:rFonts w:ascii="Trebuchet MS" w:hAnsi="Trebuchet MS" w:cs="Trebuchet MS" w:eastAsia="Trebuchet MS" w:hint="default"/>
        </w:rPr>
        <w:t>4</w:t>
      </w:r>
      <w:r>
        <w:rPr/>
        <w:t>、合并财务报表的编制方法</w:t>
      </w:r>
      <w:r>
        <w:rPr>
          <w:b w:val="0"/>
          <w:bCs w:val="0"/>
        </w:rPr>
      </w:r>
    </w:p>
    <w:p>
      <w:pPr>
        <w:pStyle w:val="BodyText"/>
        <w:tabs>
          <w:tab w:pos="1082" w:val="left" w:leader="none"/>
        </w:tabs>
        <w:spacing w:line="307" w:lineRule="auto" w:before="60"/>
        <w:ind w:left="602" w:right="1296"/>
        <w:jc w:val="left"/>
      </w:pPr>
      <w:r>
        <w:rPr/>
        <w:t>⑴</w:t>
        <w:tab/>
        <w:t>合并财务报表范围的确定原则 </w:t>
      </w:r>
      <w:r>
        <w:rPr>
          <w:spacing w:val="2"/>
        </w:rPr>
        <w:t>合并财务报表的合并范围以控制为基础予以确定。控制是指本公司能够决定被投</w:t>
      </w:r>
    </w:p>
    <w:p>
      <w:pPr>
        <w:pStyle w:val="BodyText"/>
        <w:spacing w:line="290" w:lineRule="auto" w:before="17"/>
        <w:ind w:right="0"/>
        <w:jc w:val="left"/>
      </w:pPr>
      <w:r>
        <w:rPr/>
        <w:t>资单位的财务和经营政策</w:t>
      </w:r>
      <w:r>
        <w:rPr>
          <w:rFonts w:ascii="Times New Roman" w:hAnsi="Times New Roman" w:cs="Times New Roman" w:eastAsia="Times New Roman" w:hint="default"/>
        </w:rPr>
        <w:t>,</w:t>
      </w:r>
      <w:r>
        <w:rPr/>
        <w:t>并能据以从被投资单位的经营活动中获取利益的权力。合并</w:t>
      </w:r>
      <w:r>
        <w:rPr>
          <w:spacing w:val="-69"/>
        </w:rPr>
        <w:t> </w:t>
      </w:r>
      <w:r>
        <w:rPr>
          <w:spacing w:val="-69"/>
        </w:rPr>
      </w:r>
      <w:r>
        <w:rPr/>
        <w:t>范围包括本公司及全部子公司。子公司，是指被本公司控制的企业或主体。</w:t>
      </w:r>
    </w:p>
    <w:p>
      <w:pPr>
        <w:pStyle w:val="BodyText"/>
        <w:tabs>
          <w:tab w:pos="1082" w:val="left" w:leader="none"/>
        </w:tabs>
        <w:spacing w:line="304" w:lineRule="auto" w:before="36"/>
        <w:ind w:left="962" w:right="1284" w:hanging="360"/>
        <w:jc w:val="left"/>
      </w:pPr>
      <w:r>
        <w:rPr/>
        <w:t>⑵</w:t>
        <w:tab/>
        <w:tab/>
        <w:t>合并财务报表编制的方法 从取得子公司的净资产和生产经营决策的实际控制权之日起，本集团开始将其</w:t>
      </w:r>
    </w:p>
    <w:p>
      <w:pPr>
        <w:pStyle w:val="BodyText"/>
        <w:spacing w:line="240" w:lineRule="auto"/>
        <w:ind w:right="0"/>
        <w:jc w:val="left"/>
      </w:pPr>
      <w:r>
        <w:rPr>
          <w:spacing w:val="2"/>
        </w:rPr>
        <w:t>纳入合并范围；从丧失实际控制权之日起停止纳入合并范围。对于处臵的子公司，处</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4" w:lineRule="auto" w:before="26"/>
        <w:ind w:right="1292"/>
        <w:jc w:val="both"/>
      </w:pPr>
      <w:r>
        <w:rPr>
          <w:spacing w:val="2"/>
        </w:rPr>
        <w:t>臵日前的经营成果和现金流量已经适当地包括在合并利润表和合并现金流量表中；当</w:t>
      </w:r>
      <w:r>
        <w:rPr>
          <w:spacing w:val="-97"/>
        </w:rPr>
        <w:t> </w:t>
      </w:r>
      <w:r>
        <w:rPr>
          <w:spacing w:val="-97"/>
        </w:rPr>
      </w:r>
      <w:r>
        <w:rPr>
          <w:spacing w:val="2"/>
        </w:rPr>
        <w:t>期处臵的子公司，不调整合并资产负债表的期初数。非同一控制下企业合并增加的子</w:t>
      </w:r>
      <w:r>
        <w:rPr>
          <w:spacing w:val="-97"/>
        </w:rPr>
        <w:t> </w:t>
      </w:r>
      <w:r>
        <w:rPr>
          <w:spacing w:val="-97"/>
        </w:rPr>
      </w:r>
      <w:r>
        <w:rPr>
          <w:spacing w:val="2"/>
        </w:rPr>
        <w:t>公司，其购买日后的经营成果及现金流量已经适当地包括在合并利润表和合并现金流</w:t>
      </w:r>
      <w:r>
        <w:rPr>
          <w:spacing w:val="-97"/>
        </w:rPr>
        <w:t> </w:t>
      </w:r>
      <w:r>
        <w:rPr>
          <w:spacing w:val="-97"/>
        </w:rPr>
      </w:r>
      <w:r>
        <w:rPr>
          <w:spacing w:val="2"/>
        </w:rPr>
        <w:t>量表中，且不调整合并财务报表的期初数和对比数。同一控制下企业合并增加的子公</w:t>
      </w:r>
      <w:r>
        <w:rPr>
          <w:spacing w:val="-97"/>
        </w:rPr>
        <w:t> </w:t>
      </w:r>
      <w:r>
        <w:rPr>
          <w:spacing w:val="-97"/>
        </w:rPr>
      </w:r>
      <w:r>
        <w:rPr>
          <w:spacing w:val="2"/>
        </w:rPr>
        <w:t>司，其自合并当期期初至合并日的经营成果和现金流量已经适当地包括在合并利润表</w:t>
      </w:r>
      <w:r>
        <w:rPr>
          <w:spacing w:val="-97"/>
        </w:rPr>
        <w:t> </w:t>
      </w:r>
      <w:r>
        <w:rPr>
          <w:spacing w:val="-97"/>
        </w:rPr>
      </w:r>
      <w:r>
        <w:rPr/>
        <w:t>和合并现金流量表中，并且同时调整合并财务报表的对比数。</w:t>
      </w:r>
    </w:p>
    <w:p>
      <w:pPr>
        <w:pStyle w:val="BodyText"/>
        <w:spacing w:line="304" w:lineRule="auto"/>
        <w:ind w:right="1292" w:firstLine="479"/>
        <w:jc w:val="both"/>
      </w:pPr>
      <w:r>
        <w:rPr>
          <w:spacing w:val="2"/>
        </w:rPr>
        <w:t>在编制合并财务报表时，子公司与本公司采用的会计政策或会计期间不一致的，</w:t>
      </w:r>
      <w:r>
        <w:rPr/>
        <w:t> </w:t>
      </w:r>
      <w:r>
        <w:rPr>
          <w:spacing w:val="2"/>
        </w:rPr>
        <w:t>按照本公司的会计政策和会计期间对子公司财务报表进行必要的调整。对于非同一控</w:t>
      </w:r>
      <w:r>
        <w:rPr>
          <w:spacing w:val="-97"/>
        </w:rPr>
        <w:t> </w:t>
      </w:r>
      <w:r>
        <w:rPr>
          <w:spacing w:val="-97"/>
        </w:rPr>
      </w:r>
      <w:r>
        <w:rPr>
          <w:spacing w:val="2"/>
        </w:rPr>
        <w:t>制下企业合并取得的子公司，以购买日可辨认净资产公允价值为基础对其财务报表进</w:t>
      </w:r>
      <w:r>
        <w:rPr>
          <w:spacing w:val="-97"/>
        </w:rPr>
        <w:t> </w:t>
      </w:r>
      <w:r>
        <w:rPr>
          <w:spacing w:val="-97"/>
        </w:rPr>
      </w:r>
      <w:r>
        <w:rPr/>
        <w:t>行调整。</w:t>
      </w:r>
    </w:p>
    <w:p>
      <w:pPr>
        <w:pStyle w:val="BodyText"/>
        <w:spacing w:line="304" w:lineRule="auto"/>
        <w:ind w:left="602" w:right="0"/>
        <w:jc w:val="left"/>
      </w:pPr>
      <w:r>
        <w:rPr/>
        <w:t>集团内所有重大往来余额、交易及未实现利润在合并财务报表编制时予以抵销。 </w:t>
      </w:r>
      <w:r>
        <w:rPr>
          <w:spacing w:val="2"/>
        </w:rPr>
        <w:t>子公司的股东权益及当期净损益中不属于本公司所拥有的部分分别作为少数股东</w:t>
      </w:r>
    </w:p>
    <w:p>
      <w:pPr>
        <w:pStyle w:val="BodyText"/>
        <w:spacing w:line="300" w:lineRule="auto"/>
        <w:ind w:right="1281"/>
        <w:jc w:val="both"/>
      </w:pPr>
      <w:r>
        <w:rPr>
          <w:spacing w:val="2"/>
        </w:rPr>
        <w:t>权益及少数股东损益在合并财务报表中股东权益及净利润项下单独列示。子公司当期</w:t>
      </w:r>
      <w:r>
        <w:rPr>
          <w:spacing w:val="-97"/>
        </w:rPr>
        <w:t> </w:t>
      </w:r>
      <w:r>
        <w:rPr>
          <w:spacing w:val="-97"/>
        </w:rPr>
      </w:r>
      <w:r>
        <w:rPr>
          <w:spacing w:val="3"/>
        </w:rPr>
        <w:t>净损益中属于少数股东权益的份额，在合并利润表中净利润项目下以</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4"/>
        </w:rPr>
        <w:t> </w:t>
      </w:r>
      <w:r>
        <w:rPr>
          <w:spacing w:val="2"/>
        </w:rPr>
        <w:t>项目列示。少数股东分担的子公司的亏损超过了少数股东在该子公司期初所有者权益</w:t>
      </w:r>
      <w:r>
        <w:rPr>
          <w:spacing w:val="-97"/>
        </w:rPr>
        <w:t> </w:t>
      </w:r>
      <w:r>
        <w:rPr>
          <w:spacing w:val="-97"/>
        </w:rPr>
      </w:r>
      <w:r>
        <w:rPr/>
        <w:t>中所享有的份额，冲减少数股东权益。</w:t>
      </w:r>
    </w:p>
    <w:p>
      <w:pPr>
        <w:pStyle w:val="Heading3"/>
        <w:spacing w:line="368" w:lineRule="exact"/>
        <w:ind w:left="655" w:right="0"/>
        <w:jc w:val="left"/>
        <w:rPr>
          <w:b w:val="0"/>
          <w:bCs w:val="0"/>
        </w:rPr>
      </w:pPr>
      <w:r>
        <w:rPr>
          <w:rFonts w:ascii="Trebuchet MS" w:hAnsi="Trebuchet MS" w:cs="Trebuchet MS" w:eastAsia="Trebuchet MS" w:hint="default"/>
        </w:rPr>
        <w:t>5</w:t>
      </w:r>
      <w:r>
        <w:rPr/>
        <w:t>、现金及现金等价物的确定标准</w:t>
      </w:r>
      <w:r>
        <w:rPr>
          <w:b w:val="0"/>
          <w:bCs w:val="0"/>
        </w:rPr>
      </w:r>
    </w:p>
    <w:p>
      <w:pPr>
        <w:pStyle w:val="BodyText"/>
        <w:spacing w:line="307" w:lineRule="auto" w:before="57"/>
        <w:ind w:right="1283" w:firstLine="479"/>
        <w:jc w:val="both"/>
      </w:pPr>
      <w:r>
        <w:rPr>
          <w:spacing w:val="2"/>
        </w:rPr>
        <w:t>本集团现金及现金等价物包括库存现金、可以随时用于支付的存款以及本集团持</w:t>
      </w:r>
      <w:r>
        <w:rPr/>
        <w:t> </w:t>
      </w:r>
      <w:r>
        <w:rPr>
          <w:spacing w:val="-4"/>
        </w:rPr>
        <w:t>有的期限短（一般为从购买日起，三个月内到期）、流动性强、易于转换为已知金额的</w:t>
      </w:r>
      <w:r>
        <w:rPr>
          <w:spacing w:val="-91"/>
        </w:rPr>
        <w:t> </w:t>
      </w:r>
      <w:r>
        <w:rPr>
          <w:spacing w:val="-91"/>
        </w:rPr>
      </w:r>
      <w:r>
        <w:rPr/>
        <w:t>现金、价值变动风险很小的投资。</w:t>
      </w:r>
    </w:p>
    <w:p>
      <w:pPr>
        <w:pStyle w:val="Heading3"/>
        <w:spacing w:line="359" w:lineRule="exact"/>
        <w:ind w:left="655" w:right="0"/>
        <w:jc w:val="left"/>
        <w:rPr>
          <w:b w:val="0"/>
          <w:bCs w:val="0"/>
        </w:rPr>
      </w:pPr>
      <w:r>
        <w:rPr>
          <w:rFonts w:ascii="Trebuchet MS" w:hAnsi="Trebuchet MS" w:cs="Trebuchet MS" w:eastAsia="Trebuchet MS" w:hint="default"/>
        </w:rPr>
        <w:t>6</w:t>
      </w:r>
      <w:r>
        <w:rPr/>
        <w:t>、外币业务和外币报表折算</w:t>
      </w:r>
      <w:r>
        <w:rPr>
          <w:b w:val="0"/>
          <w:bCs w:val="0"/>
        </w:rPr>
      </w:r>
    </w:p>
    <w:p>
      <w:pPr>
        <w:pStyle w:val="BodyText"/>
        <w:tabs>
          <w:tab w:pos="1082" w:val="left" w:leader="none"/>
        </w:tabs>
        <w:spacing w:line="307" w:lineRule="auto" w:before="59"/>
        <w:ind w:left="602" w:right="1296"/>
        <w:jc w:val="left"/>
      </w:pPr>
      <w:r>
        <w:rPr/>
        <w:t>⑴</w:t>
        <w:tab/>
        <w:t>外币交易的折算方法 </w:t>
      </w:r>
      <w:r>
        <w:rPr>
          <w:spacing w:val="2"/>
        </w:rPr>
        <w:t>本集团发生的外币交易在初始确认时，按交易日的即期汇率（通常指中国人民银</w:t>
      </w:r>
    </w:p>
    <w:p>
      <w:pPr>
        <w:pStyle w:val="BodyText"/>
        <w:spacing w:line="307" w:lineRule="auto" w:before="17"/>
        <w:ind w:right="1284"/>
        <w:jc w:val="both"/>
      </w:pPr>
      <w:r>
        <w:rPr>
          <w:spacing w:val="2"/>
        </w:rPr>
        <w:t>行公布的当日外汇牌价的中间价，下同）折算为记账本位币金额，但公司发生的外币</w:t>
      </w:r>
      <w:r>
        <w:rPr>
          <w:spacing w:val="-89"/>
        </w:rPr>
        <w:t> </w:t>
      </w:r>
      <w:r>
        <w:rPr>
          <w:spacing w:val="-89"/>
        </w:rPr>
      </w:r>
      <w:r>
        <w:rPr/>
        <w:t>兑换业务或涉及外币兑换的交易事项，按照实际采用的汇率折算为记账本位币金额。</w:t>
      </w:r>
    </w:p>
    <w:p>
      <w:pPr>
        <w:pStyle w:val="BodyText"/>
        <w:tabs>
          <w:tab w:pos="1082" w:val="left" w:leader="none"/>
        </w:tabs>
        <w:spacing w:line="304" w:lineRule="auto" w:before="19"/>
        <w:ind w:left="602" w:right="1296"/>
        <w:jc w:val="left"/>
      </w:pPr>
      <w:r>
        <w:rPr/>
        <w:t>⑵</w:t>
        <w:tab/>
        <w:t>对于外币货币性项目和外币非货币性项目的折算方法 </w:t>
      </w:r>
      <w:r>
        <w:rPr>
          <w:spacing w:val="2"/>
        </w:rPr>
        <w:t>资产负债表日，对于外币货币性项目采用资产负债表日即期汇率折算，由此产生</w:t>
      </w:r>
    </w:p>
    <w:p>
      <w:pPr>
        <w:pStyle w:val="BodyText"/>
        <w:spacing w:line="304" w:lineRule="auto"/>
        <w:ind w:right="1287"/>
        <w:jc w:val="both"/>
      </w:pPr>
      <w:r>
        <w:rPr>
          <w:spacing w:val="2"/>
        </w:rPr>
        <w:t>的汇兑差额，除：</w:t>
      </w:r>
      <w:r>
        <w:rPr>
          <w:rFonts w:ascii="宋体" w:hAnsi="宋体" w:cs="宋体" w:eastAsia="宋体" w:hint="default"/>
          <w:spacing w:val="2"/>
        </w:rPr>
        <w:t>⑴</w:t>
      </w:r>
      <w:r>
        <w:rPr>
          <w:spacing w:val="2"/>
        </w:rPr>
        <w:t>属于与购建符合资本化条件的资产相关的外币专门借款产生的汇</w:t>
      </w:r>
      <w:r>
        <w:rPr>
          <w:spacing w:val="-94"/>
        </w:rPr>
        <w:t> </w:t>
      </w:r>
      <w:r>
        <w:rPr>
          <w:spacing w:val="-94"/>
        </w:rPr>
      </w:r>
      <w:r>
        <w:rPr>
          <w:spacing w:val="2"/>
        </w:rPr>
        <w:t>兑差额按照借款费用资本化的原则处理；</w:t>
      </w:r>
      <w:r>
        <w:rPr>
          <w:rFonts w:ascii="宋体" w:hAnsi="宋体" w:cs="宋体" w:eastAsia="宋体" w:hint="default"/>
          <w:spacing w:val="2"/>
        </w:rPr>
        <w:t>⑵</w:t>
      </w:r>
      <w:r>
        <w:rPr>
          <w:spacing w:val="2"/>
        </w:rPr>
        <w:t>可供出售的外币货币性项目除摊余成本之</w:t>
      </w:r>
      <w:r>
        <w:rPr>
          <w:spacing w:val="-92"/>
        </w:rPr>
        <w:t> </w:t>
      </w:r>
      <w:r>
        <w:rPr>
          <w:spacing w:val="-92"/>
        </w:rPr>
      </w:r>
      <w:r>
        <w:rPr/>
        <w:t>外的其他账面余额变动产生的汇兑差额计入其他综合收益之外，均计入当期损益。</w:t>
      </w:r>
    </w:p>
    <w:p>
      <w:pPr>
        <w:pStyle w:val="BodyText"/>
        <w:spacing w:line="304" w:lineRule="auto"/>
        <w:ind w:right="1291" w:firstLine="479"/>
        <w:jc w:val="both"/>
      </w:pPr>
      <w:r>
        <w:rPr>
          <w:spacing w:val="2"/>
        </w:rPr>
        <w:t>以历史成本计量的外币非货币性项目，仍采用交易发生日的即期汇率折算的记账</w:t>
      </w:r>
      <w:r>
        <w:rPr/>
        <w:t> </w:t>
      </w:r>
      <w:r>
        <w:rPr>
          <w:spacing w:val="2"/>
        </w:rPr>
        <w:t>本位币金额计量。以公允价值计量的外币非货币性项目，采用公允价值确定日的即期</w:t>
      </w:r>
      <w:r>
        <w:rPr>
          <w:spacing w:val="-97"/>
        </w:rPr>
        <w:t> </w:t>
      </w:r>
      <w:r>
        <w:rPr>
          <w:spacing w:val="-97"/>
        </w:rPr>
      </w:r>
      <w:r>
        <w:rPr>
          <w:spacing w:val="2"/>
        </w:rPr>
        <w:t>汇率折算，折算后的记账本位币金额与原记账本位币金额的差额，作为公允价值变动</w:t>
      </w:r>
    </w:p>
    <w:p>
      <w:pPr>
        <w:pStyle w:val="BodyText"/>
        <w:spacing w:line="240" w:lineRule="auto"/>
        <w:ind w:right="0"/>
        <w:jc w:val="both"/>
      </w:pPr>
      <w:r>
        <w:rPr/>
        <w:t>（含汇率变动）处理，计入当期损益或确认为其他综合收益并计入资本公积。</w:t>
      </w:r>
    </w:p>
    <w:p>
      <w:pPr>
        <w:spacing w:after="0" w:line="240"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tabs>
          <w:tab w:pos="1082" w:val="left" w:leader="none"/>
        </w:tabs>
        <w:spacing w:line="307" w:lineRule="auto" w:before="26"/>
        <w:ind w:left="602" w:right="1296"/>
        <w:jc w:val="left"/>
      </w:pPr>
      <w:r>
        <w:rPr/>
        <w:t>⑶</w:t>
        <w:tab/>
        <w:t>外币财务报表的折算方法 </w:t>
      </w:r>
      <w:r>
        <w:rPr>
          <w:spacing w:val="2"/>
        </w:rPr>
        <w:t>编制合并财务报表涉及境外经营的，如有实质上构成对境外经营净投资的外币货</w:t>
      </w:r>
    </w:p>
    <w:p>
      <w:pPr>
        <w:pStyle w:val="BodyText"/>
        <w:spacing w:line="290" w:lineRule="auto" w:before="17"/>
        <w:ind w:right="1188"/>
        <w:jc w:val="both"/>
      </w:pPr>
      <w:r>
        <w:rPr/>
        <w:t>币性项目，因汇率变动而产生的汇兑差额，列入所有者权益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 处臵境外经营时，计入处臵当期损益。</w:t>
      </w:r>
    </w:p>
    <w:p>
      <w:pPr>
        <w:pStyle w:val="BodyText"/>
        <w:spacing w:line="302" w:lineRule="auto" w:before="36"/>
        <w:ind w:right="1284" w:firstLine="479"/>
        <w:jc w:val="both"/>
      </w:pPr>
      <w:r>
        <w:rPr>
          <w:spacing w:val="2"/>
        </w:rPr>
        <w:t>境外经营的外币财务报表按以下方法折算为人民币报表：资产负债表中的资产和</w:t>
      </w:r>
      <w:r>
        <w:rPr/>
        <w:t> </w:t>
      </w:r>
      <w:r>
        <w:rPr>
          <w:spacing w:val="-3"/>
        </w:rPr>
        <w:t>负债项目，采用资产负债表日的即期汇率折算；所有者权益类项目除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w:t>
      </w:r>
      <w:r>
        <w:rPr>
          <w:spacing w:val="-101"/>
        </w:rPr>
        <w:t> </w:t>
      </w:r>
      <w:r>
        <w:rPr>
          <w:spacing w:val="2"/>
        </w:rPr>
        <w:t>外，其他项目采用发生时的即期汇率折算。利润表中的收入和费用项目，采用交易发</w:t>
      </w:r>
      <w:r>
        <w:rPr>
          <w:spacing w:val="-97"/>
        </w:rPr>
        <w:t> </w:t>
      </w:r>
      <w:r>
        <w:rPr>
          <w:spacing w:val="-97"/>
        </w:rPr>
      </w:r>
      <w:r>
        <w:rPr>
          <w:spacing w:val="2"/>
        </w:rPr>
        <w:t>生日的即期汇率折算。年初未分配利润为上一年折算后的年末未分配利润；年末未分</w:t>
      </w:r>
      <w:r>
        <w:rPr>
          <w:spacing w:val="-97"/>
        </w:rPr>
        <w:t> </w:t>
      </w:r>
      <w:r>
        <w:rPr>
          <w:spacing w:val="-97"/>
        </w:rPr>
      </w:r>
      <w:r>
        <w:rPr>
          <w:spacing w:val="2"/>
        </w:rPr>
        <w:t>配利润按折算后的利润分配各项目计算列示；折算后资产类项目与负债类项目和股东</w:t>
      </w:r>
      <w:r>
        <w:rPr>
          <w:spacing w:val="-97"/>
        </w:rPr>
        <w:t> </w:t>
      </w:r>
      <w:r>
        <w:rPr>
          <w:spacing w:val="-97"/>
        </w:rPr>
      </w:r>
      <w:r>
        <w:rPr>
          <w:spacing w:val="2"/>
        </w:rPr>
        <w:t>权益类项目合计数的差额，作为外币报表折算差额，确认为其他综合收益并在资产负</w:t>
      </w:r>
      <w:r>
        <w:rPr>
          <w:spacing w:val="-97"/>
        </w:rPr>
        <w:t> </w:t>
      </w:r>
      <w:r>
        <w:rPr>
          <w:spacing w:val="-97"/>
        </w:rPr>
      </w:r>
      <w:r>
        <w:rPr>
          <w:spacing w:val="2"/>
        </w:rPr>
        <w:t>债表中股东权益项目下单独列示。处臵境外经营并丧失控制权时，将资产负债表中股</w:t>
      </w:r>
      <w:r>
        <w:rPr>
          <w:spacing w:val="-97"/>
        </w:rPr>
        <w:t> </w:t>
      </w:r>
      <w:r>
        <w:rPr>
          <w:spacing w:val="-97"/>
        </w:rPr>
      </w:r>
      <w:r>
        <w:rPr>
          <w:spacing w:val="2"/>
        </w:rPr>
        <w:t>东权益项目下列示的、与该境外经营相关的外币报表折算差额，全部或按处臵该境外</w:t>
      </w:r>
      <w:r>
        <w:rPr>
          <w:spacing w:val="-97"/>
        </w:rPr>
        <w:t> </w:t>
      </w:r>
      <w:r>
        <w:rPr>
          <w:spacing w:val="-97"/>
        </w:rPr>
      </w:r>
      <w:r>
        <w:rPr/>
        <w:t>经营的比例转入处臵当期损益。</w:t>
      </w:r>
    </w:p>
    <w:p>
      <w:pPr>
        <w:pStyle w:val="BodyText"/>
        <w:spacing w:line="304" w:lineRule="auto" w:before="24"/>
        <w:ind w:right="1296" w:firstLine="479"/>
        <w:jc w:val="both"/>
      </w:pPr>
      <w:r>
        <w:rPr>
          <w:spacing w:val="2"/>
        </w:rPr>
        <w:t>外币现金流量，采用现金流量发生日的即期汇率折算。汇率变动对现金的影响额</w:t>
      </w:r>
      <w:r>
        <w:rPr/>
        <w:t> 作为调节项目，在现金流量表中单独列报。</w:t>
      </w:r>
    </w:p>
    <w:p>
      <w:pPr>
        <w:pStyle w:val="BodyText"/>
        <w:spacing w:line="247" w:lineRule="auto"/>
        <w:ind w:left="655" w:right="3544" w:hanging="53"/>
        <w:jc w:val="left"/>
        <w:rPr>
          <w:rFonts w:ascii="Microsoft JhengHei" w:hAnsi="Microsoft JhengHei" w:cs="Microsoft JhengHei" w:eastAsia="Microsoft JhengHei" w:hint="default"/>
        </w:rPr>
      </w:pPr>
      <w:r>
        <w:rPr/>
        <w:t>年初数和上年实际数按照上年财务报表折算后的数额列示。 </w:t>
      </w:r>
      <w:r>
        <w:rPr>
          <w:rFonts w:ascii="Trebuchet MS" w:hAnsi="Trebuchet MS" w:cs="Trebuchet MS" w:eastAsia="Trebuchet MS" w:hint="default"/>
          <w:b/>
          <w:bCs/>
          <w:spacing w:val="2"/>
        </w:rPr>
        <w:t>7</w:t>
      </w:r>
      <w:r>
        <w:rPr>
          <w:rFonts w:ascii="Microsoft JhengHei" w:hAnsi="Microsoft JhengHei" w:cs="Microsoft JhengHei" w:eastAsia="Microsoft JhengHei" w:hint="default"/>
          <w:b/>
          <w:bCs/>
          <w:spacing w:val="2"/>
        </w:rPr>
        <w:t>、金融工具</w:t>
      </w:r>
      <w:r>
        <w:rPr>
          <w:rFonts w:ascii="Microsoft JhengHei" w:hAnsi="Microsoft JhengHei" w:cs="Microsoft JhengHei" w:eastAsia="Microsoft JhengHei" w:hint="default"/>
          <w:spacing w:val="2"/>
        </w:rPr>
      </w:r>
    </w:p>
    <w:p>
      <w:pPr>
        <w:pStyle w:val="BodyText"/>
        <w:tabs>
          <w:tab w:pos="1082" w:val="left" w:leader="none"/>
        </w:tabs>
        <w:spacing w:line="307" w:lineRule="auto" w:before="47"/>
        <w:ind w:left="602" w:right="1296"/>
        <w:jc w:val="left"/>
      </w:pPr>
      <w:r>
        <w:rPr/>
        <w:t>⑴</w:t>
        <w:tab/>
        <w:t>金融资产和金融负债的公允价值确定方法 </w:t>
      </w:r>
      <w:r>
        <w:rPr>
          <w:spacing w:val="2"/>
        </w:rPr>
        <w:t>公允价值，指在公平交易中，熟悉情况的交易双方自愿进行资产交换或债务清偿</w:t>
      </w:r>
    </w:p>
    <w:p>
      <w:pPr>
        <w:pStyle w:val="BodyText"/>
        <w:spacing w:line="304" w:lineRule="auto" w:before="19"/>
        <w:ind w:right="1283"/>
        <w:jc w:val="both"/>
      </w:pPr>
      <w:r>
        <w:rPr>
          <w:spacing w:val="2"/>
        </w:rPr>
        <w:t>的金额。金融工具存在活跃市场的，本集团采用活跃市场中的报价确定其公允价值。</w:t>
      </w:r>
      <w:r>
        <w:rPr>
          <w:spacing w:val="-97"/>
        </w:rPr>
        <w:t> </w:t>
      </w:r>
      <w:r>
        <w:rPr>
          <w:spacing w:val="-97"/>
        </w:rPr>
      </w:r>
      <w:r>
        <w:rPr>
          <w:spacing w:val="2"/>
        </w:rPr>
        <w:t>活跃市场中的报价是指易于定期从交易所、经纪商、行业协会、定价服务机构等获得</w:t>
      </w:r>
      <w:r>
        <w:rPr>
          <w:spacing w:val="-97"/>
        </w:rPr>
        <w:t> </w:t>
      </w:r>
      <w:r>
        <w:rPr>
          <w:spacing w:val="-97"/>
        </w:rPr>
      </w:r>
      <w:r>
        <w:rPr>
          <w:spacing w:val="2"/>
        </w:rPr>
        <w:t>的价格，且代表了在公平交易中实际发生的市场交易的价格。金融工具不存在活跃市</w:t>
      </w:r>
      <w:r>
        <w:rPr>
          <w:spacing w:val="-88"/>
        </w:rPr>
        <w:t> </w:t>
      </w:r>
      <w:r>
        <w:rPr>
          <w:spacing w:val="-88"/>
        </w:rPr>
      </w:r>
      <w:r>
        <w:rPr>
          <w:spacing w:val="2"/>
        </w:rPr>
        <w:t>场的，本集团采用估值技术确定其公允价值。估值技术包括参考熟悉情况并自愿交易</w:t>
      </w:r>
      <w:r>
        <w:rPr>
          <w:spacing w:val="-97"/>
        </w:rPr>
        <w:t> </w:t>
      </w:r>
      <w:r>
        <w:rPr>
          <w:spacing w:val="-97"/>
        </w:rPr>
      </w:r>
      <w:r>
        <w:rPr>
          <w:spacing w:val="2"/>
        </w:rPr>
        <w:t>的各方最近进行的市场交易中使用的价格、参照实质上相同的其他金融工具当前的公</w:t>
      </w:r>
      <w:r>
        <w:rPr>
          <w:spacing w:val="-97"/>
        </w:rPr>
        <w:t> </w:t>
      </w:r>
      <w:r>
        <w:rPr>
          <w:spacing w:val="-97"/>
        </w:rPr>
      </w:r>
      <w:r>
        <w:rPr/>
        <w:t>允价值、现金流量折现法和期权定价模型等。</w:t>
      </w:r>
    </w:p>
    <w:p>
      <w:pPr>
        <w:pStyle w:val="BodyText"/>
        <w:tabs>
          <w:tab w:pos="1082" w:val="left" w:leader="none"/>
        </w:tabs>
        <w:spacing w:line="304" w:lineRule="auto"/>
        <w:ind w:left="602" w:right="1296"/>
        <w:jc w:val="left"/>
      </w:pPr>
      <w:r>
        <w:rPr/>
        <w:t>⑵</w:t>
        <w:tab/>
        <w:t>金融资产的分类、确认和计量 </w:t>
      </w:r>
      <w:r>
        <w:rPr>
          <w:spacing w:val="2"/>
        </w:rPr>
        <w:t>以常规方式买卖金融资产，按交易日进行会计确认和终止确认。金融资产在初始</w:t>
      </w:r>
    </w:p>
    <w:p>
      <w:pPr>
        <w:pStyle w:val="BodyText"/>
        <w:spacing w:line="304" w:lineRule="auto"/>
        <w:ind w:right="1283"/>
        <w:jc w:val="both"/>
      </w:pPr>
      <w:r>
        <w:rPr>
          <w:spacing w:val="2"/>
        </w:rPr>
        <w:t>确认时划分为以公允价值计量且其变动计入当期损益的金融资产、持有至到期投资、</w:t>
      </w:r>
      <w:r>
        <w:rPr>
          <w:spacing w:val="-97"/>
        </w:rPr>
        <w:t> </w:t>
      </w:r>
      <w:r>
        <w:rPr>
          <w:spacing w:val="-97"/>
        </w:rPr>
      </w:r>
      <w:r>
        <w:rPr>
          <w:spacing w:val="2"/>
        </w:rPr>
        <w:t>贷款和应收款项以及可供出售金融资产。初始确认金融资产，以公允价值计量。对于</w:t>
      </w:r>
      <w:r>
        <w:rPr>
          <w:spacing w:val="-97"/>
        </w:rPr>
        <w:t> </w:t>
      </w:r>
      <w:r>
        <w:rPr>
          <w:spacing w:val="-97"/>
        </w:rPr>
      </w:r>
      <w:r>
        <w:rPr>
          <w:spacing w:val="2"/>
        </w:rPr>
        <w:t>以公允价值计量且其变动计入当期损益的金融资产，相关的交易费用直接计入当期损</w:t>
      </w:r>
      <w:r>
        <w:rPr>
          <w:spacing w:val="-88"/>
        </w:rPr>
        <w:t> </w:t>
      </w:r>
      <w:r>
        <w:rPr>
          <w:spacing w:val="-88"/>
        </w:rPr>
      </w:r>
      <w:r>
        <w:rPr/>
        <w:t>益，对于其他类别的金融资产，相关交易费用计入初始确认金额。</w:t>
      </w:r>
    </w:p>
    <w:p>
      <w:pPr>
        <w:pStyle w:val="BodyText"/>
        <w:spacing w:line="304" w:lineRule="auto"/>
        <w:ind w:left="602" w:right="0"/>
        <w:jc w:val="left"/>
      </w:pPr>
      <w:r>
        <w:rPr>
          <w:rFonts w:ascii="宋体" w:hAnsi="宋体" w:cs="宋体" w:eastAsia="宋体" w:hint="default"/>
        </w:rPr>
        <w:t>①</w:t>
      </w:r>
      <w:r>
        <w:rPr/>
        <w:t>以公允价值计量且其变动计入当期损益的金融资产 </w:t>
      </w:r>
      <w:r>
        <w:rPr>
          <w:spacing w:val="9"/>
        </w:rPr>
        <w:t>包括交易性金融资产和指定为以公允价值计量且其变动计入当期损益的金融资</w:t>
      </w:r>
    </w:p>
    <w:p>
      <w:pPr>
        <w:pStyle w:val="BodyText"/>
        <w:spacing w:line="240" w:lineRule="auto"/>
        <w:ind w:right="0"/>
        <w:jc w:val="both"/>
      </w:pPr>
      <w:r>
        <w:rPr/>
        <w:t>产。</w:t>
      </w:r>
    </w:p>
    <w:p>
      <w:pPr>
        <w:spacing w:after="0" w:line="240"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4" w:lineRule="auto" w:before="26"/>
        <w:ind w:right="1284" w:firstLine="479"/>
        <w:jc w:val="both"/>
      </w:pPr>
      <w:r>
        <w:rPr>
          <w:spacing w:val="2"/>
        </w:rPr>
        <w:t>交易性金融资产是指满足下列条件之一的金融资产：⑴取得该金融资产的目的，</w:t>
      </w:r>
      <w:r>
        <w:rPr/>
        <w:t> </w:t>
      </w:r>
      <w:r>
        <w:rPr>
          <w:spacing w:val="2"/>
        </w:rPr>
        <w:t>主要是为了近期内出售；⑵属于进行集中管理的可辨认金融工具组合的一部分，且有</w:t>
      </w:r>
      <w:r>
        <w:rPr>
          <w:spacing w:val="-94"/>
        </w:rPr>
        <w:t> </w:t>
      </w:r>
      <w:r>
        <w:rPr>
          <w:spacing w:val="-94"/>
        </w:rPr>
      </w:r>
      <w:r>
        <w:rPr>
          <w:spacing w:val="2"/>
        </w:rPr>
        <w:t>客观证据表明本集团近期采用短期获利方式对该组合进行管理；⑶属于衍生工具，但</w:t>
      </w:r>
      <w:r>
        <w:rPr>
          <w:spacing w:val="-90"/>
        </w:rPr>
        <w:t> </w:t>
      </w:r>
      <w:r>
        <w:rPr>
          <w:spacing w:val="-90"/>
        </w:rPr>
      </w:r>
      <w:r>
        <w:rPr>
          <w:spacing w:val="2"/>
        </w:rPr>
        <w:t>是，被指定且为有效套期工具的衍生工具、属于财务担保合同的衍生工具、与在活跃</w:t>
      </w:r>
      <w:r>
        <w:rPr>
          <w:spacing w:val="-97"/>
        </w:rPr>
        <w:t> </w:t>
      </w:r>
      <w:r>
        <w:rPr>
          <w:spacing w:val="-97"/>
        </w:rPr>
      </w:r>
      <w:r>
        <w:rPr>
          <w:spacing w:val="2"/>
        </w:rPr>
        <w:t>市场中没有报价且其公允价值不能可靠计量的权益工具投资挂钩并须通过交付该权益</w:t>
      </w:r>
      <w:r>
        <w:rPr>
          <w:spacing w:val="-94"/>
        </w:rPr>
        <w:t> </w:t>
      </w:r>
      <w:r>
        <w:rPr>
          <w:spacing w:val="-94"/>
        </w:rPr>
      </w:r>
      <w:r>
        <w:rPr/>
        <w:t>工具结算的衍生工具除外。</w:t>
      </w:r>
    </w:p>
    <w:p>
      <w:pPr>
        <w:pStyle w:val="BodyText"/>
        <w:spacing w:line="304" w:lineRule="auto"/>
        <w:ind w:right="1284" w:firstLine="479"/>
        <w:jc w:val="both"/>
      </w:pPr>
      <w:r>
        <w:rPr>
          <w:spacing w:val="2"/>
        </w:rPr>
        <w:t>符合下述条件之一的金融资产，在初始确认时可指定为以公允价值计量且其变动</w:t>
      </w:r>
      <w:r>
        <w:rPr/>
        <w:t> </w:t>
      </w:r>
      <w:r>
        <w:rPr>
          <w:spacing w:val="2"/>
        </w:rPr>
        <w:t>计入当期损益的金融资产：⑴该指定可以消除或明显减少由于该金融资产的计量基础</w:t>
      </w:r>
      <w:r>
        <w:rPr>
          <w:spacing w:val="-94"/>
        </w:rPr>
        <w:t> </w:t>
      </w:r>
      <w:r>
        <w:rPr>
          <w:spacing w:val="-94"/>
        </w:rPr>
      </w:r>
      <w:r>
        <w:rPr>
          <w:spacing w:val="2"/>
        </w:rPr>
        <w:t>不同所导致的相关利得或损失在确认或计量方面不一致的情况；⑵本集团风险管理或</w:t>
      </w:r>
      <w:r>
        <w:rPr>
          <w:spacing w:val="-90"/>
        </w:rPr>
        <w:t> </w:t>
      </w:r>
      <w:r>
        <w:rPr>
          <w:spacing w:val="-90"/>
        </w:rPr>
      </w:r>
      <w:r>
        <w:rPr>
          <w:spacing w:val="2"/>
        </w:rPr>
        <w:t>投资策略的正式书面文件已载明，对该金融资产所在的金融资产组合或金融资产和金</w:t>
      </w:r>
      <w:r>
        <w:rPr>
          <w:spacing w:val="-97"/>
        </w:rPr>
        <w:t> </w:t>
      </w:r>
      <w:r>
        <w:rPr>
          <w:spacing w:val="-97"/>
        </w:rPr>
      </w:r>
      <w:r>
        <w:rPr/>
        <w:t>融负债组合以公允价值为基础进行管理、评价并向关键管理人员报告。</w:t>
      </w:r>
    </w:p>
    <w:p>
      <w:pPr>
        <w:pStyle w:val="BodyText"/>
        <w:spacing w:line="307" w:lineRule="auto" w:before="19"/>
        <w:ind w:right="1291" w:firstLine="479"/>
        <w:jc w:val="both"/>
      </w:pPr>
      <w:r>
        <w:rPr>
          <w:spacing w:val="2"/>
        </w:rPr>
        <w:t>以公允价值计量且其变动计入当期损益的金融资产采用公允价值进行后续计量，</w:t>
      </w:r>
      <w:r>
        <w:rPr/>
        <w:t> </w:t>
      </w:r>
      <w:r>
        <w:rPr>
          <w:spacing w:val="2"/>
        </w:rPr>
        <w:t>公允价值变动形成的利得或损失以及与该等金融资产相关的股利和利息收入计入当期</w:t>
      </w:r>
      <w:r>
        <w:rPr>
          <w:spacing w:val="-96"/>
        </w:rPr>
        <w:t> </w:t>
      </w:r>
      <w:r>
        <w:rPr>
          <w:spacing w:val="-96"/>
        </w:rPr>
      </w:r>
      <w:r>
        <w:rPr/>
        <w:t>损益。</w:t>
      </w:r>
    </w:p>
    <w:p>
      <w:pPr>
        <w:pStyle w:val="BodyText"/>
        <w:spacing w:line="307" w:lineRule="auto" w:before="17"/>
        <w:ind w:left="602" w:right="0"/>
        <w:jc w:val="left"/>
      </w:pPr>
      <w:r>
        <w:rPr/>
        <w:t>②持有至到期投资 </w:t>
      </w:r>
      <w:r>
        <w:rPr>
          <w:spacing w:val="2"/>
        </w:rPr>
        <w:t>是指到期日固定、回收金额固定或可确定，且本集团有明确意图和能力持有至到</w:t>
      </w:r>
    </w:p>
    <w:p>
      <w:pPr>
        <w:pStyle w:val="BodyText"/>
        <w:spacing w:line="304" w:lineRule="auto" w:before="19"/>
        <w:ind w:left="602" w:right="0" w:hanging="480"/>
        <w:jc w:val="left"/>
      </w:pPr>
      <w:r>
        <w:rPr/>
        <w:t>期的非衍生金融资产。 </w:t>
      </w:r>
      <w:r>
        <w:rPr>
          <w:spacing w:val="2"/>
        </w:rPr>
        <w:t>持有至到期投资采用实际利率法，按摊余成本进行后续计量，在终止确认、发生</w:t>
      </w:r>
    </w:p>
    <w:p>
      <w:pPr>
        <w:pStyle w:val="BodyText"/>
        <w:spacing w:line="307" w:lineRule="auto"/>
        <w:ind w:left="602" w:right="0" w:hanging="480"/>
        <w:jc w:val="left"/>
      </w:pPr>
      <w:r>
        <w:rPr/>
        <w:t>减值或摊销时产生的利得或损失，计入当期损益。 </w:t>
      </w:r>
      <w:r>
        <w:rPr>
          <w:spacing w:val="2"/>
        </w:rPr>
        <w:t>实际利率法是指按照金融资产或金融负债（含一组金融资产或金融负债）的实际</w:t>
      </w:r>
    </w:p>
    <w:p>
      <w:pPr>
        <w:pStyle w:val="BodyText"/>
        <w:spacing w:line="307" w:lineRule="auto" w:before="17"/>
        <w:ind w:right="1282"/>
        <w:jc w:val="both"/>
      </w:pPr>
      <w:r>
        <w:rPr>
          <w:spacing w:val="2"/>
        </w:rPr>
        <w:t>利率计算其摊余成本及各期利息收入或支出的方法。实际利率是指将金融资产或金融</w:t>
      </w:r>
      <w:r>
        <w:rPr>
          <w:spacing w:val="-97"/>
        </w:rPr>
        <w:t> </w:t>
      </w:r>
      <w:r>
        <w:rPr>
          <w:spacing w:val="-97"/>
        </w:rPr>
      </w:r>
      <w:r>
        <w:rPr>
          <w:spacing w:val="2"/>
        </w:rPr>
        <w:t>负债在预期存续期间或适用的更短期间内的未来现金流量，折现为该金融资产或金融</w:t>
      </w:r>
      <w:r>
        <w:rPr>
          <w:spacing w:val="-87"/>
        </w:rPr>
        <w:t> </w:t>
      </w:r>
      <w:r>
        <w:rPr>
          <w:spacing w:val="-87"/>
        </w:rPr>
      </w:r>
      <w:r>
        <w:rPr/>
        <w:t>负债当前账面价值所使用的利率。</w:t>
      </w:r>
    </w:p>
    <w:p>
      <w:pPr>
        <w:pStyle w:val="BodyText"/>
        <w:spacing w:line="304" w:lineRule="auto" w:before="17"/>
        <w:ind w:right="1286" w:firstLine="479"/>
        <w:jc w:val="both"/>
      </w:pPr>
      <w:r>
        <w:rPr>
          <w:spacing w:val="2"/>
        </w:rPr>
        <w:t>在计算实际利率时，本集团将在考虑金融资产或金融负债所有合同条款的基础上</w:t>
      </w:r>
      <w:r>
        <w:rPr/>
        <w:t> </w:t>
      </w:r>
      <w:r>
        <w:rPr>
          <w:spacing w:val="-4"/>
        </w:rPr>
        <w:t>预计未来现金流量（不考虑未来的信用损失），同时还将考虑金融资产或金融负债合同</w:t>
      </w:r>
      <w:r>
        <w:rPr>
          <w:spacing w:val="-94"/>
        </w:rPr>
        <w:t> </w:t>
      </w:r>
      <w:r>
        <w:rPr>
          <w:spacing w:val="-94"/>
        </w:rPr>
      </w:r>
      <w:r>
        <w:rPr>
          <w:spacing w:val="2"/>
        </w:rPr>
        <w:t>各方之间支付或收取的、属于实际利率组成部分的各项收费、交易费用及折价或溢价</w:t>
      </w:r>
      <w:r>
        <w:rPr>
          <w:spacing w:val="-97"/>
        </w:rPr>
        <w:t> </w:t>
      </w:r>
      <w:r>
        <w:rPr>
          <w:spacing w:val="-97"/>
        </w:rPr>
      </w:r>
      <w:r>
        <w:rPr/>
        <w:t>等。</w:t>
      </w:r>
    </w:p>
    <w:p>
      <w:pPr>
        <w:pStyle w:val="BodyText"/>
        <w:spacing w:line="307" w:lineRule="auto"/>
        <w:ind w:left="602" w:right="0"/>
        <w:jc w:val="left"/>
      </w:pPr>
      <w:r>
        <w:rPr/>
        <w:t>③贷款和应收款项 </w:t>
      </w:r>
      <w:r>
        <w:rPr>
          <w:spacing w:val="2"/>
        </w:rPr>
        <w:t>是指在活跃市场中没有报价、回收金额固定或可确定的非衍生金融资产。本集团</w:t>
      </w:r>
    </w:p>
    <w:p>
      <w:pPr>
        <w:pStyle w:val="BodyText"/>
        <w:spacing w:line="307" w:lineRule="auto" w:before="17"/>
        <w:ind w:right="1292"/>
        <w:jc w:val="both"/>
      </w:pPr>
      <w:r>
        <w:rPr>
          <w:spacing w:val="2"/>
        </w:rPr>
        <w:t>划分为贷款和应收款的金融资产包括应收票据、应收账款、应收利息、应收股利及其</w:t>
      </w:r>
      <w:r>
        <w:rPr>
          <w:spacing w:val="-97"/>
        </w:rPr>
        <w:t> </w:t>
      </w:r>
      <w:r>
        <w:rPr>
          <w:spacing w:val="-97"/>
        </w:rPr>
      </w:r>
      <w:r>
        <w:rPr/>
        <w:t>他应收款等。</w:t>
      </w:r>
    </w:p>
    <w:p>
      <w:pPr>
        <w:pStyle w:val="BodyText"/>
        <w:spacing w:line="304" w:lineRule="auto" w:before="19"/>
        <w:ind w:right="1296" w:firstLine="479"/>
        <w:jc w:val="both"/>
      </w:pPr>
      <w:r>
        <w:rPr>
          <w:spacing w:val="2"/>
        </w:rPr>
        <w:t>贷款和应收款项采用实际利率法，按摊余成本进行后续计量，在终止确认、发生</w:t>
      </w:r>
      <w:r>
        <w:rPr/>
        <w:t> 减值或摊销时产生的利得或损失，计入当期损益。</w:t>
      </w:r>
    </w:p>
    <w:p>
      <w:pPr>
        <w:pStyle w:val="BodyText"/>
        <w:spacing w:line="240" w:lineRule="auto"/>
        <w:ind w:left="602" w:right="0"/>
        <w:jc w:val="left"/>
      </w:pPr>
      <w:r>
        <w:rPr/>
        <w:t>④可供出售金融资产</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4" w:lineRule="auto" w:before="26"/>
        <w:ind w:right="1292" w:firstLine="479"/>
        <w:jc w:val="both"/>
      </w:pPr>
      <w:r>
        <w:rPr>
          <w:spacing w:val="2"/>
        </w:rPr>
        <w:t>包括初始确认时即被指定为可供出售的非衍生金融资产，以及除了以公允价值计</w:t>
      </w:r>
      <w:r>
        <w:rPr/>
        <w:t> </w:t>
      </w:r>
      <w:r>
        <w:rPr>
          <w:spacing w:val="2"/>
        </w:rPr>
        <w:t>量且其变动计入当期损益的金融资产、贷款和应收款项、持有至到期投资以外的金融</w:t>
      </w:r>
      <w:r>
        <w:rPr>
          <w:spacing w:val="-97"/>
        </w:rPr>
        <w:t> </w:t>
      </w:r>
      <w:r>
        <w:rPr>
          <w:spacing w:val="-97"/>
        </w:rPr>
      </w:r>
      <w:r>
        <w:rPr/>
        <w:t>资产。</w:t>
      </w:r>
    </w:p>
    <w:p>
      <w:pPr>
        <w:pStyle w:val="BodyText"/>
        <w:spacing w:line="304" w:lineRule="auto"/>
        <w:ind w:right="1145" w:firstLine="479"/>
        <w:jc w:val="left"/>
      </w:pPr>
      <w:r>
        <w:rPr/>
        <w:t>可供出售金融资产采用公允价值进行后续计量，公允价值变动形成的利得或损失， </w:t>
      </w:r>
      <w:r>
        <w:rPr>
          <w:spacing w:val="2"/>
        </w:rPr>
        <w:t>除减值损失和外币货币性金融资产与摊余成本相关的汇兑差额计入当期损益外，确认</w:t>
      </w:r>
      <w:r>
        <w:rPr>
          <w:spacing w:val="-97"/>
        </w:rPr>
        <w:t> </w:t>
      </w:r>
      <w:r>
        <w:rPr>
          <w:spacing w:val="-97"/>
        </w:rPr>
      </w:r>
      <w:r>
        <w:rPr/>
        <w:t>为其他综合收益并计入资本公积，在该金融资产终止确认时转出，计入当期损益。</w:t>
      </w:r>
    </w:p>
    <w:p>
      <w:pPr>
        <w:pStyle w:val="BodyText"/>
        <w:spacing w:line="307" w:lineRule="auto"/>
        <w:ind w:right="1296" w:firstLine="479"/>
        <w:jc w:val="both"/>
      </w:pPr>
      <w:r>
        <w:rPr>
          <w:spacing w:val="2"/>
        </w:rPr>
        <w:t>可供出售金融资产持有期间取得的利息及被投资单位宣告发放的现金股利，计入</w:t>
      </w:r>
      <w:r>
        <w:rPr/>
        <w:t> 投资收益。</w:t>
      </w:r>
    </w:p>
    <w:p>
      <w:pPr>
        <w:pStyle w:val="BodyText"/>
        <w:tabs>
          <w:tab w:pos="1082" w:val="left" w:leader="none"/>
        </w:tabs>
        <w:spacing w:line="307" w:lineRule="auto" w:before="17"/>
        <w:ind w:left="602" w:right="1296"/>
        <w:jc w:val="left"/>
      </w:pPr>
      <w:r>
        <w:rPr/>
        <w:t>⑶</w:t>
        <w:tab/>
        <w:t>金融资产减值 </w:t>
      </w:r>
      <w:r>
        <w:rPr>
          <w:spacing w:val="2"/>
        </w:rPr>
        <w:t>除了以公允价值计量且其变动计入当期损益的金融资产外，本集团在每个资产负</w:t>
      </w:r>
    </w:p>
    <w:p>
      <w:pPr>
        <w:pStyle w:val="BodyText"/>
        <w:spacing w:line="304" w:lineRule="auto" w:before="19"/>
        <w:ind w:right="1292"/>
        <w:jc w:val="both"/>
      </w:pPr>
      <w:r>
        <w:rPr>
          <w:spacing w:val="2"/>
        </w:rPr>
        <w:t>债表日对其他金融资产的账面价值进行检查，有客观证据表明金融资产发生减值的，</w:t>
      </w:r>
      <w:r>
        <w:rPr>
          <w:spacing w:val="-97"/>
        </w:rPr>
        <w:t> </w:t>
      </w:r>
      <w:r>
        <w:rPr>
          <w:spacing w:val="-97"/>
        </w:rPr>
      </w:r>
      <w:r>
        <w:rPr/>
        <w:t>计提减值准备。</w:t>
      </w:r>
    </w:p>
    <w:p>
      <w:pPr>
        <w:pStyle w:val="BodyText"/>
        <w:spacing w:line="304" w:lineRule="auto"/>
        <w:ind w:right="1281" w:firstLine="479"/>
        <w:jc w:val="both"/>
      </w:pPr>
      <w:r>
        <w:rPr>
          <w:spacing w:val="2"/>
        </w:rPr>
        <w:t>本集团对单项金额重大的金融资产单独进行减值测试；对单项金额不重大的金融</w:t>
      </w:r>
      <w:r>
        <w:rPr/>
        <w:t> </w:t>
      </w:r>
      <w:r>
        <w:rPr>
          <w:spacing w:val="2"/>
        </w:rPr>
        <w:t>资产，单独进行减值测试或包括在具有类似信用风险特征的金融资产组合中进行减值</w:t>
      </w:r>
      <w:r>
        <w:rPr>
          <w:spacing w:val="-97"/>
        </w:rPr>
        <w:t> </w:t>
      </w:r>
      <w:r>
        <w:rPr>
          <w:spacing w:val="-97"/>
        </w:rPr>
      </w:r>
      <w:r>
        <w:rPr>
          <w:spacing w:val="-4"/>
        </w:rPr>
        <w:t>测试。单独测试未发生减值的金融资产（包括单项金额重大和不重大的金融资产），包</w:t>
      </w:r>
      <w:r>
        <w:rPr>
          <w:spacing w:val="-88"/>
        </w:rPr>
        <w:t> </w:t>
      </w:r>
      <w:r>
        <w:rPr>
          <w:spacing w:val="-88"/>
        </w:rPr>
      </w:r>
      <w:r>
        <w:rPr>
          <w:spacing w:val="2"/>
        </w:rPr>
        <w:t>括在具有类似信用风险特征的金融资产组合中再进行减值测试。已单项确认减值损失</w:t>
      </w:r>
      <w:r>
        <w:rPr>
          <w:spacing w:val="-97"/>
        </w:rPr>
        <w:t> </w:t>
      </w:r>
      <w:r>
        <w:rPr>
          <w:spacing w:val="-97"/>
        </w:rPr>
      </w:r>
      <w:r>
        <w:rPr/>
        <w:t>的金融资产，不包括在具有类似信用风险特征的金融资产组合中进行减值测试。</w:t>
      </w:r>
    </w:p>
    <w:p>
      <w:pPr>
        <w:pStyle w:val="BodyText"/>
        <w:spacing w:line="307" w:lineRule="auto" w:before="19"/>
        <w:ind w:left="602" w:right="0"/>
        <w:jc w:val="left"/>
      </w:pPr>
      <w:r>
        <w:rPr/>
        <w:t>①持有至到期投资、贷款和应收款项减值 </w:t>
      </w:r>
      <w:r>
        <w:rPr>
          <w:spacing w:val="2"/>
        </w:rPr>
        <w:t>以成本或摊余成本计量的金融资产将其账面价值减记至预计未来现金流量现值，</w:t>
      </w:r>
    </w:p>
    <w:p>
      <w:pPr>
        <w:pStyle w:val="BodyText"/>
        <w:spacing w:line="304" w:lineRule="auto" w:before="19"/>
        <w:ind w:right="1292"/>
        <w:jc w:val="both"/>
      </w:pPr>
      <w:r>
        <w:rPr>
          <w:spacing w:val="2"/>
        </w:rPr>
        <w:t>减记金额确认为减值损失，计入当期损益。金融资产在确认减值损失后，如有客观证</w:t>
      </w:r>
      <w:r>
        <w:rPr>
          <w:spacing w:val="-97"/>
        </w:rPr>
        <w:t> </w:t>
      </w:r>
      <w:r>
        <w:rPr>
          <w:spacing w:val="-97"/>
        </w:rPr>
      </w:r>
      <w:r>
        <w:rPr>
          <w:spacing w:val="2"/>
        </w:rPr>
        <w:t>据表明该金融资产价值已恢复，且客观上与确认该损失后发生的事项有关，原确认的</w:t>
      </w:r>
      <w:r>
        <w:rPr>
          <w:spacing w:val="-97"/>
        </w:rPr>
        <w:t> </w:t>
      </w:r>
      <w:r>
        <w:rPr>
          <w:spacing w:val="-97"/>
        </w:rPr>
      </w:r>
      <w:r>
        <w:rPr>
          <w:spacing w:val="2"/>
        </w:rPr>
        <w:t>减值损失予以转回，金融资产转回减值损失后的账面价值不超过假定不计提减值准备</w:t>
      </w:r>
      <w:r>
        <w:rPr>
          <w:spacing w:val="-97"/>
        </w:rPr>
        <w:t> </w:t>
      </w:r>
      <w:r>
        <w:rPr>
          <w:spacing w:val="-97"/>
        </w:rPr>
      </w:r>
      <w:r>
        <w:rPr/>
        <w:t>情况下该金融资产在转回日的摊余成本。</w:t>
      </w:r>
    </w:p>
    <w:p>
      <w:pPr>
        <w:pStyle w:val="BodyText"/>
        <w:spacing w:line="307" w:lineRule="auto" w:before="19"/>
        <w:ind w:left="602" w:right="0"/>
        <w:jc w:val="left"/>
      </w:pPr>
      <w:r>
        <w:rPr/>
        <w:t>②可供出售金融资产减值 </w:t>
      </w:r>
      <w:r>
        <w:rPr>
          <w:spacing w:val="2"/>
        </w:rPr>
        <w:t>可供出售金融资产发生减值时，将原计入资本公积的因公允价值下降形成的累计</w:t>
      </w:r>
    </w:p>
    <w:p>
      <w:pPr>
        <w:pStyle w:val="BodyText"/>
        <w:spacing w:line="304" w:lineRule="auto" w:before="19"/>
        <w:ind w:right="1289"/>
        <w:jc w:val="both"/>
      </w:pPr>
      <w:r>
        <w:rPr>
          <w:spacing w:val="2"/>
        </w:rPr>
        <w:t>损失予以转出并计入当期损益，该转出的累计损失为该资产初始取得成本扣除已收回</w:t>
      </w:r>
      <w:r>
        <w:rPr>
          <w:spacing w:val="-94"/>
        </w:rPr>
        <w:t> </w:t>
      </w:r>
      <w:r>
        <w:rPr>
          <w:spacing w:val="-94"/>
        </w:rPr>
      </w:r>
      <w:r>
        <w:rPr/>
        <w:t>本金和已摊销金额、当前公允价值和原已计入损益的减值损失后的余额。</w:t>
      </w:r>
    </w:p>
    <w:p>
      <w:pPr>
        <w:pStyle w:val="BodyText"/>
        <w:spacing w:line="304" w:lineRule="auto"/>
        <w:ind w:right="1292" w:firstLine="479"/>
        <w:jc w:val="both"/>
      </w:pPr>
      <w:r>
        <w:rPr>
          <w:spacing w:val="2"/>
        </w:rPr>
        <w:t>在确认减值损失后，期后如有客观证据表明该金融资产价值已恢复，且客观上与</w:t>
      </w:r>
      <w:r>
        <w:rPr/>
        <w:t> </w:t>
      </w:r>
      <w:r>
        <w:rPr>
          <w:spacing w:val="2"/>
        </w:rPr>
        <w:t>确认该损失后发生的事项有关，原确认的减值损失予以转回，可供出售权益工具投资</w:t>
      </w:r>
      <w:r>
        <w:rPr>
          <w:spacing w:val="-97"/>
        </w:rPr>
        <w:t> </w:t>
      </w:r>
      <w:r>
        <w:rPr>
          <w:spacing w:val="-97"/>
        </w:rPr>
      </w:r>
      <w:r>
        <w:rPr>
          <w:spacing w:val="2"/>
        </w:rPr>
        <w:t>的减值损失转回确认为其他综合收益，可供出售债务工具的减值损失转回计入当期损</w:t>
      </w:r>
      <w:r>
        <w:rPr>
          <w:spacing w:val="-97"/>
        </w:rPr>
        <w:t> </w:t>
      </w:r>
      <w:r>
        <w:rPr>
          <w:spacing w:val="-97"/>
        </w:rPr>
      </w:r>
      <w:r>
        <w:rPr/>
        <w:t>益。</w:t>
      </w:r>
    </w:p>
    <w:p>
      <w:pPr>
        <w:pStyle w:val="BodyText"/>
        <w:spacing w:line="304" w:lineRule="auto"/>
        <w:ind w:right="1296" w:firstLine="479"/>
        <w:jc w:val="both"/>
      </w:pPr>
      <w:r>
        <w:rPr>
          <w:spacing w:val="2"/>
        </w:rPr>
        <w:t>在活跃市场中没有报价且其公允价值不能可靠计量的权益工具投资，或与该权益</w:t>
      </w:r>
      <w:r>
        <w:rPr/>
        <w:t> 工具挂钩并须通过交付该权益工具结算的衍生金融资产的减值损失，不予转回。</w:t>
      </w:r>
    </w:p>
    <w:p>
      <w:pPr>
        <w:pStyle w:val="BodyText"/>
        <w:tabs>
          <w:tab w:pos="1082" w:val="left" w:leader="none"/>
        </w:tabs>
        <w:spacing w:line="240" w:lineRule="auto"/>
        <w:ind w:left="602" w:right="0"/>
        <w:jc w:val="left"/>
      </w:pPr>
      <w:r>
        <w:rPr/>
        <w:t>⑷</w:t>
        <w:tab/>
        <w:t>金融资产转移的确认依据和计量方法</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4" w:lineRule="auto" w:before="26"/>
        <w:ind w:right="1290" w:firstLine="479"/>
        <w:jc w:val="both"/>
      </w:pPr>
      <w:r>
        <w:rPr>
          <w:spacing w:val="2"/>
        </w:rPr>
        <w:t>满足下列条件之一的金融资产，予以终止确认：①收取该金融资产现金流量的合</w:t>
      </w:r>
      <w:r>
        <w:rPr/>
        <w:t> </w:t>
      </w:r>
      <w:r>
        <w:rPr>
          <w:spacing w:val="2"/>
        </w:rPr>
        <w:t>同权利终止；②该金融资产已转移，且将金融资产所有权上几乎所有的风险和报酬转</w:t>
      </w:r>
      <w:r>
        <w:rPr>
          <w:spacing w:val="-97"/>
        </w:rPr>
        <w:t> </w:t>
      </w:r>
      <w:r>
        <w:rPr>
          <w:spacing w:val="-97"/>
        </w:rPr>
      </w:r>
      <w:r>
        <w:rPr>
          <w:spacing w:val="2"/>
        </w:rPr>
        <w:t>移给转入方；⑶该金融资产已转移，虽然企业既没有转移也没有保留金融资产所有权</w:t>
      </w:r>
      <w:r>
        <w:rPr>
          <w:spacing w:val="-96"/>
        </w:rPr>
        <w:t> </w:t>
      </w:r>
      <w:r>
        <w:rPr>
          <w:spacing w:val="-96"/>
        </w:rPr>
      </w:r>
      <w:r>
        <w:rPr/>
        <w:t>上几乎所有的风险和报酬，但是放弃了对该金融资产控制。</w:t>
      </w:r>
    </w:p>
    <w:p>
      <w:pPr>
        <w:pStyle w:val="BodyText"/>
        <w:spacing w:line="304" w:lineRule="auto"/>
        <w:ind w:right="1144" w:firstLine="479"/>
        <w:jc w:val="left"/>
      </w:pPr>
      <w:r>
        <w:rPr>
          <w:spacing w:val="2"/>
        </w:rPr>
        <w:t>若企业既没有转移也没有保留金融资产所有权上几乎所有的风险和报酬，且未放</w:t>
      </w:r>
      <w:r>
        <w:rPr/>
        <w:t> 弃对该金融资产的控制的，则按照继续涉入所转移金融资产的程度确认有关金融资产， </w:t>
      </w:r>
      <w:r>
        <w:rPr>
          <w:spacing w:val="2"/>
        </w:rPr>
        <w:t>并相应确认有关负债。继续涉入所转移金融资产的程度，是指该金融资产价值变动使</w:t>
      </w:r>
      <w:r>
        <w:rPr>
          <w:spacing w:val="-97"/>
        </w:rPr>
        <w:t> </w:t>
      </w:r>
      <w:r>
        <w:rPr>
          <w:spacing w:val="-97"/>
        </w:rPr>
      </w:r>
      <w:r>
        <w:rPr/>
        <w:t>企业面临的风险水平。</w:t>
      </w:r>
    </w:p>
    <w:p>
      <w:pPr>
        <w:pStyle w:val="BodyText"/>
        <w:spacing w:line="307" w:lineRule="auto" w:before="19"/>
        <w:ind w:right="1296" w:firstLine="479"/>
        <w:jc w:val="both"/>
      </w:pPr>
      <w:r>
        <w:rPr>
          <w:spacing w:val="2"/>
        </w:rPr>
        <w:t>金融资产整体转移满足终止确认条件的，将所转移金融资产的账面价值及因转移</w:t>
      </w:r>
      <w:r>
        <w:rPr/>
        <w:t> </w:t>
      </w:r>
      <w:r>
        <w:rPr>
          <w:spacing w:val="9"/>
        </w:rPr>
        <w:t>而收到的对价与原计入其他综合收益的公允价值变动累计额之和的差额计入当期损</w:t>
      </w:r>
      <w:r>
        <w:rPr>
          <w:spacing w:val="-116"/>
        </w:rPr>
        <w:t> </w:t>
      </w:r>
      <w:r>
        <w:rPr>
          <w:spacing w:val="-116"/>
        </w:rPr>
      </w:r>
      <w:r>
        <w:rPr/>
        <w:t>益。</w:t>
      </w:r>
    </w:p>
    <w:p>
      <w:pPr>
        <w:pStyle w:val="BodyText"/>
        <w:spacing w:line="304" w:lineRule="auto" w:before="17"/>
        <w:ind w:right="1292" w:firstLine="479"/>
        <w:jc w:val="both"/>
      </w:pPr>
      <w:r>
        <w:rPr>
          <w:spacing w:val="2"/>
        </w:rPr>
        <w:t>金融资产部分转移满足终止确认条件的，将所转移金融资产的账面价值在终止确</w:t>
      </w:r>
      <w:r>
        <w:rPr/>
        <w:t> </w:t>
      </w:r>
      <w:r>
        <w:rPr>
          <w:spacing w:val="2"/>
        </w:rPr>
        <w:t>认及未终止确认部分之间按其相对的公允价值进行分摊，并将因转移而收到的对价与</w:t>
      </w:r>
      <w:r>
        <w:rPr>
          <w:spacing w:val="-97"/>
        </w:rPr>
        <w:t> </w:t>
      </w:r>
      <w:r>
        <w:rPr>
          <w:spacing w:val="-97"/>
        </w:rPr>
      </w:r>
      <w:r>
        <w:rPr>
          <w:spacing w:val="2"/>
        </w:rPr>
        <w:t>应分摊至终止确认部分的原计入其他综合收益的公允价值变动累计额之和与分摊的前</w:t>
      </w:r>
      <w:r>
        <w:rPr>
          <w:spacing w:val="-97"/>
        </w:rPr>
        <w:t> </w:t>
      </w:r>
      <w:r>
        <w:rPr>
          <w:spacing w:val="-97"/>
        </w:rPr>
      </w:r>
      <w:r>
        <w:rPr/>
        <w:t>述账面金额之差额计入当期损益。</w:t>
      </w:r>
    </w:p>
    <w:p>
      <w:pPr>
        <w:pStyle w:val="BodyText"/>
        <w:tabs>
          <w:tab w:pos="1082" w:val="left" w:leader="none"/>
        </w:tabs>
        <w:spacing w:line="307" w:lineRule="auto"/>
        <w:ind w:left="602" w:right="1296"/>
        <w:jc w:val="left"/>
      </w:pPr>
      <w:r>
        <w:rPr/>
        <w:t>⑸</w:t>
        <w:tab/>
        <w:t>金融负债的分类和计量 </w:t>
      </w:r>
      <w:r>
        <w:rPr>
          <w:spacing w:val="2"/>
        </w:rPr>
        <w:t>金融负债在初始确认时划分为以公允价值计量且其变动计入当期损益的金融负债</w:t>
      </w:r>
    </w:p>
    <w:p>
      <w:pPr>
        <w:pStyle w:val="BodyText"/>
        <w:spacing w:line="307" w:lineRule="auto" w:before="17"/>
        <w:ind w:right="0"/>
        <w:jc w:val="left"/>
      </w:pPr>
      <w:r>
        <w:rPr>
          <w:spacing w:val="2"/>
        </w:rPr>
        <w:t>和其他金融负债。初始确认金融负债，以公允价值计量。对于以公允价值计量且其变</w:t>
      </w:r>
      <w:r>
        <w:rPr>
          <w:spacing w:val="-97"/>
        </w:rPr>
        <w:t> </w:t>
      </w:r>
      <w:r>
        <w:rPr>
          <w:spacing w:val="-97"/>
        </w:rPr>
      </w:r>
      <w:r>
        <w:rPr>
          <w:spacing w:val="-1"/>
        </w:rPr>
        <w:t>动计入当期损益的金融负债，相关的交易费用直接计入当期损益，对于其他金融负债，</w:t>
      </w:r>
      <w:r>
        <w:rPr>
          <w:spacing w:val="-88"/>
        </w:rPr>
        <w:t> </w:t>
      </w:r>
      <w:r>
        <w:rPr>
          <w:spacing w:val="-88"/>
        </w:rPr>
      </w:r>
      <w:r>
        <w:rPr/>
        <w:t>相关交易费用计入初始确认金额。</w:t>
      </w:r>
    </w:p>
    <w:p>
      <w:pPr>
        <w:pStyle w:val="BodyText"/>
        <w:spacing w:line="307" w:lineRule="auto" w:before="17"/>
        <w:ind w:left="602" w:right="0"/>
        <w:jc w:val="left"/>
      </w:pPr>
      <w:r>
        <w:rPr/>
        <w:t>①以公允价值计量且其变动计入当期损益的金融负债 </w:t>
      </w:r>
      <w:r>
        <w:rPr>
          <w:spacing w:val="2"/>
        </w:rPr>
        <w:t>分类为交易性金融负债和在初始确认时指定为以公允价值计量且其变动计入当期</w:t>
      </w:r>
    </w:p>
    <w:p>
      <w:pPr>
        <w:pStyle w:val="BodyText"/>
        <w:spacing w:line="304" w:lineRule="auto" w:before="19"/>
        <w:ind w:right="0"/>
        <w:jc w:val="left"/>
      </w:pPr>
      <w:r>
        <w:rPr>
          <w:spacing w:val="2"/>
        </w:rPr>
        <w:t>损益的金融负债的条件与分类为交易性金融资产和在初始确认时指定为以公允价值计</w:t>
      </w:r>
      <w:r>
        <w:rPr>
          <w:spacing w:val="-97"/>
        </w:rPr>
        <w:t> </w:t>
      </w:r>
      <w:r>
        <w:rPr>
          <w:spacing w:val="-97"/>
        </w:rPr>
      </w:r>
      <w:r>
        <w:rPr/>
        <w:t>量且其变动计入当期损益的金融资产的条件一致。</w:t>
      </w:r>
    </w:p>
    <w:p>
      <w:pPr>
        <w:pStyle w:val="BodyText"/>
        <w:spacing w:line="304" w:lineRule="auto"/>
        <w:ind w:right="1288" w:firstLine="479"/>
        <w:jc w:val="both"/>
      </w:pPr>
      <w:r>
        <w:rPr>
          <w:spacing w:val="2"/>
        </w:rPr>
        <w:t>以公允价值计量且其变动计入当期损益的金融负债采用公允价值进行后续计量，</w:t>
      </w:r>
      <w:r>
        <w:rPr/>
        <w:t> </w:t>
      </w:r>
      <w:r>
        <w:rPr>
          <w:spacing w:val="2"/>
        </w:rPr>
        <w:t>公允价值的变动形成的利得或损失以及与该等金融负债相关的股利和利息支出计入当</w:t>
      </w:r>
      <w:r>
        <w:rPr>
          <w:spacing w:val="-93"/>
        </w:rPr>
        <w:t> </w:t>
      </w:r>
      <w:r>
        <w:rPr>
          <w:spacing w:val="-93"/>
        </w:rPr>
      </w:r>
      <w:r>
        <w:rPr/>
        <w:t>期损益。</w:t>
      </w:r>
    </w:p>
    <w:p>
      <w:pPr>
        <w:pStyle w:val="BodyText"/>
        <w:spacing w:line="307" w:lineRule="auto"/>
        <w:ind w:left="602" w:right="0"/>
        <w:jc w:val="left"/>
      </w:pPr>
      <w:r>
        <w:rPr/>
        <w:t>②其他金融负债 </w:t>
      </w:r>
      <w:r>
        <w:rPr>
          <w:spacing w:val="2"/>
        </w:rPr>
        <w:t>与在活跃市场中没有报价、公允价值不能可靠计量的权益工具挂钩并须通过交付</w:t>
      </w:r>
    </w:p>
    <w:p>
      <w:pPr>
        <w:pStyle w:val="BodyText"/>
        <w:spacing w:line="307" w:lineRule="auto" w:before="17"/>
        <w:ind w:right="0"/>
        <w:jc w:val="left"/>
      </w:pPr>
      <w:r>
        <w:rPr>
          <w:spacing w:val="2"/>
        </w:rPr>
        <w:t>该权益工具结算的衍生金融负债，按照成本进行后续计量。其他金融负债采用实际利</w:t>
      </w:r>
      <w:r>
        <w:rPr>
          <w:spacing w:val="-97"/>
        </w:rPr>
        <w:t> </w:t>
      </w:r>
      <w:r>
        <w:rPr>
          <w:spacing w:val="-97"/>
        </w:rPr>
      </w:r>
      <w:r>
        <w:rPr/>
        <w:t>率法，按摊余成本进行后续计量，终止确认或摊销产生的利得或损失计入当期损益。</w:t>
      </w:r>
    </w:p>
    <w:p>
      <w:pPr>
        <w:pStyle w:val="BodyText"/>
        <w:spacing w:line="304" w:lineRule="auto" w:before="19"/>
        <w:ind w:left="602" w:right="0"/>
        <w:jc w:val="left"/>
      </w:pPr>
      <w:r>
        <w:rPr/>
        <w:t>③财务担保合同 </w:t>
      </w:r>
      <w:r>
        <w:rPr>
          <w:spacing w:val="9"/>
        </w:rPr>
        <w:t>不属于指定为以公允价值计量且其变动计入当期损益的金融负债的财务担保合</w:t>
      </w:r>
    </w:p>
    <w:p>
      <w:pPr>
        <w:pStyle w:val="BodyText"/>
        <w:spacing w:line="240" w:lineRule="auto"/>
        <w:ind w:right="0"/>
        <w:jc w:val="left"/>
      </w:pPr>
      <w:r>
        <w:rPr>
          <w:spacing w:val="-5"/>
        </w:rPr>
        <w:t>同，以公允价值进行初始确认，在初始确认后按照《企业会计准则第 </w:t>
      </w:r>
      <w:r>
        <w:rPr>
          <w:rFonts w:ascii="宋体" w:hAnsi="宋体" w:cs="宋体" w:eastAsia="宋体" w:hint="default"/>
        </w:rPr>
        <w:t>13</w:t>
      </w:r>
      <w:r>
        <w:rPr>
          <w:rFonts w:ascii="宋体" w:hAnsi="宋体" w:cs="宋体" w:eastAsia="宋体" w:hint="default"/>
          <w:spacing w:val="-88"/>
        </w:rPr>
        <w:t> </w:t>
      </w:r>
      <w:r>
        <w:rPr/>
        <w:t>号—或有事项》</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1285"/>
        <w:jc w:val="both"/>
      </w:pPr>
      <w:r>
        <w:rPr/>
        <w:t>确定的金额和初始确认金额扣除按照《企业会计准则第</w:t>
      </w:r>
      <w:r>
        <w:rPr>
          <w:spacing w:val="-63"/>
        </w:rPr>
        <w:t> </w:t>
      </w:r>
      <w:r>
        <w:rPr>
          <w:rFonts w:ascii="宋体" w:hAnsi="宋体" w:cs="宋体" w:eastAsia="宋体" w:hint="default"/>
        </w:rPr>
        <w:t>14</w:t>
      </w:r>
      <w:r>
        <w:rPr>
          <w:rFonts w:ascii="宋体" w:hAnsi="宋体" w:cs="宋体" w:eastAsia="宋体" w:hint="default"/>
          <w:spacing w:val="-63"/>
        </w:rPr>
        <w:t> </w:t>
      </w:r>
      <w:r>
        <w:rPr/>
        <w:t>号—收入》的原则确定的累 计摊销额后的余额之中的较高者进行后续计量。</w:t>
      </w:r>
    </w:p>
    <w:p>
      <w:pPr>
        <w:pStyle w:val="BodyText"/>
        <w:tabs>
          <w:tab w:pos="1082" w:val="left" w:leader="none"/>
        </w:tabs>
        <w:spacing w:line="307" w:lineRule="auto" w:before="17"/>
        <w:ind w:left="602" w:right="1296"/>
        <w:jc w:val="left"/>
      </w:pPr>
      <w:r>
        <w:rPr/>
        <w:t>⑹</w:t>
        <w:tab/>
        <w:t>金融负债的终止确认 </w:t>
      </w:r>
      <w:r>
        <w:rPr>
          <w:spacing w:val="2"/>
        </w:rPr>
        <w:t>金融负债的现时义务全部或部分已经解除的，才能终止确认该金融负债或其一部</w:t>
      </w:r>
    </w:p>
    <w:p>
      <w:pPr>
        <w:pStyle w:val="BodyText"/>
        <w:spacing w:line="304" w:lineRule="auto" w:before="19"/>
        <w:ind w:right="1292"/>
        <w:jc w:val="both"/>
      </w:pPr>
      <w:r>
        <w:rPr>
          <w:spacing w:val="2"/>
        </w:rPr>
        <w:t>分。本集团（债务人）与债权人之间签订协议，以承担新金融负债方式替换现存金融</w:t>
      </w:r>
      <w:r>
        <w:rPr>
          <w:spacing w:val="-97"/>
        </w:rPr>
        <w:t> </w:t>
      </w:r>
      <w:r>
        <w:rPr>
          <w:spacing w:val="-97"/>
        </w:rPr>
      </w:r>
      <w:r>
        <w:rPr>
          <w:spacing w:val="2"/>
        </w:rPr>
        <w:t>负债，且新金融负债与现存金融负债的合同条款实质上不同的，终止确认现存金融负</w:t>
      </w:r>
      <w:r>
        <w:rPr>
          <w:spacing w:val="-97"/>
        </w:rPr>
        <w:t> </w:t>
      </w:r>
      <w:r>
        <w:rPr>
          <w:spacing w:val="-97"/>
        </w:rPr>
      </w:r>
      <w:r>
        <w:rPr/>
        <w:t>债，并同时确认新金融负债。</w:t>
      </w:r>
    </w:p>
    <w:p>
      <w:pPr>
        <w:pStyle w:val="BodyText"/>
        <w:spacing w:line="304" w:lineRule="auto"/>
        <w:ind w:right="0" w:firstLine="479"/>
        <w:jc w:val="left"/>
      </w:pPr>
      <w:r>
        <w:rPr>
          <w:spacing w:val="2"/>
        </w:rPr>
        <w:t>金融负债全部或部分终止确认的，将终止确认部分的账面价值与支付的对价（包</w:t>
      </w:r>
      <w:r>
        <w:rPr/>
        <w:t> 括转出的非现金资产或承担的新金融负债）之间的差额，计入当期损益。</w:t>
      </w:r>
    </w:p>
    <w:p>
      <w:pPr>
        <w:pStyle w:val="BodyText"/>
        <w:tabs>
          <w:tab w:pos="1082" w:val="left" w:leader="none"/>
        </w:tabs>
        <w:spacing w:line="307" w:lineRule="auto"/>
        <w:ind w:left="602" w:right="1293"/>
        <w:jc w:val="left"/>
      </w:pPr>
      <w:r>
        <w:rPr/>
        <w:t>⑺</w:t>
        <w:tab/>
        <w:t>衍生工具及嵌入衍生工具 </w:t>
      </w:r>
      <w:r>
        <w:rPr>
          <w:spacing w:val="2"/>
        </w:rPr>
        <w:t>衍生工具于相关合同签署日以公允价值进行初始计量，并以公允价值进行后续计</w:t>
      </w:r>
    </w:p>
    <w:p>
      <w:pPr>
        <w:pStyle w:val="BodyText"/>
        <w:spacing w:line="307" w:lineRule="auto" w:before="17"/>
        <w:ind w:left="602" w:right="0" w:hanging="480"/>
        <w:jc w:val="left"/>
      </w:pPr>
      <w:r>
        <w:rPr/>
        <w:t>量。衍生工具的公允价值变动计入当期损益。 </w:t>
      </w:r>
      <w:r>
        <w:rPr>
          <w:spacing w:val="2"/>
        </w:rPr>
        <w:t>对包含嵌入衍生工具的混合工具，如未指定为以公允价值计量且其变动计入当期</w:t>
      </w:r>
    </w:p>
    <w:p>
      <w:pPr>
        <w:pStyle w:val="BodyText"/>
        <w:spacing w:line="304" w:lineRule="auto" w:before="19"/>
        <w:ind w:right="1292"/>
        <w:jc w:val="both"/>
      </w:pPr>
      <w:r>
        <w:rPr>
          <w:spacing w:val="2"/>
        </w:rPr>
        <w:t>损益的金融资产或金融负债，嵌入衍生工具与该主合同在经济特征及风险方面不存在</w:t>
      </w:r>
      <w:r>
        <w:rPr>
          <w:spacing w:val="-97"/>
        </w:rPr>
        <w:t> </w:t>
      </w:r>
      <w:r>
        <w:rPr>
          <w:spacing w:val="-97"/>
        </w:rPr>
      </w:r>
      <w:r>
        <w:rPr>
          <w:spacing w:val="2"/>
        </w:rPr>
        <w:t>紧密关系，且与嵌入衍生工具条件相同，单独存在的工具符合衍生工具定义的，嵌入</w:t>
      </w:r>
      <w:r>
        <w:rPr>
          <w:spacing w:val="-97"/>
        </w:rPr>
        <w:t> </w:t>
      </w:r>
      <w:r>
        <w:rPr>
          <w:spacing w:val="-97"/>
        </w:rPr>
      </w:r>
      <w:r>
        <w:rPr>
          <w:spacing w:val="2"/>
        </w:rPr>
        <w:t>衍生工具从混合工具中分拆，作为单独的衍生金融工具处理。如果无法在取得时或后</w:t>
      </w:r>
      <w:r>
        <w:rPr>
          <w:spacing w:val="-97"/>
        </w:rPr>
        <w:t> </w:t>
      </w:r>
      <w:r>
        <w:rPr>
          <w:spacing w:val="-97"/>
        </w:rPr>
      </w:r>
      <w:r>
        <w:rPr>
          <w:spacing w:val="2"/>
        </w:rPr>
        <w:t>续的资产负债表日对嵌入衍生工具进行单独计量，则将混合工具整体指定为以公允价</w:t>
      </w:r>
      <w:r>
        <w:rPr>
          <w:spacing w:val="-97"/>
        </w:rPr>
        <w:t> </w:t>
      </w:r>
      <w:r>
        <w:rPr>
          <w:spacing w:val="-97"/>
        </w:rPr>
      </w:r>
      <w:r>
        <w:rPr/>
        <w:t>值计量且其变动计入当期损益的金融资产或金融负债。</w:t>
      </w:r>
    </w:p>
    <w:p>
      <w:pPr>
        <w:pStyle w:val="BodyText"/>
        <w:tabs>
          <w:tab w:pos="1082" w:val="left" w:leader="none"/>
        </w:tabs>
        <w:spacing w:line="307" w:lineRule="auto"/>
        <w:ind w:left="602" w:right="1296"/>
        <w:jc w:val="left"/>
      </w:pPr>
      <w:r>
        <w:rPr/>
        <w:t>⑻</w:t>
        <w:tab/>
        <w:t>金融资产和金融负债的抵销 </w:t>
      </w:r>
      <w:r>
        <w:rPr>
          <w:spacing w:val="2"/>
        </w:rPr>
        <w:t>当本集团具有抵销已确认金融资产和金融负债的法定权利，且目前可执行该种法</w:t>
      </w:r>
    </w:p>
    <w:p>
      <w:pPr>
        <w:pStyle w:val="BodyText"/>
        <w:spacing w:line="307" w:lineRule="auto" w:before="17"/>
        <w:ind w:right="1292"/>
        <w:jc w:val="both"/>
      </w:pPr>
      <w:r>
        <w:rPr>
          <w:spacing w:val="2"/>
        </w:rPr>
        <w:t>定权利，同时本集团计划以净额结算或同时变现该金融资产和清偿该金融负债时，金</w:t>
      </w:r>
      <w:r>
        <w:rPr>
          <w:spacing w:val="-97"/>
        </w:rPr>
        <w:t> </w:t>
      </w:r>
      <w:r>
        <w:rPr>
          <w:spacing w:val="-97"/>
        </w:rPr>
      </w:r>
      <w:r>
        <w:rPr>
          <w:spacing w:val="2"/>
        </w:rPr>
        <w:t>融资产和金融负债以相互抵销后的金额在资产负债表内列示。除此以外，金融资产和</w:t>
      </w:r>
      <w:r>
        <w:rPr>
          <w:spacing w:val="-97"/>
        </w:rPr>
        <w:t> </w:t>
      </w:r>
      <w:r>
        <w:rPr>
          <w:spacing w:val="-97"/>
        </w:rPr>
      </w:r>
      <w:r>
        <w:rPr/>
        <w:t>金融负债在资产负债表内分别列示，不予相互抵销。</w:t>
      </w:r>
    </w:p>
    <w:p>
      <w:pPr>
        <w:pStyle w:val="BodyText"/>
        <w:tabs>
          <w:tab w:pos="1082" w:val="left" w:leader="none"/>
        </w:tabs>
        <w:spacing w:line="307" w:lineRule="auto" w:before="17"/>
        <w:ind w:left="602" w:right="1296"/>
        <w:jc w:val="left"/>
      </w:pPr>
      <w:r>
        <w:rPr/>
        <w:t>⑼</w:t>
        <w:tab/>
        <w:t>权益工具 </w:t>
      </w:r>
      <w:r>
        <w:rPr>
          <w:spacing w:val="2"/>
        </w:rPr>
        <w:t>权益工具是指能证明拥有本集团在扣除所有负债后的资产中的剩余权益的合同。</w:t>
      </w:r>
    </w:p>
    <w:p>
      <w:pPr>
        <w:pStyle w:val="BodyText"/>
        <w:spacing w:line="304" w:lineRule="auto" w:before="19"/>
        <w:ind w:left="602" w:right="0" w:hanging="480"/>
        <w:jc w:val="left"/>
      </w:pPr>
      <w:r>
        <w:rPr/>
        <w:t>权益工具，在发行时收到的对价扣除交易费用后增加所有者权益。 </w:t>
      </w:r>
      <w:r>
        <w:rPr>
          <w:spacing w:val="-4"/>
        </w:rPr>
        <w:t>本集团对权益工具持有方的各种分配（不包括股票股利），减少所有者权益。本集</w:t>
      </w:r>
    </w:p>
    <w:p>
      <w:pPr>
        <w:pStyle w:val="BodyText"/>
        <w:spacing w:line="259" w:lineRule="auto"/>
        <w:ind w:left="602" w:right="5464" w:hanging="480"/>
        <w:jc w:val="left"/>
      </w:pPr>
      <w:r>
        <w:rPr/>
        <w:t>团不确认权益工具的公允价值变动额。 </w:t>
      </w:r>
      <w:r>
        <w:rPr>
          <w:rFonts w:ascii="Trebuchet MS" w:hAnsi="Trebuchet MS" w:cs="Trebuchet MS" w:eastAsia="Trebuchet MS" w:hint="default"/>
          <w:b/>
          <w:bCs/>
          <w:spacing w:val="2"/>
        </w:rPr>
        <w:t>8</w:t>
      </w:r>
      <w:r>
        <w:rPr>
          <w:rFonts w:ascii="Microsoft JhengHei" w:hAnsi="Microsoft JhengHei" w:cs="Microsoft JhengHei" w:eastAsia="Microsoft JhengHei" w:hint="default"/>
          <w:b/>
          <w:bCs/>
          <w:spacing w:val="2"/>
        </w:rPr>
        <w:t>、应收款项</w:t>
      </w:r>
      <w:r>
        <w:rPr>
          <w:rFonts w:ascii="Microsoft JhengHei" w:hAnsi="Microsoft JhengHei" w:cs="Microsoft JhengHei" w:eastAsia="Microsoft JhengHei" w:hint="default"/>
          <w:b/>
          <w:bCs/>
        </w:rPr>
        <w:t> </w:t>
      </w:r>
      <w:r>
        <w:rPr/>
        <w:t>应收款项包括应收账款、其他应收款等。</w:t>
      </w:r>
    </w:p>
    <w:p>
      <w:pPr>
        <w:pStyle w:val="BodyText"/>
        <w:tabs>
          <w:tab w:pos="1082" w:val="left" w:leader="none"/>
        </w:tabs>
        <w:spacing w:line="307" w:lineRule="auto" w:before="67"/>
        <w:ind w:left="602" w:right="1296"/>
        <w:jc w:val="left"/>
      </w:pPr>
      <w:r>
        <w:rPr/>
        <w:t>⑴</w:t>
        <w:tab/>
        <w:t>坏账准备的确认标准 </w:t>
      </w:r>
      <w:r>
        <w:rPr>
          <w:spacing w:val="2"/>
        </w:rPr>
        <w:t>本集团在资产负债表日对应收款项账面价值进行检查，对存在下列客观证据表明</w:t>
      </w:r>
    </w:p>
    <w:p>
      <w:pPr>
        <w:pStyle w:val="BodyText"/>
        <w:spacing w:line="307" w:lineRule="auto" w:before="17"/>
        <w:ind w:right="1283"/>
        <w:jc w:val="both"/>
      </w:pPr>
      <w:r>
        <w:rPr>
          <w:spacing w:val="2"/>
        </w:rPr>
        <w:t>应收款项发生减值的，计提减值准备：</w:t>
      </w:r>
      <w:r>
        <w:rPr>
          <w:rFonts w:ascii="宋体" w:hAnsi="宋体" w:cs="宋体" w:eastAsia="宋体" w:hint="default"/>
          <w:spacing w:val="2"/>
        </w:rPr>
        <w:t>①</w:t>
      </w:r>
      <w:r>
        <w:rPr>
          <w:spacing w:val="2"/>
        </w:rPr>
        <w:t>债务人发生严重的财务困难；</w:t>
      </w:r>
      <w:r>
        <w:rPr>
          <w:rFonts w:ascii="宋体" w:hAnsi="宋体" w:cs="宋体" w:eastAsia="宋体" w:hint="default"/>
          <w:spacing w:val="2"/>
        </w:rPr>
        <w:t>②</w:t>
      </w:r>
      <w:r>
        <w:rPr>
          <w:spacing w:val="2"/>
        </w:rPr>
        <w:t>债务人违反</w:t>
      </w:r>
      <w:r>
        <w:rPr>
          <w:spacing w:val="-89"/>
        </w:rPr>
        <w:t> </w:t>
      </w:r>
      <w:r>
        <w:rPr>
          <w:spacing w:val="-89"/>
        </w:rPr>
      </w:r>
      <w:r>
        <w:rPr>
          <w:spacing w:val="-4"/>
        </w:rPr>
        <w:t>合同条款（如偿付利息或本金发生违约或逾期等）；</w:t>
      </w:r>
      <w:r>
        <w:rPr>
          <w:rFonts w:ascii="宋体" w:hAnsi="宋体" w:cs="宋体" w:eastAsia="宋体" w:hint="default"/>
          <w:spacing w:val="-4"/>
        </w:rPr>
        <w:t>③</w:t>
      </w:r>
      <w:r>
        <w:rPr>
          <w:spacing w:val="-4"/>
        </w:rPr>
        <w:t>债务人很可能倒闭或进行其他财</w:t>
      </w:r>
    </w:p>
    <w:p>
      <w:pPr>
        <w:spacing w:after="0" w:line="307"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240" w:lineRule="auto" w:before="26"/>
        <w:ind w:right="0"/>
        <w:jc w:val="both"/>
      </w:pPr>
      <w:r>
        <w:rPr/>
        <w:t>务重组；</w:t>
      </w:r>
      <w:r>
        <w:rPr>
          <w:rFonts w:ascii="宋体" w:hAnsi="宋体" w:cs="宋体" w:eastAsia="宋体" w:hint="default"/>
        </w:rPr>
        <w:t>④</w:t>
      </w:r>
      <w:r>
        <w:rPr/>
        <w:t>其他表明应收款项发生减值的客观依据。</w:t>
      </w:r>
    </w:p>
    <w:p>
      <w:pPr>
        <w:pStyle w:val="BodyText"/>
        <w:tabs>
          <w:tab w:pos="1082" w:val="left" w:leader="none"/>
        </w:tabs>
        <w:spacing w:line="240" w:lineRule="auto" w:before="87"/>
        <w:ind w:left="602" w:right="0"/>
        <w:jc w:val="left"/>
      </w:pPr>
      <w:r>
        <w:rPr/>
        <w:t>⑵</w:t>
        <w:tab/>
        <w:t>坏账准备的计提方法</w:t>
      </w:r>
    </w:p>
    <w:p>
      <w:pPr>
        <w:pStyle w:val="BodyText"/>
        <w:spacing w:line="297" w:lineRule="auto" w:before="84"/>
        <w:ind w:left="602" w:right="1264"/>
        <w:jc w:val="left"/>
      </w:pPr>
      <w:r>
        <w:rPr>
          <w:rFonts w:ascii="宋体" w:hAnsi="宋体" w:cs="宋体" w:eastAsia="宋体" w:hint="default"/>
        </w:rPr>
        <w:t>①</w:t>
      </w:r>
      <w:r>
        <w:rPr/>
        <w:t>单项金额重大并单项计提坏账准备的应收款项坏账准备的确认标准、计提方法 本集团将金额为人民币</w:t>
      </w:r>
      <w:r>
        <w:rPr>
          <w:spacing w:val="-60"/>
        </w:rPr>
        <w:t> </w:t>
      </w:r>
      <w:r>
        <w:rPr>
          <w:rFonts w:ascii="Times New Roman" w:hAnsi="Times New Roman" w:cs="Times New Roman" w:eastAsia="Times New Roman" w:hint="default"/>
        </w:rPr>
        <w:t>50 </w:t>
      </w:r>
      <w:r>
        <w:rPr/>
        <w:t>万元以上的应收款项确认为单项金额重大的应收款项。 </w:t>
      </w:r>
      <w:r>
        <w:rPr>
          <w:spacing w:val="2"/>
        </w:rPr>
        <w:t>本集团对单项金额重大的应收款项单独进行减值测试，单独测试未发生减值的金</w:t>
      </w:r>
    </w:p>
    <w:p>
      <w:pPr>
        <w:pStyle w:val="BodyText"/>
        <w:spacing w:line="307" w:lineRule="auto" w:before="26"/>
        <w:ind w:right="1292"/>
        <w:jc w:val="both"/>
      </w:pPr>
      <w:r>
        <w:rPr>
          <w:spacing w:val="2"/>
        </w:rPr>
        <w:t>融资产，包括在具有类似信用风险特征的金融资产组合中进行减值测试。单项测试已</w:t>
      </w:r>
      <w:r>
        <w:rPr>
          <w:spacing w:val="-97"/>
        </w:rPr>
        <w:t> </w:t>
      </w:r>
      <w:r>
        <w:rPr>
          <w:spacing w:val="-97"/>
        </w:rPr>
      </w:r>
      <w:r>
        <w:rPr>
          <w:spacing w:val="2"/>
        </w:rPr>
        <w:t>确认减值损失的应收款项，不再包括在具有类似信用风险特征的应收款项组合中进行</w:t>
      </w:r>
      <w:r>
        <w:rPr>
          <w:spacing w:val="-97"/>
        </w:rPr>
        <w:t> </w:t>
      </w:r>
      <w:r>
        <w:rPr>
          <w:spacing w:val="-97"/>
        </w:rPr>
      </w:r>
      <w:r>
        <w:rPr/>
        <w:t>减值测试。</w:t>
      </w:r>
    </w:p>
    <w:p>
      <w:pPr>
        <w:pStyle w:val="BodyText"/>
        <w:spacing w:line="297" w:lineRule="auto" w:before="17"/>
        <w:ind w:left="602" w:right="0"/>
        <w:jc w:val="left"/>
      </w:pPr>
      <w:r>
        <w:rPr>
          <w:rFonts w:ascii="宋体" w:hAnsi="宋体" w:cs="宋体" w:eastAsia="宋体" w:hint="default"/>
        </w:rPr>
        <w:t>②</w:t>
      </w:r>
      <w:r>
        <w:rPr/>
        <w:t>按信用风险组合计提坏账准备的应收款项的确定依据、坏账准备计提方法 </w:t>
      </w:r>
      <w:r>
        <w:rPr>
          <w:rFonts w:ascii="Times New Roman" w:hAnsi="Times New Roman" w:cs="Times New Roman" w:eastAsia="Times New Roman" w:hint="default"/>
        </w:rPr>
        <w:t>A</w:t>
      </w:r>
      <w:r>
        <w:rPr/>
        <w:t>．信用风险特征组合的确定依据 </w:t>
      </w:r>
      <w:r>
        <w:rPr>
          <w:spacing w:val="2"/>
        </w:rPr>
        <w:t>本集团对单项金额不重大以及金额重大但单项测试未发生减值的应收款项，按信</w:t>
      </w:r>
    </w:p>
    <w:p>
      <w:pPr>
        <w:pStyle w:val="BodyText"/>
        <w:spacing w:line="307" w:lineRule="auto" w:before="26"/>
        <w:ind w:right="1290"/>
        <w:jc w:val="both"/>
      </w:pPr>
      <w:r>
        <w:rPr>
          <w:spacing w:val="2"/>
        </w:rPr>
        <w:t>用风险特征的相似性和相关性对金融资产进行分组。这些信用风险通常反映债务人按</w:t>
      </w:r>
      <w:r>
        <w:rPr>
          <w:spacing w:val="-97"/>
        </w:rPr>
        <w:t> </w:t>
      </w:r>
      <w:r>
        <w:rPr>
          <w:spacing w:val="-97"/>
        </w:rPr>
      </w:r>
      <w:r>
        <w:rPr>
          <w:spacing w:val="2"/>
        </w:rPr>
        <w:t>照该等资产的合同条款偿还所有到期金额的能力，并且与被检查资产的未来现金流量</w:t>
      </w:r>
      <w:r>
        <w:rPr>
          <w:spacing w:val="-95"/>
        </w:rPr>
        <w:t> </w:t>
      </w:r>
      <w:r>
        <w:rPr>
          <w:spacing w:val="-95"/>
        </w:rPr>
      </w:r>
      <w:r>
        <w:rPr/>
        <w:t>测算相关。</w:t>
      </w:r>
    </w:p>
    <w:p>
      <w:pPr>
        <w:spacing w:line="240" w:lineRule="auto" w:before="12"/>
        <w:rPr>
          <w:rFonts w:ascii="宋体" w:hAnsi="宋体" w:cs="宋体" w:eastAsia="宋体" w:hint="default"/>
          <w:sz w:val="31"/>
          <w:szCs w:val="31"/>
        </w:rPr>
      </w:pPr>
    </w:p>
    <w:p>
      <w:pPr>
        <w:pStyle w:val="BodyText"/>
        <w:spacing w:line="240" w:lineRule="auto" w:before="0"/>
        <w:ind w:left="602" w:right="0"/>
        <w:jc w:val="left"/>
      </w:pPr>
      <w:r>
        <w:rPr/>
        <w:t>不同组合的确定依据：</w:t>
      </w:r>
    </w:p>
    <w:p>
      <w:pPr>
        <w:spacing w:line="240" w:lineRule="auto" w:before="9"/>
        <w:rPr>
          <w:rFonts w:ascii="宋体" w:hAnsi="宋体" w:cs="宋体" w:eastAsia="宋体" w:hint="default"/>
          <w:sz w:val="18"/>
          <w:szCs w:val="18"/>
        </w:rPr>
      </w:pPr>
    </w:p>
    <w:tbl>
      <w:tblPr>
        <w:tblW w:w="0" w:type="auto"/>
        <w:jc w:val="left"/>
        <w:tblInd w:w="305" w:type="dxa"/>
        <w:tblLayout w:type="fixed"/>
        <w:tblCellMar>
          <w:top w:w="0" w:type="dxa"/>
          <w:left w:w="0" w:type="dxa"/>
          <w:bottom w:w="0" w:type="dxa"/>
          <w:right w:w="0" w:type="dxa"/>
        </w:tblCellMar>
        <w:tblLook w:val="01E0"/>
      </w:tblPr>
      <w:tblGrid>
        <w:gridCol w:w="2204"/>
        <w:gridCol w:w="235"/>
        <w:gridCol w:w="6284"/>
      </w:tblGrid>
      <w:tr>
        <w:trPr>
          <w:trHeight w:val="283" w:hRule="exact"/>
        </w:trPr>
        <w:tc>
          <w:tcPr>
            <w:tcW w:w="2204"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6284"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确定组合的依据</w:t>
            </w:r>
          </w:p>
        </w:tc>
      </w:tr>
      <w:tr>
        <w:trPr>
          <w:trHeight w:val="728" w:hRule="exact"/>
        </w:trPr>
        <w:tc>
          <w:tcPr>
            <w:tcW w:w="2204" w:type="dxa"/>
            <w:tcBorders>
              <w:top w:val="single" w:sz="4"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各账龄段</w:t>
            </w:r>
          </w:p>
        </w:tc>
        <w:tc>
          <w:tcPr>
            <w:tcW w:w="235" w:type="dxa"/>
            <w:tcBorders>
              <w:top w:val="nil" w:sz="6" w:space="0" w:color="auto"/>
              <w:left w:val="nil" w:sz="6" w:space="0" w:color="auto"/>
              <w:bottom w:val="nil" w:sz="6" w:space="0" w:color="auto"/>
              <w:right w:val="nil" w:sz="6" w:space="0" w:color="auto"/>
            </w:tcBorders>
          </w:tcPr>
          <w:p>
            <w:pPr/>
          </w:p>
        </w:tc>
        <w:tc>
          <w:tcPr>
            <w:tcW w:w="6284" w:type="dxa"/>
            <w:tcBorders>
              <w:top w:val="single" w:sz="4" w:space="0" w:color="000000"/>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4"/>
                <w:szCs w:val="24"/>
              </w:rPr>
            </w:pPr>
            <w:r>
              <w:rPr>
                <w:rFonts w:ascii="宋体" w:hAnsi="宋体" w:cs="宋体" w:eastAsia="宋体" w:hint="default"/>
                <w:sz w:val="24"/>
                <w:szCs w:val="24"/>
              </w:rPr>
              <w:t>对单项金额小于</w:t>
            </w:r>
            <w:r>
              <w:rPr>
                <w:rFonts w:ascii="宋体" w:hAnsi="宋体" w:cs="宋体" w:eastAsia="宋体" w:hint="default"/>
                <w:spacing w:val="-87"/>
                <w:sz w:val="24"/>
                <w:szCs w:val="24"/>
              </w:rPr>
              <w:t> </w:t>
            </w:r>
            <w:r>
              <w:rPr>
                <w:rFonts w:ascii="宋体" w:hAnsi="宋体" w:cs="宋体" w:eastAsia="宋体" w:hint="default"/>
                <w:sz w:val="24"/>
                <w:szCs w:val="24"/>
              </w:rPr>
              <w:t>50</w:t>
            </w:r>
            <w:r>
              <w:rPr>
                <w:rFonts w:ascii="宋体" w:hAnsi="宋体" w:cs="宋体" w:eastAsia="宋体" w:hint="default"/>
                <w:spacing w:val="-86"/>
                <w:sz w:val="24"/>
                <w:szCs w:val="24"/>
              </w:rPr>
              <w:t> </w:t>
            </w:r>
            <w:r>
              <w:rPr>
                <w:rFonts w:ascii="宋体" w:hAnsi="宋体" w:cs="宋体" w:eastAsia="宋体" w:hint="default"/>
                <w:sz w:val="24"/>
                <w:szCs w:val="24"/>
              </w:rPr>
              <w:t>万元的应收款项及经单独测试后未发生</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减值的应收款项，按账龄划分为若干组合。</w:t>
            </w:r>
          </w:p>
        </w:tc>
      </w:tr>
      <w:tr>
        <w:trPr>
          <w:trHeight w:val="379" w:hRule="exact"/>
        </w:trPr>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4"/>
                <w:szCs w:val="24"/>
              </w:rPr>
            </w:pPr>
            <w:r>
              <w:rPr>
                <w:rFonts w:ascii="宋体" w:hAnsi="宋体" w:cs="宋体" w:eastAsia="宋体" w:hint="default"/>
                <w:sz w:val="24"/>
                <w:szCs w:val="24"/>
              </w:rPr>
              <w:t>应收子公司款项</w:t>
            </w:r>
          </w:p>
        </w:tc>
        <w:tc>
          <w:tcPr>
            <w:tcW w:w="235" w:type="dxa"/>
            <w:tcBorders>
              <w:top w:val="nil" w:sz="6" w:space="0" w:color="auto"/>
              <w:left w:val="nil" w:sz="6" w:space="0" w:color="auto"/>
              <w:bottom w:val="nil" w:sz="6" w:space="0" w:color="auto"/>
              <w:right w:val="nil" w:sz="6" w:space="0" w:color="auto"/>
            </w:tcBorders>
          </w:tcPr>
          <w:p>
            <w:pPr/>
          </w:p>
        </w:tc>
        <w:tc>
          <w:tcPr>
            <w:tcW w:w="628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4"/>
                <w:szCs w:val="24"/>
              </w:rPr>
            </w:pPr>
            <w:r>
              <w:rPr>
                <w:rFonts w:ascii="宋体" w:hAnsi="宋体" w:cs="宋体" w:eastAsia="宋体" w:hint="default"/>
                <w:sz w:val="24"/>
                <w:szCs w:val="24"/>
              </w:rPr>
              <w:t>本公司所属子公司。</w:t>
            </w:r>
          </w:p>
        </w:tc>
      </w:tr>
    </w:tbl>
    <w:p>
      <w:pPr>
        <w:spacing w:line="240" w:lineRule="auto" w:before="2"/>
        <w:rPr>
          <w:rFonts w:ascii="宋体" w:hAnsi="宋体" w:cs="宋体" w:eastAsia="宋体" w:hint="default"/>
          <w:sz w:val="12"/>
          <w:szCs w:val="12"/>
        </w:rPr>
      </w:pPr>
    </w:p>
    <w:p>
      <w:pPr>
        <w:pStyle w:val="BodyText"/>
        <w:spacing w:line="290" w:lineRule="auto" w:before="26"/>
        <w:ind w:left="602" w:right="0"/>
        <w:jc w:val="left"/>
      </w:pPr>
      <w:r>
        <w:rPr>
          <w:rFonts w:ascii="Times New Roman" w:hAnsi="Times New Roman" w:cs="Times New Roman" w:eastAsia="Times New Roman" w:hint="default"/>
        </w:rPr>
        <w:t>B</w:t>
      </w:r>
      <w:r>
        <w:rPr/>
        <w:t>．根据信用风险特征组合确定的坏账准备计提方法 </w:t>
      </w:r>
      <w:r>
        <w:rPr>
          <w:spacing w:val="2"/>
        </w:rPr>
        <w:t>按组合方式实施减值测试时，坏账准备金额系根据应收款项组合结构及类似信用</w:t>
      </w:r>
    </w:p>
    <w:p>
      <w:pPr>
        <w:pStyle w:val="BodyText"/>
        <w:spacing w:line="307" w:lineRule="auto" w:before="34"/>
        <w:ind w:right="0"/>
        <w:jc w:val="left"/>
      </w:pPr>
      <w:r>
        <w:rPr>
          <w:spacing w:val="2"/>
        </w:rPr>
        <w:t>风险特征（债务人根据合同条款偿还欠款的能力）按历史损失经验及目前经济状况与</w:t>
      </w:r>
      <w:r>
        <w:rPr>
          <w:spacing w:val="-97"/>
        </w:rPr>
        <w:t> </w:t>
      </w:r>
      <w:r>
        <w:rPr>
          <w:spacing w:val="-97"/>
        </w:rPr>
      </w:r>
      <w:r>
        <w:rPr/>
        <w:t>预计应收款项组合中已经存在的损失评估确定。</w:t>
      </w:r>
    </w:p>
    <w:p>
      <w:pPr>
        <w:pStyle w:val="BodyText"/>
        <w:spacing w:line="240" w:lineRule="auto" w:before="19"/>
        <w:ind w:left="602" w:right="0"/>
        <w:jc w:val="left"/>
      </w:pPr>
      <w:r>
        <w:rPr/>
        <w:t>不同组合计提坏账准备的计提方法：</w:t>
      </w:r>
    </w:p>
    <w:p>
      <w:pPr>
        <w:spacing w:line="240" w:lineRule="auto" w:before="11"/>
        <w:rPr>
          <w:rFonts w:ascii="宋体" w:hAnsi="宋体" w:cs="宋体" w:eastAsia="宋体" w:hint="default"/>
          <w:sz w:val="8"/>
          <w:szCs w:val="8"/>
        </w:rPr>
      </w:pPr>
    </w:p>
    <w:tbl>
      <w:tblPr>
        <w:tblW w:w="0" w:type="auto"/>
        <w:jc w:val="left"/>
        <w:tblInd w:w="305" w:type="dxa"/>
        <w:tblLayout w:type="fixed"/>
        <w:tblCellMar>
          <w:top w:w="0" w:type="dxa"/>
          <w:left w:w="0" w:type="dxa"/>
          <w:bottom w:w="0" w:type="dxa"/>
          <w:right w:w="0" w:type="dxa"/>
        </w:tblCellMar>
        <w:tblLook w:val="01E0"/>
      </w:tblPr>
      <w:tblGrid>
        <w:gridCol w:w="2199"/>
        <w:gridCol w:w="238"/>
        <w:gridCol w:w="6287"/>
      </w:tblGrid>
      <w:tr>
        <w:trPr>
          <w:trHeight w:val="283" w:hRule="exact"/>
        </w:trPr>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8" w:type="dxa"/>
            <w:tcBorders>
              <w:top w:val="nil" w:sz="6" w:space="0" w:color="auto"/>
              <w:left w:val="nil" w:sz="6" w:space="0" w:color="auto"/>
              <w:bottom w:val="nil" w:sz="6" w:space="0" w:color="auto"/>
              <w:right w:val="nil" w:sz="6" w:space="0" w:color="auto"/>
            </w:tcBorders>
          </w:tcPr>
          <w:p>
            <w:pPr/>
          </w:p>
        </w:tc>
        <w:tc>
          <w:tcPr>
            <w:tcW w:w="6287"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计提方法</w:t>
            </w:r>
          </w:p>
        </w:tc>
      </w:tr>
      <w:tr>
        <w:trPr>
          <w:trHeight w:val="729" w:hRule="exact"/>
        </w:trPr>
        <w:tc>
          <w:tcPr>
            <w:tcW w:w="2199" w:type="dxa"/>
            <w:tcBorders>
              <w:top w:val="single" w:sz="4"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各账龄段</w:t>
            </w:r>
          </w:p>
        </w:tc>
        <w:tc>
          <w:tcPr>
            <w:tcW w:w="238" w:type="dxa"/>
            <w:tcBorders>
              <w:top w:val="nil" w:sz="6" w:space="0" w:color="auto"/>
              <w:left w:val="nil" w:sz="6" w:space="0" w:color="auto"/>
              <w:bottom w:val="nil" w:sz="6" w:space="0" w:color="auto"/>
              <w:right w:val="nil" w:sz="6" w:space="0" w:color="auto"/>
            </w:tcBorders>
          </w:tcPr>
          <w:p>
            <w:pPr/>
          </w:p>
        </w:tc>
        <w:tc>
          <w:tcPr>
            <w:tcW w:w="6287" w:type="dxa"/>
            <w:tcBorders>
              <w:top w:val="single" w:sz="4" w:space="0" w:color="000000"/>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pacing w:val="2"/>
                <w:sz w:val="24"/>
                <w:szCs w:val="24"/>
              </w:rPr>
              <w:t>根据应收款项账龄及坏账准备计提比例确定减值损失，计</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提坏账准备。</w:t>
            </w:r>
          </w:p>
        </w:tc>
      </w:tr>
      <w:tr>
        <w:trPr>
          <w:trHeight w:val="37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4"/>
                <w:szCs w:val="24"/>
              </w:rPr>
            </w:pPr>
            <w:r>
              <w:rPr>
                <w:rFonts w:ascii="宋体" w:hAnsi="宋体" w:cs="宋体" w:eastAsia="宋体" w:hint="default"/>
                <w:sz w:val="24"/>
                <w:szCs w:val="24"/>
              </w:rPr>
              <w:t>应收子公司款项</w:t>
            </w:r>
          </w:p>
        </w:tc>
        <w:tc>
          <w:tcPr>
            <w:tcW w:w="238" w:type="dxa"/>
            <w:tcBorders>
              <w:top w:val="nil" w:sz="6" w:space="0" w:color="auto"/>
              <w:left w:val="nil" w:sz="6" w:space="0" w:color="auto"/>
              <w:bottom w:val="nil" w:sz="6" w:space="0" w:color="auto"/>
              <w:right w:val="nil" w:sz="6" w:space="0" w:color="auto"/>
            </w:tcBorders>
          </w:tcPr>
          <w:p>
            <w:pPr/>
          </w:p>
        </w:tc>
        <w:tc>
          <w:tcPr>
            <w:tcW w:w="628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4"/>
                <w:szCs w:val="24"/>
              </w:rPr>
            </w:pPr>
            <w:r>
              <w:rPr>
                <w:rFonts w:ascii="宋体" w:hAnsi="宋体" w:cs="宋体" w:eastAsia="宋体" w:hint="default"/>
                <w:sz w:val="24"/>
                <w:szCs w:val="24"/>
              </w:rPr>
              <w:t>不计提坏账准备。</w:t>
            </w:r>
          </w:p>
        </w:tc>
      </w:tr>
    </w:tbl>
    <w:p>
      <w:pPr>
        <w:spacing w:line="240" w:lineRule="auto" w:before="6"/>
        <w:rPr>
          <w:rFonts w:ascii="宋体" w:hAnsi="宋体" w:cs="宋体" w:eastAsia="宋体" w:hint="default"/>
          <w:sz w:val="6"/>
          <w:szCs w:val="6"/>
        </w:rPr>
      </w:pPr>
    </w:p>
    <w:p>
      <w:pPr>
        <w:pStyle w:val="BodyText"/>
        <w:spacing w:line="240" w:lineRule="auto" w:before="26"/>
        <w:ind w:left="605" w:right="0"/>
        <w:jc w:val="left"/>
      </w:pPr>
      <w:r>
        <w:rPr/>
        <w:t>组合中，采用账龄分析法计提坏账准备的组合计提方法</w:t>
      </w:r>
    </w:p>
    <w:p>
      <w:pPr>
        <w:spacing w:line="240" w:lineRule="auto" w:before="9"/>
        <w:rPr>
          <w:rFonts w:ascii="宋体" w:hAnsi="宋体" w:cs="宋体" w:eastAsia="宋体" w:hint="default"/>
          <w:sz w:val="18"/>
          <w:szCs w:val="18"/>
        </w:rPr>
      </w:pPr>
    </w:p>
    <w:tbl>
      <w:tblPr>
        <w:tblW w:w="0" w:type="auto"/>
        <w:jc w:val="left"/>
        <w:tblInd w:w="192" w:type="dxa"/>
        <w:tblLayout w:type="fixed"/>
        <w:tblCellMar>
          <w:top w:w="0" w:type="dxa"/>
          <w:left w:w="0" w:type="dxa"/>
          <w:bottom w:w="0" w:type="dxa"/>
          <w:right w:w="0" w:type="dxa"/>
        </w:tblCellMar>
        <w:tblLook w:val="01E0"/>
      </w:tblPr>
      <w:tblGrid>
        <w:gridCol w:w="2957"/>
        <w:gridCol w:w="233"/>
        <w:gridCol w:w="2880"/>
        <w:gridCol w:w="110"/>
        <w:gridCol w:w="2770"/>
      </w:tblGrid>
      <w:tr>
        <w:trPr>
          <w:trHeight w:val="283" w:hRule="exact"/>
        </w:trPr>
        <w:tc>
          <w:tcPr>
            <w:tcW w:w="2957" w:type="dxa"/>
            <w:tcBorders>
              <w:top w:val="nil" w:sz="6" w:space="0" w:color="auto"/>
              <w:left w:val="nil" w:sz="6" w:space="0" w:color="auto"/>
              <w:bottom w:val="single" w:sz="4" w:space="0" w:color="000000"/>
              <w:right w:val="nil" w:sz="6" w:space="0" w:color="auto"/>
            </w:tcBorders>
          </w:tcPr>
          <w:p>
            <w:pPr>
              <w:pStyle w:val="TableParagraph"/>
              <w:tabs>
                <w:tab w:pos="479" w:val="left" w:leader="none"/>
              </w:tabs>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账</w:t>
              <w:tab/>
              <w:t>龄</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r>
              <w:rPr>
                <w:rFonts w:ascii="宋体" w:hAnsi="宋体" w:cs="宋体" w:eastAsia="宋体" w:hint="default"/>
                <w:sz w:val="24"/>
                <w:szCs w:val="24"/>
              </w:rPr>
              <w:t>）</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single" w:sz="4" w:space="0" w:color="000000"/>
              <w:right w:val="nil" w:sz="6" w:space="0" w:color="auto"/>
            </w:tcBorders>
          </w:tcPr>
          <w:p>
            <w:pPr>
              <w:pStyle w:val="TableParagraph"/>
              <w:spacing w:line="240" w:lineRule="exact"/>
              <w:ind w:left="28" w:right="0"/>
              <w:jc w:val="center"/>
              <w:rPr>
                <w:rFonts w:ascii="宋体" w:hAnsi="宋体" w:cs="宋体" w:eastAsia="宋体" w:hint="default"/>
                <w:sz w:val="24"/>
                <w:szCs w:val="24"/>
              </w:rPr>
            </w:pPr>
            <w:r>
              <w:rPr>
                <w:rFonts w:ascii="宋体" w:hAnsi="宋体" w:cs="宋体" w:eastAsia="宋体" w:hint="default"/>
                <w:spacing w:val="-2"/>
                <w:sz w:val="24"/>
                <w:szCs w:val="24"/>
              </w:rPr>
              <w:t>其他应收款计提比例（</w:t>
            </w:r>
            <w:r>
              <w:rPr>
                <w:rFonts w:ascii="宋体" w:hAnsi="宋体" w:cs="宋体" w:eastAsia="宋体" w:hint="default"/>
                <w:spacing w:val="-2"/>
                <w:sz w:val="24"/>
                <w:szCs w:val="24"/>
              </w:rPr>
              <w:t>%</w:t>
            </w:r>
            <w:r>
              <w:rPr>
                <w:rFonts w:ascii="宋体" w:hAnsi="宋体" w:cs="宋体" w:eastAsia="宋体" w:hint="default"/>
                <w:spacing w:val="-2"/>
                <w:sz w:val="24"/>
                <w:szCs w:val="24"/>
              </w:rPr>
              <w:t>）</w:t>
            </w:r>
          </w:p>
        </w:tc>
      </w:tr>
      <w:tr>
        <w:trPr>
          <w:trHeight w:val="313" w:hRule="exact"/>
        </w:trPr>
        <w:tc>
          <w:tcPr>
            <w:tcW w:w="2957" w:type="dxa"/>
            <w:tcBorders>
              <w:top w:val="single" w:sz="4" w:space="0" w:color="000000"/>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年，下同）</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4"/>
                <w:szCs w:val="24"/>
              </w:rPr>
            </w:pPr>
            <w:r>
              <w:rPr>
                <w:rFonts w:ascii="宋体"/>
                <w:sz w:val="24"/>
              </w:rPr>
              <w:t>5</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single" w:sz="4" w:space="0" w:color="000000"/>
              <w:left w:val="nil" w:sz="6" w:space="0" w:color="auto"/>
              <w:bottom w:val="nil" w:sz="6" w:space="0" w:color="auto"/>
              <w:right w:val="nil" w:sz="6" w:space="0" w:color="auto"/>
            </w:tcBorders>
          </w:tcPr>
          <w:p>
            <w:pPr>
              <w:pStyle w:val="TableParagraph"/>
              <w:spacing w:line="274" w:lineRule="exact"/>
              <w:ind w:right="88"/>
              <w:jc w:val="center"/>
              <w:rPr>
                <w:rFonts w:ascii="宋体" w:hAnsi="宋体" w:cs="宋体" w:eastAsia="宋体" w:hint="default"/>
                <w:sz w:val="24"/>
                <w:szCs w:val="24"/>
              </w:rPr>
            </w:pPr>
            <w:r>
              <w:rPr>
                <w:rFonts w:ascii="宋体"/>
                <w:sz w:val="24"/>
              </w:rPr>
              <w:t>5</w:t>
            </w:r>
          </w:p>
        </w:tc>
      </w:tr>
      <w:tr>
        <w:trPr>
          <w:trHeight w:val="311"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75" w:lineRule="exact"/>
              <w:ind w:left="28"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75" w:lineRule="exact"/>
              <w:ind w:right="0"/>
              <w:jc w:val="center"/>
              <w:rPr>
                <w:rFonts w:ascii="宋体" w:hAnsi="宋体" w:cs="宋体" w:eastAsia="宋体" w:hint="default"/>
                <w:sz w:val="24"/>
                <w:szCs w:val="24"/>
              </w:rPr>
            </w:pPr>
            <w:r>
              <w:rPr>
                <w:rFonts w:ascii="宋体"/>
                <w:sz w:val="24"/>
              </w:rPr>
              <w:t>10</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75" w:lineRule="exact"/>
              <w:ind w:right="88"/>
              <w:jc w:val="center"/>
              <w:rPr>
                <w:rFonts w:ascii="宋体" w:hAnsi="宋体" w:cs="宋体" w:eastAsia="宋体" w:hint="default"/>
                <w:sz w:val="24"/>
                <w:szCs w:val="24"/>
              </w:rPr>
            </w:pPr>
            <w:r>
              <w:rPr>
                <w:rFonts w:ascii="宋体"/>
                <w:sz w:val="24"/>
              </w:rPr>
              <w:t>10</w:t>
            </w:r>
          </w:p>
        </w:tc>
      </w:tr>
      <w:tr>
        <w:trPr>
          <w:trHeight w:val="312"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76" w:lineRule="exact"/>
              <w:ind w:left="28"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76" w:lineRule="exact"/>
              <w:ind w:right="0"/>
              <w:jc w:val="center"/>
              <w:rPr>
                <w:rFonts w:ascii="宋体" w:hAnsi="宋体" w:cs="宋体" w:eastAsia="宋体" w:hint="default"/>
                <w:sz w:val="24"/>
                <w:szCs w:val="24"/>
              </w:rPr>
            </w:pPr>
            <w:r>
              <w:rPr>
                <w:rFonts w:ascii="宋体"/>
                <w:sz w:val="24"/>
              </w:rPr>
              <w:t>20</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76" w:lineRule="exact"/>
              <w:ind w:right="88"/>
              <w:jc w:val="center"/>
              <w:rPr>
                <w:rFonts w:ascii="宋体" w:hAnsi="宋体" w:cs="宋体" w:eastAsia="宋体" w:hint="default"/>
                <w:sz w:val="24"/>
                <w:szCs w:val="24"/>
              </w:rPr>
            </w:pPr>
            <w:r>
              <w:rPr>
                <w:rFonts w:ascii="宋体"/>
                <w:sz w:val="24"/>
              </w:rPr>
              <w:t>20</w:t>
            </w:r>
          </w:p>
        </w:tc>
      </w:tr>
      <w:tr>
        <w:trPr>
          <w:trHeight w:val="276"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76" w:lineRule="exact"/>
              <w:ind w:left="28"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3"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nil" w:sz="6" w:space="0" w:color="auto"/>
              <w:right w:val="nil" w:sz="6" w:space="0" w:color="auto"/>
            </w:tcBorders>
          </w:tcPr>
          <w:p>
            <w:pPr>
              <w:pStyle w:val="TableParagraph"/>
              <w:spacing w:line="276" w:lineRule="exact"/>
              <w:ind w:right="0"/>
              <w:jc w:val="center"/>
              <w:rPr>
                <w:rFonts w:ascii="宋体" w:hAnsi="宋体" w:cs="宋体" w:eastAsia="宋体" w:hint="default"/>
                <w:sz w:val="24"/>
                <w:szCs w:val="24"/>
              </w:rPr>
            </w:pPr>
            <w:r>
              <w:rPr>
                <w:rFonts w:ascii="宋体"/>
                <w:sz w:val="24"/>
              </w:rPr>
              <w:t>50</w:t>
            </w:r>
          </w:p>
        </w:tc>
        <w:tc>
          <w:tcPr>
            <w:tcW w:w="110"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76" w:lineRule="exact"/>
              <w:ind w:right="88"/>
              <w:jc w:val="center"/>
              <w:rPr>
                <w:rFonts w:ascii="宋体" w:hAnsi="宋体" w:cs="宋体" w:eastAsia="宋体" w:hint="default"/>
                <w:sz w:val="24"/>
                <w:szCs w:val="24"/>
              </w:rPr>
            </w:pPr>
            <w:r>
              <w:rPr>
                <w:rFonts w:ascii="宋体"/>
                <w:sz w:val="24"/>
              </w:rPr>
              <w:t>50</w:t>
            </w:r>
          </w:p>
        </w:tc>
      </w:tr>
    </w:tbl>
    <w:p>
      <w:pPr>
        <w:spacing w:after="0" w:line="276" w:lineRule="exact"/>
        <w:jc w:val="center"/>
        <w:rPr>
          <w:rFonts w:ascii="宋体" w:hAnsi="宋体" w:cs="宋体" w:eastAsia="宋体" w:hint="default"/>
          <w:sz w:val="24"/>
          <w:szCs w:val="24"/>
        </w:rPr>
        <w:sectPr>
          <w:pgSz w:w="11910" w:h="16840"/>
          <w:pgMar w:header="928" w:footer="1153" w:top="1260" w:bottom="1340" w:left="15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304" w:lineRule="auto" w:before="26"/>
        <w:ind w:left="602" w:right="0"/>
        <w:jc w:val="left"/>
      </w:pPr>
      <w:r>
        <w:rPr>
          <w:rFonts w:ascii="宋体" w:hAnsi="宋体" w:cs="宋体" w:eastAsia="宋体" w:hint="default"/>
        </w:rPr>
        <w:t>③</w:t>
      </w:r>
      <w:r>
        <w:rPr/>
        <w:t>单项金额虽不重大但单项计提坏账准备的应收款项 </w:t>
      </w:r>
      <w:r>
        <w:rPr>
          <w:spacing w:val="2"/>
        </w:rPr>
        <w:t>本集团对于单项金额虽不重大但具备以下特征的应收款项，单独进行减值测试，</w:t>
      </w:r>
    </w:p>
    <w:p>
      <w:pPr>
        <w:pStyle w:val="BodyText"/>
        <w:spacing w:line="304" w:lineRule="auto"/>
        <w:ind w:right="1292"/>
        <w:jc w:val="both"/>
      </w:pPr>
      <w:r>
        <w:rPr>
          <w:spacing w:val="2"/>
        </w:rPr>
        <w:t>有客观证据表明其发生了减值的，根据其未来现金流量现值低于其账面价值的差额，</w:t>
      </w:r>
      <w:r>
        <w:rPr>
          <w:spacing w:val="-97"/>
        </w:rPr>
        <w:t> </w:t>
      </w:r>
      <w:r>
        <w:rPr>
          <w:spacing w:val="-97"/>
        </w:rPr>
      </w:r>
      <w:r>
        <w:rPr>
          <w:spacing w:val="2"/>
        </w:rPr>
        <w:t>确认减值损失，计提坏账准备：与对方存在争议或涉及诉讼、仲裁的应收款项；已有</w:t>
      </w:r>
      <w:r>
        <w:rPr>
          <w:spacing w:val="-97"/>
        </w:rPr>
        <w:t> </w:t>
      </w:r>
      <w:r>
        <w:rPr>
          <w:spacing w:val="-97"/>
        </w:rPr>
      </w:r>
      <w:r>
        <w:rPr/>
        <w:t>明显迹象表明债务人很可能无法履行还款义务的应收款项等。</w:t>
      </w:r>
    </w:p>
    <w:p>
      <w:pPr>
        <w:pStyle w:val="BodyText"/>
        <w:tabs>
          <w:tab w:pos="1082" w:val="left" w:leader="none"/>
        </w:tabs>
        <w:spacing w:line="307" w:lineRule="auto"/>
        <w:ind w:left="602" w:right="1296"/>
        <w:jc w:val="left"/>
      </w:pPr>
      <w:r>
        <w:rPr/>
        <w:t>⑶</w:t>
        <w:tab/>
        <w:t>坏账准备的转回 </w:t>
      </w:r>
      <w:r>
        <w:rPr>
          <w:spacing w:val="2"/>
        </w:rPr>
        <w:t>如有客观证据表明该应收款项价值已恢复，且客观上与确认该损失后发生的事项</w:t>
      </w:r>
    </w:p>
    <w:p>
      <w:pPr>
        <w:pStyle w:val="BodyText"/>
        <w:spacing w:line="307" w:lineRule="auto" w:before="17"/>
        <w:ind w:right="0"/>
        <w:jc w:val="left"/>
      </w:pPr>
      <w:r>
        <w:rPr>
          <w:spacing w:val="2"/>
        </w:rPr>
        <w:t>有关，原确认的减值损失予以转回，计入当期损益。但是，该转回后的账面价值不超</w:t>
      </w:r>
      <w:r>
        <w:rPr>
          <w:spacing w:val="-97"/>
        </w:rPr>
        <w:t> </w:t>
      </w:r>
      <w:r>
        <w:rPr>
          <w:spacing w:val="-97"/>
        </w:rPr>
      </w:r>
      <w:r>
        <w:rPr/>
        <w:t>过假定不计提减值准备情况下该应收款项在转回日的摊余成本。</w:t>
      </w:r>
    </w:p>
    <w:p>
      <w:pPr>
        <w:pStyle w:val="Heading3"/>
        <w:spacing w:line="361" w:lineRule="exact"/>
        <w:ind w:left="655" w:right="0"/>
        <w:jc w:val="left"/>
        <w:rPr>
          <w:b w:val="0"/>
          <w:bCs w:val="0"/>
        </w:rPr>
      </w:pPr>
      <w:r>
        <w:rPr>
          <w:rFonts w:ascii="Trebuchet MS" w:hAnsi="Trebuchet MS" w:cs="Trebuchet MS" w:eastAsia="Trebuchet MS" w:hint="default"/>
          <w:spacing w:val="3"/>
        </w:rPr>
        <w:t>9</w:t>
      </w:r>
      <w:r>
        <w:rPr>
          <w:spacing w:val="3"/>
        </w:rPr>
        <w:t>、存货</w:t>
      </w:r>
      <w:r>
        <w:rPr>
          <w:b w:val="0"/>
          <w:bCs w:val="0"/>
        </w:rPr>
      </w:r>
    </w:p>
    <w:p>
      <w:pPr>
        <w:pStyle w:val="BodyText"/>
        <w:tabs>
          <w:tab w:pos="1082" w:val="left" w:leader="none"/>
        </w:tabs>
        <w:spacing w:line="307" w:lineRule="auto" w:before="57"/>
        <w:ind w:left="1022" w:right="1282" w:hanging="420"/>
        <w:jc w:val="left"/>
      </w:pPr>
      <w:r>
        <w:rPr/>
        <w:t>⑴</w:t>
        <w:tab/>
        <w:tab/>
        <w:t>存货的分类 </w:t>
      </w:r>
      <w:r>
        <w:rPr>
          <w:spacing w:val="-2"/>
        </w:rPr>
        <w:t>存货主要包括原材料、辅助材料、低值易耗品、在产品、库存商品、委托加工</w:t>
      </w:r>
    </w:p>
    <w:p>
      <w:pPr>
        <w:pStyle w:val="BodyText"/>
        <w:spacing w:line="240" w:lineRule="auto" w:before="19"/>
        <w:ind w:left="542" w:right="0"/>
        <w:jc w:val="left"/>
        <w:rPr>
          <w:rFonts w:ascii="宋体" w:hAnsi="宋体" w:cs="宋体" w:eastAsia="宋体" w:hint="default"/>
        </w:rPr>
      </w:pPr>
      <w:r>
        <w:rPr/>
        <w:t>物资等</w:t>
      </w:r>
      <w:r>
        <w:rPr>
          <w:rFonts w:ascii="宋体" w:hAnsi="宋体" w:cs="宋体" w:eastAsia="宋体" w:hint="default"/>
        </w:rPr>
        <w:t>。</w:t>
      </w:r>
    </w:p>
    <w:p>
      <w:pPr>
        <w:pStyle w:val="BodyText"/>
        <w:tabs>
          <w:tab w:pos="1082" w:val="left" w:leader="none"/>
        </w:tabs>
        <w:spacing w:line="307" w:lineRule="auto" w:before="204"/>
        <w:ind w:left="602" w:right="1296"/>
        <w:jc w:val="left"/>
      </w:pPr>
      <w:r>
        <w:rPr/>
        <w:t>⑵</w:t>
        <w:tab/>
        <w:t>存货取得和发出的计价方法 </w:t>
      </w:r>
      <w:r>
        <w:rPr>
          <w:spacing w:val="2"/>
        </w:rPr>
        <w:t>存货在取得时按实际成本计价，存货成本包括采购成本、加工成本和其他成本。</w:t>
      </w:r>
    </w:p>
    <w:p>
      <w:pPr>
        <w:pStyle w:val="BodyText"/>
        <w:spacing w:line="304" w:lineRule="auto" w:before="19"/>
        <w:ind w:right="0"/>
        <w:jc w:val="left"/>
      </w:pPr>
      <w:r>
        <w:rPr>
          <w:spacing w:val="2"/>
        </w:rPr>
        <w:t>领用和发出时按加权平均法计价；原材料以计划成本核算，对原材料的计划成本和实</w:t>
      </w:r>
      <w:r>
        <w:rPr>
          <w:spacing w:val="-89"/>
        </w:rPr>
        <w:t> </w:t>
      </w:r>
      <w:r>
        <w:rPr>
          <w:spacing w:val="-89"/>
        </w:rPr>
      </w:r>
      <w:r>
        <w:rPr>
          <w:spacing w:val="-1"/>
        </w:rPr>
        <w:t>际成本之间的差异，通过成本差异科目核算，并按期结转发出存货应负担的成本差异，</w:t>
      </w:r>
      <w:r>
        <w:rPr>
          <w:spacing w:val="-88"/>
        </w:rPr>
        <w:t> </w:t>
      </w:r>
      <w:r>
        <w:rPr>
          <w:spacing w:val="-88"/>
        </w:rPr>
      </w:r>
      <w:r>
        <w:rPr/>
        <w:t>将计划成本调整为实际成本。</w:t>
      </w:r>
    </w:p>
    <w:p>
      <w:pPr>
        <w:pStyle w:val="BodyText"/>
        <w:tabs>
          <w:tab w:pos="1082" w:val="left" w:leader="none"/>
        </w:tabs>
        <w:spacing w:line="304" w:lineRule="auto"/>
        <w:ind w:left="602" w:right="1296"/>
        <w:jc w:val="left"/>
      </w:pPr>
      <w:r>
        <w:rPr/>
        <w:t>⑶</w:t>
        <w:tab/>
        <w:t>存货可变现净值的确认和跌价准备的计提方法 </w:t>
      </w:r>
      <w:r>
        <w:rPr>
          <w:spacing w:val="2"/>
        </w:rPr>
        <w:t>可变现净值是指在日常活动中，存货的估计售价减去至完工时估计将要发生的成</w:t>
      </w:r>
    </w:p>
    <w:p>
      <w:pPr>
        <w:pStyle w:val="BodyText"/>
        <w:spacing w:line="307" w:lineRule="auto"/>
        <w:ind w:right="0"/>
        <w:jc w:val="left"/>
      </w:pPr>
      <w:r>
        <w:rPr>
          <w:spacing w:val="2"/>
        </w:rPr>
        <w:t>本、估计的销售费用以及相关税费后的金额。在确定存货的可变现净值时，以取得的</w:t>
      </w:r>
      <w:r>
        <w:rPr>
          <w:spacing w:val="-97"/>
        </w:rPr>
        <w:t> </w:t>
      </w:r>
      <w:r>
        <w:rPr>
          <w:spacing w:val="-97"/>
        </w:rPr>
      </w:r>
      <w:r>
        <w:rPr/>
        <w:t>确凿证据为基础，同时考虑持有存货的目的以及资产负债表日后事项的影响。</w:t>
      </w:r>
    </w:p>
    <w:p>
      <w:pPr>
        <w:pStyle w:val="BodyText"/>
        <w:spacing w:line="307" w:lineRule="auto" w:before="17"/>
        <w:ind w:right="1292" w:firstLine="479"/>
        <w:jc w:val="both"/>
      </w:pPr>
      <w:r>
        <w:rPr>
          <w:spacing w:val="2"/>
        </w:rPr>
        <w:t>在资产负债表日，存货按照成本与可变现净值孰低计量。当其可变现净值低于成</w:t>
      </w:r>
      <w:r>
        <w:rPr/>
        <w:t> </w:t>
      </w:r>
      <w:r>
        <w:rPr>
          <w:spacing w:val="2"/>
        </w:rPr>
        <w:t>本时，提取存货跌价准备。存货跌价准备按单个存货项目的成本高于其可变现净值的</w:t>
      </w:r>
      <w:r>
        <w:rPr>
          <w:spacing w:val="-97"/>
        </w:rPr>
        <w:t> </w:t>
      </w:r>
      <w:r>
        <w:rPr>
          <w:spacing w:val="-97"/>
        </w:rPr>
      </w:r>
      <w:r>
        <w:rPr/>
        <w:t>差额提取。</w:t>
      </w:r>
    </w:p>
    <w:p>
      <w:pPr>
        <w:pStyle w:val="BodyText"/>
        <w:spacing w:line="307" w:lineRule="auto" w:before="17"/>
        <w:ind w:right="1292" w:firstLine="479"/>
        <w:jc w:val="both"/>
      </w:pPr>
      <w:r>
        <w:rPr>
          <w:spacing w:val="2"/>
        </w:rPr>
        <w:t>计提存货跌价准备后，如果以前减记存货价值的影响因素已经消失，导致存货的</w:t>
      </w:r>
      <w:r>
        <w:rPr/>
        <w:t> </w:t>
      </w:r>
      <w:r>
        <w:rPr>
          <w:spacing w:val="2"/>
        </w:rPr>
        <w:t>可变现净值高于其账面价值的，在原已计提的存货跌价准备金额内予以转回，转回的</w:t>
      </w:r>
      <w:r>
        <w:rPr>
          <w:spacing w:val="-97"/>
        </w:rPr>
        <w:t> </w:t>
      </w:r>
      <w:r>
        <w:rPr>
          <w:spacing w:val="-97"/>
        </w:rPr>
      </w:r>
      <w:r>
        <w:rPr/>
        <w:t>金额计入当期损益。</w:t>
      </w:r>
    </w:p>
    <w:p>
      <w:pPr>
        <w:pStyle w:val="BodyText"/>
        <w:tabs>
          <w:tab w:pos="1082" w:val="left" w:leader="none"/>
        </w:tabs>
        <w:spacing w:line="240" w:lineRule="auto" w:before="17"/>
        <w:ind w:left="602" w:right="0"/>
        <w:jc w:val="left"/>
      </w:pPr>
      <w:r>
        <w:rPr/>
        <w:t>⑷</w:t>
        <w:tab/>
        <w:t>存货的盘存制度为永续盘存制。</w:t>
      </w:r>
    </w:p>
    <w:p>
      <w:pPr>
        <w:pStyle w:val="BodyText"/>
        <w:tabs>
          <w:tab w:pos="1082" w:val="left" w:leader="none"/>
        </w:tabs>
        <w:spacing w:line="240" w:lineRule="auto" w:before="86"/>
        <w:ind w:left="602" w:right="0"/>
        <w:jc w:val="left"/>
      </w:pPr>
      <w:r>
        <w:rPr/>
        <w:t>⑸</w:t>
        <w:tab/>
        <w:t>低值易耗品和包装物的摊销方法</w:t>
      </w:r>
    </w:p>
    <w:p>
      <w:pPr>
        <w:tabs>
          <w:tab w:pos="1382" w:val="left" w:leader="none"/>
        </w:tabs>
        <w:spacing w:line="247" w:lineRule="auto" w:before="86"/>
        <w:ind w:left="655" w:right="1641" w:hanging="5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低值易耗品于领用时按一次摊销法摊销；包装物于领用时按一次摊销法摊销。 </w:t>
      </w:r>
      <w:r>
        <w:rPr>
          <w:rFonts w:ascii="Trebuchet MS" w:hAnsi="Trebuchet MS" w:cs="Trebuchet MS" w:eastAsia="Trebuchet MS" w:hint="default"/>
          <w:b/>
          <w:bCs/>
          <w:w w:val="90"/>
          <w:sz w:val="24"/>
          <w:szCs w:val="24"/>
        </w:rPr>
        <w:t>10</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sz w:val="24"/>
          <w:szCs w:val="24"/>
        </w:rPr>
      </w:r>
    </w:p>
    <w:p>
      <w:pPr>
        <w:pStyle w:val="BodyText"/>
        <w:tabs>
          <w:tab w:pos="1082" w:val="left" w:leader="none"/>
        </w:tabs>
        <w:spacing w:line="240" w:lineRule="auto" w:before="49"/>
        <w:ind w:left="602" w:right="0"/>
        <w:jc w:val="left"/>
      </w:pPr>
      <w:r>
        <w:rPr/>
        <w:t>⑴</w:t>
        <w:tab/>
        <w:t>投资成本的确定</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4" w:lineRule="auto" w:before="26"/>
        <w:ind w:right="1285" w:firstLine="479"/>
        <w:jc w:val="both"/>
      </w:pPr>
      <w:r>
        <w:rPr>
          <w:spacing w:val="2"/>
        </w:rPr>
        <w:t>对于企业合并形成的长期股权投资，如为同一控制下的企业合并取得的长期股权</w:t>
      </w:r>
      <w:r>
        <w:rPr/>
        <w:t> </w:t>
      </w:r>
      <w:r>
        <w:rPr>
          <w:spacing w:val="2"/>
        </w:rPr>
        <w:t>投资，在合并日按照取得被合并方股东权益账面价值的份额作为初始投资成本；通过</w:t>
      </w:r>
      <w:r>
        <w:rPr>
          <w:spacing w:val="-97"/>
        </w:rPr>
        <w:t> </w:t>
      </w:r>
      <w:r>
        <w:rPr>
          <w:spacing w:val="-97"/>
        </w:rPr>
      </w:r>
      <w:r>
        <w:rPr>
          <w:spacing w:val="2"/>
        </w:rPr>
        <w:t>非同一控制下的企业合并取得的长期股权投资，购买方应该按照确定的企业合并成本</w:t>
      </w:r>
      <w:r>
        <w:rPr>
          <w:spacing w:val="-97"/>
        </w:rPr>
        <w:t> </w:t>
      </w:r>
      <w:r>
        <w:rPr>
          <w:spacing w:val="-97"/>
        </w:rPr>
      </w:r>
      <w:r>
        <w:rPr>
          <w:spacing w:val="2"/>
        </w:rPr>
        <w:t>作为长期股权投资的初始投资成本。企业合并成本包括购买方付出的资产、发生或承</w:t>
      </w:r>
      <w:r>
        <w:rPr>
          <w:spacing w:val="-97"/>
        </w:rPr>
        <w:t> </w:t>
      </w:r>
      <w:r>
        <w:rPr>
          <w:spacing w:val="-97"/>
        </w:rPr>
      </w:r>
      <w:r>
        <w:rPr>
          <w:spacing w:val="2"/>
        </w:rPr>
        <w:t>担的负债、发行的权益性证券的公允价值之和。购买方为企业合并发生的审计、法律</w:t>
      </w:r>
      <w:r>
        <w:rPr>
          <w:spacing w:val="-97"/>
        </w:rPr>
        <w:t> </w:t>
      </w:r>
      <w:r>
        <w:rPr>
          <w:spacing w:val="-97"/>
        </w:rPr>
      </w:r>
      <w:r>
        <w:rPr>
          <w:spacing w:val="2"/>
        </w:rPr>
        <w:t>服务、评估咨询等中介费用以及其他相关管理费用，应当于发生时计入当期损益；购</w:t>
      </w:r>
      <w:r>
        <w:rPr>
          <w:spacing w:val="-97"/>
        </w:rPr>
        <w:t> </w:t>
      </w:r>
      <w:r>
        <w:rPr>
          <w:spacing w:val="-97"/>
        </w:rPr>
      </w:r>
      <w:r>
        <w:rPr>
          <w:spacing w:val="2"/>
        </w:rPr>
        <w:t>买方作为合并对价发行的权益性证券或债务性证券的交易费用，应当计入权益性证券</w:t>
      </w:r>
      <w:r>
        <w:rPr>
          <w:spacing w:val="-90"/>
        </w:rPr>
        <w:t> </w:t>
      </w:r>
      <w:r>
        <w:rPr>
          <w:spacing w:val="-90"/>
        </w:rPr>
      </w:r>
      <w:r>
        <w:rPr/>
        <w:t>或债务性证券的初始确认金额。</w:t>
      </w:r>
    </w:p>
    <w:p>
      <w:pPr>
        <w:pStyle w:val="BodyText"/>
        <w:spacing w:line="304" w:lineRule="auto" w:before="19"/>
        <w:ind w:right="1287" w:firstLine="479"/>
        <w:jc w:val="both"/>
      </w:pPr>
      <w:r>
        <w:rPr>
          <w:spacing w:val="2"/>
        </w:rPr>
        <w:t>除企业合并形成的长期股权投资外的其他股权投资，按成本进行初始计量，该成</w:t>
      </w:r>
      <w:r>
        <w:rPr/>
        <w:t> </w:t>
      </w:r>
      <w:r>
        <w:rPr>
          <w:spacing w:val="2"/>
        </w:rPr>
        <w:t>本视长期股权投资取得方式的不同，分别按照本集团实际支付的现金购买价款、本集</w:t>
      </w:r>
      <w:r>
        <w:rPr>
          <w:spacing w:val="-97"/>
        </w:rPr>
        <w:t> </w:t>
      </w:r>
      <w:r>
        <w:rPr>
          <w:spacing w:val="-97"/>
        </w:rPr>
      </w:r>
      <w:r>
        <w:rPr>
          <w:spacing w:val="2"/>
        </w:rPr>
        <w:t>团发行的权益性证券的公允价值、投资合同或协议约定的价值、非货币性资产交换交</w:t>
      </w:r>
      <w:r>
        <w:rPr>
          <w:spacing w:val="-97"/>
        </w:rPr>
        <w:t> </w:t>
      </w:r>
      <w:r>
        <w:rPr>
          <w:spacing w:val="-97"/>
        </w:rPr>
      </w:r>
      <w:r>
        <w:rPr>
          <w:spacing w:val="2"/>
        </w:rPr>
        <w:t>易中换出资产的公允价值或原账面价值、该项长期股权投资自身的公允价值等方式确</w:t>
      </w:r>
      <w:r>
        <w:rPr>
          <w:spacing w:val="-97"/>
        </w:rPr>
        <w:t> </w:t>
      </w:r>
      <w:r>
        <w:rPr>
          <w:spacing w:val="-97"/>
        </w:rPr>
      </w:r>
      <w:r>
        <w:rPr/>
        <w:t>定。与取得长期股权投资直接相关的费用、税金及其他必要支出也计入投资成本。</w:t>
      </w:r>
    </w:p>
    <w:p>
      <w:pPr>
        <w:pStyle w:val="BodyText"/>
        <w:tabs>
          <w:tab w:pos="1082" w:val="left" w:leader="none"/>
        </w:tabs>
        <w:spacing w:line="304" w:lineRule="auto"/>
        <w:ind w:left="602" w:right="1296"/>
        <w:jc w:val="left"/>
      </w:pPr>
      <w:r>
        <w:rPr/>
        <w:t>⑵</w:t>
        <w:tab/>
        <w:t>后续计量及损益确认方法 </w:t>
      </w:r>
      <w:r>
        <w:rPr>
          <w:spacing w:val="2"/>
        </w:rPr>
        <w:t>对被投资单位不具有共同控制或重大影响并且在活跃市场中没有报价、公允价值</w:t>
      </w:r>
    </w:p>
    <w:p>
      <w:pPr>
        <w:pStyle w:val="BodyText"/>
        <w:spacing w:line="304" w:lineRule="auto"/>
        <w:ind w:right="1292"/>
        <w:jc w:val="both"/>
      </w:pPr>
      <w:r>
        <w:rPr>
          <w:spacing w:val="2"/>
        </w:rPr>
        <w:t>不能可靠计量的长期股权投资，采用成本法核算；对被投资单位具有共同控制或重大</w:t>
      </w:r>
      <w:r>
        <w:rPr>
          <w:spacing w:val="-97"/>
        </w:rPr>
        <w:t> </w:t>
      </w:r>
      <w:r>
        <w:rPr>
          <w:spacing w:val="-97"/>
        </w:rPr>
      </w:r>
      <w:r>
        <w:rPr>
          <w:spacing w:val="2"/>
        </w:rPr>
        <w:t>影响的长期股权投资，采用权益法核算；对被投资单位不具有控制、共同控制或重大</w:t>
      </w:r>
      <w:r>
        <w:rPr>
          <w:spacing w:val="-97"/>
        </w:rPr>
        <w:t> </w:t>
      </w:r>
      <w:r>
        <w:rPr>
          <w:spacing w:val="-97"/>
        </w:rPr>
      </w:r>
      <w:r>
        <w:rPr/>
        <w:t>影响并且公允价值能够可靠计量的长期股权投资，作为可供出售金融资产核算。</w:t>
      </w:r>
    </w:p>
    <w:p>
      <w:pPr>
        <w:pStyle w:val="BodyText"/>
        <w:spacing w:line="240" w:lineRule="auto"/>
        <w:ind w:left="602" w:right="0"/>
        <w:jc w:val="left"/>
      </w:pPr>
      <w:r>
        <w:rPr/>
        <w:t>此外，公司财务报表采用成本法核算能够对被投资单位实施控制的长期股权投资。</w:t>
      </w:r>
    </w:p>
    <w:p>
      <w:pPr>
        <w:pStyle w:val="BodyText"/>
        <w:spacing w:line="304" w:lineRule="auto" w:before="86"/>
        <w:ind w:left="602" w:right="0"/>
        <w:jc w:val="left"/>
      </w:pPr>
      <w:r>
        <w:rPr>
          <w:rFonts w:ascii="宋体" w:hAnsi="宋体" w:cs="宋体" w:eastAsia="宋体" w:hint="default"/>
        </w:rPr>
        <w:t>①</w:t>
      </w:r>
      <w:r>
        <w:rPr/>
        <w:t>成本法核算的长期股权投资 </w:t>
      </w:r>
      <w:r>
        <w:rPr>
          <w:spacing w:val="2"/>
        </w:rPr>
        <w:t>采用成本法核算时，长期股权投资按初始投资成本计价，除取得投资时实际支付</w:t>
      </w:r>
    </w:p>
    <w:p>
      <w:pPr>
        <w:pStyle w:val="BodyText"/>
        <w:spacing w:line="307" w:lineRule="auto"/>
        <w:ind w:right="1292"/>
        <w:jc w:val="both"/>
      </w:pPr>
      <w:r>
        <w:rPr>
          <w:spacing w:val="2"/>
        </w:rPr>
        <w:t>的价款或者对价中包含的已宣告但尚未发放的现金股利或者利润外，当期投资收益按</w:t>
      </w:r>
      <w:r>
        <w:rPr>
          <w:spacing w:val="-97"/>
        </w:rPr>
        <w:t> </w:t>
      </w:r>
      <w:r>
        <w:rPr>
          <w:spacing w:val="-97"/>
        </w:rPr>
      </w:r>
      <w:r>
        <w:rPr/>
        <w:t>照享有被投资单位宣告发放的现金股利或利润确认。</w:t>
      </w:r>
    </w:p>
    <w:p>
      <w:pPr>
        <w:pStyle w:val="BodyText"/>
        <w:spacing w:line="307" w:lineRule="auto" w:before="17"/>
        <w:ind w:left="602" w:right="0"/>
        <w:jc w:val="left"/>
      </w:pPr>
      <w:r>
        <w:rPr>
          <w:rFonts w:ascii="宋体" w:hAnsi="宋体" w:cs="宋体" w:eastAsia="宋体" w:hint="default"/>
        </w:rPr>
        <w:t>②</w:t>
      </w:r>
      <w:r>
        <w:rPr/>
        <w:t>权益法核算的长期股权投资 </w:t>
      </w:r>
      <w:r>
        <w:rPr>
          <w:spacing w:val="2"/>
        </w:rPr>
        <w:t>采用权益法核算时，长期股权投资的初始投资成本大于投资时应享有被投资单位</w:t>
      </w:r>
    </w:p>
    <w:p>
      <w:pPr>
        <w:pStyle w:val="BodyText"/>
        <w:spacing w:line="304" w:lineRule="auto" w:before="19"/>
        <w:ind w:right="1292"/>
        <w:jc w:val="both"/>
      </w:pPr>
      <w:r>
        <w:rPr>
          <w:spacing w:val="2"/>
        </w:rPr>
        <w:t>可辨认净资产公允价值份额的，不调整长期股权投资的初始投资成本；初始投资成本</w:t>
      </w:r>
      <w:r>
        <w:rPr>
          <w:spacing w:val="-97"/>
        </w:rPr>
        <w:t> </w:t>
      </w:r>
      <w:r>
        <w:rPr>
          <w:spacing w:val="-97"/>
        </w:rPr>
      </w:r>
      <w:r>
        <w:rPr>
          <w:spacing w:val="2"/>
        </w:rPr>
        <w:t>小于投资时应享有被投资单位可辨认净资产公允价值份额的，其差额计入当期损益，</w:t>
      </w:r>
      <w:r>
        <w:rPr>
          <w:spacing w:val="-97"/>
        </w:rPr>
        <w:t> </w:t>
      </w:r>
      <w:r>
        <w:rPr>
          <w:spacing w:val="-97"/>
        </w:rPr>
      </w:r>
      <w:r>
        <w:rPr/>
        <w:t>同时调整长期股权投资的成本。</w:t>
      </w:r>
    </w:p>
    <w:p>
      <w:pPr>
        <w:pStyle w:val="BodyText"/>
        <w:spacing w:line="304" w:lineRule="auto"/>
        <w:ind w:right="0" w:firstLine="479"/>
        <w:jc w:val="left"/>
        <w:rPr>
          <w:rFonts w:ascii="Times New Roman" w:hAnsi="Times New Roman" w:cs="Times New Roman" w:eastAsia="Times New Roman" w:hint="default"/>
        </w:rPr>
      </w:pPr>
      <w:r>
        <w:rPr>
          <w:spacing w:val="2"/>
        </w:rPr>
        <w:t>采用权益法核算时，当期投资损益为应享有或应分担的被投资单位当年实现的净</w:t>
      </w:r>
      <w:r>
        <w:rPr/>
        <w:t> </w:t>
      </w:r>
      <w:r>
        <w:rPr>
          <w:spacing w:val="2"/>
        </w:rPr>
        <w:t>损益的份额。在确认应享有被投资单位净损益的份额时，以取得投资时被投资单位各</w:t>
      </w:r>
      <w:r>
        <w:rPr>
          <w:spacing w:val="-97"/>
        </w:rPr>
        <w:t> </w:t>
      </w:r>
      <w:r>
        <w:rPr>
          <w:spacing w:val="-97"/>
        </w:rPr>
      </w:r>
      <w:r>
        <w:rPr>
          <w:spacing w:val="2"/>
        </w:rPr>
        <w:t>项可辨认资产等的公允价值为基础，并按照本集团的会计政策及会计期间，对被投资</w:t>
      </w:r>
      <w:r>
        <w:rPr>
          <w:spacing w:val="-97"/>
        </w:rPr>
        <w:t> </w:t>
      </w:r>
      <w:r>
        <w:rPr>
          <w:spacing w:val="-97"/>
        </w:rPr>
      </w:r>
      <w:r>
        <w:rPr>
          <w:spacing w:val="2"/>
        </w:rPr>
        <w:t>单位的净利润进行调整后确认。对于本集团与联营企业及合营之间发生的未实现内部</w:t>
      </w:r>
      <w:r>
        <w:rPr>
          <w:spacing w:val="-95"/>
        </w:rPr>
        <w:t> </w:t>
      </w:r>
      <w:r>
        <w:rPr>
          <w:spacing w:val="-95"/>
        </w:rPr>
      </w:r>
      <w:r>
        <w:rPr>
          <w:spacing w:val="-1"/>
        </w:rPr>
        <w:t>交易损益，按照持股比例计算属于本集团的部分予以抵销，在此基础上确认投资损益。</w:t>
      </w:r>
      <w:r>
        <w:rPr>
          <w:spacing w:val="-88"/>
        </w:rPr>
        <w:t> </w:t>
      </w:r>
      <w:r>
        <w:rPr>
          <w:spacing w:val="-88"/>
        </w:rPr>
      </w:r>
      <w:r>
        <w:rPr/>
        <w:t>但本集团与被投资单位发生的未实现内部交易损失，按照《企业会计准则第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56"/>
        </w:rPr>
        <w:t> </w:t>
      </w:r>
      <w:r>
        <w:rPr/>
        <w:t>号</w:t>
      </w:r>
      <w:r>
        <w:rPr>
          <w:rFonts w:ascii="Times New Roman" w:hAnsi="Times New Roman" w:cs="Times New Roman" w:eastAsia="Times New Roman" w:hint="default"/>
        </w:rPr>
        <w:t>——</w:t>
      </w:r>
    </w:p>
    <w:p>
      <w:pPr>
        <w:spacing w:after="0" w:line="304" w:lineRule="auto"/>
        <w:jc w:val="left"/>
        <w:rPr>
          <w:rFonts w:ascii="Times New Roman" w:hAnsi="Times New Roman" w:cs="Times New Roman" w:eastAsia="Times New Roman" w:hint="default"/>
        </w:rPr>
        <w:sectPr>
          <w:pgSz w:w="11910" w:h="16840"/>
          <w:pgMar w:header="928" w:footer="1153" w:top="1260" w:bottom="1340" w:left="1500" w:right="0"/>
        </w:sectPr>
      </w:pPr>
    </w:p>
    <w:p>
      <w:pPr>
        <w:spacing w:line="240" w:lineRule="auto" w:before="7"/>
        <w:rPr>
          <w:rFonts w:ascii="Times New Roman" w:hAnsi="Times New Roman" w:cs="Times New Roman" w:eastAsia="Times New Roman" w:hint="default"/>
          <w:sz w:val="15"/>
          <w:szCs w:val="15"/>
        </w:rPr>
      </w:pPr>
    </w:p>
    <w:p>
      <w:pPr>
        <w:pStyle w:val="BodyText"/>
        <w:spacing w:line="307" w:lineRule="auto" w:before="26"/>
        <w:ind w:right="1292"/>
        <w:jc w:val="both"/>
      </w:pPr>
      <w:r>
        <w:rPr>
          <w:spacing w:val="2"/>
        </w:rPr>
        <w:t>资产减值》等规定属于所转让资产减值损失的，不予以抵销。对被投资单位的其他综</w:t>
      </w:r>
      <w:r>
        <w:rPr>
          <w:spacing w:val="-97"/>
        </w:rPr>
        <w:t> </w:t>
      </w:r>
      <w:r>
        <w:rPr>
          <w:spacing w:val="-97"/>
        </w:rPr>
      </w:r>
      <w:r>
        <w:rPr/>
        <w:t>合收益，相应调整长期股权投资的账面价值确认为其他综合收益并计入资本公积。</w:t>
      </w:r>
    </w:p>
    <w:p>
      <w:pPr>
        <w:pStyle w:val="BodyText"/>
        <w:spacing w:line="304" w:lineRule="auto" w:before="17"/>
        <w:ind w:right="1144" w:firstLine="479"/>
        <w:jc w:val="left"/>
      </w:pPr>
      <w:r>
        <w:rPr>
          <w:spacing w:val="2"/>
        </w:rPr>
        <w:t>在确认应分担被投资单位发生的净亏损时，以长期股权投资的账面价值和其他实</w:t>
      </w:r>
      <w:r>
        <w:rPr/>
        <w:t> </w:t>
      </w:r>
      <w:r>
        <w:rPr>
          <w:spacing w:val="2"/>
        </w:rPr>
        <w:t>质上构成对被投资单位净投资的长期权益减记至零为限。此外，如本集团对被投资单</w:t>
      </w:r>
      <w:r>
        <w:rPr>
          <w:spacing w:val="-97"/>
        </w:rPr>
        <w:t> </w:t>
      </w:r>
      <w:r>
        <w:rPr>
          <w:spacing w:val="-97"/>
        </w:rPr>
      </w:r>
      <w:r>
        <w:rPr/>
        <w:t>位负有承担额外损失的义务，则按预计承担的义务确认预计负债，计入当期投资损失。</w:t>
      </w:r>
      <w:r>
        <w:rPr/>
        <w:t> 被投资单位以后期间实现净利润的，本集团在收益分享额弥补未确认的亏损分担额后， 恢复确认收益分享额。</w:t>
      </w:r>
    </w:p>
    <w:p>
      <w:pPr>
        <w:pStyle w:val="BodyText"/>
        <w:spacing w:line="304" w:lineRule="auto"/>
        <w:ind w:left="602" w:right="0"/>
        <w:jc w:val="left"/>
      </w:pPr>
      <w:r>
        <w:rPr>
          <w:rFonts w:ascii="宋体" w:hAnsi="宋体" w:cs="宋体" w:eastAsia="宋体" w:hint="default"/>
        </w:rPr>
        <w:t>③</w:t>
      </w:r>
      <w:r>
        <w:rPr/>
        <w:t>收购少数股权 </w:t>
      </w:r>
      <w:r>
        <w:rPr>
          <w:spacing w:val="2"/>
        </w:rPr>
        <w:t>在编制合并财务报表时，因购买少数股权新增的长期股权投资与按照新增持股比</w:t>
      </w:r>
    </w:p>
    <w:p>
      <w:pPr>
        <w:pStyle w:val="BodyText"/>
        <w:spacing w:line="307" w:lineRule="auto"/>
        <w:ind w:right="1292"/>
        <w:jc w:val="both"/>
      </w:pPr>
      <w:r>
        <w:rPr>
          <w:spacing w:val="2"/>
        </w:rPr>
        <w:t>例计算应享有子公司自购买日（或合并日）开始持续计算的净资产份额之间的差额，</w:t>
      </w:r>
      <w:r>
        <w:rPr>
          <w:spacing w:val="-97"/>
        </w:rPr>
        <w:t> </w:t>
      </w:r>
      <w:r>
        <w:rPr>
          <w:spacing w:val="-97"/>
        </w:rPr>
      </w:r>
      <w:r>
        <w:rPr/>
        <w:t>调整资本公积，资本公积不足冲减的，调整留存收益。</w:t>
      </w:r>
    </w:p>
    <w:p>
      <w:pPr>
        <w:pStyle w:val="BodyText"/>
        <w:spacing w:line="307" w:lineRule="auto" w:before="17"/>
        <w:ind w:left="602" w:right="0"/>
        <w:jc w:val="left"/>
      </w:pPr>
      <w:r>
        <w:rPr>
          <w:rFonts w:ascii="宋体" w:hAnsi="宋体" w:cs="宋体" w:eastAsia="宋体" w:hint="default"/>
        </w:rPr>
        <w:t>④</w:t>
      </w:r>
      <w:r>
        <w:rPr/>
        <w:t>处臵长期股权投资 </w:t>
      </w:r>
      <w:r>
        <w:rPr>
          <w:spacing w:val="2"/>
        </w:rPr>
        <w:t>在合并财务报表中，母公司在不丧失控制权的情况下部分处臵对子公司的长期股</w:t>
      </w:r>
    </w:p>
    <w:p>
      <w:pPr>
        <w:pStyle w:val="BodyText"/>
        <w:spacing w:line="304" w:lineRule="auto" w:before="19"/>
        <w:ind w:right="1285"/>
        <w:jc w:val="both"/>
      </w:pPr>
      <w:r>
        <w:rPr>
          <w:spacing w:val="2"/>
        </w:rPr>
        <w:t>权投资，处臵价款与处臵长期股权投资相对应享有子公司净资产的差额计入所有者权</w:t>
      </w:r>
      <w:r>
        <w:rPr>
          <w:spacing w:val="-90"/>
        </w:rPr>
        <w:t> </w:t>
      </w:r>
      <w:r>
        <w:rPr>
          <w:spacing w:val="-90"/>
        </w:rPr>
      </w:r>
      <w:r>
        <w:rPr>
          <w:spacing w:val="2"/>
        </w:rPr>
        <w:t>益；母公司部分处臵对子公司的长期股权投资导致丧失对子公司控制权的，按本附注</w:t>
      </w:r>
      <w:r>
        <w:rPr>
          <w:spacing w:val="-97"/>
        </w:rPr>
        <w:t> </w:t>
      </w:r>
      <w:r>
        <w:rPr>
          <w:spacing w:val="-97"/>
        </w:rPr>
      </w:r>
      <w:r>
        <w:rPr/>
        <w:t>四、</w:t>
      </w:r>
      <w:r>
        <w:rPr>
          <w:rFonts w:ascii="Times New Roman" w:hAnsi="Times New Roman" w:cs="Times New Roman" w:eastAsia="Times New Roman" w:hint="default"/>
        </w:rPr>
        <w:t>4</w:t>
      </w:r>
      <w:r>
        <w:rPr/>
        <w:t>、⑵“合并财务报表编制的方法”中所述的相关会计政策处理。</w:t>
      </w:r>
    </w:p>
    <w:p>
      <w:pPr>
        <w:pStyle w:val="BodyText"/>
        <w:spacing w:line="304" w:lineRule="auto" w:before="0"/>
        <w:ind w:right="1284" w:firstLine="479"/>
        <w:jc w:val="both"/>
      </w:pPr>
      <w:r>
        <w:rPr>
          <w:spacing w:val="2"/>
        </w:rPr>
        <w:t>其他情形下的长期股权投资处臵，对于处臵的股权，其账面价值与实际取得价款</w:t>
      </w:r>
      <w:r>
        <w:rPr/>
        <w:t> </w:t>
      </w:r>
      <w:r>
        <w:rPr>
          <w:spacing w:val="2"/>
        </w:rPr>
        <w:t>的差额，计入当期损益；采用权益法核算的长期股权投资，在处臵时将原计入股东权</w:t>
      </w:r>
      <w:r>
        <w:rPr>
          <w:spacing w:val="-94"/>
        </w:rPr>
        <w:t> </w:t>
      </w:r>
      <w:r>
        <w:rPr>
          <w:spacing w:val="-94"/>
        </w:rPr>
      </w:r>
      <w:r>
        <w:rPr>
          <w:spacing w:val="2"/>
        </w:rPr>
        <w:t>益的其他综合收益部分按相应的比例转入当期损益。对于剩余股权，按其账面价值确</w:t>
      </w:r>
      <w:r>
        <w:rPr>
          <w:spacing w:val="-91"/>
        </w:rPr>
        <w:t> </w:t>
      </w:r>
      <w:r>
        <w:rPr>
          <w:spacing w:val="-91"/>
        </w:rPr>
      </w:r>
      <w:r>
        <w:rPr>
          <w:spacing w:val="2"/>
        </w:rPr>
        <w:t>认为长期股权投资或其他相关金融资产，并按前述长期股权投资或金融资产的会计政</w:t>
      </w:r>
      <w:r>
        <w:rPr>
          <w:spacing w:val="-93"/>
        </w:rPr>
        <w:t> </w:t>
      </w:r>
      <w:r>
        <w:rPr>
          <w:spacing w:val="-93"/>
        </w:rPr>
      </w:r>
      <w:r>
        <w:rPr>
          <w:spacing w:val="2"/>
        </w:rPr>
        <w:t>策进行后续计量。涉及对剩余股权由成本法转为权益法核算的，按相关规定进行追溯</w:t>
      </w:r>
      <w:r>
        <w:rPr>
          <w:spacing w:val="-89"/>
        </w:rPr>
        <w:t> </w:t>
      </w:r>
      <w:r>
        <w:rPr>
          <w:spacing w:val="-89"/>
        </w:rPr>
      </w:r>
      <w:r>
        <w:rPr/>
        <w:t>调整。</w:t>
      </w:r>
    </w:p>
    <w:p>
      <w:pPr>
        <w:pStyle w:val="BodyText"/>
        <w:tabs>
          <w:tab w:pos="1082" w:val="left" w:leader="none"/>
        </w:tabs>
        <w:spacing w:line="304" w:lineRule="auto"/>
        <w:ind w:left="602" w:right="1296"/>
        <w:jc w:val="left"/>
      </w:pPr>
      <w:r>
        <w:rPr/>
        <w:t>⑶</w:t>
        <w:tab/>
        <w:t>确定对被投资单位具有共同控制、重大影响的依据 </w:t>
      </w:r>
      <w:r>
        <w:rPr>
          <w:spacing w:val="2"/>
        </w:rPr>
        <w:t>控制是指有权决定一个企业的财务和经营政策，并能据以从该企业的经营活动中</w:t>
      </w:r>
    </w:p>
    <w:p>
      <w:pPr>
        <w:pStyle w:val="BodyText"/>
        <w:spacing w:line="304" w:lineRule="auto"/>
        <w:ind w:right="1292"/>
        <w:jc w:val="both"/>
      </w:pPr>
      <w:r>
        <w:rPr>
          <w:spacing w:val="2"/>
        </w:rPr>
        <w:t>获取利益。共同控制是指按照合同约定对某项经济活动所共有的控制，仅在与该项经</w:t>
      </w:r>
      <w:r>
        <w:rPr>
          <w:spacing w:val="-97"/>
        </w:rPr>
        <w:t> </w:t>
      </w:r>
      <w:r>
        <w:rPr>
          <w:spacing w:val="-97"/>
        </w:rPr>
      </w:r>
      <w:r>
        <w:rPr>
          <w:spacing w:val="2"/>
        </w:rPr>
        <w:t>济活动相关的重要财务和经营决策需要分享控制权的投资方一致同意时存在。重大影</w:t>
      </w:r>
      <w:r>
        <w:rPr>
          <w:spacing w:val="-97"/>
        </w:rPr>
        <w:t> </w:t>
      </w:r>
      <w:r>
        <w:rPr>
          <w:spacing w:val="-97"/>
        </w:rPr>
      </w:r>
      <w:r>
        <w:rPr>
          <w:spacing w:val="2"/>
        </w:rPr>
        <w:t>响是指对一个企业的财务和经营政策有参与决策的权力，但并不能够控制或者与其他</w:t>
      </w:r>
      <w:r>
        <w:rPr>
          <w:spacing w:val="-97"/>
        </w:rPr>
        <w:t> </w:t>
      </w:r>
      <w:r>
        <w:rPr>
          <w:spacing w:val="-97"/>
        </w:rPr>
      </w:r>
      <w:r>
        <w:rPr>
          <w:spacing w:val="2"/>
        </w:rPr>
        <w:t>方一起共同控制这些政策的制定。在确定能否对被投资单位实施控制或施加重大影响</w:t>
      </w:r>
      <w:r>
        <w:rPr>
          <w:spacing w:val="-97"/>
        </w:rPr>
        <w:t> </w:t>
      </w:r>
      <w:r>
        <w:rPr>
          <w:spacing w:val="-97"/>
        </w:rPr>
      </w:r>
      <w:r>
        <w:rPr>
          <w:spacing w:val="2"/>
        </w:rPr>
        <w:t>时，已考虑投资企业和其他持有的被投资单位当期可转换公司债券、当期可执行认股</w:t>
      </w:r>
      <w:r>
        <w:rPr>
          <w:spacing w:val="-97"/>
        </w:rPr>
        <w:t> </w:t>
      </w:r>
      <w:r>
        <w:rPr>
          <w:spacing w:val="-97"/>
        </w:rPr>
      </w:r>
      <w:r>
        <w:rPr/>
        <w:t>权证等潜在表决权因素。</w:t>
      </w:r>
    </w:p>
    <w:p>
      <w:pPr>
        <w:pStyle w:val="BodyText"/>
        <w:tabs>
          <w:tab w:pos="1082" w:val="left" w:leader="none"/>
        </w:tabs>
        <w:spacing w:line="307" w:lineRule="auto"/>
        <w:ind w:left="602" w:right="1296"/>
        <w:jc w:val="left"/>
      </w:pPr>
      <w:r>
        <w:rPr/>
        <w:t>⑷</w:t>
        <w:tab/>
        <w:t>减值测试方法及减值准备计提方法 </w:t>
      </w:r>
      <w:r>
        <w:rPr>
          <w:spacing w:val="2"/>
        </w:rPr>
        <w:t>本集团在每一个资产负债表日检查长期股权投资是否存在可能发生减值的迹象。</w:t>
      </w:r>
    </w:p>
    <w:p>
      <w:pPr>
        <w:pStyle w:val="BodyText"/>
        <w:spacing w:line="307" w:lineRule="auto" w:before="17"/>
        <w:ind w:right="1292"/>
        <w:jc w:val="both"/>
      </w:pPr>
      <w:r>
        <w:rPr>
          <w:spacing w:val="2"/>
        </w:rPr>
        <w:t>如果该资产存在减值迹象，则估计其可收回金额。如果资产的可收回金额低于其账面</w:t>
      </w:r>
      <w:r>
        <w:rPr>
          <w:spacing w:val="-97"/>
        </w:rPr>
        <w:t> </w:t>
      </w:r>
      <w:r>
        <w:rPr>
          <w:spacing w:val="-97"/>
        </w:rPr>
      </w:r>
      <w:r>
        <w:rPr/>
        <w:t>价值，按其差额计提资产减值准备，并计入当期损益。</w:t>
      </w:r>
    </w:p>
    <w:p>
      <w:pPr>
        <w:spacing w:after="0" w:line="307"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tabs>
          <w:tab w:pos="1382" w:val="left" w:leader="none"/>
        </w:tabs>
        <w:spacing w:line="247" w:lineRule="auto" w:before="26"/>
        <w:ind w:left="655" w:right="3081" w:hanging="5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长期股权投资的减值损失一经确认，在以后会计期间不予转回。 </w:t>
      </w:r>
      <w:r>
        <w:rPr>
          <w:rFonts w:ascii="Trebuchet MS" w:hAnsi="Trebuchet MS" w:cs="Trebuchet MS" w:eastAsia="Trebuchet MS" w:hint="default"/>
          <w:b/>
          <w:bCs/>
          <w:w w:val="90"/>
          <w:sz w:val="24"/>
          <w:szCs w:val="24"/>
        </w:rPr>
        <w:t>11</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投资性房地产</w:t>
      </w:r>
      <w:r>
        <w:rPr>
          <w:rFonts w:ascii="Microsoft JhengHei" w:hAnsi="Microsoft JhengHei" w:cs="Microsoft JhengHei" w:eastAsia="Microsoft JhengHei" w:hint="default"/>
          <w:sz w:val="24"/>
          <w:szCs w:val="24"/>
        </w:rPr>
      </w:r>
    </w:p>
    <w:p>
      <w:pPr>
        <w:pStyle w:val="BodyText"/>
        <w:spacing w:line="307" w:lineRule="auto" w:before="47"/>
        <w:ind w:right="1296" w:firstLine="479"/>
        <w:jc w:val="both"/>
      </w:pPr>
      <w:r>
        <w:rPr>
          <w:spacing w:val="2"/>
        </w:rPr>
        <w:t>投资性房地产是指为赚取租金或资本增值，或两者兼有而持有的房地产。包括已</w:t>
      </w:r>
      <w:r>
        <w:rPr/>
        <w:t> 出租的土地使用权、持有并准备增值后转让的土地使用权、已出租的建筑物等。</w:t>
      </w:r>
    </w:p>
    <w:p>
      <w:pPr>
        <w:pStyle w:val="BodyText"/>
        <w:spacing w:line="304" w:lineRule="auto" w:before="19"/>
        <w:ind w:right="1290" w:firstLine="479"/>
        <w:jc w:val="both"/>
      </w:pPr>
      <w:r>
        <w:rPr>
          <w:spacing w:val="2"/>
        </w:rPr>
        <w:t>投资性房地产按成本进行初始计量。与投资性房地产有关的后续支出，如果与该</w:t>
      </w:r>
      <w:r>
        <w:rPr/>
        <w:t> </w:t>
      </w:r>
      <w:r>
        <w:rPr>
          <w:spacing w:val="2"/>
        </w:rPr>
        <w:t>资产有关的经济利益很可能流入且其成本能可靠地计量，则计入投资性房地产成本。</w:t>
      </w:r>
      <w:r>
        <w:rPr>
          <w:spacing w:val="-97"/>
        </w:rPr>
        <w:t> </w:t>
      </w:r>
      <w:r>
        <w:rPr>
          <w:spacing w:val="-97"/>
        </w:rPr>
      </w:r>
      <w:r>
        <w:rPr/>
        <w:t>其他后续支出，在发生时计入当期损益。</w:t>
      </w:r>
    </w:p>
    <w:p>
      <w:pPr>
        <w:pStyle w:val="BodyText"/>
        <w:spacing w:line="304" w:lineRule="auto"/>
        <w:ind w:right="1296" w:firstLine="479"/>
        <w:jc w:val="both"/>
      </w:pPr>
      <w:r>
        <w:rPr>
          <w:spacing w:val="2"/>
        </w:rPr>
        <w:t>本集团采用成本模式对投资性房地产进行后续计量，并按照与房屋建筑物或土地</w:t>
      </w:r>
      <w:r>
        <w:rPr/>
        <w:t> 使用权一致的政策进行折旧或摊销。</w:t>
      </w:r>
    </w:p>
    <w:p>
      <w:pPr>
        <w:pStyle w:val="BodyText"/>
        <w:spacing w:line="290" w:lineRule="auto"/>
        <w:ind w:right="1284" w:firstLine="479"/>
        <w:jc w:val="both"/>
      </w:pPr>
      <w:r>
        <w:rPr/>
        <w:t>投资性房地产的减值测试方法和减值准备计提方法详见附注四、</w:t>
      </w:r>
      <w:r>
        <w:rPr>
          <w:rFonts w:ascii="Times New Roman" w:hAnsi="Times New Roman" w:cs="Times New Roman" w:eastAsia="Times New Roman" w:hint="default"/>
        </w:rPr>
        <w:t>17“</w:t>
      </w:r>
      <w:r>
        <w:rPr/>
        <w:t>非流动非金融 资产减值</w:t>
      </w:r>
      <w:r>
        <w:rPr>
          <w:rFonts w:ascii="Times New Roman" w:hAnsi="Times New Roman" w:cs="Times New Roman" w:eastAsia="Times New Roman" w:hint="default"/>
        </w:rPr>
        <w:t>”</w:t>
      </w:r>
      <w:r>
        <w:rPr/>
        <w:t>。</w:t>
      </w:r>
    </w:p>
    <w:p>
      <w:pPr>
        <w:pStyle w:val="BodyText"/>
        <w:spacing w:line="307" w:lineRule="auto" w:before="10"/>
        <w:ind w:right="1296" w:firstLine="479"/>
        <w:jc w:val="both"/>
      </w:pPr>
      <w:r>
        <w:rPr>
          <w:spacing w:val="2"/>
        </w:rPr>
        <w:t>自用房地产或存货转换为投资性房地产或投资性房地产转换为自用房地产时，按</w:t>
      </w:r>
      <w:r>
        <w:rPr/>
        <w:t> 转换前的账面价值作为转换后的入账价值。</w:t>
      </w:r>
    </w:p>
    <w:p>
      <w:pPr>
        <w:pStyle w:val="BodyText"/>
        <w:spacing w:line="304" w:lineRule="auto" w:before="19"/>
        <w:ind w:right="1292" w:firstLine="479"/>
        <w:jc w:val="both"/>
      </w:pPr>
      <w:r>
        <w:rPr>
          <w:spacing w:val="2"/>
        </w:rPr>
        <w:t>当投资性房地产被处臵、或者永久退出使用且预计不能从其处臵中取得经济利益</w:t>
      </w:r>
      <w:r>
        <w:rPr/>
        <w:t> </w:t>
      </w:r>
      <w:r>
        <w:rPr>
          <w:spacing w:val="2"/>
        </w:rPr>
        <w:t>时，终止确认该项投资性房地产。投资性房地产出售、转让、报废或毁损的处臵收入</w:t>
      </w:r>
      <w:r>
        <w:rPr>
          <w:spacing w:val="-97"/>
        </w:rPr>
        <w:t> </w:t>
      </w:r>
      <w:r>
        <w:rPr>
          <w:spacing w:val="-97"/>
        </w:rPr>
      </w:r>
      <w:r>
        <w:rPr/>
        <w:t>扣除其账面价值和相关税费后计入当期损益。</w:t>
      </w:r>
    </w:p>
    <w:p>
      <w:pPr>
        <w:pStyle w:val="Heading3"/>
        <w:tabs>
          <w:tab w:pos="1382" w:val="left" w:leader="none"/>
        </w:tabs>
        <w:spacing w:line="363" w:lineRule="exact"/>
        <w:ind w:left="655" w:right="0"/>
        <w:jc w:val="left"/>
        <w:rPr>
          <w:b w:val="0"/>
          <w:bCs w:val="0"/>
        </w:rPr>
      </w:pPr>
      <w:r>
        <w:rPr>
          <w:rFonts w:ascii="Trebuchet MS" w:hAnsi="Trebuchet MS" w:cs="Trebuchet MS" w:eastAsia="Trebuchet MS" w:hint="default"/>
          <w:w w:val="90"/>
        </w:rPr>
        <w:t>12</w:t>
      </w:r>
      <w:r>
        <w:rPr>
          <w:w w:val="90"/>
        </w:rPr>
        <w:t>、</w:t>
        <w:tab/>
      </w:r>
      <w:r>
        <w:rPr/>
        <w:t>固定资产</w:t>
      </w:r>
      <w:r>
        <w:rPr>
          <w:b w:val="0"/>
          <w:bCs w:val="0"/>
        </w:rPr>
      </w:r>
    </w:p>
    <w:p>
      <w:pPr>
        <w:pStyle w:val="BodyText"/>
        <w:tabs>
          <w:tab w:pos="1082" w:val="left" w:leader="none"/>
        </w:tabs>
        <w:spacing w:line="307" w:lineRule="auto" w:before="57"/>
        <w:ind w:left="602" w:right="1296"/>
        <w:jc w:val="left"/>
      </w:pPr>
      <w:r>
        <w:rPr/>
        <w:t>⑴</w:t>
        <w:tab/>
        <w:t>固定资产确认条件 </w:t>
      </w:r>
      <w:r>
        <w:rPr>
          <w:spacing w:val="2"/>
        </w:rPr>
        <w:t>固定资产是指为生产商品、提供劳务、出租或经营管理而持有的，使用寿命超过</w:t>
      </w:r>
    </w:p>
    <w:p>
      <w:pPr>
        <w:pStyle w:val="BodyText"/>
        <w:spacing w:line="240" w:lineRule="auto" w:before="19"/>
        <w:ind w:right="0"/>
        <w:jc w:val="left"/>
      </w:pPr>
      <w:r>
        <w:rPr/>
        <w:t>一个会计年度的有形资产。</w:t>
      </w:r>
    </w:p>
    <w:p>
      <w:pPr>
        <w:pStyle w:val="BodyText"/>
        <w:tabs>
          <w:tab w:pos="1082" w:val="left" w:leader="none"/>
        </w:tabs>
        <w:spacing w:line="307" w:lineRule="auto" w:before="84"/>
        <w:ind w:left="602" w:right="1296"/>
        <w:jc w:val="left"/>
      </w:pPr>
      <w:r>
        <w:rPr/>
        <w:t>⑵</w:t>
        <w:tab/>
        <w:t>各类固定资产的折旧方法 </w:t>
      </w:r>
      <w:r>
        <w:rPr>
          <w:spacing w:val="2"/>
        </w:rPr>
        <w:t>固定资产按成本并考虑预计弃臵费用因素的影响进行初始计量。固定资产从达到</w:t>
      </w:r>
    </w:p>
    <w:p>
      <w:pPr>
        <w:pStyle w:val="BodyText"/>
        <w:spacing w:line="304" w:lineRule="auto" w:before="19"/>
        <w:ind w:right="0"/>
        <w:jc w:val="left"/>
      </w:pPr>
      <w:r>
        <w:rPr>
          <w:spacing w:val="2"/>
        </w:rPr>
        <w:t>预定可使用状态的次月起，采用年限平均法在使用寿命内计提折旧。各类固定资产的</w:t>
      </w:r>
      <w:r>
        <w:rPr>
          <w:spacing w:val="-97"/>
        </w:rPr>
        <w:t> </w:t>
      </w:r>
      <w:r>
        <w:rPr>
          <w:spacing w:val="-97"/>
        </w:rPr>
      </w:r>
      <w:r>
        <w:rPr/>
        <w:t>使用寿命、预计净残值和年折旧率如下：</w:t>
      </w:r>
    </w:p>
    <w:p>
      <w:pPr>
        <w:spacing w:line="240" w:lineRule="auto" w:before="6"/>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26"/>
        <w:gridCol w:w="240"/>
        <w:gridCol w:w="1858"/>
        <w:gridCol w:w="242"/>
        <w:gridCol w:w="1740"/>
        <w:gridCol w:w="353"/>
        <w:gridCol w:w="1663"/>
      </w:tblGrid>
      <w:tr>
        <w:trPr>
          <w:trHeight w:val="283"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类 别</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4"/>
                <w:szCs w:val="24"/>
              </w:rPr>
            </w:pPr>
            <w:r>
              <w:rPr>
                <w:rFonts w:ascii="宋体" w:hAnsi="宋体" w:cs="宋体" w:eastAsia="宋体" w:hint="default"/>
                <w:sz w:val="24"/>
                <w:szCs w:val="24"/>
              </w:rPr>
              <w:t>折旧年限</w:t>
            </w:r>
            <w:r>
              <w:rPr>
                <w:rFonts w:ascii="宋体" w:hAnsi="宋体" w:cs="宋体" w:eastAsia="宋体" w:hint="default"/>
                <w:sz w:val="24"/>
                <w:szCs w:val="24"/>
              </w:rPr>
              <w:t>(</w:t>
            </w:r>
            <w:r>
              <w:rPr>
                <w:rFonts w:ascii="宋体" w:hAnsi="宋体" w:cs="宋体" w:eastAsia="宋体" w:hint="default"/>
                <w:sz w:val="24"/>
                <w:szCs w:val="24"/>
              </w:rPr>
              <w:t>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残值率（</w:t>
            </w:r>
            <w:r>
              <w:rPr>
                <w:rFonts w:ascii="宋体" w:hAnsi="宋体" w:cs="宋体" w:eastAsia="宋体" w:hint="default"/>
                <w:sz w:val="24"/>
                <w:szCs w:val="24"/>
              </w:rPr>
              <w:t>%</w:t>
            </w:r>
            <w:r>
              <w:rPr>
                <w:rFonts w:ascii="宋体" w:hAnsi="宋体" w:cs="宋体" w:eastAsia="宋体" w:hint="default"/>
                <w:sz w:val="24"/>
                <w:szCs w:val="24"/>
              </w:rPr>
              <w:t>）</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center"/>
              <w:rPr>
                <w:rFonts w:ascii="宋体" w:hAnsi="宋体" w:cs="宋体" w:eastAsia="宋体" w:hint="default"/>
                <w:sz w:val="24"/>
                <w:szCs w:val="24"/>
              </w:rPr>
            </w:pPr>
            <w:r>
              <w:rPr>
                <w:rFonts w:ascii="宋体" w:hAnsi="宋体" w:cs="宋体" w:eastAsia="宋体" w:hint="default"/>
                <w:spacing w:val="-1"/>
                <w:sz w:val="24"/>
                <w:szCs w:val="24"/>
              </w:rPr>
              <w:t>年折旧率（</w:t>
            </w:r>
            <w:r>
              <w:rPr>
                <w:rFonts w:ascii="宋体" w:hAnsi="宋体" w:cs="宋体" w:eastAsia="宋体" w:hint="default"/>
                <w:spacing w:val="-1"/>
                <w:sz w:val="24"/>
                <w:szCs w:val="24"/>
              </w:rPr>
              <w:t>%</w:t>
            </w:r>
            <w:r>
              <w:rPr>
                <w:rFonts w:ascii="宋体" w:hAnsi="宋体" w:cs="宋体" w:eastAsia="宋体" w:hint="default"/>
                <w:spacing w:val="-1"/>
                <w:sz w:val="24"/>
                <w:szCs w:val="24"/>
              </w:rPr>
              <w:t>）</w:t>
            </w:r>
          </w:p>
        </w:tc>
      </w:tr>
      <w:tr>
        <w:trPr>
          <w:trHeight w:val="335"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83" w:lineRule="exact"/>
              <w:ind w:left="107"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83" w:lineRule="exact"/>
              <w:ind w:right="3"/>
              <w:jc w:val="center"/>
              <w:rPr>
                <w:rFonts w:ascii="宋体" w:hAnsi="宋体" w:cs="宋体" w:eastAsia="宋体" w:hint="default"/>
                <w:sz w:val="24"/>
                <w:szCs w:val="24"/>
              </w:rPr>
            </w:pP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83" w:lineRule="exact"/>
              <w:ind w:right="11"/>
              <w:jc w:val="center"/>
              <w:rPr>
                <w:rFonts w:ascii="宋体" w:hAnsi="宋体" w:cs="宋体" w:eastAsia="宋体" w:hint="default"/>
                <w:sz w:val="24"/>
                <w:szCs w:val="24"/>
              </w:rPr>
            </w:pPr>
            <w:r>
              <w:rPr>
                <w:rFonts w:ascii="宋体"/>
                <w:sz w:val="24"/>
              </w:rPr>
              <w:t>2.25-4.50</w:t>
            </w:r>
          </w:p>
        </w:tc>
      </w:tr>
      <w:tr>
        <w:trPr>
          <w:trHeight w:val="337"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87" w:lineRule="exact"/>
              <w:ind w:left="107"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87" w:lineRule="exact"/>
              <w:ind w:right="3"/>
              <w:jc w:val="center"/>
              <w:rPr>
                <w:rFonts w:ascii="宋体" w:hAnsi="宋体" w:cs="宋体" w:eastAsia="宋体" w:hint="default"/>
                <w:sz w:val="24"/>
                <w:szCs w:val="24"/>
              </w:rPr>
            </w:pPr>
            <w:r>
              <w:rPr>
                <w:rFonts w:ascii="宋体"/>
                <w:sz w:val="24"/>
              </w:rPr>
              <w:t>10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87"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87" w:lineRule="exact"/>
              <w:ind w:right="11"/>
              <w:jc w:val="center"/>
              <w:rPr>
                <w:rFonts w:ascii="宋体" w:hAnsi="宋体" w:cs="宋体" w:eastAsia="宋体" w:hint="default"/>
                <w:sz w:val="24"/>
                <w:szCs w:val="24"/>
              </w:rPr>
            </w:pPr>
            <w:r>
              <w:rPr>
                <w:rFonts w:ascii="宋体"/>
                <w:sz w:val="24"/>
              </w:rPr>
              <w:t>9.00</w:t>
            </w:r>
          </w:p>
        </w:tc>
      </w:tr>
      <w:tr>
        <w:trPr>
          <w:trHeight w:val="34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90" w:lineRule="exact"/>
              <w:ind w:left="107"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90" w:lineRule="exact"/>
              <w:ind w:right="3"/>
              <w:jc w:val="center"/>
              <w:rPr>
                <w:rFonts w:ascii="宋体" w:hAnsi="宋体" w:cs="宋体" w:eastAsia="宋体" w:hint="default"/>
                <w:sz w:val="24"/>
                <w:szCs w:val="24"/>
              </w:rPr>
            </w:pPr>
            <w:r>
              <w:rPr>
                <w:rFonts w:ascii="宋体"/>
                <w:sz w:val="24"/>
              </w:rPr>
              <w:t>5</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90"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90" w:lineRule="exact"/>
              <w:ind w:right="11"/>
              <w:jc w:val="center"/>
              <w:rPr>
                <w:rFonts w:ascii="宋体" w:hAnsi="宋体" w:cs="宋体" w:eastAsia="宋体" w:hint="default"/>
                <w:sz w:val="24"/>
                <w:szCs w:val="24"/>
              </w:rPr>
            </w:pPr>
            <w:r>
              <w:rPr>
                <w:rFonts w:ascii="宋体"/>
                <w:sz w:val="24"/>
              </w:rPr>
              <w:t>18.00</w:t>
            </w:r>
          </w:p>
        </w:tc>
      </w:tr>
      <w:tr>
        <w:trPr>
          <w:trHeight w:val="291"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91" w:lineRule="exact"/>
              <w:ind w:left="107" w:right="0"/>
              <w:jc w:val="left"/>
              <w:rPr>
                <w:rFonts w:ascii="宋体" w:hAnsi="宋体" w:cs="宋体" w:eastAsia="宋体" w:hint="default"/>
                <w:sz w:val="24"/>
                <w:szCs w:val="24"/>
              </w:rPr>
            </w:pPr>
            <w:r>
              <w:rPr>
                <w:rFonts w:ascii="宋体" w:hAnsi="宋体" w:cs="宋体" w:eastAsia="宋体" w:hint="default"/>
                <w:sz w:val="24"/>
                <w:szCs w:val="24"/>
              </w:rPr>
              <w:t>办公设备及其他</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91" w:lineRule="exact"/>
              <w:ind w:right="3"/>
              <w:jc w:val="center"/>
              <w:rPr>
                <w:rFonts w:ascii="宋体" w:hAnsi="宋体" w:cs="宋体" w:eastAsia="宋体" w:hint="default"/>
                <w:sz w:val="24"/>
                <w:szCs w:val="24"/>
              </w:rPr>
            </w:pPr>
            <w:r>
              <w:rPr>
                <w:rFonts w:ascii="宋体"/>
                <w:sz w:val="24"/>
              </w:rPr>
              <w:t>5</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91" w:lineRule="exact"/>
              <w:ind w:right="0"/>
              <w:jc w:val="center"/>
              <w:rPr>
                <w:rFonts w:ascii="宋体" w:hAnsi="宋体" w:cs="宋体" w:eastAsia="宋体" w:hint="default"/>
                <w:sz w:val="24"/>
                <w:szCs w:val="24"/>
              </w:rPr>
            </w:pPr>
            <w:r>
              <w:rPr>
                <w:rFonts w:ascii="宋体"/>
                <w:sz w:val="24"/>
              </w:rPr>
              <w:t>10</w:t>
            </w:r>
          </w:p>
        </w:tc>
        <w:tc>
          <w:tcPr>
            <w:tcW w:w="35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91" w:lineRule="exact"/>
              <w:ind w:right="11"/>
              <w:jc w:val="center"/>
              <w:rPr>
                <w:rFonts w:ascii="宋体" w:hAnsi="宋体" w:cs="宋体" w:eastAsia="宋体" w:hint="default"/>
                <w:sz w:val="24"/>
                <w:szCs w:val="24"/>
              </w:rPr>
            </w:pPr>
            <w:r>
              <w:rPr>
                <w:rFonts w:ascii="宋体"/>
                <w:sz w:val="24"/>
              </w:rPr>
              <w:t>18.00</w:t>
            </w:r>
          </w:p>
        </w:tc>
      </w:tr>
    </w:tbl>
    <w:p>
      <w:pPr>
        <w:spacing w:line="240" w:lineRule="auto" w:before="11"/>
        <w:rPr>
          <w:rFonts w:ascii="宋体" w:hAnsi="宋体" w:cs="宋体" w:eastAsia="宋体" w:hint="default"/>
          <w:sz w:val="4"/>
          <w:szCs w:val="4"/>
        </w:rPr>
      </w:pPr>
    </w:p>
    <w:p>
      <w:pPr>
        <w:pStyle w:val="BodyText"/>
        <w:spacing w:line="307" w:lineRule="auto" w:before="26"/>
        <w:ind w:right="1268" w:firstLine="479"/>
        <w:jc w:val="left"/>
      </w:pPr>
      <w:r>
        <w:rPr/>
        <w:t>本年度完工投入使用的临港生产车间为钢结构厂房，本公司对该类房产按</w:t>
      </w:r>
      <w:r>
        <w:rPr>
          <w:spacing w:val="-61"/>
        </w:rPr>
        <w:t> </w:t>
      </w:r>
      <w:r>
        <w:rPr>
          <w:rFonts w:ascii="宋体" w:hAnsi="宋体" w:cs="宋体" w:eastAsia="宋体" w:hint="default"/>
        </w:rPr>
        <w:t>40</w:t>
      </w:r>
      <w:r>
        <w:rPr>
          <w:rFonts w:ascii="宋体" w:hAnsi="宋体" w:cs="宋体" w:eastAsia="宋体" w:hint="default"/>
          <w:spacing w:val="-62"/>
        </w:rPr>
        <w:t> </w:t>
      </w:r>
      <w:r>
        <w:rPr/>
        <w:t>年计 提折旧。</w:t>
      </w:r>
    </w:p>
    <w:p>
      <w:pPr>
        <w:pStyle w:val="BodyText"/>
        <w:spacing w:line="304" w:lineRule="auto" w:before="19"/>
        <w:ind w:right="0" w:firstLine="479"/>
        <w:jc w:val="left"/>
      </w:pPr>
      <w:r>
        <w:rPr>
          <w:spacing w:val="2"/>
        </w:rPr>
        <w:t>预计净残值是指假定固定资产预计使用寿命已满并处于使用寿命终了时的预期状</w:t>
      </w:r>
      <w:r>
        <w:rPr/>
        <w:t> 态，本集团目前从该项资产处臵中获得的扣除预计处臵费用后的金额。</w:t>
      </w:r>
    </w:p>
    <w:p>
      <w:pPr>
        <w:pStyle w:val="BodyText"/>
        <w:tabs>
          <w:tab w:pos="1082" w:val="left" w:leader="none"/>
        </w:tabs>
        <w:spacing w:line="307" w:lineRule="auto"/>
        <w:ind w:left="602" w:right="1284"/>
        <w:jc w:val="left"/>
      </w:pPr>
      <w:r>
        <w:rPr/>
        <w:t>⑶</w:t>
        <w:tab/>
        <w:t>固定资产的减值测试方法及减值准备计提方法 固定资产的减值测试方法和减值准备计提方法详见附注四、</w:t>
      </w:r>
      <w:r>
        <w:rPr>
          <w:rFonts w:ascii="Times New Roman" w:hAnsi="Times New Roman" w:cs="Times New Roman" w:eastAsia="Times New Roman" w:hint="default"/>
        </w:rPr>
        <w:t>17“</w:t>
      </w:r>
      <w:r>
        <w:rPr/>
        <w:t>非流动非金融资产</w:t>
      </w:r>
    </w:p>
    <w:p>
      <w:pPr>
        <w:spacing w:after="0" w:line="307"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240" w:lineRule="auto" w:before="26"/>
        <w:ind w:right="0"/>
        <w:jc w:val="left"/>
      </w:pPr>
      <w:r>
        <w:rPr/>
        <w:t>减值</w:t>
      </w:r>
      <w:r>
        <w:rPr>
          <w:rFonts w:ascii="Times New Roman" w:hAnsi="Times New Roman" w:cs="Times New Roman" w:eastAsia="Times New Roman" w:hint="default"/>
        </w:rPr>
        <w:t>”</w:t>
      </w:r>
      <w:r>
        <w:rPr/>
        <w:t>。</w:t>
      </w:r>
    </w:p>
    <w:p>
      <w:pPr>
        <w:pStyle w:val="BodyText"/>
        <w:tabs>
          <w:tab w:pos="1082" w:val="left" w:leader="none"/>
        </w:tabs>
        <w:spacing w:line="304" w:lineRule="auto" w:before="69"/>
        <w:ind w:left="602" w:right="1296"/>
        <w:jc w:val="left"/>
      </w:pPr>
      <w:r>
        <w:rPr/>
        <w:t>⑷</w:t>
        <w:tab/>
        <w:t>融资租入固定资产的认定依据及计价方法 </w:t>
      </w:r>
      <w:r>
        <w:rPr>
          <w:spacing w:val="2"/>
        </w:rPr>
        <w:t>融资租赁为实质上转移了与资产所有权有关的全部风险和报酬的租赁，其所有权</w:t>
      </w:r>
    </w:p>
    <w:p>
      <w:pPr>
        <w:pStyle w:val="BodyText"/>
        <w:spacing w:line="304" w:lineRule="auto"/>
        <w:ind w:right="1144"/>
        <w:jc w:val="left"/>
      </w:pPr>
      <w:r>
        <w:rPr>
          <w:spacing w:val="2"/>
        </w:rPr>
        <w:t>最终可能转移，也可能不转移。以融资租赁方式租入的固定资产采用与自有固定资产</w:t>
      </w:r>
      <w:r>
        <w:rPr>
          <w:spacing w:val="-97"/>
        </w:rPr>
        <w:t> </w:t>
      </w:r>
      <w:r>
        <w:rPr>
          <w:spacing w:val="-97"/>
        </w:rPr>
      </w:r>
      <w:r>
        <w:rPr>
          <w:spacing w:val="2"/>
        </w:rPr>
        <w:t>一致的政策计提租赁资产折旧。能够合理确定租赁期届满时取得租赁资产所有权的在</w:t>
      </w:r>
      <w:r>
        <w:rPr>
          <w:spacing w:val="-97"/>
        </w:rPr>
        <w:t> </w:t>
      </w:r>
      <w:r>
        <w:rPr>
          <w:spacing w:val="-97"/>
        </w:rPr>
      </w:r>
      <w:r>
        <w:rPr/>
        <w:t>租赁资产使用寿命内计提折旧，无法合理确定租赁期届满能够取得租赁资产所有权的，</w:t>
      </w:r>
      <w:r>
        <w:rPr/>
        <w:t> 在租赁期与租赁资产使用寿命两者中较短的期间内计提折旧。</w:t>
      </w:r>
    </w:p>
    <w:p>
      <w:pPr>
        <w:pStyle w:val="BodyText"/>
        <w:tabs>
          <w:tab w:pos="1082" w:val="left" w:leader="none"/>
        </w:tabs>
        <w:spacing w:line="304" w:lineRule="auto"/>
        <w:ind w:left="602" w:right="1296"/>
        <w:jc w:val="left"/>
      </w:pPr>
      <w:r>
        <w:rPr/>
        <w:t>⑸</w:t>
        <w:tab/>
        <w:t>其他说明 </w:t>
      </w:r>
      <w:r>
        <w:rPr>
          <w:spacing w:val="2"/>
        </w:rPr>
        <w:t>与固定资产有关的后续支出，如果与该固定资产有关的经济利益很可能流入且其</w:t>
      </w:r>
    </w:p>
    <w:p>
      <w:pPr>
        <w:pStyle w:val="BodyText"/>
        <w:spacing w:line="307" w:lineRule="auto"/>
        <w:ind w:right="0"/>
        <w:jc w:val="left"/>
      </w:pPr>
      <w:r>
        <w:rPr>
          <w:spacing w:val="2"/>
        </w:rPr>
        <w:t>成本能可靠地计量，则计入固定资产成本，并终止确认被替换部分的账面价值。除此</w:t>
      </w:r>
      <w:r>
        <w:rPr>
          <w:spacing w:val="-94"/>
        </w:rPr>
        <w:t> </w:t>
      </w:r>
      <w:r>
        <w:rPr>
          <w:spacing w:val="-94"/>
        </w:rPr>
      </w:r>
      <w:r>
        <w:rPr/>
        <w:t>以外的其他后续支出，在发生时计入当期损益。</w:t>
      </w:r>
    </w:p>
    <w:p>
      <w:pPr>
        <w:pStyle w:val="BodyText"/>
        <w:spacing w:line="307" w:lineRule="auto" w:before="17"/>
        <w:ind w:right="1296" w:firstLine="479"/>
        <w:jc w:val="both"/>
      </w:pPr>
      <w:r>
        <w:rPr>
          <w:spacing w:val="2"/>
        </w:rPr>
        <w:t>固定资产出售、转让、报废或毁损的处臵收入扣除其账面价值和相关税费后的差</w:t>
      </w:r>
      <w:r>
        <w:rPr/>
        <w:t> 额计入当期损益。</w:t>
      </w:r>
    </w:p>
    <w:p>
      <w:pPr>
        <w:pStyle w:val="BodyText"/>
        <w:spacing w:line="304" w:lineRule="auto" w:before="19"/>
        <w:ind w:right="1145" w:firstLine="479"/>
        <w:jc w:val="left"/>
      </w:pPr>
      <w:r>
        <w:rPr/>
        <w:t>本集团至少于年度终了对固定资产的使用寿命、预计净残值和折旧方法进行复核， 如发生改变则作为会计估计变更处理。</w:t>
      </w:r>
    </w:p>
    <w:p>
      <w:pPr>
        <w:pStyle w:val="Heading3"/>
        <w:tabs>
          <w:tab w:pos="1382" w:val="left" w:leader="none"/>
        </w:tabs>
        <w:spacing w:line="363" w:lineRule="exact"/>
        <w:ind w:left="655" w:right="0"/>
        <w:jc w:val="left"/>
        <w:rPr>
          <w:b w:val="0"/>
          <w:bCs w:val="0"/>
        </w:rPr>
      </w:pPr>
      <w:r>
        <w:rPr>
          <w:rFonts w:ascii="Trebuchet MS" w:hAnsi="Trebuchet MS" w:cs="Trebuchet MS" w:eastAsia="Trebuchet MS" w:hint="default"/>
          <w:w w:val="90"/>
        </w:rPr>
        <w:t>13</w:t>
      </w:r>
      <w:r>
        <w:rPr>
          <w:w w:val="90"/>
        </w:rPr>
        <w:t>、</w:t>
        <w:tab/>
      </w:r>
      <w:r>
        <w:rPr/>
        <w:t>在建工程</w:t>
      </w:r>
      <w:r>
        <w:rPr>
          <w:b w:val="0"/>
          <w:bCs w:val="0"/>
        </w:rPr>
      </w:r>
    </w:p>
    <w:p>
      <w:pPr>
        <w:pStyle w:val="BodyText"/>
        <w:spacing w:line="304" w:lineRule="auto" w:before="59"/>
        <w:ind w:right="1292" w:firstLine="479"/>
        <w:jc w:val="both"/>
      </w:pPr>
      <w:r>
        <w:rPr>
          <w:spacing w:val="2"/>
        </w:rPr>
        <w:t>在建工程成本按实际工程支出确定，包括在建期间发生的各项工程支出以及其他</w:t>
      </w:r>
      <w:r>
        <w:rPr/>
        <w:t> 相关费用等。在建工程在达到预定可使用状态后结转为固定资产。</w:t>
      </w:r>
    </w:p>
    <w:p>
      <w:pPr>
        <w:pStyle w:val="BodyText"/>
        <w:spacing w:line="290" w:lineRule="auto"/>
        <w:ind w:right="1285" w:firstLine="479"/>
        <w:jc w:val="both"/>
      </w:pPr>
      <w:r>
        <w:rPr/>
        <w:t>在建工程的减值测试方法和减值准备计提方法详见附注四、</w:t>
      </w:r>
      <w:r>
        <w:rPr>
          <w:rFonts w:ascii="Times New Roman" w:hAnsi="Times New Roman" w:cs="Times New Roman" w:eastAsia="Times New Roman" w:hint="default"/>
        </w:rPr>
        <w:t>17“</w:t>
      </w:r>
      <w:r>
        <w:rPr/>
        <w:t>非流动非金融资产</w:t>
      </w:r>
      <w:r>
        <w:rPr>
          <w:w w:val="100"/>
        </w:rPr>
        <w:t> </w:t>
      </w:r>
      <w:r>
        <w:rPr/>
        <w:t>减值</w:t>
      </w:r>
      <w:r>
        <w:rPr>
          <w:rFonts w:ascii="Times New Roman" w:hAnsi="Times New Roman" w:cs="Times New Roman" w:eastAsia="Times New Roman" w:hint="default"/>
        </w:rPr>
        <w:t>”</w:t>
      </w:r>
      <w:r>
        <w:rPr/>
        <w:t>。</w:t>
      </w:r>
    </w:p>
    <w:p>
      <w:pPr>
        <w:pStyle w:val="Heading3"/>
        <w:tabs>
          <w:tab w:pos="1382" w:val="left" w:leader="none"/>
        </w:tabs>
        <w:spacing w:line="352" w:lineRule="exact"/>
        <w:ind w:left="655" w:right="0"/>
        <w:jc w:val="left"/>
        <w:rPr>
          <w:b w:val="0"/>
          <w:bCs w:val="0"/>
        </w:rPr>
      </w:pPr>
      <w:r>
        <w:rPr>
          <w:rFonts w:ascii="Trebuchet MS" w:hAnsi="Trebuchet MS" w:cs="Trebuchet MS" w:eastAsia="Trebuchet MS" w:hint="default"/>
          <w:w w:val="90"/>
        </w:rPr>
        <w:t>14</w:t>
      </w:r>
      <w:r>
        <w:rPr>
          <w:w w:val="90"/>
        </w:rPr>
        <w:t>、</w:t>
        <w:tab/>
      </w:r>
      <w:r>
        <w:rPr/>
        <w:t>借款费用</w:t>
      </w:r>
      <w:r>
        <w:rPr>
          <w:b w:val="0"/>
          <w:bCs w:val="0"/>
        </w:rPr>
      </w:r>
    </w:p>
    <w:p>
      <w:pPr>
        <w:pStyle w:val="BodyText"/>
        <w:spacing w:line="304" w:lineRule="auto" w:before="59"/>
        <w:ind w:right="1292" w:firstLine="479"/>
        <w:jc w:val="both"/>
      </w:pPr>
      <w:r>
        <w:rPr>
          <w:spacing w:val="2"/>
        </w:rPr>
        <w:t>借款费用包括借款利息、折价或溢价的摊销、辅助费用以及因外币借款而发生的</w:t>
      </w:r>
      <w:r>
        <w:rPr/>
        <w:t> </w:t>
      </w:r>
      <w:r>
        <w:rPr>
          <w:spacing w:val="2"/>
        </w:rPr>
        <w:t>汇兑差额等。可直接归属于符合资本化条件的资产的购建或者生产的借款费用，在资</w:t>
      </w:r>
      <w:r>
        <w:rPr>
          <w:spacing w:val="-97"/>
        </w:rPr>
        <w:t> </w:t>
      </w:r>
      <w:r>
        <w:rPr>
          <w:spacing w:val="-97"/>
        </w:rPr>
      </w:r>
      <w:r>
        <w:rPr>
          <w:spacing w:val="2"/>
        </w:rPr>
        <w:t>产支出已经发生、借款费用已经发生、为使资产达到预定可使用或可销售状态所必要</w:t>
      </w:r>
      <w:r>
        <w:rPr>
          <w:spacing w:val="-97"/>
        </w:rPr>
        <w:t> </w:t>
      </w:r>
      <w:r>
        <w:rPr>
          <w:spacing w:val="-97"/>
        </w:rPr>
      </w:r>
      <w:r>
        <w:rPr>
          <w:spacing w:val="2"/>
        </w:rPr>
        <w:t>的购建或生产活动已经开始时，开始资本化；构建或者生产的符合资本化条件的资产</w:t>
      </w:r>
      <w:r>
        <w:rPr>
          <w:spacing w:val="-97"/>
        </w:rPr>
        <w:t> </w:t>
      </w:r>
      <w:r>
        <w:rPr>
          <w:spacing w:val="-97"/>
        </w:rPr>
      </w:r>
      <w:r>
        <w:rPr>
          <w:spacing w:val="2"/>
        </w:rPr>
        <w:t>达到预定可使用状态或者可销售状态时，停止资本化。其余借款费用在发生当期确认</w:t>
      </w:r>
      <w:r>
        <w:rPr>
          <w:spacing w:val="-97"/>
        </w:rPr>
        <w:t> </w:t>
      </w:r>
      <w:r>
        <w:rPr>
          <w:spacing w:val="-97"/>
        </w:rPr>
      </w:r>
      <w:r>
        <w:rPr/>
        <w:t>为费用。</w:t>
      </w:r>
    </w:p>
    <w:p>
      <w:pPr>
        <w:pStyle w:val="BodyText"/>
        <w:spacing w:line="304" w:lineRule="auto"/>
        <w:ind w:right="1284" w:firstLine="479"/>
        <w:jc w:val="both"/>
      </w:pPr>
      <w:r>
        <w:rPr>
          <w:spacing w:val="2"/>
        </w:rPr>
        <w:t>专门借款当期实际发生的利息费用，减去尚未动用的借款资金存入银行取得的利</w:t>
      </w:r>
      <w:r>
        <w:rPr/>
        <w:t> </w:t>
      </w:r>
      <w:r>
        <w:rPr>
          <w:spacing w:val="2"/>
        </w:rPr>
        <w:t>息收入或进行暂时性投资取得的投资收益后的金额予以资本化；一般借款根据累计资</w:t>
      </w:r>
      <w:r>
        <w:rPr>
          <w:spacing w:val="-90"/>
        </w:rPr>
        <w:t> </w:t>
      </w:r>
      <w:r>
        <w:rPr>
          <w:spacing w:val="-90"/>
        </w:rPr>
      </w:r>
      <w:r>
        <w:rPr>
          <w:spacing w:val="2"/>
        </w:rPr>
        <w:t>产支出超过专门借款部分的资产支出加权平均数乘以所占用一般借款的资本化率，确</w:t>
      </w:r>
      <w:r>
        <w:rPr>
          <w:spacing w:val="-97"/>
        </w:rPr>
        <w:t> </w:t>
      </w:r>
      <w:r>
        <w:rPr>
          <w:spacing w:val="-97"/>
        </w:rPr>
      </w:r>
      <w:r>
        <w:rPr/>
        <w:t>定资本化金额。资本化率根据一般借款的加权平均利率计算确定。</w:t>
      </w:r>
    </w:p>
    <w:p>
      <w:pPr>
        <w:pStyle w:val="BodyText"/>
        <w:spacing w:line="304" w:lineRule="auto"/>
        <w:ind w:right="1296" w:firstLine="479"/>
        <w:jc w:val="both"/>
      </w:pPr>
      <w:r>
        <w:rPr>
          <w:spacing w:val="2"/>
        </w:rPr>
        <w:t>资本化期间内，外币专门借款的汇兑差额全部予以资本化；外币一般借款的汇兑</w:t>
      </w:r>
      <w:r>
        <w:rPr/>
        <w:t> 差额计入当期损益。</w:t>
      </w:r>
    </w:p>
    <w:p>
      <w:pPr>
        <w:pStyle w:val="BodyText"/>
        <w:spacing w:line="240" w:lineRule="auto"/>
        <w:ind w:left="602" w:right="0"/>
        <w:jc w:val="left"/>
      </w:pPr>
      <w:r>
        <w:rPr>
          <w:spacing w:val="2"/>
        </w:rPr>
        <w:t>符合资本化条件的资产指需要经过相当长时间的购建或者生产活动才能达到预定</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left="602" w:right="0" w:hanging="480"/>
        <w:jc w:val="left"/>
      </w:pPr>
      <w:r>
        <w:rPr/>
        <w:t>可使用或可销售状态的固定资产、投资性房地产和存货等资产。 </w:t>
      </w:r>
      <w:r>
        <w:rPr>
          <w:spacing w:val="2"/>
        </w:rPr>
        <w:t>如果符合资本化条件的资产在购建或生产过程中发生非正常中断、并且中断时间</w:t>
      </w:r>
    </w:p>
    <w:p>
      <w:pPr>
        <w:pStyle w:val="BodyText"/>
        <w:tabs>
          <w:tab w:pos="1382" w:val="left" w:leader="none"/>
        </w:tabs>
        <w:spacing w:line="235" w:lineRule="auto"/>
        <w:ind w:left="655" w:right="1400" w:hanging="533"/>
        <w:jc w:val="left"/>
        <w:rPr>
          <w:rFonts w:ascii="Microsoft JhengHei" w:hAnsi="Microsoft JhengHei" w:cs="Microsoft JhengHei" w:eastAsia="Microsoft JhengHei" w:hint="default"/>
        </w:rPr>
      </w:pPr>
      <w:r>
        <w:rPr/>
        <w:t>连续超过</w:t>
      </w:r>
      <w:r>
        <w:rPr>
          <w:spacing w:val="-61"/>
        </w:rPr>
        <w:t> </w:t>
      </w:r>
      <w:r>
        <w:rPr>
          <w:rFonts w:ascii="Times New Roman" w:hAnsi="Times New Roman" w:cs="Times New Roman" w:eastAsia="Times New Roman" w:hint="default"/>
        </w:rPr>
        <w:t>3 </w:t>
      </w:r>
      <w:r>
        <w:rPr/>
        <w:t>个月的，暂停借款费用的资本化，直至资产的购建或生产活动重新开始。 </w:t>
      </w:r>
      <w:r>
        <w:rPr>
          <w:rFonts w:ascii="Trebuchet MS" w:hAnsi="Trebuchet MS" w:cs="Trebuchet MS" w:eastAsia="Trebuchet MS" w:hint="default"/>
          <w:b/>
          <w:bCs/>
          <w:w w:val="90"/>
        </w:rPr>
        <w:t>15</w:t>
      </w:r>
      <w:r>
        <w:rPr>
          <w:rFonts w:ascii="Microsoft JhengHei" w:hAnsi="Microsoft JhengHei" w:cs="Microsoft JhengHei" w:eastAsia="Microsoft JhengHei" w:hint="default"/>
          <w:b/>
          <w:bCs/>
          <w:w w:val="90"/>
        </w:rPr>
        <w:t>、</w:t>
        <w:tab/>
      </w:r>
      <w:r>
        <w:rPr>
          <w:rFonts w:ascii="Microsoft JhengHei" w:hAnsi="Microsoft JhengHei" w:cs="Microsoft JhengHei" w:eastAsia="Microsoft JhengHei" w:hint="default"/>
          <w:b/>
          <w:bCs/>
        </w:rPr>
        <w:t>无形资产</w:t>
      </w:r>
      <w:r>
        <w:rPr>
          <w:rFonts w:ascii="Microsoft JhengHei" w:hAnsi="Microsoft JhengHei" w:cs="Microsoft JhengHei" w:eastAsia="Microsoft JhengHei" w:hint="default"/>
        </w:rPr>
      </w:r>
    </w:p>
    <w:p>
      <w:pPr>
        <w:pStyle w:val="BodyText"/>
        <w:tabs>
          <w:tab w:pos="1082" w:val="left" w:leader="none"/>
        </w:tabs>
        <w:spacing w:line="304" w:lineRule="auto" w:before="60"/>
        <w:ind w:left="602" w:right="1296"/>
        <w:jc w:val="left"/>
      </w:pPr>
      <w:r>
        <w:rPr/>
        <w:t>⑴</w:t>
        <w:tab/>
        <w:t>无形资产 无形资产是指本集团拥有或者控制的没有实物形态的可辨认非货币性资产。 </w:t>
      </w:r>
      <w:r>
        <w:rPr>
          <w:spacing w:val="2"/>
        </w:rPr>
        <w:t>无形资产按成本进行初始计量。与无形资产有关的支出，如果相关的经济利益很</w:t>
      </w:r>
    </w:p>
    <w:p>
      <w:pPr>
        <w:pStyle w:val="BodyText"/>
        <w:spacing w:line="304" w:lineRule="auto"/>
        <w:ind w:right="0"/>
        <w:jc w:val="left"/>
      </w:pPr>
      <w:r>
        <w:rPr>
          <w:spacing w:val="2"/>
        </w:rPr>
        <w:t>可能流入本集团且其成本能可靠地计量，则计入无形资产成本。除此以外的其他项目</w:t>
      </w:r>
      <w:r>
        <w:rPr>
          <w:spacing w:val="-97"/>
        </w:rPr>
        <w:t> </w:t>
      </w:r>
      <w:r>
        <w:rPr>
          <w:spacing w:val="-97"/>
        </w:rPr>
      </w:r>
      <w:r>
        <w:rPr/>
        <w:t>的支出，在发生时计入当期损益。</w:t>
      </w:r>
    </w:p>
    <w:p>
      <w:pPr>
        <w:pStyle w:val="BodyText"/>
        <w:spacing w:line="304" w:lineRule="auto"/>
        <w:ind w:right="0" w:firstLine="479"/>
        <w:jc w:val="left"/>
      </w:pPr>
      <w:r>
        <w:rPr>
          <w:spacing w:val="2"/>
        </w:rPr>
        <w:t>取得的土地使用权通常作为无形资产核算。自行开发建造厂房等建筑物，相关的</w:t>
      </w:r>
      <w:r>
        <w:rPr/>
        <w:t> </w:t>
      </w:r>
      <w:r>
        <w:rPr>
          <w:spacing w:val="2"/>
        </w:rPr>
        <w:t>土地使用权支出和建筑物建造成本则分别作为无形资产和固定资产核算。如为外购的</w:t>
      </w:r>
      <w:r>
        <w:rPr>
          <w:spacing w:val="-97"/>
        </w:rPr>
        <w:t> </w:t>
      </w:r>
      <w:r>
        <w:rPr>
          <w:spacing w:val="-97"/>
        </w:rPr>
      </w:r>
      <w:r>
        <w:rPr>
          <w:spacing w:val="-1"/>
        </w:rPr>
        <w:t>房屋及建筑物，则将有关价款在土地使用权和建筑物之间进行分配，难以合理分配的，</w:t>
      </w:r>
      <w:r>
        <w:rPr>
          <w:spacing w:val="-88"/>
        </w:rPr>
        <w:t> </w:t>
      </w:r>
      <w:r>
        <w:rPr>
          <w:spacing w:val="-88"/>
        </w:rPr>
      </w:r>
      <w:r>
        <w:rPr/>
        <w:t>全部作为固定资产处理。</w:t>
      </w:r>
    </w:p>
    <w:p>
      <w:pPr>
        <w:pStyle w:val="BodyText"/>
        <w:spacing w:line="304" w:lineRule="auto"/>
        <w:ind w:right="0" w:firstLine="479"/>
        <w:jc w:val="left"/>
      </w:pPr>
      <w:r>
        <w:rPr>
          <w:spacing w:val="2"/>
        </w:rPr>
        <w:t>使用寿命有限的无形资产自可供使用时起，对其原值在其预计使用寿命内采用直</w:t>
      </w:r>
      <w:r>
        <w:rPr/>
        <w:t> 线法分期平均摊销。使用寿命不确定的无形资产不予摊销。</w:t>
      </w:r>
    </w:p>
    <w:p>
      <w:pPr>
        <w:pStyle w:val="BodyText"/>
        <w:spacing w:line="304" w:lineRule="auto"/>
        <w:ind w:right="1292" w:firstLine="479"/>
        <w:jc w:val="both"/>
      </w:pPr>
      <w:r>
        <w:rPr>
          <w:spacing w:val="2"/>
        </w:rPr>
        <w:t>期末，对使用寿命有限的无形资产的使用寿命和摊销方法进行复核，如发生变更</w:t>
      </w:r>
      <w:r>
        <w:rPr/>
        <w:t> </w:t>
      </w:r>
      <w:r>
        <w:rPr>
          <w:spacing w:val="2"/>
        </w:rPr>
        <w:t>则作为会计估计变更处理。此外，还对使用寿命不确定的无形资产的使用寿命进行复</w:t>
      </w:r>
      <w:r>
        <w:rPr>
          <w:spacing w:val="-97"/>
        </w:rPr>
        <w:t> </w:t>
      </w:r>
      <w:r>
        <w:rPr>
          <w:spacing w:val="-97"/>
        </w:rPr>
      </w:r>
      <w:r>
        <w:rPr>
          <w:spacing w:val="2"/>
        </w:rPr>
        <w:t>核，如果有证据表明该无形资产为企业带来经济利益的期限是可预见的，则估计其使</w:t>
      </w:r>
      <w:r>
        <w:rPr>
          <w:spacing w:val="-97"/>
        </w:rPr>
        <w:t> </w:t>
      </w:r>
      <w:r>
        <w:rPr>
          <w:spacing w:val="-97"/>
        </w:rPr>
      </w:r>
      <w:r>
        <w:rPr/>
        <w:t>用寿命并按照使用寿命有限的无形资产的摊销政策进行摊销。</w:t>
      </w:r>
    </w:p>
    <w:p>
      <w:pPr>
        <w:pStyle w:val="BodyText"/>
        <w:tabs>
          <w:tab w:pos="1082" w:val="left" w:leader="none"/>
        </w:tabs>
        <w:spacing w:line="304" w:lineRule="auto"/>
        <w:ind w:left="602" w:right="1296"/>
        <w:jc w:val="left"/>
      </w:pPr>
      <w:r>
        <w:rPr/>
        <w:t>⑵</w:t>
        <w:tab/>
        <w:t>研究与开发支出 本集团内部研究开发项目的支出分为研究阶段支出与开发阶段支出。 研究阶段的支出，于发生时计入当期损益。 </w:t>
      </w:r>
      <w:r>
        <w:rPr>
          <w:spacing w:val="2"/>
        </w:rPr>
        <w:t>开发阶段的支出同时满足下列条件的，确认为无形资产，不能满足下述条件的开</w:t>
      </w:r>
    </w:p>
    <w:p>
      <w:pPr>
        <w:pStyle w:val="BodyText"/>
        <w:spacing w:line="240" w:lineRule="auto" w:before="19"/>
        <w:ind w:right="0"/>
        <w:jc w:val="left"/>
      </w:pPr>
      <w:r>
        <w:rPr/>
        <w:t>发阶段的支出计入当期损益：</w:t>
      </w:r>
    </w:p>
    <w:p>
      <w:pPr>
        <w:pStyle w:val="BodyText"/>
        <w:spacing w:line="240" w:lineRule="auto" w:before="86"/>
        <w:ind w:left="602" w:right="0"/>
        <w:jc w:val="left"/>
      </w:pPr>
      <w:r>
        <w:rPr>
          <w:rFonts w:ascii="宋体" w:hAnsi="宋体" w:cs="宋体" w:eastAsia="宋体" w:hint="default"/>
        </w:rPr>
        <w:t>①</w:t>
      </w:r>
      <w:r>
        <w:rPr/>
        <w:t>完成该无形资产以使其能够使用或出售在技术上具有可行性；</w:t>
      </w:r>
    </w:p>
    <w:p>
      <w:pPr>
        <w:pStyle w:val="BodyText"/>
        <w:spacing w:line="240" w:lineRule="auto" w:before="86"/>
        <w:ind w:left="602" w:right="0"/>
        <w:jc w:val="left"/>
      </w:pPr>
      <w:r>
        <w:rPr>
          <w:rFonts w:ascii="宋体" w:hAnsi="宋体" w:cs="宋体" w:eastAsia="宋体" w:hint="default"/>
        </w:rPr>
        <w:t>②</w:t>
      </w:r>
      <w:r>
        <w:rPr/>
        <w:t>具有完成该无形资产并使用或出售的意图；</w:t>
      </w:r>
    </w:p>
    <w:p>
      <w:pPr>
        <w:pStyle w:val="BodyText"/>
        <w:spacing w:line="307" w:lineRule="auto" w:before="84"/>
        <w:ind w:right="0" w:firstLine="479"/>
        <w:jc w:val="left"/>
      </w:pPr>
      <w:r>
        <w:rPr>
          <w:rFonts w:ascii="宋体" w:hAnsi="宋体" w:cs="宋体" w:eastAsia="宋体" w:hint="default"/>
          <w:spacing w:val="2"/>
        </w:rPr>
        <w:t>③</w:t>
      </w:r>
      <w:r>
        <w:rPr>
          <w:spacing w:val="2"/>
        </w:rPr>
        <w:t>无形资产产生经济利益的方式，包括能够证明运用该无形资产生产的产品存在</w:t>
      </w:r>
      <w:r>
        <w:rPr/>
        <w:t> 市场或无形资产自身存在市场，无形资产将在内部使用的，能够证明其有用性；</w:t>
      </w:r>
    </w:p>
    <w:p>
      <w:pPr>
        <w:pStyle w:val="BodyText"/>
        <w:spacing w:line="304" w:lineRule="auto" w:before="19"/>
        <w:ind w:right="0" w:firstLine="479"/>
        <w:jc w:val="left"/>
      </w:pPr>
      <w:r>
        <w:rPr>
          <w:rFonts w:ascii="宋体" w:hAnsi="宋体" w:cs="宋体" w:eastAsia="宋体" w:hint="default"/>
          <w:spacing w:val="2"/>
        </w:rPr>
        <w:t>④</w:t>
      </w:r>
      <w:r>
        <w:rPr>
          <w:spacing w:val="2"/>
        </w:rPr>
        <w:t>有足够的技术、财务资源和其他资源支持，以完成该无形资产的开发，并有能</w:t>
      </w:r>
      <w:r>
        <w:rPr/>
        <w:t> 力使用或出售该无形资产；</w:t>
      </w:r>
    </w:p>
    <w:p>
      <w:pPr>
        <w:pStyle w:val="BodyText"/>
        <w:spacing w:line="307" w:lineRule="auto"/>
        <w:ind w:left="602" w:right="1144"/>
        <w:jc w:val="left"/>
      </w:pPr>
      <w:r>
        <w:rPr>
          <w:rFonts w:ascii="宋体" w:hAnsi="宋体" w:cs="宋体" w:eastAsia="宋体" w:hint="default"/>
        </w:rPr>
        <w:t>⑤</w:t>
      </w:r>
      <w:r>
        <w:rPr/>
        <w:t>归属于该无形资产开发阶段的支出能够可靠地计量。 无法区分研究阶段支出和开发阶段支出的，将发生的研发支出全部计入当期损益。</w:t>
      </w:r>
    </w:p>
    <w:p>
      <w:pPr>
        <w:pStyle w:val="BodyText"/>
        <w:tabs>
          <w:tab w:pos="1082" w:val="left" w:leader="none"/>
        </w:tabs>
        <w:spacing w:line="307" w:lineRule="auto" w:before="17"/>
        <w:ind w:left="602" w:right="1285"/>
        <w:jc w:val="left"/>
      </w:pPr>
      <w:r>
        <w:rPr/>
        <w:t>⑶</w:t>
        <w:tab/>
        <w:t>无形资产的减值测试方法及减值准备计提方法 无形资产的减值测试方法和减值准备计提方法详见附注四、</w:t>
      </w:r>
      <w:r>
        <w:rPr>
          <w:rFonts w:ascii="Times New Roman" w:hAnsi="Times New Roman" w:cs="Times New Roman" w:eastAsia="Times New Roman" w:hint="default"/>
        </w:rPr>
        <w:t>17“</w:t>
      </w:r>
      <w:r>
        <w:rPr/>
        <w:t>非流动非金融资产</w:t>
      </w:r>
    </w:p>
    <w:p>
      <w:pPr>
        <w:spacing w:after="0" w:line="307"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29" w:lineRule="exact" w:before="26"/>
        <w:ind w:right="0"/>
        <w:jc w:val="left"/>
      </w:pPr>
      <w:r>
        <w:rPr/>
        <w:t>减值</w:t>
      </w:r>
      <w:r>
        <w:rPr>
          <w:rFonts w:ascii="Times New Roman" w:hAnsi="Times New Roman" w:cs="Times New Roman" w:eastAsia="Times New Roman" w:hint="default"/>
        </w:rPr>
        <w:t>”</w:t>
      </w:r>
      <w:r>
        <w:rPr/>
        <w:t>。</w:t>
      </w:r>
    </w:p>
    <w:p>
      <w:pPr>
        <w:tabs>
          <w:tab w:pos="1382" w:val="left" w:leader="none"/>
        </w:tabs>
        <w:spacing w:line="273" w:lineRule="auto" w:before="0"/>
        <w:ind w:left="602" w:right="1293" w:firstLine="52"/>
        <w:jc w:val="left"/>
        <w:rPr>
          <w:rFonts w:ascii="宋体" w:hAnsi="宋体" w:cs="宋体" w:eastAsia="宋体" w:hint="default"/>
          <w:sz w:val="24"/>
          <w:szCs w:val="24"/>
        </w:rPr>
      </w:pPr>
      <w:r>
        <w:rPr>
          <w:rFonts w:ascii="Trebuchet MS" w:hAnsi="Trebuchet MS" w:cs="Trebuchet MS" w:eastAsia="Trebuchet MS" w:hint="default"/>
          <w:b/>
          <w:bCs/>
          <w:w w:val="90"/>
          <w:sz w:val="24"/>
          <w:szCs w:val="24"/>
        </w:rPr>
        <w:t>16</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长期待摊费用</w:t>
      </w:r>
      <w:r>
        <w:rPr>
          <w:rFonts w:ascii="Microsoft JhengHei" w:hAnsi="Microsoft JhengHei" w:cs="Microsoft JhengHei" w:eastAsia="Microsoft JhengHei" w:hint="default"/>
          <w:b/>
          <w:bCs/>
          <w:sz w:val="24"/>
          <w:szCs w:val="24"/>
        </w:rPr>
        <w:t> </w:t>
      </w:r>
      <w:r>
        <w:rPr>
          <w:rFonts w:ascii="宋体" w:hAnsi="宋体" w:cs="宋体" w:eastAsia="宋体" w:hint="default"/>
          <w:spacing w:val="2"/>
          <w:sz w:val="24"/>
          <w:szCs w:val="24"/>
        </w:rPr>
        <w:t>长期待摊费用为已经发生但应由报告期和以后各期负担的分摊期限在一年以上的</w:t>
      </w:r>
    </w:p>
    <w:p>
      <w:pPr>
        <w:tabs>
          <w:tab w:pos="1382" w:val="left" w:leader="none"/>
        </w:tabs>
        <w:spacing w:line="247" w:lineRule="auto" w:before="53"/>
        <w:ind w:left="655" w:right="4281" w:hanging="53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各项费用。长期待摊费用在预计受益期间按直线法摊销。 </w:t>
      </w:r>
      <w:r>
        <w:rPr>
          <w:rFonts w:ascii="Trebuchet MS" w:hAnsi="Trebuchet MS" w:cs="Trebuchet MS" w:eastAsia="Trebuchet MS" w:hint="default"/>
          <w:b/>
          <w:bCs/>
          <w:w w:val="90"/>
          <w:sz w:val="24"/>
          <w:szCs w:val="24"/>
        </w:rPr>
        <w:t>17</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非流动非金融资产减值</w:t>
      </w:r>
      <w:r>
        <w:rPr>
          <w:rFonts w:ascii="Microsoft JhengHei" w:hAnsi="Microsoft JhengHei" w:cs="Microsoft JhengHei" w:eastAsia="Microsoft JhengHei" w:hint="default"/>
          <w:sz w:val="24"/>
          <w:szCs w:val="24"/>
        </w:rPr>
      </w:r>
    </w:p>
    <w:p>
      <w:pPr>
        <w:pStyle w:val="BodyText"/>
        <w:spacing w:line="304" w:lineRule="auto" w:before="47"/>
        <w:ind w:right="1144" w:firstLine="479"/>
        <w:jc w:val="left"/>
      </w:pPr>
      <w:r>
        <w:rPr>
          <w:spacing w:val="2"/>
        </w:rPr>
        <w:t>对于固定资产、在建工程、使用寿命有限的无形资产、以成本模式计量的投资性</w:t>
      </w:r>
      <w:r>
        <w:rPr/>
        <w:t> </w:t>
      </w:r>
      <w:r>
        <w:rPr>
          <w:spacing w:val="2"/>
        </w:rPr>
        <w:t>房地产及对子公司、合营企业、联营企业的长期股权投资等非流动非金融资产，本集</w:t>
      </w:r>
      <w:r>
        <w:rPr>
          <w:spacing w:val="-97"/>
        </w:rPr>
        <w:t> </w:t>
      </w:r>
      <w:r>
        <w:rPr>
          <w:spacing w:val="-97"/>
        </w:rPr>
      </w:r>
      <w:r>
        <w:rPr/>
        <w:t>团于资产负债表日判断是否存在减值迹象。如存在减值迹象的，则估计其可收回金额，</w:t>
      </w:r>
      <w:r>
        <w:rPr/>
        <w:t> 进行减值测试。商誉、使用寿命不确定的无形资产和尚未达到可使用状态的无形资产， 无论是否存在减值迹象，每年均进行减值测试。</w:t>
      </w:r>
    </w:p>
    <w:p>
      <w:pPr>
        <w:pStyle w:val="BodyText"/>
        <w:spacing w:line="304" w:lineRule="auto"/>
        <w:ind w:right="0" w:firstLine="479"/>
        <w:jc w:val="left"/>
      </w:pPr>
      <w:r>
        <w:rPr>
          <w:spacing w:val="2"/>
        </w:rPr>
        <w:t>减值测试结果表明资产的可收回金额低于其账面价值的，按其差额计提减值准备</w:t>
      </w:r>
      <w:r>
        <w:rPr/>
        <w:t> </w:t>
      </w:r>
      <w:r>
        <w:rPr>
          <w:spacing w:val="2"/>
        </w:rPr>
        <w:t>并计入减值损失。可收回金额为资产的公允价值减去处臵费用后的净额与资产预计未</w:t>
      </w:r>
      <w:r>
        <w:rPr>
          <w:spacing w:val="-97"/>
        </w:rPr>
        <w:t> </w:t>
      </w:r>
      <w:r>
        <w:rPr>
          <w:spacing w:val="-97"/>
        </w:rPr>
      </w:r>
      <w:r>
        <w:rPr>
          <w:spacing w:val="2"/>
        </w:rPr>
        <w:t>来现金流量的现值两者之间的较高者。资产的公允价值根据公平交易中销售协议价格</w:t>
      </w:r>
      <w:r>
        <w:rPr>
          <w:spacing w:val="-97"/>
        </w:rPr>
        <w:t> </w:t>
      </w:r>
      <w:r>
        <w:rPr>
          <w:spacing w:val="-97"/>
        </w:rPr>
      </w:r>
      <w:r>
        <w:rPr>
          <w:spacing w:val="-1"/>
        </w:rPr>
        <w:t>确定；不存在销售协议但存在资产活跃市场的，公允价值按照该资产的买方出价确定；</w:t>
      </w:r>
      <w:r>
        <w:rPr>
          <w:spacing w:val="-88"/>
        </w:rPr>
        <w:t> </w:t>
      </w:r>
      <w:r>
        <w:rPr>
          <w:spacing w:val="-88"/>
        </w:rPr>
      </w:r>
      <w:r>
        <w:rPr>
          <w:spacing w:val="2"/>
        </w:rPr>
        <w:t>不存在销售协议和资产活跃市场的，则以可获取的最佳信息为基础估计资产的公允价</w:t>
      </w:r>
      <w:r>
        <w:rPr>
          <w:spacing w:val="-90"/>
        </w:rPr>
        <w:t> </w:t>
      </w:r>
      <w:r>
        <w:rPr>
          <w:spacing w:val="-90"/>
        </w:rPr>
      </w:r>
      <w:r>
        <w:rPr>
          <w:spacing w:val="2"/>
        </w:rPr>
        <w:t>值。处臵费用包括与资产处臵有关的法律费用、相关税费、搬运费以及为使资产达到</w:t>
      </w:r>
      <w:r>
        <w:rPr>
          <w:spacing w:val="-97"/>
        </w:rPr>
        <w:t> </w:t>
      </w:r>
      <w:r>
        <w:rPr>
          <w:spacing w:val="-97"/>
        </w:rPr>
      </w:r>
      <w:r>
        <w:rPr>
          <w:spacing w:val="2"/>
        </w:rPr>
        <w:t>可销售状态所发生的直接费用。资产预计未来现金流量的现值，按照资产在持续使用</w:t>
      </w:r>
      <w:r>
        <w:rPr>
          <w:spacing w:val="-97"/>
        </w:rPr>
        <w:t> </w:t>
      </w:r>
      <w:r>
        <w:rPr>
          <w:spacing w:val="-97"/>
        </w:rPr>
      </w:r>
      <w:r>
        <w:rPr>
          <w:spacing w:val="2"/>
        </w:rPr>
        <w:t>过程中和最终处臵时所产生的预计未来现金流量，选择恰当的折现率对其进行折现后</w:t>
      </w:r>
      <w:r>
        <w:rPr>
          <w:spacing w:val="-97"/>
        </w:rPr>
        <w:t> </w:t>
      </w:r>
      <w:r>
        <w:rPr>
          <w:spacing w:val="-97"/>
        </w:rPr>
      </w:r>
      <w:r>
        <w:rPr>
          <w:spacing w:val="2"/>
        </w:rPr>
        <w:t>的金额加以确定。资产减值准备按单项资产为基础计算并确认，如果难以对单项资产</w:t>
      </w:r>
      <w:r>
        <w:rPr>
          <w:spacing w:val="-97"/>
        </w:rPr>
        <w:t> </w:t>
      </w:r>
      <w:r>
        <w:rPr>
          <w:spacing w:val="-97"/>
        </w:rPr>
      </w:r>
      <w:r>
        <w:rPr>
          <w:spacing w:val="2"/>
        </w:rPr>
        <w:t>的可收回金额进行估计的，以该资产所属的资产组确定资产组的可收回金额。资产组</w:t>
      </w:r>
      <w:r>
        <w:rPr>
          <w:spacing w:val="-97"/>
        </w:rPr>
        <w:t> </w:t>
      </w:r>
      <w:r>
        <w:rPr>
          <w:spacing w:val="-97"/>
        </w:rPr>
      </w:r>
      <w:r>
        <w:rPr/>
        <w:t>是能够独立产生现金流入的最小资产组合。</w:t>
      </w:r>
    </w:p>
    <w:p>
      <w:pPr>
        <w:pStyle w:val="BodyText"/>
        <w:spacing w:line="304" w:lineRule="auto"/>
        <w:ind w:right="1291" w:firstLine="479"/>
        <w:jc w:val="both"/>
      </w:pPr>
      <w:r>
        <w:rPr>
          <w:spacing w:val="2"/>
        </w:rPr>
        <w:t>在财务报表中单独列示的商誉，在进行减值测试时，将商誉的账面价值分摊至预</w:t>
      </w:r>
      <w:r>
        <w:rPr/>
        <w:t> </w:t>
      </w:r>
      <w:r>
        <w:rPr>
          <w:spacing w:val="2"/>
        </w:rPr>
        <w:t>期从企业合并的协同效应中受益的资产组或资产组组合。测试结果表明包含分摊的商</w:t>
      </w:r>
      <w:r>
        <w:rPr>
          <w:spacing w:val="-97"/>
        </w:rPr>
        <w:t> </w:t>
      </w:r>
      <w:r>
        <w:rPr>
          <w:spacing w:val="-97"/>
        </w:rPr>
      </w:r>
      <w:r>
        <w:rPr>
          <w:spacing w:val="2"/>
        </w:rPr>
        <w:t>誉的资产组或资产组组合的可收回金额低于其账面价值的，确认相应的减值损失。减</w:t>
      </w:r>
      <w:r>
        <w:rPr>
          <w:spacing w:val="-97"/>
        </w:rPr>
        <w:t> </w:t>
      </w:r>
      <w:r>
        <w:rPr>
          <w:spacing w:val="-97"/>
        </w:rPr>
      </w:r>
      <w:r>
        <w:rPr>
          <w:spacing w:val="2"/>
        </w:rPr>
        <w:t>值损失金额先抵减分摊至该资产组或资产组组合的商誉的账面价值，再根据资产组或</w:t>
      </w:r>
      <w:r>
        <w:rPr>
          <w:spacing w:val="-97"/>
        </w:rPr>
        <w:t> </w:t>
      </w:r>
      <w:r>
        <w:rPr>
          <w:spacing w:val="-97"/>
        </w:rPr>
      </w:r>
      <w:r>
        <w:rPr>
          <w:spacing w:val="2"/>
        </w:rPr>
        <w:t>资产组组合中除商誉以外的其他各项资产的账面价值所占比重，按比例抵减其他各项</w:t>
      </w:r>
      <w:r>
        <w:rPr>
          <w:spacing w:val="-97"/>
        </w:rPr>
        <w:t> </w:t>
      </w:r>
      <w:r>
        <w:rPr>
          <w:spacing w:val="-97"/>
        </w:rPr>
      </w:r>
      <w:r>
        <w:rPr/>
        <w:t>资产的账面价值。</w:t>
      </w:r>
    </w:p>
    <w:p>
      <w:pPr>
        <w:pStyle w:val="BodyText"/>
        <w:tabs>
          <w:tab w:pos="1382" w:val="left" w:leader="none"/>
        </w:tabs>
        <w:spacing w:line="247" w:lineRule="auto"/>
        <w:ind w:left="655" w:right="2361" w:hanging="53"/>
        <w:jc w:val="left"/>
        <w:rPr>
          <w:rFonts w:ascii="Microsoft JhengHei" w:hAnsi="Microsoft JhengHei" w:cs="Microsoft JhengHei" w:eastAsia="Microsoft JhengHei" w:hint="default"/>
        </w:rPr>
      </w:pPr>
      <w:r>
        <w:rPr/>
        <w:t>上述资产减值损失一经确认，以后期间不予转回价值得以恢复的部分。 </w:t>
      </w:r>
      <w:r>
        <w:rPr>
          <w:rFonts w:ascii="Trebuchet MS" w:hAnsi="Trebuchet MS" w:cs="Trebuchet MS" w:eastAsia="Trebuchet MS" w:hint="default"/>
          <w:b/>
          <w:bCs/>
          <w:w w:val="90"/>
        </w:rPr>
        <w:t>18</w:t>
      </w:r>
      <w:r>
        <w:rPr>
          <w:rFonts w:ascii="Microsoft JhengHei" w:hAnsi="Microsoft JhengHei" w:cs="Microsoft JhengHei" w:eastAsia="Microsoft JhengHei" w:hint="default"/>
          <w:b/>
          <w:bCs/>
          <w:w w:val="90"/>
        </w:rPr>
        <w:t>、</w:t>
        <w:tab/>
      </w:r>
      <w:r>
        <w:rPr>
          <w:rFonts w:ascii="Microsoft JhengHei" w:hAnsi="Microsoft JhengHei" w:cs="Microsoft JhengHei" w:eastAsia="Microsoft JhengHei" w:hint="default"/>
          <w:b/>
          <w:bCs/>
        </w:rPr>
        <w:t>预计负债</w:t>
      </w:r>
      <w:r>
        <w:rPr>
          <w:rFonts w:ascii="Microsoft JhengHei" w:hAnsi="Microsoft JhengHei" w:cs="Microsoft JhengHei" w:eastAsia="Microsoft JhengHei" w:hint="default"/>
        </w:rPr>
      </w:r>
    </w:p>
    <w:p>
      <w:pPr>
        <w:pStyle w:val="BodyText"/>
        <w:spacing w:line="307" w:lineRule="auto" w:before="47"/>
        <w:ind w:right="1283" w:firstLine="479"/>
        <w:jc w:val="both"/>
      </w:pPr>
      <w:r>
        <w:rPr>
          <w:spacing w:val="2"/>
        </w:rPr>
        <w:t>当与或有事项相关的义务同时符合以下条件，确认为预计负债：⑴该义务是本集</w:t>
      </w:r>
      <w:r>
        <w:rPr/>
        <w:t> </w:t>
      </w:r>
      <w:r>
        <w:rPr>
          <w:spacing w:val="2"/>
        </w:rPr>
        <w:t>团承担的现时义务；⑵履行该义务很可能导致经济利益流出；⑶该义务的金额能够可</w:t>
      </w:r>
      <w:r>
        <w:rPr>
          <w:spacing w:val="-89"/>
        </w:rPr>
        <w:t> </w:t>
      </w:r>
      <w:r>
        <w:rPr>
          <w:spacing w:val="-89"/>
        </w:rPr>
      </w:r>
      <w:r>
        <w:rPr/>
        <w:t>靠地计量。</w:t>
      </w:r>
    </w:p>
    <w:p>
      <w:pPr>
        <w:pStyle w:val="BodyText"/>
        <w:spacing w:line="307" w:lineRule="auto" w:before="17"/>
        <w:ind w:right="0" w:firstLine="479"/>
        <w:jc w:val="left"/>
      </w:pPr>
      <w:r>
        <w:rPr/>
        <w:t>在资产负债表日，考虑与或有事项有关的风险、不确定性和货币时间价值等因素， 按照履行相关现时义务所需支出的最佳估计数对预计负债进行计量。</w:t>
      </w:r>
    </w:p>
    <w:p>
      <w:pPr>
        <w:spacing w:after="0" w:line="307"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0" w:firstLine="479"/>
        <w:jc w:val="left"/>
      </w:pPr>
      <w:r>
        <w:rPr>
          <w:spacing w:val="2"/>
        </w:rPr>
        <w:t>如果清偿预计负债所需支出全部或部分预期由第三方补偿的，补偿金额在基本确</w:t>
      </w:r>
      <w:r>
        <w:rPr/>
        <w:t> 定能够收到时，作为资产单独确认，且确认的补偿金额不超过预计负债的账面价值。</w:t>
      </w:r>
    </w:p>
    <w:p>
      <w:pPr>
        <w:pStyle w:val="Heading3"/>
        <w:tabs>
          <w:tab w:pos="1382" w:val="left" w:leader="none"/>
        </w:tabs>
        <w:spacing w:line="240" w:lineRule="auto" w:before="87"/>
        <w:ind w:left="655" w:right="0"/>
        <w:jc w:val="left"/>
        <w:rPr>
          <w:b w:val="0"/>
          <w:bCs w:val="0"/>
        </w:rPr>
      </w:pPr>
      <w:r>
        <w:rPr>
          <w:rFonts w:ascii="Trebuchet MS" w:hAnsi="Trebuchet MS" w:cs="Trebuchet MS" w:eastAsia="Trebuchet MS" w:hint="default"/>
          <w:w w:val="90"/>
        </w:rPr>
        <w:t>19</w:t>
      </w:r>
      <w:r>
        <w:rPr>
          <w:w w:val="90"/>
        </w:rPr>
        <w:t>、</w:t>
        <w:tab/>
      </w:r>
      <w:r>
        <w:rPr/>
        <w:t>股份支付</w:t>
      </w:r>
      <w:r>
        <w:rPr>
          <w:b w:val="0"/>
          <w:bCs w:val="0"/>
        </w:rPr>
      </w:r>
    </w:p>
    <w:p>
      <w:pPr>
        <w:pStyle w:val="BodyText"/>
        <w:tabs>
          <w:tab w:pos="1202" w:val="left" w:leader="none"/>
        </w:tabs>
        <w:spacing w:line="307" w:lineRule="auto" w:before="57"/>
        <w:ind w:left="602" w:right="1401" w:firstLine="52"/>
        <w:jc w:val="left"/>
      </w:pPr>
      <w:r>
        <w:rPr>
          <w:rFonts w:ascii="宋体" w:hAnsi="宋体" w:cs="宋体" w:eastAsia="宋体" w:hint="default"/>
        </w:rPr>
        <w:t>⑴</w:t>
        <w:tab/>
      </w:r>
      <w:r>
        <w:rPr/>
        <w:t>股份支付的种类 股份支付是为了获取职工或其他方提供服务而授予权益工具或者承担以权益工具</w:t>
      </w:r>
    </w:p>
    <w:p>
      <w:pPr>
        <w:pStyle w:val="BodyText"/>
        <w:spacing w:line="304" w:lineRule="auto" w:before="19"/>
        <w:ind w:right="1401"/>
        <w:jc w:val="both"/>
      </w:pPr>
      <w:r>
        <w:rPr/>
        <w:t>为基础确定的负债的交易。股份支付分为以权益结算的股份支付和以现金结算的股份 支付。</w:t>
      </w:r>
    </w:p>
    <w:p>
      <w:pPr>
        <w:pStyle w:val="BodyText"/>
        <w:spacing w:line="307" w:lineRule="auto"/>
        <w:ind w:left="602" w:right="1384"/>
        <w:jc w:val="left"/>
      </w:pPr>
      <w:r>
        <w:rPr>
          <w:rFonts w:ascii="宋体" w:hAnsi="宋体" w:cs="宋体" w:eastAsia="宋体" w:hint="default"/>
        </w:rPr>
        <w:t>① </w:t>
      </w:r>
      <w:r>
        <w:rPr/>
        <w:t>以权益结算的股份支付 用以换取职工提供的服务的权益结算的股份支付，以授予职工权益工具在授予日</w:t>
      </w:r>
    </w:p>
    <w:p>
      <w:pPr>
        <w:pStyle w:val="BodyText"/>
        <w:spacing w:line="307" w:lineRule="auto" w:before="17"/>
        <w:ind w:right="1400"/>
        <w:jc w:val="both"/>
      </w:pPr>
      <w:r>
        <w:rPr/>
        <w:t>的公允价值计量。该公允价值的金额在完成等待期内的服务或达到规定业绩条件才可 行权的情况下，在等待期内以对可行权权益工具数量的最佳估计为基础，按直线法计 算计入相关成本，相应增加资本公积。</w:t>
      </w:r>
    </w:p>
    <w:p>
      <w:pPr>
        <w:pStyle w:val="BodyText"/>
        <w:spacing w:line="304" w:lineRule="auto" w:before="17"/>
        <w:ind w:right="1401" w:firstLine="479"/>
        <w:jc w:val="both"/>
      </w:pPr>
      <w:r>
        <w:rPr/>
        <w:t>用以换取其他方服务的权益结算的股份支付，如果其他方服务的公允价值能够可 靠计量，按照其他方服务在取得日的公允价值计量，如果其他方服务的公允价值不能 可靠计量，但权益工具的公允价值能够可靠计量的，按照权益工具在服务取得日的公 允价值计量，计入相关成本或费用，相应增加所有者权益。</w:t>
      </w:r>
    </w:p>
    <w:p>
      <w:pPr>
        <w:pStyle w:val="BodyText"/>
        <w:spacing w:line="307" w:lineRule="auto"/>
        <w:ind w:left="602" w:right="1384"/>
        <w:jc w:val="left"/>
      </w:pPr>
      <w:r>
        <w:rPr>
          <w:rFonts w:ascii="宋体" w:hAnsi="宋体" w:cs="宋体" w:eastAsia="宋体" w:hint="default"/>
        </w:rPr>
        <w:t>② </w:t>
      </w:r>
      <w:r>
        <w:rPr/>
        <w:t>以现金结算的股份支付 以现金结算的股份支付，按照本集团承担的以股份或其他权益工具为基础确定的</w:t>
      </w:r>
    </w:p>
    <w:p>
      <w:pPr>
        <w:pStyle w:val="BodyText"/>
        <w:spacing w:line="304" w:lineRule="auto" w:before="17"/>
        <w:ind w:right="1401"/>
        <w:jc w:val="both"/>
      </w:pPr>
      <w:r>
        <w:rPr/>
        <w:t>负债的公允价值计量。如授予后立即可行权，在授予日计入相关成本或费用，相应增 加负债；如须完成等待期内的服务或达到规定业绩条件以后才可行权，在等待期的每 个资产负债表日，以对可行权情况的最佳估计为基础，按照本集团承担负债的公允价 值金额，将当期取得的服务计入成本或费用，相应增加负债。</w:t>
      </w:r>
    </w:p>
    <w:p>
      <w:pPr>
        <w:pStyle w:val="BodyText"/>
        <w:spacing w:line="307" w:lineRule="auto"/>
        <w:ind w:right="1145" w:firstLine="479"/>
        <w:jc w:val="left"/>
      </w:pPr>
      <w:r>
        <w:rPr/>
        <w:t>在相关负债结算前的每个资产负债表日以及结算日，对负债的公允价值重新计量， 其变动计入当期损益。</w:t>
      </w:r>
    </w:p>
    <w:p>
      <w:pPr>
        <w:pStyle w:val="BodyText"/>
        <w:spacing w:line="307" w:lineRule="auto" w:before="17"/>
        <w:ind w:left="602" w:right="1384" w:firstLine="52"/>
        <w:jc w:val="left"/>
      </w:pPr>
      <w:r>
        <w:rPr>
          <w:rFonts w:ascii="宋体" w:hAnsi="宋体" w:cs="宋体" w:eastAsia="宋体" w:hint="default"/>
        </w:rPr>
        <w:t>⑵</w:t>
      </w:r>
      <w:r>
        <w:rPr>
          <w:rFonts w:ascii="宋体" w:hAnsi="宋体" w:cs="宋体" w:eastAsia="宋体" w:hint="default"/>
          <w:spacing w:val="67"/>
        </w:rPr>
        <w:t> </w:t>
      </w:r>
      <w:r>
        <w:rPr/>
        <w:t>权益工具公允价值的确定方法 本集团授予的股份期权采用授予日发行在外无限售普通股授予日公允价值与授予</w:t>
      </w:r>
    </w:p>
    <w:p>
      <w:pPr>
        <w:pStyle w:val="BodyText"/>
        <w:spacing w:line="240" w:lineRule="auto" w:before="19"/>
        <w:ind w:right="0"/>
        <w:jc w:val="both"/>
      </w:pPr>
      <w:r>
        <w:rPr/>
        <w:t>价格的差做为权益工具公允价值，具体参见附注十。</w:t>
      </w:r>
    </w:p>
    <w:p>
      <w:pPr>
        <w:pStyle w:val="BodyText"/>
        <w:spacing w:line="307" w:lineRule="auto" w:before="85"/>
        <w:ind w:left="602" w:right="1384" w:firstLine="52"/>
        <w:jc w:val="left"/>
      </w:pPr>
      <w:r>
        <w:rPr>
          <w:rFonts w:ascii="宋体" w:hAnsi="宋体" w:cs="宋体" w:eastAsia="宋体" w:hint="default"/>
        </w:rPr>
        <w:t>⑶</w:t>
      </w:r>
      <w:r>
        <w:rPr>
          <w:rFonts w:ascii="宋体" w:hAnsi="宋体" w:cs="宋体" w:eastAsia="宋体" w:hint="default"/>
          <w:spacing w:val="67"/>
        </w:rPr>
        <w:t> </w:t>
      </w:r>
      <w:r>
        <w:rPr/>
        <w:t>确认可行权权益工具最佳估计的依据 在等待期内的每个资产负债表日，根据最新取得的可行权职工人数变动等后续信</w:t>
      </w:r>
    </w:p>
    <w:p>
      <w:pPr>
        <w:pStyle w:val="BodyText"/>
        <w:spacing w:line="240" w:lineRule="auto" w:before="19"/>
        <w:ind w:right="0"/>
        <w:jc w:val="both"/>
      </w:pPr>
      <w:r>
        <w:rPr/>
        <w:t>息做出最佳估计，修正预计可行权的权益工具数量。</w:t>
      </w:r>
    </w:p>
    <w:p>
      <w:pPr>
        <w:pStyle w:val="BodyText"/>
        <w:spacing w:line="307" w:lineRule="auto" w:before="84"/>
        <w:ind w:left="602" w:right="1384" w:firstLine="52"/>
        <w:jc w:val="left"/>
      </w:pPr>
      <w:r>
        <w:rPr>
          <w:rFonts w:ascii="宋体" w:hAnsi="宋体" w:cs="宋体" w:eastAsia="宋体" w:hint="default"/>
        </w:rPr>
        <w:t>⑷</w:t>
      </w:r>
      <w:r>
        <w:rPr>
          <w:rFonts w:ascii="宋体" w:hAnsi="宋体" w:cs="宋体" w:eastAsia="宋体" w:hint="default"/>
          <w:spacing w:val="67"/>
        </w:rPr>
        <w:t> </w:t>
      </w:r>
      <w:r>
        <w:rPr/>
        <w:t>实施、修改、终止股份支付计划的相关会计处理 本集团对股份支付计划进行修改时，若修改增加了所授予权益工具的公允价值，</w:t>
      </w:r>
    </w:p>
    <w:p>
      <w:pPr>
        <w:pStyle w:val="BodyText"/>
        <w:spacing w:line="304" w:lineRule="auto" w:before="19"/>
        <w:ind w:right="1400"/>
        <w:jc w:val="both"/>
      </w:pPr>
      <w:r>
        <w:rPr/>
        <w:t>按照权益工具公允价值的增加相应确认取得服务的增加。权益工具公允价值的增加是 指修改前后的权益工具在修改日的公允价值之间的差额。若修改减少了股份支付公允</w:t>
      </w:r>
    </w:p>
    <w:p>
      <w:pPr>
        <w:spacing w:after="0" w:line="304"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1384"/>
        <w:jc w:val="left"/>
      </w:pPr>
      <w:r>
        <w:rPr/>
        <w:t>价值总额或采用了其他不利于职工的方式，则仍继续对取得的服务进行会计处理，视 同该变更从未发生，除非本集团取消了部分或全部已授予的权益工具。</w:t>
      </w:r>
    </w:p>
    <w:p>
      <w:pPr>
        <w:pStyle w:val="BodyText"/>
        <w:spacing w:line="304" w:lineRule="auto" w:before="17"/>
        <w:ind w:right="1401" w:firstLine="479"/>
        <w:jc w:val="both"/>
      </w:pPr>
      <w:r>
        <w:rPr/>
        <w:t>在等待期内，如果取消了授予的权益工具，本集团对取消所授予的权益性工具作 为加速行权处理，将剩余等待期内应确认的金额立即计入当期损益，同时确认资本公 积。职工或其他方能够选择满足非可行权条件但在等待期内未满足的，本集团将其作 为授予权益工具的取消处理。</w:t>
      </w:r>
    </w:p>
    <w:p>
      <w:pPr>
        <w:pStyle w:val="BodyText"/>
        <w:spacing w:line="307" w:lineRule="auto"/>
        <w:ind w:left="602" w:right="1384" w:firstLine="52"/>
        <w:jc w:val="left"/>
      </w:pPr>
      <w:r>
        <w:rPr>
          <w:rFonts w:ascii="宋体" w:hAnsi="宋体" w:cs="宋体" w:eastAsia="宋体" w:hint="default"/>
        </w:rPr>
        <w:t>⑸</w:t>
      </w:r>
      <w:r>
        <w:rPr>
          <w:rFonts w:ascii="宋体" w:hAnsi="宋体" w:cs="宋体" w:eastAsia="宋体" w:hint="default"/>
          <w:spacing w:val="67"/>
        </w:rPr>
        <w:t> </w:t>
      </w:r>
      <w:r>
        <w:rPr/>
        <w:t>涉及本集团与本集团股东或实际控制人的股份支付交易的会计处理 涉及本集团与本集团股东或实际控制人的股份支付交易，结算企业与接受服务企</w:t>
      </w:r>
    </w:p>
    <w:p>
      <w:pPr>
        <w:pStyle w:val="BodyText"/>
        <w:spacing w:line="307" w:lineRule="auto" w:before="17"/>
        <w:ind w:right="1384"/>
        <w:jc w:val="left"/>
      </w:pPr>
      <w:r>
        <w:rPr/>
        <w:t>业中其一在本集团内，另一在本集团外的，在本集团合并财务报表中按照以下规定进 行会计处理：</w:t>
      </w:r>
    </w:p>
    <w:p>
      <w:pPr>
        <w:pStyle w:val="BodyText"/>
        <w:spacing w:line="304" w:lineRule="auto" w:before="19"/>
        <w:ind w:right="1268" w:firstLine="479"/>
        <w:jc w:val="left"/>
      </w:pPr>
      <w:r>
        <w:rPr>
          <w:rFonts w:ascii="宋体" w:hAnsi="宋体" w:cs="宋体" w:eastAsia="宋体" w:hint="default"/>
        </w:rPr>
        <w:t>①</w:t>
      </w:r>
      <w:r>
        <w:rPr>
          <w:rFonts w:ascii="宋体" w:hAnsi="宋体" w:cs="宋体" w:eastAsia="宋体" w:hint="default"/>
          <w:spacing w:val="-3"/>
        </w:rPr>
        <w:t> </w:t>
      </w:r>
      <w:r>
        <w:rPr/>
        <w:t>结算企业以其本身权益工具结算的，将该股份支付交易作为权益结算的股份支 付处理；除此之外，作为现金结算的股份支付处理。</w:t>
      </w:r>
    </w:p>
    <w:p>
      <w:pPr>
        <w:pStyle w:val="BodyText"/>
        <w:spacing w:line="304" w:lineRule="auto"/>
        <w:ind w:right="1401" w:firstLine="479"/>
        <w:jc w:val="both"/>
      </w:pPr>
      <w:r>
        <w:rPr/>
        <w:t>结算企业是接受服务企业的投资者的，按照授予日权益工具的公允价值或应承担 负债的公允价值确认为对接受服务企业的长期股权投资，同时确认资本公积（其他资 本公积）或负债。</w:t>
      </w:r>
    </w:p>
    <w:p>
      <w:pPr>
        <w:pStyle w:val="BodyText"/>
        <w:spacing w:line="304" w:lineRule="auto"/>
        <w:ind w:right="1268" w:firstLine="479"/>
        <w:jc w:val="left"/>
      </w:pPr>
      <w:r>
        <w:rPr>
          <w:rFonts w:ascii="宋体" w:hAnsi="宋体" w:cs="宋体" w:eastAsia="宋体" w:hint="default"/>
        </w:rPr>
        <w:t>②</w:t>
      </w:r>
      <w:r>
        <w:rPr>
          <w:rFonts w:ascii="宋体" w:hAnsi="宋体" w:cs="宋体" w:eastAsia="宋体" w:hint="default"/>
          <w:spacing w:val="-3"/>
        </w:rPr>
        <w:t> </w:t>
      </w:r>
      <w:r>
        <w:rPr/>
        <w:t>接受服务企业没有结算义务或授予本企业职工的是其本身权益工具的，将该股 份支付交易作为权益结算的股份支付处理；接受服务企业具有结算义务且授予本企业 职工的并非其本身权益工具的，将该股份支付交易作为现金结算的股份支付处理。</w:t>
      </w:r>
    </w:p>
    <w:p>
      <w:pPr>
        <w:pStyle w:val="BodyText"/>
        <w:spacing w:line="304" w:lineRule="auto"/>
        <w:ind w:right="1401" w:firstLine="479"/>
        <w:jc w:val="both"/>
      </w:pPr>
      <w:r>
        <w:rPr/>
        <w:t>本集团内各企业之间发生的股份支付交易，接受服务企业和结算企业不是同一企 业的，在接受服务企业和结算企业各自的个别财务报表中对该股份支付交易的确认和 计量，比照上述原则处理。</w:t>
      </w:r>
    </w:p>
    <w:p>
      <w:pPr>
        <w:pStyle w:val="Heading3"/>
        <w:tabs>
          <w:tab w:pos="1382" w:val="left" w:leader="none"/>
        </w:tabs>
        <w:spacing w:line="363" w:lineRule="exact"/>
        <w:ind w:left="655" w:right="0"/>
        <w:jc w:val="left"/>
        <w:rPr>
          <w:b w:val="0"/>
          <w:bCs w:val="0"/>
        </w:rPr>
      </w:pPr>
      <w:r>
        <w:rPr>
          <w:rFonts w:ascii="Trebuchet MS" w:hAnsi="Trebuchet MS" w:cs="Trebuchet MS" w:eastAsia="Trebuchet MS" w:hint="default"/>
          <w:w w:val="90"/>
        </w:rPr>
        <w:t>20</w:t>
      </w:r>
      <w:r>
        <w:rPr>
          <w:w w:val="90"/>
        </w:rPr>
        <w:t>、</w:t>
        <w:tab/>
      </w:r>
      <w:r>
        <w:rPr/>
        <w:t>收入</w:t>
      </w:r>
      <w:r>
        <w:rPr>
          <w:b w:val="0"/>
          <w:bCs w:val="0"/>
        </w:rPr>
      </w:r>
    </w:p>
    <w:p>
      <w:pPr>
        <w:pStyle w:val="BodyText"/>
        <w:tabs>
          <w:tab w:pos="1082" w:val="left" w:leader="none"/>
        </w:tabs>
        <w:spacing w:line="304" w:lineRule="auto" w:before="59"/>
        <w:ind w:left="602" w:right="1296"/>
        <w:jc w:val="left"/>
      </w:pPr>
      <w:r>
        <w:rPr/>
        <w:t>⑴</w:t>
        <w:tab/>
        <w:t>商品销售收入 </w:t>
      </w:r>
      <w:r>
        <w:rPr>
          <w:spacing w:val="2"/>
        </w:rPr>
        <w:t>在已将商品所有权上的主要风险和报酬转移给买方，既没有保留通常与所有权相</w:t>
      </w:r>
    </w:p>
    <w:p>
      <w:pPr>
        <w:pStyle w:val="BodyText"/>
        <w:spacing w:line="304" w:lineRule="auto"/>
        <w:ind w:right="1280"/>
        <w:jc w:val="both"/>
      </w:pPr>
      <w:r>
        <w:rPr>
          <w:spacing w:val="2"/>
        </w:rPr>
        <w:t>联系的继续管理权，也没有对已售商品实施有效控制，收入的金额能够可靠地计量，</w:t>
      </w:r>
      <w:r>
        <w:rPr>
          <w:spacing w:val="-97"/>
        </w:rPr>
        <w:t> </w:t>
      </w:r>
      <w:r>
        <w:rPr>
          <w:spacing w:val="-97"/>
        </w:rPr>
      </w:r>
      <w:r>
        <w:rPr>
          <w:spacing w:val="2"/>
        </w:rPr>
        <w:t>相关的经济利益很可能流入企业，相关的已发生或将发生的成本能够可靠地计量时，</w:t>
      </w:r>
      <w:r>
        <w:rPr>
          <w:spacing w:val="-85"/>
        </w:rPr>
        <w:t> </w:t>
      </w:r>
      <w:r>
        <w:rPr>
          <w:spacing w:val="-85"/>
        </w:rPr>
      </w:r>
      <w:r>
        <w:rPr/>
        <w:t>确认商品销售收入的实现。</w:t>
      </w:r>
    </w:p>
    <w:p>
      <w:pPr>
        <w:pStyle w:val="BodyText"/>
        <w:tabs>
          <w:tab w:pos="1082" w:val="left" w:leader="none"/>
        </w:tabs>
        <w:spacing w:line="307" w:lineRule="auto"/>
        <w:ind w:left="602" w:right="1296"/>
        <w:jc w:val="left"/>
      </w:pPr>
      <w:r>
        <w:rPr/>
        <w:t>⑵</w:t>
        <w:tab/>
        <w:t>提供劳务收入 </w:t>
      </w:r>
      <w:r>
        <w:rPr>
          <w:spacing w:val="2"/>
        </w:rPr>
        <w:t>在提供劳务交易的结果能够可靠估计的情况下，于资产负债表日按照完工百分比</w:t>
      </w:r>
    </w:p>
    <w:p>
      <w:pPr>
        <w:pStyle w:val="BodyText"/>
        <w:spacing w:line="307" w:lineRule="auto" w:before="17"/>
        <w:ind w:left="602" w:right="1144" w:hanging="480"/>
        <w:jc w:val="left"/>
      </w:pPr>
      <w:r>
        <w:rPr/>
        <w:t>法确认提供的劳务收入。劳务交易的完工进度按已完工作的测量确定。 提供劳务交易的结果能够可靠估计是指同时满足：</w:t>
      </w:r>
      <w:r>
        <w:rPr>
          <w:rFonts w:ascii="宋体" w:hAnsi="宋体" w:cs="宋体" w:eastAsia="宋体" w:hint="default"/>
        </w:rPr>
        <w:t>⑴</w:t>
      </w:r>
      <w:r>
        <w:rPr/>
        <w:t>收入的金额能够可靠地计量；</w:t>
      </w:r>
    </w:p>
    <w:p>
      <w:pPr>
        <w:pStyle w:val="BodyText"/>
        <w:spacing w:line="304" w:lineRule="auto" w:before="19"/>
        <w:ind w:right="0"/>
        <w:jc w:val="left"/>
      </w:pPr>
      <w:r>
        <w:rPr>
          <w:rFonts w:ascii="宋体" w:hAnsi="宋体" w:cs="宋体" w:eastAsia="宋体" w:hint="default"/>
          <w:spacing w:val="2"/>
        </w:rPr>
        <w:t>⑵</w:t>
      </w:r>
      <w:r>
        <w:rPr>
          <w:spacing w:val="2"/>
        </w:rPr>
        <w:t>相关的经济利益很可能流入企业；</w:t>
      </w:r>
      <w:r>
        <w:rPr>
          <w:rFonts w:ascii="宋体" w:hAnsi="宋体" w:cs="宋体" w:eastAsia="宋体" w:hint="default"/>
          <w:spacing w:val="2"/>
        </w:rPr>
        <w:t>⑶</w:t>
      </w:r>
      <w:r>
        <w:rPr>
          <w:spacing w:val="2"/>
        </w:rPr>
        <w:t>交易的完工程度能够可靠地确定；</w:t>
      </w:r>
      <w:r>
        <w:rPr>
          <w:rFonts w:ascii="宋体" w:hAnsi="宋体" w:cs="宋体" w:eastAsia="宋体" w:hint="default"/>
          <w:spacing w:val="2"/>
        </w:rPr>
        <w:t>⑷</w:t>
      </w:r>
      <w:r>
        <w:rPr>
          <w:spacing w:val="2"/>
        </w:rPr>
        <w:t>交易中已</w:t>
      </w:r>
      <w:r>
        <w:rPr>
          <w:spacing w:val="-89"/>
        </w:rPr>
        <w:t> </w:t>
      </w:r>
      <w:r>
        <w:rPr>
          <w:spacing w:val="-89"/>
        </w:rPr>
      </w:r>
      <w:r>
        <w:rPr/>
        <w:t>发生和将发生的成本能够可靠地计量。</w:t>
      </w:r>
    </w:p>
    <w:p>
      <w:pPr>
        <w:pStyle w:val="BodyText"/>
        <w:spacing w:line="240" w:lineRule="auto"/>
        <w:ind w:left="602" w:right="0"/>
        <w:jc w:val="left"/>
      </w:pPr>
      <w:r>
        <w:rPr>
          <w:spacing w:val="2"/>
        </w:rPr>
        <w:t>如果提供劳务交易的结果不能够可靠估计，则按已经发生并预计能够得到补偿的</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0"/>
        <w:jc w:val="left"/>
      </w:pPr>
      <w:r>
        <w:rPr>
          <w:spacing w:val="2"/>
        </w:rPr>
        <w:t>劳务成本金额确认提供的劳务收入，并将已发生的劳务成本作为当期费用。已经发生</w:t>
      </w:r>
      <w:r>
        <w:rPr>
          <w:spacing w:val="-97"/>
        </w:rPr>
        <w:t> </w:t>
      </w:r>
      <w:r>
        <w:rPr>
          <w:spacing w:val="-97"/>
        </w:rPr>
      </w:r>
      <w:r>
        <w:rPr/>
        <w:t>的劳务成本如预计不能得到补偿的，则不确认收入。</w:t>
      </w:r>
    </w:p>
    <w:p>
      <w:pPr>
        <w:pStyle w:val="BodyText"/>
        <w:spacing w:line="304" w:lineRule="auto" w:before="17"/>
        <w:ind w:right="1144" w:firstLine="479"/>
        <w:jc w:val="left"/>
      </w:pPr>
      <w:r>
        <w:rPr>
          <w:spacing w:val="2"/>
        </w:rPr>
        <w:t>本集团与其他企业签订的合同或协议包括销售商品和提供劳务时，如销售商品部</w:t>
      </w:r>
      <w:r>
        <w:rPr/>
        <w:t> 分和提供劳务部分能够区分并单独计量的，将销售商品部分和提供劳务部分分别处理； </w:t>
      </w:r>
      <w:r>
        <w:rPr>
          <w:spacing w:val="2"/>
        </w:rPr>
        <w:t>如销售商品部分和提供劳务部分不能够区分，或虽能区分但不能够单独计量的，将该</w:t>
      </w:r>
      <w:r>
        <w:rPr>
          <w:spacing w:val="-97"/>
        </w:rPr>
        <w:t> </w:t>
      </w:r>
      <w:r>
        <w:rPr>
          <w:spacing w:val="-97"/>
        </w:rPr>
      </w:r>
      <w:r>
        <w:rPr/>
        <w:t>合同全部作为销售商品处理。</w:t>
      </w:r>
    </w:p>
    <w:p>
      <w:pPr>
        <w:pStyle w:val="BodyText"/>
        <w:tabs>
          <w:tab w:pos="1082" w:val="left" w:leader="none"/>
        </w:tabs>
        <w:spacing w:line="307" w:lineRule="auto"/>
        <w:ind w:left="602" w:right="4761"/>
        <w:jc w:val="left"/>
      </w:pPr>
      <w:r>
        <w:rPr/>
        <w:t>⑶</w:t>
        <w:tab/>
        <w:t>使用费收入 根据有关合同或协议，按权责发生制确认收入。</w:t>
      </w:r>
    </w:p>
    <w:p>
      <w:pPr>
        <w:pStyle w:val="BodyText"/>
        <w:tabs>
          <w:tab w:pos="1082" w:val="left" w:leader="none"/>
        </w:tabs>
        <w:spacing w:line="240" w:lineRule="auto" w:before="17"/>
        <w:ind w:left="602" w:right="0"/>
        <w:jc w:val="left"/>
      </w:pPr>
      <w:r>
        <w:rPr/>
        <w:t>⑷</w:t>
        <w:tab/>
        <w:t>利息收入</w:t>
      </w:r>
    </w:p>
    <w:p>
      <w:pPr>
        <w:tabs>
          <w:tab w:pos="1382" w:val="left" w:leader="none"/>
        </w:tabs>
        <w:spacing w:line="247" w:lineRule="auto" w:before="87"/>
        <w:ind w:left="655" w:right="3801" w:hanging="5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按照他人使用本集团货币资金的时间和实际利率计算确定 </w:t>
      </w:r>
      <w:r>
        <w:rPr>
          <w:rFonts w:ascii="Trebuchet MS" w:hAnsi="Trebuchet MS" w:cs="Trebuchet MS" w:eastAsia="Trebuchet MS" w:hint="default"/>
          <w:b/>
          <w:bCs/>
          <w:w w:val="90"/>
          <w:sz w:val="24"/>
          <w:szCs w:val="24"/>
        </w:rPr>
        <w:t>21</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政府补助</w:t>
      </w:r>
      <w:r>
        <w:rPr>
          <w:rFonts w:ascii="Microsoft JhengHei" w:hAnsi="Microsoft JhengHei" w:cs="Microsoft JhengHei" w:eastAsia="Microsoft JhengHei" w:hint="default"/>
          <w:sz w:val="24"/>
          <w:szCs w:val="24"/>
        </w:rPr>
      </w:r>
    </w:p>
    <w:p>
      <w:pPr>
        <w:pStyle w:val="BodyText"/>
        <w:spacing w:line="307" w:lineRule="auto" w:before="47"/>
        <w:ind w:right="1144" w:firstLine="479"/>
        <w:jc w:val="left"/>
      </w:pPr>
      <w:r>
        <w:rPr>
          <w:spacing w:val="2"/>
        </w:rPr>
        <w:t>政府补助是指本集团从政府无偿取得货币性资产和非货币性资产，不包括政府作</w:t>
      </w:r>
      <w:r>
        <w:rPr/>
        <w:t> 为所有者投入的资本。政府补助分为与资产相关的政府补助和与收益相关的政府补助。</w:t>
      </w:r>
    </w:p>
    <w:p>
      <w:pPr>
        <w:pStyle w:val="BodyText"/>
        <w:spacing w:line="304" w:lineRule="auto" w:before="19"/>
        <w:ind w:right="1292" w:firstLine="479"/>
        <w:jc w:val="both"/>
      </w:pPr>
      <w:r>
        <w:rPr>
          <w:spacing w:val="2"/>
        </w:rPr>
        <w:t>政府补助为货币性资产的，按照收到或应收的金额计量。政府补助为非货币性资</w:t>
      </w:r>
      <w:r>
        <w:rPr/>
        <w:t> </w:t>
      </w:r>
      <w:r>
        <w:rPr>
          <w:spacing w:val="2"/>
        </w:rPr>
        <w:t>产的，按照公允价值计量；公允价值不能够可靠取得的，按照名义金额计量。按照名</w:t>
      </w:r>
      <w:r>
        <w:rPr>
          <w:spacing w:val="-97"/>
        </w:rPr>
        <w:t> </w:t>
      </w:r>
      <w:r>
        <w:rPr>
          <w:spacing w:val="-97"/>
        </w:rPr>
      </w:r>
      <w:r>
        <w:rPr/>
        <w:t>义金额计量的政府补助，直接计入当期损益。</w:t>
      </w:r>
    </w:p>
    <w:p>
      <w:pPr>
        <w:pStyle w:val="BodyText"/>
        <w:spacing w:line="304" w:lineRule="auto"/>
        <w:ind w:right="1292" w:firstLine="479"/>
        <w:jc w:val="both"/>
      </w:pPr>
      <w:r>
        <w:rPr>
          <w:spacing w:val="2"/>
        </w:rPr>
        <w:t>与资产相关的政府补助，确认为递延收益，并在相关资产的使用寿命内平均分配</w:t>
      </w:r>
      <w:r>
        <w:rPr/>
        <w:t> </w:t>
      </w:r>
      <w:r>
        <w:rPr>
          <w:spacing w:val="2"/>
        </w:rPr>
        <w:t>计入当期损益。与收益相关的政府补助，用于补偿以后期间的相关费用和损失的，确</w:t>
      </w:r>
      <w:r>
        <w:rPr>
          <w:spacing w:val="-97"/>
        </w:rPr>
        <w:t> </w:t>
      </w:r>
      <w:r>
        <w:rPr>
          <w:spacing w:val="-97"/>
        </w:rPr>
      </w:r>
      <w:r>
        <w:rPr>
          <w:spacing w:val="2"/>
        </w:rPr>
        <w:t>认为递延收益，并在确认相关费用的期间计入当期损益；用于补偿已经发生的相关费</w:t>
      </w:r>
      <w:r>
        <w:rPr>
          <w:spacing w:val="-97"/>
        </w:rPr>
        <w:t> </w:t>
      </w:r>
      <w:r>
        <w:rPr>
          <w:spacing w:val="-97"/>
        </w:rPr>
      </w:r>
      <w:r>
        <w:rPr/>
        <w:t>用和损失的，直接计入当期损益。</w:t>
      </w:r>
    </w:p>
    <w:p>
      <w:pPr>
        <w:pStyle w:val="BodyText"/>
        <w:spacing w:line="307" w:lineRule="auto" w:before="19"/>
        <w:ind w:right="1294" w:firstLine="479"/>
        <w:jc w:val="both"/>
      </w:pPr>
      <w:r>
        <w:rPr>
          <w:spacing w:val="2"/>
        </w:rPr>
        <w:t>已确认的政府补助需要返还时，存在相关递延收益余额的，冲减相关递延收益账</w:t>
      </w:r>
      <w:r>
        <w:rPr/>
        <w:t> 面余额，超出部分计入当期损益；不存在相关递延收益的，直接计入当期损益。</w:t>
      </w:r>
    </w:p>
    <w:p>
      <w:pPr>
        <w:pStyle w:val="Heading3"/>
        <w:tabs>
          <w:tab w:pos="1382" w:val="left" w:leader="none"/>
        </w:tabs>
        <w:spacing w:line="361" w:lineRule="exact"/>
        <w:ind w:left="655" w:right="0"/>
        <w:jc w:val="left"/>
        <w:rPr>
          <w:b w:val="0"/>
          <w:bCs w:val="0"/>
        </w:rPr>
      </w:pPr>
      <w:r>
        <w:rPr>
          <w:rFonts w:ascii="Trebuchet MS" w:hAnsi="Trebuchet MS" w:cs="Trebuchet MS" w:eastAsia="Trebuchet MS" w:hint="default"/>
          <w:w w:val="90"/>
        </w:rPr>
        <w:t>22</w:t>
      </w:r>
      <w:r>
        <w:rPr>
          <w:w w:val="90"/>
        </w:rPr>
        <w:t>、</w:t>
        <w:tab/>
      </w:r>
      <w:r>
        <w:rPr/>
        <w:t>递延所得税资产</w:t>
      </w:r>
      <w:r>
        <w:rPr>
          <w:rFonts w:ascii="Times New Roman" w:hAnsi="Times New Roman" w:cs="Times New Roman" w:eastAsia="Times New Roman" w:hint="default"/>
        </w:rPr>
        <w:t>/</w:t>
      </w:r>
      <w:r>
        <w:rPr/>
        <w:t>递延所得税负债</w:t>
      </w:r>
      <w:r>
        <w:rPr>
          <w:b w:val="0"/>
          <w:bCs w:val="0"/>
        </w:rPr>
      </w:r>
    </w:p>
    <w:p>
      <w:pPr>
        <w:pStyle w:val="BodyText"/>
        <w:tabs>
          <w:tab w:pos="1082" w:val="left" w:leader="none"/>
        </w:tabs>
        <w:spacing w:line="307" w:lineRule="auto" w:before="57"/>
        <w:ind w:left="602" w:right="1281"/>
        <w:jc w:val="left"/>
      </w:pPr>
      <w:r>
        <w:rPr/>
        <w:t>⑴</w:t>
        <w:tab/>
        <w:t>当期所得税 </w:t>
      </w:r>
      <w:r>
        <w:rPr>
          <w:spacing w:val="-4"/>
        </w:rPr>
        <w:t>资产负债表日，对于当期和以前期间形成的当期所得税负债（或资产），以按照税</w:t>
      </w:r>
    </w:p>
    <w:p>
      <w:pPr>
        <w:pStyle w:val="BodyText"/>
        <w:spacing w:line="304" w:lineRule="auto" w:before="19"/>
        <w:ind w:right="0"/>
        <w:jc w:val="left"/>
      </w:pPr>
      <w:r>
        <w:rPr>
          <w:spacing w:val="2"/>
        </w:rPr>
        <w:t>法规定计算的预期应交纳（或返还）的所得税金额计量。计算当期所得税费用所依据</w:t>
      </w:r>
      <w:r>
        <w:rPr>
          <w:spacing w:val="-97"/>
        </w:rPr>
        <w:t> </w:t>
      </w:r>
      <w:r>
        <w:rPr>
          <w:spacing w:val="-97"/>
        </w:rPr>
      </w:r>
      <w:r>
        <w:rPr/>
        <w:t>的应纳税所得额系根据有关税法规定对本年度税前会计利润作相应调整后计算得出。</w:t>
      </w:r>
    </w:p>
    <w:p>
      <w:pPr>
        <w:pStyle w:val="BodyText"/>
        <w:tabs>
          <w:tab w:pos="1082" w:val="left" w:leader="none"/>
        </w:tabs>
        <w:spacing w:line="307" w:lineRule="auto"/>
        <w:ind w:left="602" w:right="1296"/>
        <w:jc w:val="left"/>
      </w:pPr>
      <w:r>
        <w:rPr/>
        <w:t>⑵</w:t>
        <w:tab/>
        <w:t>递延所得税资产及递延所得税负债 </w:t>
      </w:r>
      <w:r>
        <w:rPr>
          <w:spacing w:val="2"/>
        </w:rPr>
        <w:t>某些资产、负债项目的账面价值与其计税基础之间的差额，以及未作为资产和负</w:t>
      </w:r>
    </w:p>
    <w:p>
      <w:pPr>
        <w:pStyle w:val="BodyText"/>
        <w:spacing w:line="307" w:lineRule="auto" w:before="17"/>
        <w:ind w:right="0"/>
        <w:jc w:val="left"/>
      </w:pPr>
      <w:r>
        <w:rPr>
          <w:spacing w:val="2"/>
        </w:rPr>
        <w:t>债确认但按照税法规定可以确定其计税基础的项目的账面价值与计税基础之间的差额</w:t>
      </w:r>
      <w:r>
        <w:rPr>
          <w:spacing w:val="-96"/>
        </w:rPr>
        <w:t> </w:t>
      </w:r>
      <w:r>
        <w:rPr>
          <w:spacing w:val="-96"/>
        </w:rPr>
      </w:r>
      <w:r>
        <w:rPr/>
        <w:t>产生的暂时性差异，采用资产负债表债务法确认递延所得税资产及递延所得税负债。</w:t>
      </w:r>
    </w:p>
    <w:p>
      <w:pPr>
        <w:pStyle w:val="BodyText"/>
        <w:spacing w:line="304" w:lineRule="auto" w:before="19"/>
        <w:ind w:right="1292" w:firstLine="479"/>
        <w:jc w:val="both"/>
      </w:pPr>
      <w:r>
        <w:rPr>
          <w:spacing w:val="2"/>
        </w:rPr>
        <w:t>与商誉的初始确认有关，以及与既不是企业合并、发生时也不影响会计利润和应</w:t>
      </w:r>
      <w:r>
        <w:rPr/>
        <w:t> </w:t>
      </w:r>
      <w:r>
        <w:rPr>
          <w:spacing w:val="2"/>
        </w:rPr>
        <w:t>纳税所得额（或可抵扣亏损）的交易中产生的资产或负债的初始确认有关的应纳税暂</w:t>
      </w:r>
      <w:r>
        <w:rPr>
          <w:spacing w:val="-97"/>
        </w:rPr>
        <w:t> </w:t>
      </w:r>
      <w:r>
        <w:rPr>
          <w:spacing w:val="-97"/>
        </w:rPr>
      </w:r>
      <w:r>
        <w:rPr>
          <w:spacing w:val="2"/>
        </w:rPr>
        <w:t>时性差异，不予确认有关的递延所得税负债。此外，对与子公司、联营企业及合营企</w:t>
      </w:r>
    </w:p>
    <w:p>
      <w:pPr>
        <w:spacing w:after="0" w:line="304"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4" w:lineRule="auto" w:before="26"/>
        <w:ind w:right="1292"/>
        <w:jc w:val="both"/>
      </w:pPr>
      <w:r>
        <w:rPr>
          <w:spacing w:val="2"/>
        </w:rPr>
        <w:t>业投资相关的应纳税暂时性差异，如果本集团能够控制暂时性差异转回的时间，而且</w:t>
      </w:r>
      <w:r>
        <w:rPr>
          <w:spacing w:val="-97"/>
        </w:rPr>
        <w:t> </w:t>
      </w:r>
      <w:r>
        <w:rPr>
          <w:spacing w:val="-97"/>
        </w:rPr>
      </w:r>
      <w:r>
        <w:rPr>
          <w:spacing w:val="2"/>
        </w:rPr>
        <w:t>该暂时性差异在可预见的未来很可能不会转回，也不予确认有关的递延所得税负债。</w:t>
      </w:r>
      <w:r>
        <w:rPr>
          <w:spacing w:val="-97"/>
        </w:rPr>
        <w:t> </w:t>
      </w:r>
      <w:r>
        <w:rPr>
          <w:spacing w:val="-97"/>
        </w:rPr>
      </w:r>
      <w:r>
        <w:rPr/>
        <w:t>除上述例外情况，本集团确认其他所有应纳税暂时性差异产生的递延所得税负债。</w:t>
      </w:r>
    </w:p>
    <w:p>
      <w:pPr>
        <w:pStyle w:val="BodyText"/>
        <w:spacing w:line="304" w:lineRule="auto"/>
        <w:ind w:right="1292" w:firstLine="479"/>
        <w:jc w:val="both"/>
      </w:pPr>
      <w:r>
        <w:rPr>
          <w:spacing w:val="2"/>
        </w:rPr>
        <w:t>与既不是企业合并、发生时也不影响会计利润和应纳税所得额（或可抵扣亏损）</w:t>
      </w:r>
      <w:r>
        <w:rPr/>
        <w:t> </w:t>
      </w:r>
      <w:r>
        <w:rPr>
          <w:spacing w:val="2"/>
        </w:rPr>
        <w:t>的交易中产生的资产或负债的初始确认有关的可抵扣暂时性差异，不予确认有关的递</w:t>
      </w:r>
      <w:r>
        <w:rPr>
          <w:spacing w:val="-97"/>
        </w:rPr>
        <w:t> </w:t>
      </w:r>
      <w:r>
        <w:rPr>
          <w:spacing w:val="-97"/>
        </w:rPr>
      </w:r>
      <w:r>
        <w:rPr>
          <w:spacing w:val="2"/>
        </w:rPr>
        <w:t>延所得税资产。此外，对与子公司、联营企业及合营企业投资相关的可抵扣暂时性差</w:t>
      </w:r>
      <w:r>
        <w:rPr>
          <w:spacing w:val="-97"/>
        </w:rPr>
        <w:t> </w:t>
      </w:r>
      <w:r>
        <w:rPr>
          <w:spacing w:val="-97"/>
        </w:rPr>
      </w:r>
      <w:r>
        <w:rPr>
          <w:spacing w:val="2"/>
        </w:rPr>
        <w:t>异，如果暂时性差异在可预见的未来不是很可能转回，或者未来不是很可能获得用来</w:t>
      </w:r>
      <w:r>
        <w:rPr>
          <w:spacing w:val="-97"/>
        </w:rPr>
        <w:t> </w:t>
      </w:r>
      <w:r>
        <w:rPr>
          <w:spacing w:val="-97"/>
        </w:rPr>
      </w:r>
      <w:r>
        <w:rPr>
          <w:spacing w:val="2"/>
        </w:rPr>
        <w:t>抵扣可抵扣暂时性差异的应纳税所得额，不予确认有关的递延所得税资产。除上述例</w:t>
      </w:r>
      <w:r>
        <w:rPr>
          <w:spacing w:val="-97"/>
        </w:rPr>
        <w:t> </w:t>
      </w:r>
      <w:r>
        <w:rPr>
          <w:spacing w:val="-97"/>
        </w:rPr>
      </w:r>
      <w:r>
        <w:rPr>
          <w:spacing w:val="2"/>
        </w:rPr>
        <w:t>外情况，本集团以很可能取得用来抵扣可抵扣暂时性差异的应纳税所得额为限，确认</w:t>
      </w:r>
      <w:r>
        <w:rPr>
          <w:spacing w:val="-97"/>
        </w:rPr>
        <w:t> </w:t>
      </w:r>
      <w:r>
        <w:rPr>
          <w:spacing w:val="-97"/>
        </w:rPr>
      </w:r>
      <w:r>
        <w:rPr/>
        <w:t>其他可抵扣暂时性差异产生的递延所得税资产。</w:t>
      </w:r>
    </w:p>
    <w:p>
      <w:pPr>
        <w:pStyle w:val="BodyText"/>
        <w:spacing w:line="304" w:lineRule="auto"/>
        <w:ind w:right="1296" w:firstLine="479"/>
        <w:jc w:val="both"/>
      </w:pPr>
      <w:r>
        <w:rPr>
          <w:spacing w:val="2"/>
        </w:rPr>
        <w:t>对于能够结转以后年度的可抵扣亏损和税款抵减，以很可能获得用来抵扣可抵扣</w:t>
      </w:r>
      <w:r>
        <w:rPr/>
        <w:t> 亏损和税款抵减的未来应纳税所得额为限，确认相应的递延所得税资产。</w:t>
      </w:r>
    </w:p>
    <w:p>
      <w:pPr>
        <w:pStyle w:val="BodyText"/>
        <w:spacing w:line="307" w:lineRule="auto"/>
        <w:ind w:right="1296" w:firstLine="479"/>
        <w:jc w:val="both"/>
      </w:pPr>
      <w:r>
        <w:rPr>
          <w:spacing w:val="2"/>
        </w:rPr>
        <w:t>资产负债表日，对于递延所得税资产和递延所得税负债，根据税法规定，按照预</w:t>
      </w:r>
      <w:r>
        <w:rPr/>
        <w:t> 期收回相关资产或清偿相关负债期间的适用税率计量。</w:t>
      </w:r>
    </w:p>
    <w:p>
      <w:pPr>
        <w:pStyle w:val="BodyText"/>
        <w:spacing w:line="307" w:lineRule="auto" w:before="17"/>
        <w:ind w:right="1292" w:firstLine="479"/>
        <w:jc w:val="both"/>
      </w:pPr>
      <w:r>
        <w:rPr>
          <w:spacing w:val="2"/>
        </w:rPr>
        <w:t>于资产负债表日，对递延所得税资产的账面价值进行复核，如果未来很可能无法</w:t>
      </w:r>
      <w:r>
        <w:rPr/>
        <w:t> </w:t>
      </w:r>
      <w:r>
        <w:rPr>
          <w:spacing w:val="2"/>
        </w:rPr>
        <w:t>获得足够的应纳税所得额用以抵扣递延所得税资产的利益，则减记递延所得税资产的</w:t>
      </w:r>
      <w:r>
        <w:rPr>
          <w:spacing w:val="-97"/>
        </w:rPr>
        <w:t> </w:t>
      </w:r>
      <w:r>
        <w:rPr>
          <w:spacing w:val="-97"/>
        </w:rPr>
      </w:r>
      <w:r>
        <w:rPr/>
        <w:t>账面价值。在很可能获得足够的应纳税所得额时，减记的金额予以转回。</w:t>
      </w:r>
    </w:p>
    <w:p>
      <w:pPr>
        <w:pStyle w:val="BodyText"/>
        <w:tabs>
          <w:tab w:pos="1082" w:val="left" w:leader="none"/>
        </w:tabs>
        <w:spacing w:line="307" w:lineRule="auto" w:before="17"/>
        <w:ind w:left="602" w:right="5241"/>
        <w:jc w:val="left"/>
      </w:pPr>
      <w:r>
        <w:rPr/>
        <w:t>⑶</w:t>
        <w:tab/>
        <w:t>所得税费用 所得税费用包括当期所得税和递延所得税。</w:t>
      </w:r>
    </w:p>
    <w:p>
      <w:pPr>
        <w:pStyle w:val="BodyText"/>
        <w:spacing w:line="304" w:lineRule="auto" w:before="19"/>
        <w:ind w:right="1292" w:firstLine="479"/>
        <w:jc w:val="both"/>
      </w:pPr>
      <w:r>
        <w:rPr>
          <w:spacing w:val="2"/>
        </w:rPr>
        <w:t>除确认为其他综合收益或直接计入所有者权益的交易和事项相关的当期所得税和</w:t>
      </w:r>
      <w:r>
        <w:rPr/>
        <w:t> </w:t>
      </w:r>
      <w:r>
        <w:rPr>
          <w:spacing w:val="2"/>
        </w:rPr>
        <w:t>递延所得税计入其他综合收益或所有者权益，以及企业合并产生的递延所得税调整商</w:t>
      </w:r>
      <w:r>
        <w:rPr>
          <w:spacing w:val="-97"/>
        </w:rPr>
        <w:t> </w:t>
      </w:r>
      <w:r>
        <w:rPr>
          <w:spacing w:val="-97"/>
        </w:rPr>
      </w:r>
      <w:r>
        <w:rPr/>
        <w:t>誉的账面价值外，其余当期所得税和递延所得税费用或收益计入当期损益。</w:t>
      </w:r>
    </w:p>
    <w:p>
      <w:pPr>
        <w:pStyle w:val="BodyText"/>
        <w:tabs>
          <w:tab w:pos="1082" w:val="left" w:leader="none"/>
        </w:tabs>
        <w:spacing w:line="304" w:lineRule="auto"/>
        <w:ind w:left="602" w:right="1296"/>
        <w:jc w:val="left"/>
      </w:pPr>
      <w:r>
        <w:rPr/>
        <w:t>⑷</w:t>
        <w:tab/>
        <w:t>所得税的抵销 </w:t>
      </w:r>
      <w:r>
        <w:rPr>
          <w:spacing w:val="2"/>
        </w:rPr>
        <w:t>当拥有以净额结算的法定权利，且意图以净额结算或取得资产、清偿负债同时进</w:t>
      </w:r>
    </w:p>
    <w:p>
      <w:pPr>
        <w:pStyle w:val="BodyText"/>
        <w:spacing w:line="307" w:lineRule="auto"/>
        <w:ind w:left="602" w:right="0" w:hanging="480"/>
        <w:jc w:val="left"/>
      </w:pPr>
      <w:r>
        <w:rPr/>
        <w:t>行时，本集团当期所得税资产及当期所得税负债以抵销后的净额列报。 </w:t>
      </w:r>
      <w:r>
        <w:rPr>
          <w:spacing w:val="2"/>
        </w:rPr>
        <w:t>当拥有以净额结算当期所得税资产及当期所得税负债的法定权利，且递延所得税</w:t>
      </w:r>
    </w:p>
    <w:p>
      <w:pPr>
        <w:pStyle w:val="BodyText"/>
        <w:spacing w:line="304" w:lineRule="auto" w:before="17"/>
        <w:ind w:right="1287"/>
        <w:jc w:val="both"/>
      </w:pPr>
      <w:r>
        <w:rPr>
          <w:spacing w:val="2"/>
        </w:rPr>
        <w:t>资产及递延所得税负债是与同一税收征管部门对同一纳税主体征收的所得税相关或者</w:t>
      </w:r>
      <w:r>
        <w:rPr>
          <w:spacing w:val="-92"/>
        </w:rPr>
        <w:t> </w:t>
      </w:r>
      <w:r>
        <w:rPr>
          <w:spacing w:val="-92"/>
        </w:rPr>
      </w:r>
      <w:r>
        <w:rPr>
          <w:spacing w:val="2"/>
        </w:rPr>
        <w:t>是对不同的纳税主体相关，但在未来每一具有重要性的递延所得税资产及负债转回的</w:t>
      </w:r>
      <w:r>
        <w:rPr>
          <w:spacing w:val="-97"/>
        </w:rPr>
        <w:t> </w:t>
      </w:r>
      <w:r>
        <w:rPr>
          <w:spacing w:val="-97"/>
        </w:rPr>
      </w:r>
      <w:r>
        <w:rPr>
          <w:spacing w:val="2"/>
        </w:rPr>
        <w:t>期间内，涉及的纳税主体意图以净额结算当期所得税资产和负债或是同时取得资产、</w:t>
      </w:r>
      <w:r>
        <w:rPr>
          <w:spacing w:val="-97"/>
        </w:rPr>
        <w:t> </w:t>
      </w:r>
      <w:r>
        <w:rPr>
          <w:spacing w:val="-97"/>
        </w:rPr>
      </w:r>
      <w:r>
        <w:rPr/>
        <w:t>清偿负债时，本集团递延所得税资产及递延所得税负债以抵销后的净额列报。</w:t>
      </w:r>
    </w:p>
    <w:p>
      <w:pPr>
        <w:pStyle w:val="Heading3"/>
        <w:tabs>
          <w:tab w:pos="1382" w:val="left" w:leader="none"/>
        </w:tabs>
        <w:spacing w:line="363" w:lineRule="exact"/>
        <w:ind w:left="655" w:right="0"/>
        <w:jc w:val="left"/>
        <w:rPr>
          <w:b w:val="0"/>
          <w:bCs w:val="0"/>
        </w:rPr>
      </w:pPr>
      <w:r>
        <w:rPr>
          <w:rFonts w:ascii="Trebuchet MS" w:hAnsi="Trebuchet MS" w:cs="Trebuchet MS" w:eastAsia="Trebuchet MS" w:hint="default"/>
          <w:w w:val="90"/>
        </w:rPr>
        <w:t>23</w:t>
      </w:r>
      <w:r>
        <w:rPr>
          <w:w w:val="90"/>
        </w:rPr>
        <w:t>、</w:t>
        <w:tab/>
      </w:r>
      <w:r>
        <w:rPr/>
        <w:t>租赁</w:t>
      </w:r>
      <w:r>
        <w:rPr>
          <w:b w:val="0"/>
          <w:bCs w:val="0"/>
        </w:rPr>
      </w:r>
    </w:p>
    <w:p>
      <w:pPr>
        <w:pStyle w:val="BodyText"/>
        <w:spacing w:line="304" w:lineRule="auto" w:before="59"/>
        <w:ind w:right="1296" w:firstLine="479"/>
        <w:jc w:val="both"/>
      </w:pPr>
      <w:r>
        <w:rPr>
          <w:spacing w:val="2"/>
        </w:rPr>
        <w:t>融资租赁为实质上转移了与资产所有权有关的全部风险和报酬的租赁，其所有权</w:t>
      </w:r>
      <w:r>
        <w:rPr/>
        <w:t> 最终可能转移，也可能不转移。融资租赁以外的其他租赁为经营租赁。</w:t>
      </w:r>
    </w:p>
    <w:p>
      <w:pPr>
        <w:pStyle w:val="BodyText"/>
        <w:tabs>
          <w:tab w:pos="1082" w:val="left" w:leader="none"/>
        </w:tabs>
        <w:spacing w:line="240" w:lineRule="auto"/>
        <w:ind w:left="602" w:right="0"/>
        <w:jc w:val="left"/>
      </w:pPr>
      <w:r>
        <w:rPr/>
        <w:t>⑴</w:t>
        <w:tab/>
        <w:t>本集团作为承租人记录经营租赁业务</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0" w:firstLine="479"/>
        <w:jc w:val="left"/>
      </w:pPr>
      <w:r>
        <w:rPr>
          <w:spacing w:val="2"/>
        </w:rPr>
        <w:t>经营租赁的租金支出在租赁期内的各个期间按直线法计入相关资产成本或当期损</w:t>
      </w:r>
      <w:r>
        <w:rPr/>
        <w:t> 益。初始直接费用计入当期损益。或有租金于实际发生时计入当期损益。</w:t>
      </w:r>
    </w:p>
    <w:p>
      <w:pPr>
        <w:pStyle w:val="BodyText"/>
        <w:tabs>
          <w:tab w:pos="1082" w:val="left" w:leader="none"/>
        </w:tabs>
        <w:spacing w:line="307" w:lineRule="auto" w:before="17"/>
        <w:ind w:left="602" w:right="1296"/>
        <w:jc w:val="left"/>
      </w:pPr>
      <w:r>
        <w:rPr/>
        <w:t>⑵</w:t>
        <w:tab/>
        <w:t>本集团作为出租人记录经营租赁业务 </w:t>
      </w:r>
      <w:r>
        <w:rPr>
          <w:spacing w:val="2"/>
        </w:rPr>
        <w:t>经营租赁的租金收入在租赁期内的各个期间按直线法确认为当期损益。对金额较</w:t>
      </w:r>
    </w:p>
    <w:p>
      <w:pPr>
        <w:pStyle w:val="BodyText"/>
        <w:spacing w:line="304" w:lineRule="auto" w:before="19"/>
        <w:ind w:right="1292"/>
        <w:jc w:val="both"/>
      </w:pPr>
      <w:r>
        <w:rPr>
          <w:spacing w:val="2"/>
        </w:rPr>
        <w:t>大的初始直接费用于发生时予以资本化，在整个租赁期间内按照与确认租金收入相同</w:t>
      </w:r>
      <w:r>
        <w:rPr>
          <w:spacing w:val="-97"/>
        </w:rPr>
        <w:t> </w:t>
      </w:r>
      <w:r>
        <w:rPr>
          <w:spacing w:val="-97"/>
        </w:rPr>
      </w:r>
      <w:r>
        <w:rPr>
          <w:spacing w:val="2"/>
        </w:rPr>
        <w:t>的基础分期计入当期损益；其他金额较小的初始直接费用于发生时计入当期损益。或</w:t>
      </w:r>
      <w:r>
        <w:rPr>
          <w:spacing w:val="-97"/>
        </w:rPr>
        <w:t> </w:t>
      </w:r>
      <w:r>
        <w:rPr>
          <w:spacing w:val="-97"/>
        </w:rPr>
      </w:r>
      <w:r>
        <w:rPr/>
        <w:t>有租金于实际发生时计入当期损益。</w:t>
      </w:r>
    </w:p>
    <w:p>
      <w:pPr>
        <w:pStyle w:val="BodyText"/>
        <w:tabs>
          <w:tab w:pos="1082" w:val="left" w:leader="none"/>
        </w:tabs>
        <w:spacing w:line="304" w:lineRule="auto"/>
        <w:ind w:left="602" w:right="1296"/>
        <w:jc w:val="left"/>
      </w:pPr>
      <w:r>
        <w:rPr/>
        <w:t>⑶</w:t>
        <w:tab/>
        <w:t>本集团作为承租人记录融资租赁业务 </w:t>
      </w:r>
      <w:r>
        <w:rPr>
          <w:spacing w:val="2"/>
        </w:rPr>
        <w:t>于租赁期开始日，将租赁开始日租赁资产的公允价值与最低租赁付款额现值两者</w:t>
      </w:r>
    </w:p>
    <w:p>
      <w:pPr>
        <w:pStyle w:val="BodyText"/>
        <w:spacing w:line="304" w:lineRule="auto"/>
        <w:ind w:right="1283"/>
        <w:jc w:val="both"/>
      </w:pPr>
      <w:r>
        <w:rPr>
          <w:spacing w:val="2"/>
        </w:rPr>
        <w:t>中较低者作为租入资产的入账价值，将最低租赁付款额作为长期应付款的入账价值，</w:t>
      </w:r>
      <w:r>
        <w:rPr>
          <w:spacing w:val="-88"/>
        </w:rPr>
        <w:t> </w:t>
      </w:r>
      <w:r>
        <w:rPr>
          <w:spacing w:val="-88"/>
        </w:rPr>
      </w:r>
      <w:r>
        <w:rPr>
          <w:spacing w:val="2"/>
        </w:rPr>
        <w:t>其差额作为未确认融资费用。此外，在租赁谈判和签订租赁合同过程中发生的，可归</w:t>
      </w:r>
      <w:r>
        <w:rPr>
          <w:spacing w:val="-97"/>
        </w:rPr>
        <w:t> </w:t>
      </w:r>
      <w:r>
        <w:rPr>
          <w:spacing w:val="-97"/>
        </w:rPr>
      </w:r>
      <w:r>
        <w:rPr>
          <w:spacing w:val="2"/>
        </w:rPr>
        <w:t>属于租赁项目的初始直接费用也计入租入资产价值。最低租赁付款额扣除未确认融资</w:t>
      </w:r>
      <w:r>
        <w:rPr>
          <w:spacing w:val="-97"/>
        </w:rPr>
        <w:t> </w:t>
      </w:r>
      <w:r>
        <w:rPr>
          <w:spacing w:val="-97"/>
        </w:rPr>
      </w:r>
      <w:r>
        <w:rPr/>
        <w:t>费用后的余额分别长期负债和一年内到期的长期负债列示。</w:t>
      </w:r>
    </w:p>
    <w:p>
      <w:pPr>
        <w:pStyle w:val="BodyText"/>
        <w:spacing w:line="304" w:lineRule="auto"/>
        <w:ind w:right="0" w:firstLine="479"/>
        <w:jc w:val="left"/>
      </w:pPr>
      <w:r>
        <w:rPr>
          <w:spacing w:val="2"/>
        </w:rPr>
        <w:t>未确认融资费用在租赁期内采用实际利率法计算确认当期的融资费用。或有租金</w:t>
      </w:r>
      <w:r>
        <w:rPr/>
        <w:t> 于实际发生时计入当期损益。</w:t>
      </w:r>
    </w:p>
    <w:p>
      <w:pPr>
        <w:pStyle w:val="BodyText"/>
        <w:tabs>
          <w:tab w:pos="1082" w:val="left" w:leader="none"/>
        </w:tabs>
        <w:spacing w:line="307" w:lineRule="auto"/>
        <w:ind w:left="602" w:right="1296"/>
        <w:jc w:val="left"/>
      </w:pPr>
      <w:r>
        <w:rPr/>
        <w:t>⑷</w:t>
        <w:tab/>
        <w:t>本集团作为出租人记录融资租赁业务 </w:t>
      </w:r>
      <w:r>
        <w:rPr>
          <w:spacing w:val="2"/>
        </w:rPr>
        <w:t>于租赁期开始日，将租赁开始日最低租赁收款额与初始直接费用之和作为应收融</w:t>
      </w:r>
    </w:p>
    <w:p>
      <w:pPr>
        <w:pStyle w:val="BodyText"/>
        <w:spacing w:line="307" w:lineRule="auto" w:before="17"/>
        <w:ind w:right="1289"/>
        <w:jc w:val="both"/>
      </w:pPr>
      <w:r>
        <w:rPr>
          <w:spacing w:val="2"/>
        </w:rPr>
        <w:t>资租赁款的入账价值，同时记录未担保余值；将最低租赁收款额、初始直接费用及未</w:t>
      </w:r>
      <w:r>
        <w:rPr>
          <w:spacing w:val="-97"/>
        </w:rPr>
        <w:t> </w:t>
      </w:r>
      <w:r>
        <w:rPr>
          <w:spacing w:val="-97"/>
        </w:rPr>
      </w:r>
      <w:r>
        <w:rPr>
          <w:spacing w:val="2"/>
        </w:rPr>
        <w:t>担保余值之和与其现值之和的差额确认为未实现融资收益。应收融资租赁款扣除未实</w:t>
      </w:r>
      <w:r>
        <w:rPr>
          <w:spacing w:val="-94"/>
        </w:rPr>
        <w:t> </w:t>
      </w:r>
      <w:r>
        <w:rPr>
          <w:spacing w:val="-94"/>
        </w:rPr>
      </w:r>
      <w:r>
        <w:rPr/>
        <w:t>现融资收益后的余额分别长期债权和一年内到期的长期债权列示。</w:t>
      </w:r>
    </w:p>
    <w:p>
      <w:pPr>
        <w:pStyle w:val="BodyText"/>
        <w:spacing w:line="307" w:lineRule="auto" w:before="17"/>
        <w:ind w:right="0" w:firstLine="479"/>
        <w:jc w:val="left"/>
      </w:pPr>
      <w:r>
        <w:rPr>
          <w:spacing w:val="2"/>
        </w:rPr>
        <w:t>未实现融资收益在租赁期内采用实际利率法计算确认当期的融资收入。或有租金</w:t>
      </w:r>
      <w:r>
        <w:rPr/>
        <w:t> 于实际发生时计入当期损益。</w:t>
      </w:r>
    </w:p>
    <w:p>
      <w:pPr>
        <w:pStyle w:val="Heading3"/>
        <w:tabs>
          <w:tab w:pos="1382" w:val="left" w:leader="none"/>
        </w:tabs>
        <w:spacing w:line="361" w:lineRule="exact"/>
        <w:ind w:left="655" w:right="0"/>
        <w:jc w:val="left"/>
        <w:rPr>
          <w:b w:val="0"/>
          <w:bCs w:val="0"/>
        </w:rPr>
      </w:pPr>
      <w:r>
        <w:rPr>
          <w:rFonts w:ascii="Trebuchet MS" w:hAnsi="Trebuchet MS" w:cs="Trebuchet MS" w:eastAsia="Trebuchet MS" w:hint="default"/>
          <w:w w:val="90"/>
        </w:rPr>
        <w:t>24</w:t>
      </w:r>
      <w:r>
        <w:rPr>
          <w:w w:val="90"/>
        </w:rPr>
        <w:t>、</w:t>
        <w:tab/>
      </w:r>
      <w:r>
        <w:rPr/>
        <w:t>持有待售资产</w:t>
      </w:r>
      <w:r>
        <w:rPr>
          <w:b w:val="0"/>
          <w:bCs w:val="0"/>
        </w:rPr>
      </w:r>
    </w:p>
    <w:p>
      <w:pPr>
        <w:pStyle w:val="BodyText"/>
        <w:spacing w:line="302" w:lineRule="auto" w:before="57"/>
        <w:ind w:right="1280" w:firstLine="479"/>
        <w:jc w:val="both"/>
      </w:pPr>
      <w:r>
        <w:rPr>
          <w:spacing w:val="2"/>
        </w:rPr>
        <w:t>若本集团已就处臵某项非流动资产作出决议，已经与受让方签订了不可撤销的转</w:t>
      </w:r>
      <w:r>
        <w:rPr/>
        <w:t> </w:t>
      </w:r>
      <w:r>
        <w:rPr>
          <w:spacing w:val="2"/>
        </w:rPr>
        <w:t>让协议，且该项转让很可能在一年内完成，则该非流动资产作为持有待售非流动资产</w:t>
      </w:r>
      <w:r>
        <w:rPr>
          <w:spacing w:val="-97"/>
        </w:rPr>
        <w:t> </w:t>
      </w:r>
      <w:r>
        <w:rPr>
          <w:spacing w:val="-97"/>
        </w:rPr>
      </w:r>
      <w:r>
        <w:rPr>
          <w:spacing w:val="2"/>
        </w:rPr>
        <w:t>核算，不计提折旧或进行摊销，按照账面价值与公允价值减去处臵费用后的净额孰低</w:t>
      </w:r>
      <w:r>
        <w:rPr>
          <w:spacing w:val="-97"/>
        </w:rPr>
        <w:t> </w:t>
      </w:r>
      <w:r>
        <w:rPr>
          <w:spacing w:val="-97"/>
        </w:rPr>
      </w:r>
      <w:r>
        <w:rPr>
          <w:spacing w:val="2"/>
        </w:rPr>
        <w:t>计量。持有待售的非流动资产包括单项资产和处臵组。如果处臵组是一组资产组，并</w:t>
      </w:r>
      <w:r>
        <w:rPr>
          <w:spacing w:val="-85"/>
        </w:rPr>
        <w:t> </w:t>
      </w:r>
      <w:r>
        <w:rPr>
          <w:spacing w:val="-85"/>
        </w:rPr>
      </w:r>
      <w:r>
        <w:rPr/>
        <w:t>且按照《企业会计准则第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56"/>
        </w:rPr>
        <w:t> </w:t>
      </w:r>
      <w:r>
        <w:rPr/>
        <w:t>号</w:t>
      </w:r>
      <w:r>
        <w:rPr>
          <w:rFonts w:ascii="Times New Roman" w:hAnsi="Times New Roman" w:cs="Times New Roman" w:eastAsia="Times New Roman" w:hint="default"/>
        </w:rPr>
        <w:t>——</w:t>
      </w:r>
      <w:r>
        <w:rPr/>
        <w:t>资产减值》的规定将企业合并中取得的商誉分摊至 </w:t>
      </w:r>
      <w:r>
        <w:rPr>
          <w:spacing w:val="2"/>
        </w:rPr>
        <w:t>该资产组，或者该处臵组是这种资产组中一项经营，则该处臵组包括企业合并中的商</w:t>
      </w:r>
      <w:r>
        <w:rPr>
          <w:spacing w:val="-97"/>
        </w:rPr>
        <w:t> </w:t>
      </w:r>
      <w:r>
        <w:rPr>
          <w:spacing w:val="-97"/>
        </w:rPr>
      </w:r>
      <w:r>
        <w:rPr/>
        <w:t>誉。</w:t>
      </w:r>
    </w:p>
    <w:p>
      <w:pPr>
        <w:pStyle w:val="BodyText"/>
        <w:spacing w:line="307" w:lineRule="auto" w:before="24"/>
        <w:ind w:right="0" w:firstLine="479"/>
        <w:jc w:val="left"/>
      </w:pPr>
      <w:r>
        <w:rPr>
          <w:spacing w:val="2"/>
        </w:rPr>
        <w:t>某项资产或处臵组被划归为持有待售，但后来不再满足持有待售的非流动资产的</w:t>
      </w:r>
      <w:r>
        <w:rPr/>
        <w:t> </w:t>
      </w:r>
      <w:r>
        <w:rPr>
          <w:spacing w:val="-1"/>
        </w:rPr>
        <w:t>确认条件，本集团停止将其划归为持有待售，并按照下列两项金额中较低者进行计量：</w:t>
      </w:r>
    </w:p>
    <w:p>
      <w:pPr>
        <w:pStyle w:val="BodyText"/>
        <w:spacing w:line="307" w:lineRule="auto" w:before="17"/>
        <w:ind w:right="1283"/>
        <w:jc w:val="both"/>
      </w:pPr>
      <w:r>
        <w:rPr>
          <w:rFonts w:ascii="宋体" w:hAnsi="宋体" w:cs="宋体" w:eastAsia="宋体" w:hint="default"/>
          <w:spacing w:val="2"/>
        </w:rPr>
        <w:t>⑴</w:t>
      </w:r>
      <w:r>
        <w:rPr>
          <w:spacing w:val="2"/>
        </w:rPr>
        <w:t>该资产或处臵组被划归为持有待售之前的账面价值，按照其假定在没有被划归为持</w:t>
      </w:r>
      <w:r>
        <w:rPr>
          <w:spacing w:val="-97"/>
        </w:rPr>
        <w:t> </w:t>
      </w:r>
      <w:r>
        <w:rPr>
          <w:spacing w:val="-97"/>
        </w:rPr>
      </w:r>
      <w:r>
        <w:rPr>
          <w:spacing w:val="2"/>
        </w:rPr>
        <w:t>有待售的情况下原应确认的折旧、摊销或减值进行调整后的金额；</w:t>
      </w:r>
      <w:r>
        <w:rPr>
          <w:rFonts w:ascii="宋体" w:hAnsi="宋体" w:cs="宋体" w:eastAsia="宋体" w:hint="default"/>
          <w:spacing w:val="2"/>
        </w:rPr>
        <w:t>⑵</w:t>
      </w:r>
      <w:r>
        <w:rPr>
          <w:spacing w:val="2"/>
        </w:rPr>
        <w:t>决定不再出售之</w:t>
      </w:r>
    </w:p>
    <w:p>
      <w:pPr>
        <w:spacing w:after="0" w:line="307" w:lineRule="auto"/>
        <w:jc w:val="both"/>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tabs>
          <w:tab w:pos="1382" w:val="left" w:leader="none"/>
        </w:tabs>
        <w:spacing w:line="247" w:lineRule="auto" w:before="26"/>
        <w:ind w:left="655" w:right="8057" w:hanging="53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日的可收回金额。 </w:t>
      </w:r>
      <w:r>
        <w:rPr>
          <w:rFonts w:ascii="Trebuchet MS" w:hAnsi="Trebuchet MS" w:cs="Trebuchet MS" w:eastAsia="Trebuchet MS" w:hint="default"/>
          <w:b/>
          <w:bCs/>
          <w:w w:val="90"/>
          <w:sz w:val="24"/>
          <w:szCs w:val="24"/>
        </w:rPr>
        <w:t>25</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职工薪酬</w:t>
      </w:r>
      <w:r>
        <w:rPr>
          <w:rFonts w:ascii="Microsoft JhengHei" w:hAnsi="Microsoft JhengHei" w:cs="Microsoft JhengHei" w:eastAsia="Microsoft JhengHei" w:hint="default"/>
          <w:sz w:val="24"/>
          <w:szCs w:val="24"/>
        </w:rPr>
      </w:r>
    </w:p>
    <w:p>
      <w:pPr>
        <w:pStyle w:val="BodyText"/>
        <w:spacing w:line="307" w:lineRule="auto" w:before="47"/>
        <w:ind w:left="602" w:right="0"/>
        <w:jc w:val="left"/>
      </w:pPr>
      <w:r>
        <w:rPr/>
        <w:t>本集团在职工提供服务的会计期间，将应付的职工薪酬确认为负债。 </w:t>
      </w:r>
      <w:r>
        <w:rPr>
          <w:spacing w:val="2"/>
        </w:rPr>
        <w:t>本集团按规定参加由政府机构设立的职工社会保障体系，包括基本养老保险、医</w:t>
      </w:r>
    </w:p>
    <w:p>
      <w:pPr>
        <w:pStyle w:val="BodyText"/>
        <w:spacing w:line="304" w:lineRule="auto" w:before="19"/>
        <w:ind w:right="1292"/>
        <w:jc w:val="both"/>
      </w:pPr>
      <w:r>
        <w:rPr>
          <w:spacing w:val="2"/>
        </w:rPr>
        <w:t>疗保险、住房公积金及其他社会保障制度，相应的支出于发生时计入相关资产成本或</w:t>
      </w:r>
      <w:r>
        <w:rPr>
          <w:spacing w:val="-97"/>
        </w:rPr>
        <w:t> </w:t>
      </w:r>
      <w:r>
        <w:rPr>
          <w:spacing w:val="-97"/>
        </w:rPr>
      </w:r>
      <w:r>
        <w:rPr/>
        <w:t>当期损益。</w:t>
      </w:r>
    </w:p>
    <w:p>
      <w:pPr>
        <w:pStyle w:val="BodyText"/>
        <w:spacing w:line="304" w:lineRule="auto"/>
        <w:ind w:right="1292" w:firstLine="479"/>
        <w:jc w:val="both"/>
      </w:pPr>
      <w:r>
        <w:rPr>
          <w:spacing w:val="2"/>
        </w:rPr>
        <w:t>在职工劳动合同到期之前解除与职工的劳动关系，或为鼓励职工自愿接受裁减而</w:t>
      </w:r>
      <w:r>
        <w:rPr/>
        <w:t> </w:t>
      </w:r>
      <w:r>
        <w:rPr>
          <w:spacing w:val="2"/>
        </w:rPr>
        <w:t>提出给予补偿的建议，如果本集团已经制定正式的解除劳动关系计划或提出自愿裁减</w:t>
      </w:r>
      <w:r>
        <w:rPr>
          <w:spacing w:val="-97"/>
        </w:rPr>
        <w:t> </w:t>
      </w:r>
      <w:r>
        <w:rPr>
          <w:spacing w:val="-97"/>
        </w:rPr>
      </w:r>
      <w:r>
        <w:rPr>
          <w:spacing w:val="2"/>
        </w:rPr>
        <w:t>建议并即将实施，同时本集团不能单方面撤回解除劳动关系计划或裁减建议的，确认</w:t>
      </w:r>
      <w:r>
        <w:rPr>
          <w:spacing w:val="-97"/>
        </w:rPr>
        <w:t> </w:t>
      </w:r>
      <w:r>
        <w:rPr>
          <w:spacing w:val="-97"/>
        </w:rPr>
      </w:r>
      <w:r>
        <w:rPr/>
        <w:t>因解除与职工劳动关系给予补偿产生的预计负债，并计入当期损益。</w:t>
      </w:r>
    </w:p>
    <w:p>
      <w:pPr>
        <w:pStyle w:val="BodyText"/>
        <w:spacing w:line="304" w:lineRule="auto"/>
        <w:ind w:right="1290" w:firstLine="479"/>
        <w:jc w:val="both"/>
      </w:pPr>
      <w:r>
        <w:rPr>
          <w:spacing w:val="2"/>
        </w:rPr>
        <w:t>职工内部退休计划采用上述辞退福利相同的原则处理。本集团将自职工停止提供</w:t>
      </w:r>
      <w:r>
        <w:rPr/>
        <w:t> </w:t>
      </w:r>
      <w:r>
        <w:rPr>
          <w:spacing w:val="2"/>
        </w:rPr>
        <w:t>服务日至正常退休日的期间拟支付的内退人员工资和缴纳的社会保险费等，在符合预</w:t>
      </w:r>
      <w:r>
        <w:rPr>
          <w:spacing w:val="-97"/>
        </w:rPr>
        <w:t> </w:t>
      </w:r>
      <w:r>
        <w:rPr>
          <w:spacing w:val="-97"/>
        </w:rPr>
      </w:r>
      <w:r>
        <w:rPr>
          <w:spacing w:val="-6"/>
        </w:rPr>
        <w:t>计负债确认条件时，计入当期损益（辞退福利）。</w:t>
      </w:r>
    </w:p>
    <w:p>
      <w:pPr>
        <w:tabs>
          <w:tab w:pos="1382" w:val="left" w:leader="none"/>
        </w:tabs>
        <w:spacing w:line="273" w:lineRule="auto" w:before="92"/>
        <w:ind w:left="602" w:right="2121" w:firstLine="52"/>
        <w:jc w:val="left"/>
        <w:rPr>
          <w:rFonts w:ascii="宋体" w:hAnsi="宋体" w:cs="宋体" w:eastAsia="宋体" w:hint="default"/>
          <w:sz w:val="24"/>
          <w:szCs w:val="24"/>
        </w:rPr>
      </w:pPr>
      <w:r>
        <w:rPr>
          <w:rFonts w:ascii="Trebuchet MS" w:hAnsi="Trebuchet MS" w:cs="Trebuchet MS" w:eastAsia="Trebuchet MS" w:hint="default"/>
          <w:b/>
          <w:bCs/>
          <w:w w:val="90"/>
          <w:sz w:val="24"/>
          <w:szCs w:val="24"/>
        </w:rPr>
        <w:t>26</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其他主要会计政策、会计估计和财务报表编制方法</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本公司无需要披露的其他主要会计政策、会计估计和财务报表编制方法。</w:t>
      </w:r>
    </w:p>
    <w:p>
      <w:pPr>
        <w:tabs>
          <w:tab w:pos="1382" w:val="left" w:leader="none"/>
        </w:tabs>
        <w:spacing w:line="273" w:lineRule="auto" w:before="120"/>
        <w:ind w:left="602" w:right="4761" w:firstLine="52"/>
        <w:jc w:val="left"/>
        <w:rPr>
          <w:rFonts w:ascii="宋体" w:hAnsi="宋体" w:cs="宋体" w:eastAsia="宋体" w:hint="default"/>
          <w:sz w:val="24"/>
          <w:szCs w:val="24"/>
        </w:rPr>
      </w:pPr>
      <w:r>
        <w:rPr>
          <w:rFonts w:ascii="Trebuchet MS" w:hAnsi="Trebuchet MS" w:cs="Trebuchet MS" w:eastAsia="Trebuchet MS" w:hint="default"/>
          <w:b/>
          <w:bCs/>
          <w:w w:val="90"/>
          <w:sz w:val="24"/>
          <w:szCs w:val="24"/>
        </w:rPr>
        <w:t>27</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主要会计政策、会计估计的变更</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本公司无需要披露的会计政策、会计估计变更。</w:t>
      </w:r>
    </w:p>
    <w:p>
      <w:pPr>
        <w:tabs>
          <w:tab w:pos="1382" w:val="left" w:leader="none"/>
        </w:tabs>
        <w:spacing w:line="273" w:lineRule="auto" w:before="121"/>
        <w:ind w:left="605" w:right="5479" w:firstLine="50"/>
        <w:jc w:val="left"/>
        <w:rPr>
          <w:rFonts w:ascii="宋体" w:hAnsi="宋体" w:cs="宋体" w:eastAsia="宋体" w:hint="default"/>
          <w:sz w:val="24"/>
          <w:szCs w:val="24"/>
        </w:rPr>
      </w:pPr>
      <w:r>
        <w:rPr>
          <w:rFonts w:ascii="Trebuchet MS" w:hAnsi="Trebuchet MS" w:cs="Trebuchet MS" w:eastAsia="Trebuchet MS" w:hint="default"/>
          <w:b/>
          <w:bCs/>
          <w:w w:val="90"/>
          <w:sz w:val="24"/>
          <w:szCs w:val="24"/>
        </w:rPr>
        <w:t>28</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前期会计差错更正</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本公司无需要披露的前期会计差错更正。</w:t>
      </w:r>
    </w:p>
    <w:p>
      <w:pPr>
        <w:tabs>
          <w:tab w:pos="1382" w:val="left" w:leader="none"/>
        </w:tabs>
        <w:spacing w:line="273" w:lineRule="auto" w:before="123"/>
        <w:ind w:left="602" w:right="1296" w:firstLine="52"/>
        <w:jc w:val="left"/>
        <w:rPr>
          <w:rFonts w:ascii="宋体" w:hAnsi="宋体" w:cs="宋体" w:eastAsia="宋体" w:hint="default"/>
          <w:sz w:val="24"/>
          <w:szCs w:val="24"/>
        </w:rPr>
      </w:pPr>
      <w:r>
        <w:rPr>
          <w:rFonts w:ascii="Trebuchet MS" w:hAnsi="Trebuchet MS" w:cs="Trebuchet MS" w:eastAsia="Trebuchet MS" w:hint="default"/>
          <w:b/>
          <w:bCs/>
          <w:w w:val="90"/>
          <w:sz w:val="24"/>
          <w:szCs w:val="24"/>
        </w:rPr>
        <w:t>29</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重大会计判断和估计</w:t>
      </w:r>
      <w:r>
        <w:rPr>
          <w:rFonts w:ascii="Microsoft JhengHei" w:hAnsi="Microsoft JhengHei" w:cs="Microsoft JhengHei" w:eastAsia="Microsoft JhengHei" w:hint="default"/>
          <w:b/>
          <w:bCs/>
          <w:sz w:val="24"/>
          <w:szCs w:val="24"/>
        </w:rPr>
        <w:t> </w:t>
      </w:r>
      <w:r>
        <w:rPr>
          <w:rFonts w:ascii="宋体" w:hAnsi="宋体" w:cs="宋体" w:eastAsia="宋体" w:hint="default"/>
          <w:spacing w:val="2"/>
          <w:sz w:val="24"/>
          <w:szCs w:val="24"/>
        </w:rPr>
        <w:t>本集团在运用会计政策过程中，由于经营活动内在的不确定性，本集团需要对无</w:t>
      </w:r>
    </w:p>
    <w:p>
      <w:pPr>
        <w:pStyle w:val="BodyText"/>
        <w:spacing w:line="304" w:lineRule="auto" w:before="53"/>
        <w:ind w:right="1287"/>
        <w:jc w:val="both"/>
      </w:pPr>
      <w:r>
        <w:rPr>
          <w:spacing w:val="2"/>
        </w:rPr>
        <w:t>法准确计量的报表项目的账面价值进行判断、估计和假设。这些判断、估计和假设是</w:t>
      </w:r>
      <w:r>
        <w:rPr>
          <w:spacing w:val="-93"/>
        </w:rPr>
        <w:t> </w:t>
      </w:r>
      <w:r>
        <w:rPr>
          <w:spacing w:val="-93"/>
        </w:rPr>
      </w:r>
      <w:r>
        <w:rPr>
          <w:spacing w:val="2"/>
        </w:rPr>
        <w:t>基于本集团管理层过去的历史经验，并在考虑其他相关因素的基础上做出的。这些判</w:t>
      </w:r>
      <w:r>
        <w:rPr>
          <w:spacing w:val="-97"/>
        </w:rPr>
        <w:t> </w:t>
      </w:r>
      <w:r>
        <w:rPr>
          <w:spacing w:val="-97"/>
        </w:rPr>
      </w:r>
      <w:r>
        <w:rPr>
          <w:spacing w:val="2"/>
        </w:rPr>
        <w:t>断、估计和假设会影响收入、费用、资产和负债的报告金额以及资产负债表日或有负</w:t>
      </w:r>
      <w:r>
        <w:rPr>
          <w:spacing w:val="-97"/>
        </w:rPr>
        <w:t> </w:t>
      </w:r>
      <w:r>
        <w:rPr>
          <w:spacing w:val="-97"/>
        </w:rPr>
      </w:r>
      <w:r>
        <w:rPr>
          <w:spacing w:val="2"/>
        </w:rPr>
        <w:t>债的披露。然而，这些估计的不确定性所导致的结果可能造成对未来受影响的资产或</w:t>
      </w:r>
      <w:r>
        <w:rPr>
          <w:spacing w:val="-97"/>
        </w:rPr>
        <w:t> </w:t>
      </w:r>
      <w:r>
        <w:rPr>
          <w:spacing w:val="-97"/>
        </w:rPr>
      </w:r>
      <w:r>
        <w:rPr/>
        <w:t>负债的账面金额进行重大调整。</w:t>
      </w:r>
    </w:p>
    <w:p>
      <w:pPr>
        <w:pStyle w:val="BodyText"/>
        <w:spacing w:line="304" w:lineRule="auto"/>
        <w:ind w:right="1292" w:firstLine="479"/>
        <w:jc w:val="both"/>
      </w:pPr>
      <w:r>
        <w:rPr>
          <w:spacing w:val="2"/>
        </w:rPr>
        <w:t>本集团对前述判断、估计和假设在持续经营的基础上进行定期复核，会计估计的</w:t>
      </w:r>
      <w:r>
        <w:rPr/>
        <w:t> </w:t>
      </w:r>
      <w:r>
        <w:rPr>
          <w:spacing w:val="2"/>
        </w:rPr>
        <w:t>变更仅影响变更当期的，其影响数在变更当期予以确认；既影响变更当期又影响未来</w:t>
      </w:r>
      <w:r>
        <w:rPr>
          <w:spacing w:val="-97"/>
        </w:rPr>
        <w:t> </w:t>
      </w:r>
      <w:r>
        <w:rPr>
          <w:spacing w:val="-97"/>
        </w:rPr>
      </w:r>
      <w:r>
        <w:rPr/>
        <w:t>期间的，其影响数在变更当期和未来期间予以确认。</w:t>
      </w:r>
    </w:p>
    <w:p>
      <w:pPr>
        <w:pStyle w:val="BodyText"/>
        <w:spacing w:line="307" w:lineRule="auto"/>
        <w:ind w:right="1294" w:firstLine="479"/>
        <w:jc w:val="both"/>
      </w:pPr>
      <w:r>
        <w:rPr>
          <w:spacing w:val="2"/>
        </w:rPr>
        <w:t>于资产负债表日，本集团需对财务报表项目金额进行判断、估计和假设的重要领</w:t>
      </w:r>
      <w:r>
        <w:rPr/>
        <w:t> 域如下：</w:t>
      </w:r>
    </w:p>
    <w:p>
      <w:pPr>
        <w:pStyle w:val="BodyText"/>
        <w:tabs>
          <w:tab w:pos="1082" w:val="left" w:leader="none"/>
        </w:tabs>
        <w:spacing w:line="307" w:lineRule="auto" w:before="17"/>
        <w:ind w:left="602" w:right="1296"/>
        <w:jc w:val="left"/>
      </w:pPr>
      <w:r>
        <w:rPr/>
        <w:t>⑴</w:t>
        <w:tab/>
        <w:t>坏账准备计提 </w:t>
      </w:r>
      <w:r>
        <w:rPr>
          <w:spacing w:val="2"/>
        </w:rPr>
        <w:t>本集团根据应收款项的会计政策，采用备抵法核算坏账损失。应收账款减值是基</w:t>
      </w:r>
    </w:p>
    <w:p>
      <w:pPr>
        <w:spacing w:after="0" w:line="307"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4" w:lineRule="auto" w:before="26"/>
        <w:ind w:right="1292"/>
        <w:jc w:val="both"/>
      </w:pPr>
      <w:r>
        <w:rPr>
          <w:spacing w:val="2"/>
        </w:rPr>
        <w:t>于评估应收账款的可收回性。鉴定应收账款减值要求管理层的判断和估计。实际的结</w:t>
      </w:r>
      <w:r>
        <w:rPr>
          <w:spacing w:val="-97"/>
        </w:rPr>
        <w:t> </w:t>
      </w:r>
      <w:r>
        <w:rPr>
          <w:spacing w:val="-97"/>
        </w:rPr>
      </w:r>
      <w:r>
        <w:rPr>
          <w:spacing w:val="2"/>
        </w:rPr>
        <w:t>果与原先估计的差异将在估计被改变的期间影响应收账款的账面价值及应收账款坏账</w:t>
      </w:r>
      <w:r>
        <w:rPr>
          <w:spacing w:val="-97"/>
        </w:rPr>
        <w:t> </w:t>
      </w:r>
      <w:r>
        <w:rPr>
          <w:spacing w:val="-97"/>
        </w:rPr>
      </w:r>
      <w:r>
        <w:rPr/>
        <w:t>准备的计提或转回。</w:t>
      </w:r>
    </w:p>
    <w:p>
      <w:pPr>
        <w:pStyle w:val="BodyText"/>
        <w:tabs>
          <w:tab w:pos="1082" w:val="left" w:leader="none"/>
        </w:tabs>
        <w:spacing w:line="307" w:lineRule="auto"/>
        <w:ind w:left="602" w:right="1296"/>
        <w:jc w:val="left"/>
      </w:pPr>
      <w:r>
        <w:rPr/>
        <w:t>⑵</w:t>
        <w:tab/>
        <w:t>存货跌价准备 </w:t>
      </w:r>
      <w:r>
        <w:rPr>
          <w:spacing w:val="2"/>
        </w:rPr>
        <w:t>本集团根据存货会计政策，按照成本与可变现净值孰低计量，对成本高于可变现</w:t>
      </w:r>
    </w:p>
    <w:p>
      <w:pPr>
        <w:pStyle w:val="BodyText"/>
        <w:spacing w:line="304" w:lineRule="auto" w:before="17"/>
        <w:ind w:right="1286"/>
        <w:jc w:val="both"/>
      </w:pPr>
      <w:r>
        <w:rPr>
          <w:spacing w:val="2"/>
        </w:rPr>
        <w:t>净值及陈旧和滞销的存货，计提存货跌价准备。存货减值至可变现净值是基于评估存</w:t>
      </w:r>
      <w:r>
        <w:rPr>
          <w:spacing w:val="-97"/>
        </w:rPr>
        <w:t> </w:t>
      </w:r>
      <w:r>
        <w:rPr>
          <w:spacing w:val="-97"/>
        </w:rPr>
      </w:r>
      <w:r>
        <w:rPr>
          <w:spacing w:val="2"/>
        </w:rPr>
        <w:t>货的可售性及其可变现净值。鉴定存货减值要求管理层在取得确凿证据，并且考虑持</w:t>
      </w:r>
      <w:r>
        <w:rPr>
          <w:spacing w:val="-91"/>
        </w:rPr>
        <w:t> </w:t>
      </w:r>
      <w:r>
        <w:rPr>
          <w:spacing w:val="-91"/>
        </w:rPr>
      </w:r>
      <w:r>
        <w:rPr>
          <w:spacing w:val="2"/>
        </w:rPr>
        <w:t>有存货的目的、资产负债表日后事项的影响等因素的基础上作出判断和估计。实际的</w:t>
      </w:r>
      <w:r>
        <w:rPr>
          <w:spacing w:val="-97"/>
        </w:rPr>
        <w:t> </w:t>
      </w:r>
      <w:r>
        <w:rPr>
          <w:spacing w:val="-97"/>
        </w:rPr>
      </w:r>
      <w:r>
        <w:rPr>
          <w:spacing w:val="2"/>
        </w:rPr>
        <w:t>结果与原先估计的差异将在估计被改变的期间影响存货的账面价值及存货跌价准备的</w:t>
      </w:r>
      <w:r>
        <w:rPr>
          <w:spacing w:val="-97"/>
        </w:rPr>
        <w:t> </w:t>
      </w:r>
      <w:r>
        <w:rPr>
          <w:spacing w:val="-97"/>
        </w:rPr>
      </w:r>
      <w:r>
        <w:rPr/>
        <w:t>计提或转回。</w:t>
      </w:r>
    </w:p>
    <w:p>
      <w:pPr>
        <w:pStyle w:val="BodyText"/>
        <w:tabs>
          <w:tab w:pos="1082" w:val="left" w:leader="none"/>
        </w:tabs>
        <w:spacing w:line="304" w:lineRule="auto"/>
        <w:ind w:left="602" w:right="1296"/>
        <w:jc w:val="left"/>
      </w:pPr>
      <w:r>
        <w:rPr/>
        <w:t>⑶</w:t>
        <w:tab/>
        <w:t>非金融非流动资产减值准备 </w:t>
      </w:r>
      <w:r>
        <w:rPr>
          <w:spacing w:val="2"/>
        </w:rPr>
        <w:t>本集团于资产负债表日对除金融资产之外的非流动资产判断是否存在可能发生减</w:t>
      </w:r>
    </w:p>
    <w:p>
      <w:pPr>
        <w:pStyle w:val="BodyText"/>
        <w:spacing w:line="304" w:lineRule="auto"/>
        <w:ind w:right="1292"/>
        <w:jc w:val="both"/>
      </w:pPr>
      <w:r>
        <w:rPr>
          <w:spacing w:val="2"/>
        </w:rPr>
        <w:t>值的迹象。对使用寿命不确定的无形资产，除每年进行的减值测试外，当其存在减值</w:t>
      </w:r>
      <w:r>
        <w:rPr>
          <w:spacing w:val="-97"/>
        </w:rPr>
        <w:t> </w:t>
      </w:r>
      <w:r>
        <w:rPr>
          <w:spacing w:val="-97"/>
        </w:rPr>
      </w:r>
      <w:r>
        <w:rPr>
          <w:spacing w:val="2"/>
        </w:rPr>
        <w:t>迹象时，也进行减值测试。其他除金融资产之外的非流动资产，当存在迹象表明其账</w:t>
      </w:r>
      <w:r>
        <w:rPr>
          <w:spacing w:val="-97"/>
        </w:rPr>
        <w:t> </w:t>
      </w:r>
      <w:r>
        <w:rPr>
          <w:spacing w:val="-97"/>
        </w:rPr>
      </w:r>
      <w:r>
        <w:rPr/>
        <w:t>面金额不可收回时，进行减值测试。</w:t>
      </w:r>
    </w:p>
    <w:p>
      <w:pPr>
        <w:pStyle w:val="BodyText"/>
        <w:spacing w:line="307" w:lineRule="auto"/>
        <w:ind w:right="1290" w:firstLine="479"/>
        <w:jc w:val="both"/>
      </w:pPr>
      <w:r>
        <w:rPr>
          <w:spacing w:val="2"/>
        </w:rPr>
        <w:t>当资产或资产组的账面价值高于可收回金额，即公允价值减去处臵费用后的净额</w:t>
      </w:r>
      <w:r>
        <w:rPr/>
        <w:t> 和预计未来现金流量的现值中的较高者，表明发生了减值。</w:t>
      </w:r>
    </w:p>
    <w:p>
      <w:pPr>
        <w:pStyle w:val="BodyText"/>
        <w:spacing w:line="307" w:lineRule="auto" w:before="17"/>
        <w:ind w:right="1296" w:firstLine="479"/>
        <w:jc w:val="both"/>
      </w:pPr>
      <w:r>
        <w:rPr>
          <w:spacing w:val="2"/>
        </w:rPr>
        <w:t>公允价值减去处臵费用后的净额，参考公平交易中类似资产的销售协议价格或可</w:t>
      </w:r>
      <w:r>
        <w:rPr/>
        <w:t> 观察到的市场价格，减去可直接归属于该资产处臵的增量成本确定。</w:t>
      </w:r>
    </w:p>
    <w:p>
      <w:pPr>
        <w:pStyle w:val="BodyText"/>
        <w:spacing w:line="304" w:lineRule="auto" w:before="19"/>
        <w:ind w:right="1292" w:firstLine="479"/>
        <w:jc w:val="both"/>
      </w:pPr>
      <w:r>
        <w:rPr>
          <w:spacing w:val="2"/>
        </w:rPr>
        <w:t>在预计未来现金流量现值时，需要对该资产（或资产组）的产量、售价、相关经</w:t>
      </w:r>
      <w:r>
        <w:rPr/>
        <w:t> </w:t>
      </w:r>
      <w:r>
        <w:rPr>
          <w:spacing w:val="2"/>
        </w:rPr>
        <w:t>营成本以及计算现值时使用的折现率等作出重大判断。本集团在估计可收回金额时会</w:t>
      </w:r>
      <w:r>
        <w:rPr>
          <w:spacing w:val="-97"/>
        </w:rPr>
        <w:t> </w:t>
      </w:r>
      <w:r>
        <w:rPr>
          <w:spacing w:val="-97"/>
        </w:rPr>
      </w:r>
      <w:r>
        <w:rPr>
          <w:spacing w:val="2"/>
        </w:rPr>
        <w:t>采用所有能够获得的相关资料，包括根据合理和可支持的假设所作出有关产量、售价</w:t>
      </w:r>
      <w:r>
        <w:rPr>
          <w:spacing w:val="-97"/>
        </w:rPr>
        <w:t> </w:t>
      </w:r>
      <w:r>
        <w:rPr>
          <w:spacing w:val="-97"/>
        </w:rPr>
      </w:r>
      <w:r>
        <w:rPr/>
        <w:t>和相关经营成本的预测。</w:t>
      </w:r>
    </w:p>
    <w:p>
      <w:pPr>
        <w:pStyle w:val="BodyText"/>
        <w:tabs>
          <w:tab w:pos="1082" w:val="left" w:leader="none"/>
        </w:tabs>
        <w:spacing w:line="307" w:lineRule="auto" w:before="19"/>
        <w:ind w:left="602" w:right="1293"/>
        <w:jc w:val="left"/>
      </w:pPr>
      <w:r>
        <w:rPr/>
        <w:t>⑷</w:t>
        <w:tab/>
        <w:t>折旧和摊销 </w:t>
      </w:r>
      <w:r>
        <w:rPr>
          <w:spacing w:val="2"/>
        </w:rPr>
        <w:t>本集团对投资性房地产、固定资产和无形资产在考虑其残值后，在使用寿命内按</w:t>
      </w:r>
    </w:p>
    <w:p>
      <w:pPr>
        <w:pStyle w:val="BodyText"/>
        <w:spacing w:line="304" w:lineRule="auto" w:before="19"/>
        <w:ind w:right="1292"/>
        <w:jc w:val="both"/>
      </w:pPr>
      <w:r>
        <w:rPr>
          <w:spacing w:val="2"/>
        </w:rPr>
        <w:t>直线法计提折旧和摊销。本集团定期复核使用寿命，以决定将计入每个报告期的折旧</w:t>
      </w:r>
      <w:r>
        <w:rPr>
          <w:spacing w:val="-97"/>
        </w:rPr>
        <w:t> </w:t>
      </w:r>
      <w:r>
        <w:rPr>
          <w:spacing w:val="-97"/>
        </w:rPr>
      </w:r>
      <w:r>
        <w:rPr>
          <w:spacing w:val="2"/>
        </w:rPr>
        <w:t>和摊销费用数额。使用寿命是本集团根据对同类资产的已往经验并结合预期的技术更</w:t>
      </w:r>
      <w:r>
        <w:rPr>
          <w:spacing w:val="-97"/>
        </w:rPr>
        <w:t> </w:t>
      </w:r>
      <w:r>
        <w:rPr>
          <w:spacing w:val="-97"/>
        </w:rPr>
      </w:r>
      <w:r>
        <w:rPr>
          <w:spacing w:val="2"/>
        </w:rPr>
        <w:t>新而确定的。如果以前的估计发生重大变化，则会在未来期间对折旧和摊销费用进行</w:t>
      </w:r>
      <w:r>
        <w:rPr>
          <w:spacing w:val="-97"/>
        </w:rPr>
        <w:t> </w:t>
      </w:r>
      <w:r>
        <w:rPr>
          <w:spacing w:val="-97"/>
        </w:rPr>
      </w:r>
      <w:r>
        <w:rPr/>
        <w:t>调整。</w:t>
      </w:r>
    </w:p>
    <w:p>
      <w:pPr>
        <w:pStyle w:val="BodyText"/>
        <w:tabs>
          <w:tab w:pos="1082" w:val="left" w:leader="none"/>
        </w:tabs>
        <w:spacing w:line="307" w:lineRule="auto" w:before="19"/>
        <w:ind w:left="602" w:right="1296"/>
        <w:jc w:val="left"/>
      </w:pPr>
      <w:r>
        <w:rPr/>
        <w:t>⑸</w:t>
        <w:tab/>
        <w:t>开发支出 </w:t>
      </w:r>
      <w:r>
        <w:rPr>
          <w:spacing w:val="2"/>
        </w:rPr>
        <w:t>确定资本化的金额时，本集团管理层需要作出有关资产的预计未来现金流量、适</w:t>
      </w:r>
    </w:p>
    <w:p>
      <w:pPr>
        <w:pStyle w:val="BodyText"/>
        <w:spacing w:line="240" w:lineRule="auto" w:before="19"/>
        <w:ind w:right="0"/>
        <w:jc w:val="both"/>
      </w:pPr>
      <w:r>
        <w:rPr/>
        <w:t>用的折现率以及预计受益期间的假设。</w:t>
      </w:r>
    </w:p>
    <w:p>
      <w:pPr>
        <w:pStyle w:val="BodyText"/>
        <w:tabs>
          <w:tab w:pos="1082" w:val="left" w:leader="none"/>
        </w:tabs>
        <w:spacing w:line="307" w:lineRule="auto" w:before="84"/>
        <w:ind w:left="602" w:right="1296"/>
        <w:jc w:val="left"/>
      </w:pPr>
      <w:r>
        <w:rPr/>
        <w:t>⑹</w:t>
        <w:tab/>
        <w:t>递延所得税资产 </w:t>
      </w:r>
      <w:r>
        <w:rPr>
          <w:spacing w:val="2"/>
        </w:rPr>
        <w:t>在很有可能有足够的应纳税利润来抵扣亏损的限度内，本集团就所有未利用的税</w:t>
      </w:r>
    </w:p>
    <w:p>
      <w:pPr>
        <w:spacing w:after="0" w:line="307"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1144"/>
        <w:jc w:val="left"/>
      </w:pPr>
      <w:r>
        <w:rPr>
          <w:spacing w:val="2"/>
        </w:rPr>
        <w:t>务亏损确认递延所得税资产。这需要本集团管理层运用大量的判断来估计未来应纳税</w:t>
      </w:r>
      <w:r>
        <w:rPr>
          <w:spacing w:val="-90"/>
        </w:rPr>
        <w:t> </w:t>
      </w:r>
      <w:r>
        <w:rPr>
          <w:spacing w:val="-90"/>
        </w:rPr>
      </w:r>
      <w:r>
        <w:rPr/>
        <w:t>利润发生的时间和金额，结合纳税筹划策略，以决定应确认的递延所得税资产的金额。</w:t>
      </w:r>
    </w:p>
    <w:p>
      <w:pPr>
        <w:pStyle w:val="BodyText"/>
        <w:tabs>
          <w:tab w:pos="1082" w:val="left" w:leader="none"/>
        </w:tabs>
        <w:spacing w:line="307" w:lineRule="auto" w:before="17"/>
        <w:ind w:left="602" w:right="1296"/>
        <w:jc w:val="left"/>
      </w:pPr>
      <w:r>
        <w:rPr/>
        <w:t>⑺</w:t>
        <w:tab/>
        <w:t>所得税 </w:t>
      </w:r>
      <w:r>
        <w:rPr>
          <w:spacing w:val="2"/>
        </w:rPr>
        <w:t>本集团在正常的经营活动中，有部分交易其最终的税务处理和计算存在一定的不</w:t>
      </w:r>
    </w:p>
    <w:p>
      <w:pPr>
        <w:pStyle w:val="BodyText"/>
        <w:spacing w:line="304" w:lineRule="auto" w:before="19"/>
        <w:ind w:right="1292"/>
        <w:jc w:val="both"/>
      </w:pPr>
      <w:r>
        <w:rPr>
          <w:spacing w:val="2"/>
        </w:rPr>
        <w:t>确定性。部分项目是否能够在税前列支需要税收主管机关的审批。如果这些税务事项</w:t>
      </w:r>
      <w:r>
        <w:rPr>
          <w:spacing w:val="-97"/>
        </w:rPr>
        <w:t> </w:t>
      </w:r>
      <w:r>
        <w:rPr>
          <w:spacing w:val="-97"/>
        </w:rPr>
      </w:r>
      <w:r>
        <w:rPr>
          <w:spacing w:val="2"/>
        </w:rPr>
        <w:t>的最终认定结果同最初估计的金额存在差异，则该差异将对其最终认定期间的当期所</w:t>
      </w:r>
      <w:r>
        <w:rPr>
          <w:spacing w:val="-97"/>
        </w:rPr>
        <w:t> </w:t>
      </w:r>
      <w:r>
        <w:rPr>
          <w:spacing w:val="-97"/>
        </w:rPr>
      </w:r>
      <w:r>
        <w:rPr/>
        <w:t>得税和递延所得税产生影响。</w:t>
      </w:r>
    </w:p>
    <w:p>
      <w:pPr>
        <w:spacing w:line="240" w:lineRule="auto" w:before="2"/>
        <w:rPr>
          <w:rFonts w:ascii="宋体" w:hAnsi="宋体" w:cs="宋体" w:eastAsia="宋体" w:hint="default"/>
          <w:sz w:val="19"/>
          <w:szCs w:val="19"/>
        </w:rPr>
      </w:pPr>
    </w:p>
    <w:p>
      <w:pPr>
        <w:pStyle w:val="Heading3"/>
        <w:spacing w:line="240" w:lineRule="auto"/>
        <w:ind w:left="602" w:right="0"/>
        <w:jc w:val="left"/>
        <w:rPr>
          <w:b w:val="0"/>
          <w:bCs w:val="0"/>
        </w:rPr>
      </w:pPr>
      <w:r>
        <w:rPr/>
        <w:t>五、</w:t>
      </w:r>
      <w:r>
        <w:rPr>
          <w:spacing w:val="-26"/>
        </w:rPr>
        <w:t> </w:t>
      </w:r>
      <w:r>
        <w:rPr/>
        <w:t>税项</w:t>
      </w:r>
      <w:r>
        <w:rPr>
          <w:b w:val="0"/>
          <w:bCs w:val="0"/>
        </w:rPr>
      </w:r>
    </w:p>
    <w:p>
      <w:pPr>
        <w:pStyle w:val="Heading3"/>
        <w:spacing w:line="240" w:lineRule="auto" w:before="168"/>
        <w:ind w:left="602" w:right="0"/>
        <w:jc w:val="left"/>
        <w:rPr>
          <w:b w:val="0"/>
          <w:bCs w:val="0"/>
        </w:rPr>
      </w:pPr>
      <w:r>
        <w:rPr>
          <w:rFonts w:ascii="Trebuchet MS" w:hAnsi="Trebuchet MS" w:cs="Trebuchet MS" w:eastAsia="Trebuchet MS" w:hint="default"/>
        </w:rPr>
        <w:t>1</w:t>
      </w:r>
      <w:r>
        <w:rPr/>
        <w:t>、</w:t>
      </w:r>
      <w:r>
        <w:rPr>
          <w:spacing w:val="-16"/>
        </w:rPr>
        <w:t> </w:t>
      </w:r>
      <w:r>
        <w:rPr/>
        <w:t>主要税种及税率</w:t>
      </w:r>
      <w:r>
        <w:rPr>
          <w:b w:val="0"/>
          <w:bCs w:val="0"/>
        </w:rPr>
      </w:r>
    </w:p>
    <w:p>
      <w:pPr>
        <w:spacing w:line="240" w:lineRule="auto" w:before="14"/>
        <w:rPr>
          <w:rFonts w:ascii="Microsoft JhengHei" w:hAnsi="Microsoft JhengHei" w:cs="Microsoft JhengHei" w:eastAsia="Microsoft JhengHei" w:hint="default"/>
          <w:b/>
          <w:bCs/>
          <w:sz w:val="3"/>
          <w:szCs w:val="3"/>
        </w:rPr>
      </w:pPr>
    </w:p>
    <w:tbl>
      <w:tblPr>
        <w:tblW w:w="0" w:type="auto"/>
        <w:jc w:val="left"/>
        <w:tblInd w:w="139" w:type="dxa"/>
        <w:tblLayout w:type="fixed"/>
        <w:tblCellMar>
          <w:top w:w="0" w:type="dxa"/>
          <w:left w:w="0" w:type="dxa"/>
          <w:bottom w:w="0" w:type="dxa"/>
          <w:right w:w="0" w:type="dxa"/>
        </w:tblCellMar>
        <w:tblLook w:val="01E0"/>
      </w:tblPr>
      <w:tblGrid>
        <w:gridCol w:w="2979"/>
        <w:gridCol w:w="235"/>
        <w:gridCol w:w="5751"/>
      </w:tblGrid>
      <w:tr>
        <w:trPr>
          <w:trHeight w:val="297" w:hRule="exact"/>
        </w:trPr>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税种</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single" w:sz="4" w:space="0" w:color="000000"/>
              <w:right w:val="nil" w:sz="6" w:space="0" w:color="auto"/>
            </w:tcBorders>
          </w:tcPr>
          <w:p>
            <w:pPr>
              <w:pStyle w:val="TableParagraph"/>
              <w:spacing w:line="240" w:lineRule="exact"/>
              <w:ind w:right="4"/>
              <w:jc w:val="center"/>
              <w:rPr>
                <w:rFonts w:ascii="宋体" w:hAnsi="宋体" w:cs="宋体" w:eastAsia="宋体" w:hint="default"/>
                <w:sz w:val="24"/>
                <w:szCs w:val="24"/>
              </w:rPr>
            </w:pPr>
            <w:r>
              <w:rPr>
                <w:rFonts w:ascii="宋体" w:hAnsi="宋体" w:cs="宋体" w:eastAsia="宋体" w:hint="default"/>
                <w:sz w:val="24"/>
                <w:szCs w:val="24"/>
              </w:rPr>
              <w:t>具体税率情况</w:t>
            </w:r>
          </w:p>
        </w:tc>
      </w:tr>
      <w:tr>
        <w:trPr>
          <w:trHeight w:val="654"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single" w:sz="4" w:space="0" w:color="000000"/>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应税收入按</w:t>
            </w:r>
            <w:r>
              <w:rPr>
                <w:rFonts w:ascii="宋体" w:hAnsi="宋体" w:cs="宋体" w:eastAsia="宋体" w:hint="default"/>
                <w:sz w:val="24"/>
                <w:szCs w:val="24"/>
              </w:rPr>
              <w:t>17%</w:t>
            </w:r>
            <w:r>
              <w:rPr>
                <w:rFonts w:ascii="宋体" w:hAnsi="宋体" w:cs="宋体" w:eastAsia="宋体" w:hint="default"/>
                <w:sz w:val="24"/>
                <w:szCs w:val="24"/>
              </w:rPr>
              <w:t>的税率计算销项税</w:t>
            </w:r>
            <w:r>
              <w:rPr>
                <w:rFonts w:ascii="宋体" w:hAnsi="宋体" w:cs="宋体" w:eastAsia="宋体" w:hint="default"/>
                <w:spacing w:val="-108"/>
                <w:sz w:val="24"/>
                <w:szCs w:val="24"/>
              </w:rPr>
              <w:t>，</w:t>
            </w:r>
            <w:r>
              <w:rPr>
                <w:rFonts w:ascii="宋体" w:hAnsi="宋体" w:cs="宋体" w:eastAsia="宋体" w:hint="default"/>
                <w:sz w:val="24"/>
                <w:szCs w:val="24"/>
              </w:rPr>
              <w:t>并按扣除当期允许</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抵扣的进项税额后的差额计缴增值税。</w:t>
            </w:r>
          </w:p>
        </w:tc>
      </w:tr>
      <w:tr>
        <w:trPr>
          <w:trHeight w:val="362"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304" w:lineRule="exact"/>
              <w:ind w:left="108"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304" w:lineRule="exact"/>
              <w:ind w:left="108" w:right="0"/>
              <w:jc w:val="left"/>
              <w:rPr>
                <w:rFonts w:ascii="宋体" w:hAnsi="宋体" w:cs="宋体" w:eastAsia="宋体" w:hint="default"/>
                <w:sz w:val="24"/>
                <w:szCs w:val="24"/>
              </w:rPr>
            </w:pPr>
            <w:r>
              <w:rPr>
                <w:rFonts w:ascii="宋体" w:hAnsi="宋体" w:cs="宋体" w:eastAsia="宋体" w:hint="default"/>
                <w:sz w:val="24"/>
                <w:szCs w:val="24"/>
              </w:rPr>
              <w:t>按应税营业额的</w:t>
            </w:r>
            <w:r>
              <w:rPr>
                <w:rFonts w:ascii="宋体" w:hAnsi="宋体" w:cs="宋体" w:eastAsia="宋体" w:hint="default"/>
                <w:sz w:val="24"/>
                <w:szCs w:val="24"/>
              </w:rPr>
              <w:t>5%</w:t>
            </w:r>
            <w:r>
              <w:rPr>
                <w:rFonts w:ascii="宋体" w:hAnsi="宋体" w:cs="宋体" w:eastAsia="宋体" w:hint="default"/>
                <w:sz w:val="24"/>
                <w:szCs w:val="24"/>
              </w:rPr>
              <w:t>计缴营业税。</w:t>
            </w:r>
          </w:p>
        </w:tc>
      </w:tr>
      <w:tr>
        <w:trPr>
          <w:trHeight w:val="358"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z w:val="24"/>
                <w:szCs w:val="24"/>
              </w:rPr>
              <w:t>按实际缴纳的流转税的</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计缴。</w:t>
            </w:r>
          </w:p>
        </w:tc>
      </w:tr>
      <w:tr>
        <w:trPr>
          <w:trHeight w:val="395"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z w:val="24"/>
                <w:szCs w:val="24"/>
              </w:rPr>
              <w:t>按应纳税所得额的</w:t>
            </w:r>
            <w:r>
              <w:rPr>
                <w:rFonts w:ascii="宋体" w:hAnsi="宋体" w:cs="宋体" w:eastAsia="宋体" w:hint="default"/>
                <w:sz w:val="24"/>
                <w:szCs w:val="24"/>
              </w:rPr>
              <w:t>25%</w:t>
            </w:r>
            <w:r>
              <w:rPr>
                <w:rFonts w:ascii="宋体" w:hAnsi="宋体" w:cs="宋体" w:eastAsia="宋体" w:hint="default"/>
                <w:sz w:val="24"/>
                <w:szCs w:val="24"/>
              </w:rPr>
              <w:t>计缴。</w:t>
            </w:r>
          </w:p>
        </w:tc>
      </w:tr>
      <w:tr>
        <w:trPr>
          <w:trHeight w:val="648"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312" w:lineRule="exact" w:before="52"/>
              <w:ind w:left="108" w:right="109"/>
              <w:jc w:val="left"/>
              <w:rPr>
                <w:rFonts w:ascii="宋体" w:hAnsi="宋体" w:cs="宋体" w:eastAsia="宋体" w:hint="default"/>
                <w:sz w:val="24"/>
                <w:szCs w:val="24"/>
              </w:rPr>
            </w:pPr>
            <w:r>
              <w:rPr>
                <w:rFonts w:ascii="宋体" w:hAnsi="宋体" w:cs="宋体" w:eastAsia="宋体" w:hint="default"/>
                <w:sz w:val="24"/>
                <w:szCs w:val="24"/>
              </w:rPr>
              <w:t>按实际缴纳的流转税的</w:t>
            </w:r>
            <w:r>
              <w:rPr>
                <w:rFonts w:ascii="宋体" w:hAnsi="宋体" w:cs="宋体" w:eastAsia="宋体" w:hint="default"/>
                <w:sz w:val="24"/>
                <w:szCs w:val="24"/>
              </w:rPr>
              <w:t>3%</w:t>
            </w:r>
            <w:r>
              <w:rPr>
                <w:rFonts w:ascii="宋体" w:hAnsi="宋体" w:cs="宋体" w:eastAsia="宋体" w:hint="default"/>
                <w:sz w:val="24"/>
                <w:szCs w:val="24"/>
              </w:rPr>
              <w:t>和</w:t>
            </w:r>
            <w:r>
              <w:rPr>
                <w:rFonts w:ascii="宋体" w:hAnsi="宋体" w:cs="宋体" w:eastAsia="宋体" w:hint="default"/>
                <w:sz w:val="24"/>
                <w:szCs w:val="24"/>
              </w:rPr>
              <w:t>2%</w:t>
            </w:r>
            <w:r>
              <w:rPr>
                <w:rFonts w:ascii="宋体" w:hAnsi="宋体" w:cs="宋体" w:eastAsia="宋体" w:hint="default"/>
                <w:sz w:val="24"/>
                <w:szCs w:val="24"/>
              </w:rPr>
              <w:t>计缴教育费附加及地方</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教育费附加。</w:t>
            </w:r>
          </w:p>
        </w:tc>
      </w:tr>
    </w:tbl>
    <w:p>
      <w:pPr>
        <w:spacing w:line="240" w:lineRule="auto" w:before="0"/>
        <w:rPr>
          <w:rFonts w:ascii="Microsoft JhengHei" w:hAnsi="Microsoft JhengHei" w:cs="Microsoft JhengHei" w:eastAsia="Microsoft JhengHei" w:hint="default"/>
          <w:b/>
          <w:bCs/>
          <w:sz w:val="21"/>
          <w:szCs w:val="21"/>
        </w:rPr>
      </w:pPr>
    </w:p>
    <w:p>
      <w:pPr>
        <w:pStyle w:val="Heading3"/>
        <w:spacing w:line="367" w:lineRule="exact"/>
        <w:ind w:left="602" w:right="0"/>
        <w:jc w:val="left"/>
        <w:rPr>
          <w:b w:val="0"/>
          <w:bCs w:val="0"/>
        </w:rPr>
      </w:pPr>
      <w:r>
        <w:rPr>
          <w:rFonts w:ascii="Trebuchet MS" w:hAnsi="Trebuchet MS" w:cs="Trebuchet MS" w:eastAsia="Trebuchet MS" w:hint="default"/>
        </w:rPr>
        <w:t>2</w:t>
      </w:r>
      <w:r>
        <w:rPr/>
        <w:t>、</w:t>
      </w:r>
      <w:r>
        <w:rPr>
          <w:spacing w:val="-16"/>
        </w:rPr>
        <w:t> </w:t>
      </w:r>
      <w:r>
        <w:rPr/>
        <w:t>税收优惠及批文</w:t>
      </w:r>
      <w:r>
        <w:rPr>
          <w:b w:val="0"/>
          <w:bCs w:val="0"/>
        </w:rPr>
      </w:r>
    </w:p>
    <w:p>
      <w:pPr>
        <w:pStyle w:val="BodyText"/>
        <w:spacing w:line="304" w:lineRule="auto" w:before="57"/>
        <w:ind w:right="1282" w:firstLine="479"/>
        <w:jc w:val="both"/>
      </w:pPr>
      <w:r>
        <w:rPr>
          <w:spacing w:val="2"/>
        </w:rPr>
        <w:t>根据山东省科学技术厅、山东省财政厅、山东省国家税务局以及山东省地方税务</w:t>
      </w:r>
      <w:r>
        <w:rPr/>
        <w:t> 局联名签发的鲁科高字（</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3"/>
        </w:rPr>
        <w:t> </w:t>
      </w:r>
      <w:r>
        <w:rPr/>
        <w:t>号批文，本公司被认定为高新技术企业，取得了编 号为</w:t>
      </w:r>
      <w:r>
        <w:rPr>
          <w:spacing w:val="-82"/>
        </w:rPr>
        <w:t> </w:t>
      </w:r>
      <w:r>
        <w:rPr>
          <w:rFonts w:ascii="宋体" w:hAnsi="宋体" w:cs="宋体" w:eastAsia="宋体" w:hint="default"/>
        </w:rPr>
        <w:t>GF201137000428</w:t>
      </w:r>
      <w:r>
        <w:rPr>
          <w:rFonts w:ascii="宋体" w:hAnsi="宋体" w:cs="宋体" w:eastAsia="宋体" w:hint="default"/>
          <w:spacing w:val="-78"/>
        </w:rPr>
        <w:t> </w:t>
      </w:r>
      <w:r>
        <w:rPr>
          <w:spacing w:val="-9"/>
        </w:rPr>
        <w:t>的高新技术企业证书，资格有效期三年，企业所得税优惠期为</w:t>
      </w:r>
      <w:r>
        <w:rPr>
          <w:spacing w:val="-81"/>
        </w:rPr>
        <w:t> </w:t>
      </w:r>
      <w:r>
        <w:rPr>
          <w:rFonts w:ascii="宋体" w:hAnsi="宋体" w:cs="宋体" w:eastAsia="宋体" w:hint="default"/>
        </w:rPr>
        <w:t>2011 </w:t>
      </w:r>
      <w:r>
        <w:rPr/>
        <w:t>年</w:t>
      </w:r>
      <w:r>
        <w:rPr>
          <w:spacing w:val="-60"/>
        </w:rPr>
        <w:t> </w:t>
      </w:r>
      <w:r>
        <w:rPr>
          <w:rFonts w:ascii="宋体" w:hAnsi="宋体" w:cs="宋体" w:eastAsia="宋体" w:hint="default"/>
        </w:rPr>
        <w:t>1</w:t>
      </w:r>
      <w:r>
        <w:rPr>
          <w:rFonts w:ascii="宋体" w:hAnsi="宋体" w:cs="宋体" w:eastAsia="宋体" w:hint="default"/>
          <w:spacing w:val="-61"/>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日。在此期间减按</w:t>
      </w:r>
      <w:r>
        <w:rPr>
          <w:spacing w:val="-60"/>
        </w:rPr>
        <w:t> </w:t>
      </w:r>
      <w:r>
        <w:rPr>
          <w:rFonts w:ascii="宋体" w:hAnsi="宋体" w:cs="宋体" w:eastAsia="宋体" w:hint="default"/>
        </w:rPr>
        <w:t>15%</w:t>
      </w:r>
      <w:r>
        <w:rPr/>
        <w:t>的税率缴纳企业所得税。</w:t>
      </w:r>
    </w:p>
    <w:p>
      <w:pPr>
        <w:pStyle w:val="BodyText"/>
        <w:spacing w:line="304" w:lineRule="auto"/>
        <w:ind w:right="1282" w:firstLine="479"/>
        <w:jc w:val="both"/>
      </w:pPr>
      <w:r>
        <w:rPr>
          <w:spacing w:val="2"/>
        </w:rPr>
        <w:t>本公司之控股子公司北京东港安全印刷有限公司 </w:t>
      </w:r>
      <w:r>
        <w:rPr>
          <w:rFonts w:ascii="宋体" w:hAnsi="宋体" w:cs="宋体" w:eastAsia="宋体" w:hint="default"/>
        </w:rPr>
        <w:t>2010</w:t>
      </w:r>
      <w:r>
        <w:rPr>
          <w:rFonts w:ascii="宋体" w:hAnsi="宋体" w:cs="宋体" w:eastAsia="宋体" w:hint="default"/>
          <w:spacing w:val="35"/>
        </w:rPr>
        <w:t> </w:t>
      </w:r>
      <w:r>
        <w:rPr>
          <w:spacing w:val="2"/>
        </w:rPr>
        <w:t>年度被认定为高新技术企</w:t>
      </w:r>
      <w:r>
        <w:rPr/>
        <w:t> 业，取得了编号为</w:t>
      </w:r>
      <w:r>
        <w:rPr>
          <w:spacing w:val="-42"/>
        </w:rPr>
        <w:t> </w:t>
      </w:r>
      <w:r>
        <w:rPr>
          <w:rFonts w:ascii="宋体" w:hAnsi="宋体" w:cs="宋体" w:eastAsia="宋体" w:hint="default"/>
        </w:rPr>
        <w:t>GR201011001264</w:t>
      </w:r>
      <w:r>
        <w:rPr>
          <w:rFonts w:ascii="宋体" w:hAnsi="宋体" w:cs="宋体" w:eastAsia="宋体" w:hint="default"/>
          <w:spacing w:val="-42"/>
        </w:rPr>
        <w:t> </w:t>
      </w:r>
      <w:r>
        <w:rPr/>
        <w:t>的高新技术企业证书，本年度减按</w:t>
      </w:r>
      <w:r>
        <w:rPr>
          <w:spacing w:val="-42"/>
        </w:rPr>
        <w:t> </w:t>
      </w:r>
      <w:r>
        <w:rPr>
          <w:rFonts w:ascii="宋体" w:hAnsi="宋体" w:cs="宋体" w:eastAsia="宋体" w:hint="default"/>
        </w:rPr>
        <w:t>15%</w:t>
      </w:r>
      <w:r>
        <w:rPr/>
        <w:t>的税率缴纳 企业所得税。</w:t>
      </w:r>
    </w:p>
    <w:p>
      <w:pPr>
        <w:pStyle w:val="BodyText"/>
        <w:spacing w:line="304" w:lineRule="auto"/>
        <w:ind w:right="1280" w:firstLine="479"/>
        <w:jc w:val="both"/>
      </w:pPr>
      <w:r>
        <w:rPr/>
        <w:t>本公司之控股子公司新疆东港安全印刷有限公司</w:t>
      </w:r>
      <w:r>
        <w:rPr>
          <w:spacing w:val="-59"/>
        </w:rPr>
        <w:t> </w:t>
      </w:r>
      <w:r>
        <w:rPr>
          <w:rFonts w:ascii="宋体" w:hAnsi="宋体" w:cs="宋体" w:eastAsia="宋体" w:hint="default"/>
        </w:rPr>
        <w:t>2009</w:t>
      </w:r>
      <w:r>
        <w:rPr>
          <w:rFonts w:ascii="宋体" w:hAnsi="宋体" w:cs="宋体" w:eastAsia="宋体" w:hint="default"/>
          <w:spacing w:val="-60"/>
        </w:rPr>
        <w:t> </w:t>
      </w:r>
      <w:r>
        <w:rPr/>
        <w:t>年被认定为高新技术企业， 取得了编号为</w:t>
      </w:r>
      <w:r>
        <w:rPr>
          <w:spacing w:val="-62"/>
        </w:rPr>
        <w:t> </w:t>
      </w:r>
      <w:r>
        <w:rPr>
          <w:rFonts w:ascii="宋体" w:hAnsi="宋体" w:cs="宋体" w:eastAsia="宋体" w:hint="default"/>
        </w:rPr>
        <w:t>GR200965000056</w:t>
      </w:r>
      <w:r>
        <w:rPr>
          <w:rFonts w:ascii="宋体" w:hAnsi="宋体" w:cs="宋体" w:eastAsia="宋体" w:hint="default"/>
          <w:spacing w:val="-61"/>
        </w:rPr>
        <w:t> </w:t>
      </w:r>
      <w:r>
        <w:rPr/>
        <w:t>的高新技术企业证书，</w:t>
      </w:r>
      <w:r>
        <w:rPr>
          <w:rFonts w:ascii="宋体" w:hAnsi="宋体" w:cs="宋体" w:eastAsia="宋体" w:hint="default"/>
        </w:rPr>
        <w:t>2011</w:t>
      </w:r>
      <w:r>
        <w:rPr>
          <w:rFonts w:ascii="宋体" w:hAnsi="宋体" w:cs="宋体" w:eastAsia="宋体" w:hint="default"/>
          <w:spacing w:val="-61"/>
        </w:rPr>
        <w:t> </w:t>
      </w:r>
      <w:r>
        <w:rPr/>
        <w:t>年度减按</w:t>
      </w:r>
      <w:r>
        <w:rPr>
          <w:spacing w:val="-61"/>
        </w:rPr>
        <w:t> </w:t>
      </w:r>
      <w:r>
        <w:rPr>
          <w:rFonts w:ascii="宋体" w:hAnsi="宋体" w:cs="宋体" w:eastAsia="宋体" w:hint="default"/>
        </w:rPr>
        <w:t>15%</w:t>
      </w:r>
      <w:r>
        <w:rPr/>
        <w:t>的税率缴纳企 业所得税。</w:t>
      </w:r>
    </w:p>
    <w:p>
      <w:pPr>
        <w:pStyle w:val="BodyText"/>
        <w:spacing w:line="304" w:lineRule="auto"/>
        <w:ind w:right="1283" w:firstLine="479"/>
        <w:jc w:val="both"/>
      </w:pPr>
      <w:r>
        <w:rPr>
          <w:spacing w:val="2"/>
        </w:rPr>
        <w:t>本公司之控股子公司上海东港安全印刷有限公司根据上海市高新技术企业认定办</w:t>
      </w:r>
      <w:r>
        <w:rPr/>
        <w:t> </w:t>
      </w:r>
      <w:r>
        <w:rPr>
          <w:spacing w:val="8"/>
        </w:rPr>
        <w:t>公室签发的沪高企认办（</w:t>
      </w:r>
      <w:r>
        <w:rPr>
          <w:rFonts w:ascii="宋体" w:hAnsi="宋体" w:cs="宋体" w:eastAsia="宋体" w:hint="default"/>
          <w:spacing w:val="8"/>
        </w:rPr>
        <w:t>2011)014</w:t>
      </w:r>
      <w:r>
        <w:rPr>
          <w:rFonts w:ascii="宋体" w:hAnsi="宋体" w:cs="宋体" w:eastAsia="宋体" w:hint="default"/>
          <w:spacing w:val="28"/>
        </w:rPr>
        <w:t> </w:t>
      </w:r>
      <w:r>
        <w:rPr>
          <w:spacing w:val="14"/>
        </w:rPr>
        <w:t>号批文被认定为高新技术企业，取得了编号为</w:t>
      </w:r>
      <w:r>
        <w:rPr>
          <w:spacing w:val="-118"/>
        </w:rPr>
        <w:t> </w:t>
      </w:r>
      <w:r>
        <w:rPr>
          <w:spacing w:val="-118"/>
        </w:rPr>
      </w:r>
      <w:r>
        <w:rPr>
          <w:rFonts w:ascii="宋体" w:hAnsi="宋体" w:cs="宋体" w:eastAsia="宋体" w:hint="default"/>
        </w:rPr>
        <w:t>GF201131000974</w:t>
      </w:r>
      <w:r>
        <w:rPr>
          <w:rFonts w:ascii="宋体" w:hAnsi="宋体" w:cs="宋体" w:eastAsia="宋体" w:hint="default"/>
          <w:spacing w:val="-41"/>
        </w:rPr>
        <w:t> </w:t>
      </w:r>
      <w:r>
        <w:rPr/>
        <w:t>的高新技术企业证书，自</w:t>
      </w:r>
      <w:r>
        <w:rPr>
          <w:spacing w:val="-41"/>
        </w:rPr>
        <w:t> </w:t>
      </w:r>
      <w:r>
        <w:rPr>
          <w:rFonts w:ascii="宋体" w:hAnsi="宋体" w:cs="宋体" w:eastAsia="宋体" w:hint="default"/>
        </w:rPr>
        <w:t>2011</w:t>
      </w:r>
      <w:r>
        <w:rPr>
          <w:rFonts w:ascii="宋体" w:hAnsi="宋体" w:cs="宋体" w:eastAsia="宋体" w:hint="default"/>
          <w:spacing w:val="-41"/>
        </w:rPr>
        <w:t> </w:t>
      </w:r>
      <w:r>
        <w:rPr/>
        <w:t>至</w:t>
      </w:r>
      <w:r>
        <w:rPr>
          <w:spacing w:val="-41"/>
        </w:rPr>
        <w:t> </w:t>
      </w:r>
      <w:r>
        <w:rPr>
          <w:rFonts w:ascii="宋体" w:hAnsi="宋体" w:cs="宋体" w:eastAsia="宋体" w:hint="default"/>
        </w:rPr>
        <w:t>2013</w:t>
      </w:r>
      <w:r>
        <w:rPr>
          <w:rFonts w:ascii="宋体" w:hAnsi="宋体" w:cs="宋体" w:eastAsia="宋体" w:hint="default"/>
          <w:spacing w:val="-41"/>
        </w:rPr>
        <w:t> </w:t>
      </w:r>
      <w:r>
        <w:rPr/>
        <w:t>年减按</w:t>
      </w:r>
      <w:r>
        <w:rPr>
          <w:spacing w:val="-41"/>
        </w:rPr>
        <w:t> </w:t>
      </w:r>
      <w:r>
        <w:rPr>
          <w:rFonts w:ascii="宋体" w:hAnsi="宋体" w:cs="宋体" w:eastAsia="宋体" w:hint="default"/>
        </w:rPr>
        <w:t>15%</w:t>
      </w:r>
      <w:r>
        <w:rPr/>
        <w:t>的税率缴纳企业所 得税。</w:t>
      </w:r>
    </w:p>
    <w:p>
      <w:pPr>
        <w:pStyle w:val="BodyText"/>
        <w:spacing w:line="240" w:lineRule="auto"/>
        <w:ind w:left="602" w:right="0"/>
        <w:jc w:val="left"/>
      </w:pPr>
      <w:r>
        <w:rPr>
          <w:spacing w:val="2"/>
        </w:rPr>
        <w:t>本公司之控股子公司上海东港数据处理有限公司，被上海市经济和信息化委员会</w:t>
      </w:r>
    </w:p>
    <w:p>
      <w:pPr>
        <w:spacing w:after="0" w:line="240" w:lineRule="auto"/>
        <w:jc w:val="left"/>
        <w:sectPr>
          <w:pgSz w:w="11910" w:h="16840"/>
          <w:pgMar w:header="928" w:footer="1153" w:top="1260" w:bottom="1340" w:left="1500" w:right="0"/>
        </w:sectPr>
      </w:pPr>
    </w:p>
    <w:p>
      <w:pPr>
        <w:spacing w:line="240" w:lineRule="auto" w:before="9"/>
        <w:rPr>
          <w:rFonts w:ascii="宋体" w:hAnsi="宋体" w:cs="宋体" w:eastAsia="宋体" w:hint="default"/>
          <w:sz w:val="13"/>
          <w:szCs w:val="13"/>
        </w:rPr>
      </w:pPr>
    </w:p>
    <w:p>
      <w:pPr>
        <w:pStyle w:val="BodyText"/>
        <w:spacing w:line="307" w:lineRule="auto" w:before="26"/>
        <w:ind w:right="1284"/>
        <w:jc w:val="both"/>
        <w:rPr>
          <w:rFonts w:ascii="宋体" w:hAnsi="宋体" w:cs="宋体" w:eastAsia="宋体" w:hint="default"/>
        </w:rPr>
      </w:pPr>
      <w:r>
        <w:rPr/>
        <w:t>被认定为双软企业，颁发了编号为沪 </w:t>
      </w:r>
      <w:r>
        <w:rPr>
          <w:rFonts w:ascii="宋体" w:hAnsi="宋体" w:cs="宋体" w:eastAsia="宋体" w:hint="default"/>
        </w:rPr>
        <w:t>DGY-2009-1218</w:t>
      </w:r>
      <w:r>
        <w:rPr>
          <w:rFonts w:ascii="宋体" w:hAnsi="宋体" w:cs="宋体" w:eastAsia="宋体" w:hint="default"/>
          <w:spacing w:val="-5"/>
        </w:rPr>
        <w:t> </w:t>
      </w:r>
      <w:r>
        <w:rPr/>
        <w:t>的软件产品等级证书和编号为沪 </w:t>
      </w:r>
      <w:r>
        <w:rPr>
          <w:rFonts w:ascii="宋体" w:hAnsi="宋体" w:cs="宋体" w:eastAsia="宋体" w:hint="default"/>
        </w:rPr>
        <w:t>2-2009-0261</w:t>
      </w:r>
      <w:r>
        <w:rPr>
          <w:rFonts w:ascii="宋体" w:hAnsi="宋体" w:cs="宋体" w:eastAsia="宋体" w:hint="default"/>
          <w:spacing w:val="-59"/>
        </w:rPr>
        <w:t> </w:t>
      </w:r>
      <w:r>
        <w:rPr>
          <w:spacing w:val="-3"/>
        </w:rPr>
        <w:t>的软件产品认定证书；根据闽税所免</w:t>
      </w:r>
      <w:r>
        <w:rPr>
          <w:rFonts w:ascii="宋体" w:hAnsi="宋体" w:cs="宋体" w:eastAsia="宋体" w:hint="default"/>
          <w:spacing w:val="-3"/>
        </w:rPr>
        <w:t>[2011]</w:t>
      </w:r>
      <w:r>
        <w:rPr>
          <w:spacing w:val="-3"/>
        </w:rPr>
        <w:t>渡</w:t>
      </w:r>
      <w:r>
        <w:rPr>
          <w:spacing w:val="-59"/>
        </w:rPr>
        <w:t> </w:t>
      </w:r>
      <w:r>
        <w:rPr>
          <w:rFonts w:ascii="宋体" w:hAnsi="宋体" w:cs="宋体" w:eastAsia="宋体" w:hint="default"/>
        </w:rPr>
        <w:t>019</w:t>
      </w:r>
      <w:r>
        <w:rPr>
          <w:rFonts w:ascii="宋体" w:hAnsi="宋体" w:cs="宋体" w:eastAsia="宋体" w:hint="default"/>
          <w:spacing w:val="-59"/>
        </w:rPr>
        <w:t> </w:t>
      </w:r>
      <w:r>
        <w:rPr>
          <w:spacing w:val="-8"/>
        </w:rPr>
        <w:t>号文件，该公司自</w:t>
      </w:r>
      <w:r>
        <w:rPr>
          <w:spacing w:val="-59"/>
        </w:rPr>
        <w:t> </w:t>
      </w:r>
      <w:r>
        <w:rPr>
          <w:rFonts w:ascii="宋体" w:hAnsi="宋体" w:cs="宋体" w:eastAsia="宋体" w:hint="default"/>
        </w:rPr>
        <w:t>2010</w:t>
      </w:r>
    </w:p>
    <w:p>
      <w:pPr>
        <w:pStyle w:val="BodyText"/>
        <w:spacing w:line="307" w:lineRule="auto" w:before="17"/>
        <w:ind w:left="602" w:right="0" w:hanging="480"/>
        <w:jc w:val="left"/>
      </w:pPr>
      <w:r>
        <w:rPr/>
        <w:t>年</w:t>
      </w:r>
      <w:r>
        <w:rPr>
          <w:spacing w:val="-60"/>
        </w:rPr>
        <w:t> </w:t>
      </w:r>
      <w:r>
        <w:rPr>
          <w:rFonts w:ascii="宋体" w:hAnsi="宋体" w:cs="宋体" w:eastAsia="宋体" w:hint="default"/>
        </w:rPr>
        <w:t>1</w:t>
      </w:r>
      <w:r>
        <w:rPr>
          <w:rFonts w:ascii="宋体" w:hAnsi="宋体" w:cs="宋体" w:eastAsia="宋体" w:hint="default"/>
          <w:spacing w:val="-61"/>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日减半按照</w:t>
      </w:r>
      <w:r>
        <w:rPr>
          <w:spacing w:val="-60"/>
        </w:rPr>
        <w:t> </w:t>
      </w:r>
      <w:r>
        <w:rPr>
          <w:rFonts w:ascii="宋体" w:hAnsi="宋体" w:cs="宋体" w:eastAsia="宋体" w:hint="default"/>
        </w:rPr>
        <w:t>12.5%</w:t>
      </w:r>
      <w:r>
        <w:rPr/>
        <w:t>税率征收企业所得税。 </w:t>
      </w:r>
      <w:r>
        <w:rPr>
          <w:spacing w:val="2"/>
        </w:rPr>
        <w:t>本公司之控股子公司郑州东港安全印刷有限公司，被河南省科学技术厅、河南省</w:t>
      </w:r>
    </w:p>
    <w:p>
      <w:pPr>
        <w:pStyle w:val="BodyText"/>
        <w:spacing w:line="304" w:lineRule="auto" w:before="19"/>
        <w:ind w:right="1151"/>
        <w:jc w:val="left"/>
      </w:pPr>
      <w:r>
        <w:rPr>
          <w:spacing w:val="2"/>
        </w:rPr>
        <w:t>财政厅、河南省国家税务局以及河南省地方税务局批准为高新技术企业，并取得了编</w:t>
      </w:r>
      <w:r>
        <w:rPr>
          <w:spacing w:val="-97"/>
        </w:rPr>
        <w:t> </w:t>
      </w:r>
      <w:r>
        <w:rPr>
          <w:spacing w:val="-97"/>
        </w:rPr>
      </w:r>
      <w:r>
        <w:rPr/>
        <w:t>号为</w:t>
      </w:r>
      <w:r>
        <w:rPr>
          <w:spacing w:val="-57"/>
        </w:rPr>
        <w:t> </w:t>
      </w:r>
      <w:r>
        <w:rPr>
          <w:rFonts w:ascii="宋体" w:hAnsi="宋体" w:cs="宋体" w:eastAsia="宋体" w:hint="default"/>
        </w:rPr>
        <w:t>GR201041000094</w:t>
      </w:r>
      <w:r>
        <w:rPr>
          <w:rFonts w:ascii="宋体" w:hAnsi="宋体" w:cs="宋体" w:eastAsia="宋体" w:hint="default"/>
          <w:spacing w:val="-58"/>
        </w:rPr>
        <w:t> </w:t>
      </w:r>
      <w:r>
        <w:rPr>
          <w:spacing w:val="-9"/>
        </w:rPr>
        <w:t>号高新技术企业证书，</w:t>
      </w:r>
      <w:r>
        <w:rPr>
          <w:rFonts w:ascii="宋体" w:hAnsi="宋体" w:cs="宋体" w:eastAsia="宋体" w:hint="default"/>
          <w:spacing w:val="-9"/>
        </w:rPr>
        <w:t>2011</w:t>
      </w:r>
      <w:r>
        <w:rPr>
          <w:rFonts w:ascii="宋体" w:hAnsi="宋体" w:cs="宋体" w:eastAsia="宋体" w:hint="default"/>
          <w:spacing w:val="-56"/>
        </w:rPr>
        <w:t> </w:t>
      </w:r>
      <w:r>
        <w:rPr/>
        <w:t>年度减按</w:t>
      </w:r>
      <w:r>
        <w:rPr>
          <w:spacing w:val="-56"/>
        </w:rPr>
        <w:t> </w:t>
      </w:r>
      <w:r>
        <w:rPr>
          <w:rFonts w:ascii="宋体" w:hAnsi="宋体" w:cs="宋体" w:eastAsia="宋体" w:hint="default"/>
          <w:spacing w:val="-1"/>
        </w:rPr>
        <w:t>15%</w:t>
      </w:r>
      <w:r>
        <w:rPr>
          <w:spacing w:val="-1"/>
        </w:rPr>
        <w:t>的税率缴纳企业所得税。</w:t>
      </w:r>
    </w:p>
    <w:p>
      <w:pPr>
        <w:pStyle w:val="BodyText"/>
        <w:spacing w:line="304" w:lineRule="auto"/>
        <w:ind w:right="1284" w:firstLine="479"/>
        <w:jc w:val="both"/>
      </w:pPr>
      <w:r>
        <w:rPr>
          <w:spacing w:val="2"/>
        </w:rPr>
        <w:t>本公司之控股子公司广州东港安全印刷有限公司按应纳税所得额的</w:t>
      </w:r>
      <w:r>
        <w:rPr>
          <w:spacing w:val="40"/>
        </w:rPr>
        <w:t> </w:t>
      </w:r>
      <w:r>
        <w:rPr>
          <w:rFonts w:ascii="宋体" w:hAnsi="宋体" w:cs="宋体" w:eastAsia="宋体" w:hint="default"/>
        </w:rPr>
        <w:t>25%</w:t>
      </w:r>
      <w:r>
        <w:rPr/>
        <w:t>计缴企业 所得税，从</w:t>
      </w:r>
      <w:r>
        <w:rPr>
          <w:spacing w:val="-63"/>
        </w:rPr>
        <w:t> </w:t>
      </w:r>
      <w:r>
        <w:rPr>
          <w:rFonts w:ascii="宋体" w:hAnsi="宋体" w:cs="宋体" w:eastAsia="宋体" w:hint="default"/>
        </w:rPr>
        <w:t>2008</w:t>
      </w:r>
      <w:r>
        <w:rPr>
          <w:rFonts w:ascii="宋体" w:hAnsi="宋体" w:cs="宋体" w:eastAsia="宋体" w:hint="default"/>
          <w:spacing w:val="-62"/>
        </w:rPr>
        <w:t> </w:t>
      </w:r>
      <w:r>
        <w:rPr/>
        <w:t>年度开始享受两免三减半政策。</w:t>
      </w:r>
      <w:r>
        <w:rPr>
          <w:rFonts w:ascii="宋体" w:hAnsi="宋体" w:cs="宋体" w:eastAsia="宋体" w:hint="default"/>
        </w:rPr>
        <w:t>2011</w:t>
      </w:r>
      <w:r>
        <w:rPr>
          <w:rFonts w:ascii="宋体" w:hAnsi="宋体" w:cs="宋体" w:eastAsia="宋体" w:hint="default"/>
          <w:spacing w:val="-62"/>
        </w:rPr>
        <w:t> </w:t>
      </w:r>
      <w:r>
        <w:rPr/>
        <w:t>年度减按</w:t>
      </w:r>
      <w:r>
        <w:rPr>
          <w:spacing w:val="-62"/>
        </w:rPr>
        <w:t> </w:t>
      </w:r>
      <w:r>
        <w:rPr>
          <w:rFonts w:ascii="宋体" w:hAnsi="宋体" w:cs="宋体" w:eastAsia="宋体" w:hint="default"/>
        </w:rPr>
        <w:t>12.5%</w:t>
      </w:r>
      <w:r>
        <w:rPr/>
        <w:t>的税率缴纳企业 所得税。</w:t>
      </w:r>
    </w:p>
    <w:p>
      <w:pPr>
        <w:pStyle w:val="BodyText"/>
        <w:spacing w:line="240" w:lineRule="auto"/>
        <w:ind w:left="602" w:right="0"/>
        <w:jc w:val="left"/>
      </w:pPr>
      <w:r>
        <w:rPr/>
        <w:t>本公司之控股子公司北京东港嘉华安全信息技术有限公司根据</w:t>
      </w:r>
      <w:r>
        <w:rPr>
          <w:spacing w:val="-40"/>
        </w:rPr>
        <w:t> </w:t>
      </w:r>
      <w:r>
        <w:rPr>
          <w:rFonts w:ascii="宋体" w:hAnsi="宋体" w:cs="宋体" w:eastAsia="宋体" w:hint="default"/>
        </w:rPr>
        <w:t>2009</w:t>
      </w:r>
      <w:r>
        <w:rPr>
          <w:rFonts w:ascii="宋体" w:hAnsi="宋体" w:cs="宋体" w:eastAsia="宋体" w:hint="default"/>
          <w:spacing w:val="-41"/>
        </w:rPr>
        <w:t> </w:t>
      </w:r>
      <w:r>
        <w:rPr/>
        <w:t>年</w:t>
      </w:r>
      <w:r>
        <w:rPr>
          <w:spacing w:val="-41"/>
        </w:rPr>
        <w:t> </w:t>
      </w:r>
      <w:r>
        <w:rPr>
          <w:rFonts w:ascii="宋体" w:hAnsi="宋体" w:cs="宋体" w:eastAsia="宋体" w:hint="default"/>
        </w:rPr>
        <w:t>5</w:t>
      </w:r>
      <w:r>
        <w:rPr>
          <w:rFonts w:ascii="宋体" w:hAnsi="宋体" w:cs="宋体" w:eastAsia="宋体" w:hint="default"/>
          <w:spacing w:val="-41"/>
        </w:rPr>
        <w:t> </w:t>
      </w:r>
      <w:r>
        <w:rPr/>
        <w:t>月</w:t>
      </w:r>
      <w:r>
        <w:rPr>
          <w:spacing w:val="-41"/>
        </w:rPr>
        <w:t> </w:t>
      </w:r>
      <w:r>
        <w:rPr>
          <w:rFonts w:ascii="宋体" w:hAnsi="宋体" w:cs="宋体" w:eastAsia="宋体" w:hint="default"/>
        </w:rPr>
        <w:t>15</w:t>
      </w:r>
      <w:r>
        <w:rPr>
          <w:rFonts w:ascii="宋体" w:hAnsi="宋体" w:cs="宋体" w:eastAsia="宋体" w:hint="default"/>
          <w:spacing w:val="-41"/>
        </w:rPr>
        <w:t> </w:t>
      </w:r>
      <w:r>
        <w:rPr/>
        <w:t>日</w:t>
      </w:r>
    </w:p>
    <w:p>
      <w:pPr>
        <w:pStyle w:val="BodyText"/>
        <w:spacing w:line="240" w:lineRule="auto" w:before="86"/>
        <w:ind w:right="0"/>
        <w:jc w:val="both"/>
        <w:rPr>
          <w:rFonts w:ascii="宋体" w:hAnsi="宋体" w:cs="宋体" w:eastAsia="宋体" w:hint="default"/>
        </w:rPr>
      </w:pPr>
      <w:r>
        <w:rPr/>
        <w:t>北京经济技术开发区国家税务局印发的开国税所函（</w:t>
      </w:r>
      <w:r>
        <w:rPr>
          <w:rFonts w:ascii="宋体" w:hAnsi="宋体" w:cs="宋体" w:eastAsia="宋体" w:hint="default"/>
        </w:rPr>
        <w:t>2005</w:t>
      </w:r>
      <w:r>
        <w:rPr/>
        <w:t>）</w:t>
      </w:r>
      <w:r>
        <w:rPr>
          <w:rFonts w:ascii="宋体" w:hAnsi="宋体" w:cs="宋体" w:eastAsia="宋体" w:hint="default"/>
        </w:rPr>
        <w:t>38</w:t>
      </w:r>
      <w:r>
        <w:rPr>
          <w:rFonts w:ascii="宋体" w:hAnsi="宋体" w:cs="宋体" w:eastAsia="宋体" w:hint="default"/>
          <w:spacing w:val="-61"/>
        </w:rPr>
        <w:t> </w:t>
      </w:r>
      <w:r>
        <w:rPr/>
        <w:t>号的批复，自</w:t>
      </w:r>
      <w:r>
        <w:rPr>
          <w:spacing w:val="-61"/>
        </w:rPr>
        <w:t> </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1</w:t>
      </w:r>
    </w:p>
    <w:p>
      <w:pPr>
        <w:pStyle w:val="BodyText"/>
        <w:spacing w:line="307" w:lineRule="auto" w:before="84"/>
        <w:ind w:right="1280"/>
        <w:jc w:val="both"/>
      </w:pPr>
      <w:r>
        <w:rPr/>
        <w:t>月</w:t>
      </w:r>
      <w:r>
        <w:rPr>
          <w:spacing w:val="-60"/>
        </w:rPr>
        <w:t> </w:t>
      </w:r>
      <w:r>
        <w:rPr>
          <w:rFonts w:ascii="宋体" w:hAnsi="宋体" w:cs="宋体" w:eastAsia="宋体" w:hint="default"/>
        </w:rPr>
        <w:t>1</w:t>
      </w:r>
      <w:r>
        <w:rPr>
          <w:rFonts w:ascii="宋体" w:hAnsi="宋体" w:cs="宋体" w:eastAsia="宋体" w:hint="default"/>
          <w:spacing w:val="-61"/>
        </w:rPr>
        <w:t> </w:t>
      </w:r>
      <w:r>
        <w:rPr/>
        <w:t>日至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日止享受过渡期生产性外商投资企业免征</w:t>
      </w:r>
      <w:r>
        <w:rPr>
          <w:rFonts w:ascii="宋体" w:hAnsi="宋体" w:cs="宋体" w:eastAsia="宋体" w:hint="default"/>
        </w:rPr>
        <w:t>(</w:t>
      </w:r>
      <w:r>
        <w:rPr/>
        <w:t>或减征</w:t>
      </w:r>
      <w:r>
        <w:rPr>
          <w:rFonts w:ascii="宋体" w:hAnsi="宋体" w:cs="宋体" w:eastAsia="宋体" w:hint="default"/>
        </w:rPr>
        <w:t>)</w:t>
      </w:r>
      <w:r>
        <w:rPr/>
        <w:t>企业所得 税优惠政策，</w:t>
      </w:r>
      <w:r>
        <w:rPr>
          <w:rFonts w:ascii="宋体" w:hAnsi="宋体" w:cs="宋体" w:eastAsia="宋体" w:hint="default"/>
        </w:rPr>
        <w:t>2008</w:t>
      </w:r>
      <w:r>
        <w:rPr>
          <w:rFonts w:ascii="宋体" w:hAnsi="宋体" w:cs="宋体" w:eastAsia="宋体" w:hint="default"/>
          <w:spacing w:val="-35"/>
        </w:rPr>
        <w:t> </w:t>
      </w:r>
      <w:r>
        <w:rPr/>
        <w:t>年和</w:t>
      </w:r>
      <w:r>
        <w:rPr>
          <w:spacing w:val="-34"/>
        </w:rPr>
        <w:t> </w:t>
      </w:r>
      <w:r>
        <w:rPr>
          <w:rFonts w:ascii="宋体" w:hAnsi="宋体" w:cs="宋体" w:eastAsia="宋体" w:hint="default"/>
        </w:rPr>
        <w:t>2009</w:t>
      </w:r>
      <w:r>
        <w:rPr>
          <w:rFonts w:ascii="宋体" w:hAnsi="宋体" w:cs="宋体" w:eastAsia="宋体" w:hint="default"/>
          <w:spacing w:val="-35"/>
        </w:rPr>
        <w:t> </w:t>
      </w:r>
      <w:r>
        <w:rPr/>
        <w:t>年免税，</w:t>
      </w:r>
      <w:r>
        <w:rPr>
          <w:rFonts w:ascii="宋体" w:hAnsi="宋体" w:cs="宋体" w:eastAsia="宋体" w:hint="default"/>
        </w:rPr>
        <w:t>2010</w:t>
      </w:r>
      <w:r>
        <w:rPr>
          <w:rFonts w:ascii="宋体" w:hAnsi="宋体" w:cs="宋体" w:eastAsia="宋体" w:hint="default"/>
          <w:spacing w:val="-37"/>
        </w:rPr>
        <w:t> </w:t>
      </w:r>
      <w:r>
        <w:rPr/>
        <w:t>年税率为</w:t>
      </w:r>
      <w:r>
        <w:rPr>
          <w:spacing w:val="-35"/>
        </w:rPr>
        <w:t> </w:t>
      </w:r>
      <w:r>
        <w:rPr>
          <w:rFonts w:ascii="宋体" w:hAnsi="宋体" w:cs="宋体" w:eastAsia="宋体" w:hint="default"/>
        </w:rPr>
        <w:t>11%</w:t>
      </w:r>
      <w:r>
        <w:rPr/>
        <w:t>，</w:t>
      </w:r>
      <w:r>
        <w:rPr>
          <w:rFonts w:ascii="宋体" w:hAnsi="宋体" w:cs="宋体" w:eastAsia="宋体" w:hint="default"/>
        </w:rPr>
        <w:t>2011</w:t>
      </w:r>
      <w:r>
        <w:rPr>
          <w:rFonts w:ascii="宋体" w:hAnsi="宋体" w:cs="宋体" w:eastAsia="宋体" w:hint="default"/>
          <w:spacing w:val="-35"/>
        </w:rPr>
        <w:t> </w:t>
      </w:r>
      <w:r>
        <w:rPr/>
        <w:t>年税率为</w:t>
      </w:r>
      <w:r>
        <w:rPr>
          <w:spacing w:val="-34"/>
        </w:rPr>
        <w:t> </w:t>
      </w:r>
      <w:r>
        <w:rPr>
          <w:rFonts w:ascii="宋体" w:hAnsi="宋体" w:cs="宋体" w:eastAsia="宋体" w:hint="default"/>
        </w:rPr>
        <w:t>12%</w:t>
      </w:r>
      <w:r>
        <w:rPr/>
        <w:t>，</w:t>
      </w:r>
      <w:r>
        <w:rPr>
          <w:rFonts w:ascii="宋体" w:hAnsi="宋体" w:cs="宋体" w:eastAsia="宋体" w:hint="default"/>
        </w:rPr>
        <w:t>2012 </w:t>
      </w:r>
      <w:r>
        <w:rPr/>
        <w:t>年税率为</w:t>
      </w:r>
      <w:r>
        <w:rPr>
          <w:spacing w:val="-61"/>
        </w:rPr>
        <w:t> </w:t>
      </w:r>
      <w:r>
        <w:rPr>
          <w:rFonts w:ascii="宋体" w:hAnsi="宋体" w:cs="宋体" w:eastAsia="宋体" w:hint="default"/>
        </w:rPr>
        <w:t>12.5%</w:t>
      </w:r>
      <w:r>
        <w:rPr/>
        <w:t>。</w:t>
      </w:r>
    </w:p>
    <w:p>
      <w:pPr>
        <w:pStyle w:val="BodyText"/>
        <w:spacing w:line="307" w:lineRule="auto" w:before="17"/>
        <w:ind w:right="1295" w:firstLine="479"/>
        <w:jc w:val="both"/>
      </w:pPr>
      <w:r>
        <w:rPr>
          <w:spacing w:val="2"/>
        </w:rPr>
        <w:t>本公司之全资子公司山东东港数据处理有限公司、成都东港安全印刷有限公司按</w:t>
      </w:r>
      <w:r>
        <w:rPr/>
        <w:t> 应纳税所得额的</w:t>
      </w:r>
      <w:r>
        <w:rPr>
          <w:spacing w:val="-61"/>
        </w:rPr>
        <w:t> </w:t>
      </w:r>
      <w:r>
        <w:rPr>
          <w:rFonts w:ascii="宋体" w:hAnsi="宋体" w:cs="宋体" w:eastAsia="宋体" w:hint="default"/>
        </w:rPr>
        <w:t>25%</w:t>
      </w:r>
      <w:r>
        <w:rPr/>
        <w:t>计缴企业所得税。</w:t>
      </w:r>
    </w:p>
    <w:p>
      <w:pPr>
        <w:spacing w:after="0" w:line="307" w:lineRule="auto"/>
        <w:jc w:val="both"/>
        <w:sectPr>
          <w:pgSz w:w="11910" w:h="16840"/>
          <w:pgMar w:header="928" w:footer="1153" w:top="1260" w:bottom="1340" w:left="1500" w:right="0"/>
        </w:sectPr>
      </w:pPr>
    </w:p>
    <w:p>
      <w:pPr>
        <w:spacing w:line="240" w:lineRule="auto" w:before="9"/>
        <w:rPr>
          <w:rFonts w:ascii="宋体" w:hAnsi="宋体" w:cs="宋体" w:eastAsia="宋体" w:hint="default"/>
          <w:sz w:val="14"/>
          <w:szCs w:val="14"/>
        </w:rPr>
      </w:pPr>
    </w:p>
    <w:p>
      <w:pPr>
        <w:pStyle w:val="Heading3"/>
        <w:spacing w:line="367" w:lineRule="exact"/>
        <w:ind w:left="360" w:right="0"/>
        <w:jc w:val="left"/>
        <w:rPr>
          <w:b w:val="0"/>
          <w:bCs w:val="0"/>
        </w:rPr>
      </w:pPr>
      <w:r>
        <w:rPr/>
        <w:t>六、</w:t>
      </w:r>
      <w:r>
        <w:rPr>
          <w:spacing w:val="-23"/>
        </w:rPr>
        <w:t> </w:t>
      </w:r>
      <w:r>
        <w:rPr/>
        <w:t>企业合并及合并财务报表</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tabs>
          <w:tab w:pos="1140" w:val="left" w:leader="none"/>
        </w:tabs>
        <w:spacing w:line="240" w:lineRule="auto" w:before="0"/>
        <w:ind w:left="362" w:right="0"/>
        <w:jc w:val="left"/>
      </w:pPr>
      <w:r>
        <w:rPr>
          <w:rFonts w:ascii="Times New Roman" w:hAnsi="Times New Roman" w:cs="Times New Roman" w:eastAsia="Times New Roman" w:hint="default"/>
          <w:spacing w:val="-1"/>
        </w:rPr>
        <w:t>1</w:t>
      </w:r>
      <w:r>
        <w:rPr>
          <w:spacing w:val="-1"/>
        </w:rPr>
        <w:t>、</w:t>
        <w:tab/>
      </w:r>
      <w:r>
        <w:rPr/>
        <w:t>子公司情况</w:t>
      </w:r>
    </w:p>
    <w:p>
      <w:pPr>
        <w:pStyle w:val="BodyText"/>
        <w:spacing w:line="240" w:lineRule="auto" w:before="66"/>
        <w:ind w:left="362" w:right="0"/>
        <w:jc w:val="left"/>
      </w:pPr>
      <w:r>
        <w:rPr/>
        <w:t>⑴通过设立或投资等方式取得的子公司</w:t>
      </w:r>
    </w:p>
    <w:p>
      <w:pPr>
        <w:spacing w:line="240" w:lineRule="auto" w:before="12"/>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137"/>
        <w:gridCol w:w="134"/>
        <w:gridCol w:w="1433"/>
        <w:gridCol w:w="137"/>
        <w:gridCol w:w="996"/>
        <w:gridCol w:w="134"/>
        <w:gridCol w:w="1061"/>
        <w:gridCol w:w="134"/>
        <w:gridCol w:w="1155"/>
        <w:gridCol w:w="144"/>
        <w:gridCol w:w="5228"/>
      </w:tblGrid>
      <w:tr>
        <w:trPr>
          <w:trHeight w:val="525" w:hRule="exact"/>
        </w:trPr>
        <w:tc>
          <w:tcPr>
            <w:tcW w:w="3137"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8" w:space="0" w:color="000000"/>
              <w:right w:val="nil" w:sz="6" w:space="0" w:color="auto"/>
            </w:tcBorders>
          </w:tcPr>
          <w:p>
            <w:pPr>
              <w:pStyle w:val="TableParagraph"/>
              <w:spacing w:line="209" w:lineRule="exact"/>
              <w:ind w:left="158"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580" w:hRule="exact"/>
        </w:trPr>
        <w:tc>
          <w:tcPr>
            <w:tcW w:w="3137" w:type="dxa"/>
            <w:tcBorders>
              <w:top w:val="single" w:sz="8" w:space="0" w:color="000000"/>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single" w:sz="8" w:space="0" w:color="000000"/>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single" w:sz="8" w:space="0" w:color="000000"/>
              <w:left w:val="nil" w:sz="6" w:space="0" w:color="auto"/>
              <w:bottom w:val="nil" w:sz="6" w:space="0" w:color="auto"/>
              <w:right w:val="nil" w:sz="6" w:space="0" w:color="auto"/>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single" w:sz="8" w:space="0" w:color="000000"/>
              <w:left w:val="nil" w:sz="6" w:space="0" w:color="auto"/>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z w:val="21"/>
              </w:rPr>
              <w:t>3,000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single" w:sz="8" w:space="0" w:color="000000"/>
              <w:left w:val="nil" w:sz="6" w:space="0" w:color="auto"/>
              <w:bottom w:val="nil" w:sz="6" w:space="0" w:color="auto"/>
              <w:right w:val="nil" w:sz="6" w:space="0" w:color="auto"/>
            </w:tcBorders>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高档纸（不含新闻纸）及纸制品生产加工、印刷（不含</w:t>
            </w:r>
          </w:p>
          <w:p>
            <w:pPr>
              <w:pStyle w:val="TableParagraph"/>
              <w:spacing w:line="275" w:lineRule="exact"/>
              <w:ind w:left="55" w:right="0"/>
              <w:jc w:val="left"/>
              <w:rPr>
                <w:rFonts w:ascii="宋体" w:hAnsi="宋体" w:cs="宋体" w:eastAsia="宋体" w:hint="default"/>
                <w:sz w:val="21"/>
                <w:szCs w:val="21"/>
              </w:rPr>
            </w:pPr>
            <w:r>
              <w:rPr>
                <w:rFonts w:ascii="宋体" w:hAnsi="宋体" w:cs="宋体" w:eastAsia="宋体" w:hint="default"/>
                <w:sz w:val="21"/>
                <w:szCs w:val="21"/>
              </w:rPr>
              <w:t>期刊、报纸），销售本公司产品。</w:t>
            </w:r>
          </w:p>
        </w:tc>
      </w:tr>
      <w:tr>
        <w:trPr>
          <w:trHeight w:val="57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66" w:lineRule="exact"/>
              <w:ind w:left="5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66" w:lineRule="exact"/>
              <w:ind w:right="50"/>
              <w:jc w:val="right"/>
              <w:rPr>
                <w:rFonts w:ascii="宋体" w:hAnsi="宋体" w:cs="宋体" w:eastAsia="宋体" w:hint="default"/>
                <w:sz w:val="21"/>
                <w:szCs w:val="21"/>
              </w:rPr>
            </w:pPr>
            <w:r>
              <w:rPr>
                <w:rFonts w:ascii="宋体"/>
                <w:sz w:val="21"/>
              </w:rPr>
              <w:t>5,200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74" w:lineRule="exact" w:before="17"/>
              <w:ind w:left="55" w:right="53"/>
              <w:jc w:val="left"/>
              <w:rPr>
                <w:rFonts w:ascii="宋体" w:hAnsi="宋体" w:cs="宋体" w:eastAsia="宋体" w:hint="default"/>
                <w:sz w:val="21"/>
                <w:szCs w:val="21"/>
              </w:rPr>
            </w:pPr>
            <w:r>
              <w:rPr>
                <w:rFonts w:ascii="宋体" w:hAnsi="宋体" w:cs="宋体" w:eastAsia="宋体" w:hint="default"/>
                <w:sz w:val="21"/>
                <w:szCs w:val="21"/>
              </w:rPr>
              <w:t>包装装潢印刷品印刷，其他印刷品印刷；软件产品的开</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发生产。</w:t>
            </w:r>
          </w:p>
        </w:tc>
      </w:tr>
      <w:tr>
        <w:trPr>
          <w:trHeight w:val="995"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8" w:lineRule="exact"/>
              <w:ind w:left="57"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8" w:lineRule="exact"/>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8" w:lineRule="exact"/>
              <w:ind w:left="55" w:right="0"/>
              <w:jc w:val="left"/>
              <w:rPr>
                <w:rFonts w:ascii="宋体" w:hAnsi="宋体" w:cs="宋体" w:eastAsia="宋体" w:hint="default"/>
                <w:sz w:val="21"/>
                <w:szCs w:val="21"/>
              </w:rPr>
            </w:pPr>
            <w:r>
              <w:rPr>
                <w:rFonts w:ascii="宋体" w:hAnsi="宋体" w:cs="宋体" w:eastAsia="宋体" w:hint="default"/>
                <w:sz w:val="21"/>
                <w:szCs w:val="21"/>
              </w:rPr>
              <w:t>乌鲁木齐</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8" w:lineRule="exact"/>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8" w:lineRule="exact"/>
              <w:ind w:right="50"/>
              <w:jc w:val="right"/>
              <w:rPr>
                <w:rFonts w:ascii="宋体" w:hAnsi="宋体" w:cs="宋体" w:eastAsia="宋体" w:hint="default"/>
                <w:sz w:val="21"/>
                <w:szCs w:val="21"/>
              </w:rPr>
            </w:pPr>
            <w:r>
              <w:rPr>
                <w:rFonts w:ascii="宋体"/>
                <w:sz w:val="21"/>
              </w:rPr>
              <w:t>500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72" w:lineRule="exact" w:before="1"/>
              <w:ind w:left="55" w:right="53"/>
              <w:jc w:val="left"/>
              <w:rPr>
                <w:rFonts w:ascii="宋体" w:hAnsi="宋体" w:cs="宋体" w:eastAsia="宋体" w:hint="default"/>
                <w:sz w:val="21"/>
                <w:szCs w:val="21"/>
              </w:rPr>
            </w:pPr>
            <w:r>
              <w:rPr>
                <w:rFonts w:ascii="宋体" w:hAnsi="宋体" w:cs="宋体" w:eastAsia="宋体" w:hint="default"/>
                <w:sz w:val="21"/>
                <w:szCs w:val="21"/>
              </w:rPr>
              <w:t>印刷品印刷（票证）。纸制品的生产、销售；高档纸的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防伪处理、销售；数据打印系统的开发、生产；科技信</w:t>
            </w:r>
          </w:p>
          <w:p>
            <w:pPr>
              <w:pStyle w:val="TableParagraph"/>
              <w:spacing w:line="249" w:lineRule="exact"/>
              <w:ind w:left="55" w:right="0"/>
              <w:jc w:val="left"/>
              <w:rPr>
                <w:rFonts w:ascii="宋体" w:hAnsi="宋体" w:cs="宋体" w:eastAsia="宋体" w:hint="default"/>
                <w:sz w:val="21"/>
                <w:szCs w:val="21"/>
              </w:rPr>
            </w:pPr>
            <w:r>
              <w:rPr>
                <w:rFonts w:ascii="宋体" w:hAnsi="宋体" w:cs="宋体" w:eastAsia="宋体" w:hint="default"/>
                <w:sz w:val="21"/>
                <w:szCs w:val="21"/>
              </w:rPr>
              <w:t>息咨询服务；</w:t>
            </w:r>
            <w:r>
              <w:rPr>
                <w:rFonts w:ascii="宋体" w:hAnsi="宋体" w:cs="宋体" w:eastAsia="宋体" w:hint="default"/>
                <w:sz w:val="21"/>
                <w:szCs w:val="21"/>
              </w:rPr>
              <w:t>IC</w:t>
            </w:r>
            <w:r>
              <w:rPr>
                <w:rFonts w:ascii="宋体" w:hAnsi="宋体" w:cs="宋体" w:eastAsia="宋体" w:hint="default"/>
                <w:spacing w:val="-59"/>
                <w:sz w:val="21"/>
                <w:szCs w:val="21"/>
              </w:rPr>
              <w:t> </w:t>
            </w:r>
            <w:r>
              <w:rPr>
                <w:rFonts w:ascii="宋体" w:hAnsi="宋体" w:cs="宋体" w:eastAsia="宋体" w:hint="default"/>
                <w:sz w:val="21"/>
                <w:szCs w:val="21"/>
              </w:rPr>
              <w:t>卡产品、智能标签产品的生产、销售。</w:t>
            </w:r>
          </w:p>
        </w:tc>
      </w:tr>
      <w:tr>
        <w:trPr>
          <w:trHeight w:val="54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7"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5"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50"/>
              <w:jc w:val="right"/>
              <w:rPr>
                <w:rFonts w:ascii="宋体" w:hAnsi="宋体" w:cs="宋体" w:eastAsia="宋体" w:hint="default"/>
                <w:sz w:val="21"/>
                <w:szCs w:val="21"/>
              </w:rPr>
            </w:pPr>
            <w:r>
              <w:rPr>
                <w:rFonts w:ascii="宋体"/>
                <w:sz w:val="21"/>
              </w:rPr>
              <w:t>3,000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5" w:right="0"/>
              <w:jc w:val="left"/>
              <w:rPr>
                <w:rFonts w:ascii="宋体" w:hAnsi="宋体" w:cs="宋体" w:eastAsia="宋体" w:hint="default"/>
                <w:sz w:val="21"/>
                <w:szCs w:val="21"/>
              </w:rPr>
            </w:pPr>
            <w:r>
              <w:rPr>
                <w:rFonts w:ascii="宋体" w:hAnsi="宋体" w:cs="宋体" w:eastAsia="宋体" w:hint="default"/>
                <w:sz w:val="21"/>
                <w:szCs w:val="21"/>
              </w:rPr>
              <w:t>包装装潢印刷，零件印刷，计算机软件开发。</w:t>
            </w:r>
          </w:p>
        </w:tc>
      </w:tr>
      <w:tr>
        <w:trPr>
          <w:trHeight w:val="995"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72" w:lineRule="exact" w:before="98"/>
              <w:ind w:left="57" w:right="55"/>
              <w:jc w:val="left"/>
              <w:rPr>
                <w:rFonts w:ascii="宋体" w:hAnsi="宋体" w:cs="宋体" w:eastAsia="宋体" w:hint="default"/>
                <w:sz w:val="21"/>
                <w:szCs w:val="21"/>
              </w:rPr>
            </w:pPr>
            <w:r>
              <w:rPr>
                <w:rFonts w:ascii="宋体" w:hAnsi="宋体" w:cs="宋体" w:eastAsia="宋体" w:hint="default"/>
                <w:spacing w:val="3"/>
                <w:sz w:val="21"/>
                <w:szCs w:val="21"/>
              </w:rPr>
              <w:t>北京东港嘉华安全信息技术有限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5"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
              <w:jc w:val="right"/>
              <w:rPr>
                <w:rFonts w:ascii="宋体" w:hAnsi="宋体" w:cs="宋体" w:eastAsia="宋体" w:hint="default"/>
                <w:sz w:val="21"/>
                <w:szCs w:val="21"/>
              </w:rPr>
            </w:pPr>
            <w:r>
              <w:rPr>
                <w:rFonts w:ascii="宋体" w:hAnsi="宋体" w:cs="宋体" w:eastAsia="宋体" w:hint="default"/>
                <w:sz w:val="21"/>
                <w:szCs w:val="21"/>
              </w:rPr>
              <w:t>700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37" w:lineRule="auto" w:before="73"/>
              <w:ind w:left="55" w:right="53"/>
              <w:jc w:val="both"/>
              <w:rPr>
                <w:rFonts w:ascii="宋体" w:hAnsi="宋体" w:cs="宋体" w:eastAsia="宋体" w:hint="default"/>
                <w:sz w:val="21"/>
                <w:szCs w:val="21"/>
              </w:rPr>
            </w:pPr>
            <w:r>
              <w:rPr>
                <w:rFonts w:ascii="宋体" w:hAnsi="宋体" w:cs="宋体" w:eastAsia="宋体" w:hint="default"/>
                <w:sz w:val="21"/>
                <w:szCs w:val="21"/>
              </w:rPr>
              <w:t>开发、生产喷墨打印设备、智能电子标签及专用计算机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软件；销售资产产品；提供数据处理服务及自产产品技</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术咨询、技术服务。</w:t>
            </w:r>
          </w:p>
        </w:tc>
      </w:tr>
      <w:tr>
        <w:trPr>
          <w:trHeight w:val="60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5"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0"/>
              <w:jc w:val="right"/>
              <w:rPr>
                <w:rFonts w:ascii="宋体" w:hAnsi="宋体" w:cs="宋体" w:eastAsia="宋体" w:hint="default"/>
                <w:sz w:val="21"/>
                <w:szCs w:val="21"/>
              </w:rPr>
            </w:pPr>
            <w:r>
              <w:rPr>
                <w:rFonts w:ascii="宋体"/>
                <w:sz w:val="21"/>
              </w:rPr>
              <w:t>4,200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5" w:right="0"/>
              <w:jc w:val="left"/>
              <w:rPr>
                <w:rFonts w:ascii="宋体" w:hAnsi="宋体" w:cs="宋体" w:eastAsia="宋体" w:hint="default"/>
                <w:sz w:val="21"/>
                <w:szCs w:val="21"/>
              </w:rPr>
            </w:pPr>
            <w:r>
              <w:rPr>
                <w:rFonts w:ascii="宋体" w:hAnsi="宋体" w:cs="宋体" w:eastAsia="宋体" w:hint="default"/>
                <w:sz w:val="21"/>
                <w:szCs w:val="21"/>
              </w:rPr>
              <w:t>包装装潢及其他类印刷品印刷，软件的开发及生产。</w:t>
            </w:r>
          </w:p>
        </w:tc>
      </w:tr>
      <w:tr>
        <w:trPr>
          <w:trHeight w:val="878"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成都东港安全印刷有限公司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0"/>
              <w:jc w:val="right"/>
              <w:rPr>
                <w:rFonts w:ascii="宋体" w:hAnsi="宋体" w:cs="宋体" w:eastAsia="宋体" w:hint="default"/>
                <w:sz w:val="21"/>
                <w:szCs w:val="21"/>
              </w:rPr>
            </w:pPr>
            <w:r>
              <w:rPr>
                <w:rFonts w:ascii="宋体"/>
                <w:sz w:val="21"/>
              </w:rPr>
              <w:t>500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5" w:right="60"/>
              <w:jc w:val="left"/>
              <w:rPr>
                <w:rFonts w:ascii="宋体" w:hAnsi="宋体" w:cs="宋体" w:eastAsia="宋体" w:hint="default"/>
                <w:sz w:val="21"/>
                <w:szCs w:val="21"/>
              </w:rPr>
            </w:pPr>
            <w:r>
              <w:rPr>
                <w:rFonts w:ascii="宋体" w:hAnsi="宋体" w:cs="宋体" w:eastAsia="宋体" w:hint="default"/>
                <w:sz w:val="21"/>
                <w:szCs w:val="21"/>
              </w:rPr>
              <w:t>其他印刷品印刷；计算机软件的开发、生产；销售电子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标签、纸制品、纸张、印刷器材；印刷技术咨询服务。</w:t>
            </w:r>
          </w:p>
        </w:tc>
      </w:tr>
      <w:tr>
        <w:trPr>
          <w:trHeight w:val="894"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 w:right="0"/>
              <w:jc w:val="left"/>
              <w:rPr>
                <w:rFonts w:ascii="宋体" w:hAnsi="宋体" w:cs="宋体" w:eastAsia="宋体" w:hint="default"/>
                <w:sz w:val="21"/>
                <w:szCs w:val="21"/>
              </w:rPr>
            </w:pPr>
            <w:r>
              <w:rPr>
                <w:rFonts w:ascii="宋体" w:hAnsi="宋体" w:cs="宋体" w:eastAsia="宋体" w:hint="default"/>
                <w:sz w:val="21"/>
                <w:szCs w:val="21"/>
              </w:rPr>
              <w:t>山东东港数据处理有限公司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5" w:right="0"/>
              <w:jc w:val="left"/>
              <w:rPr>
                <w:rFonts w:ascii="宋体" w:hAnsi="宋体" w:cs="宋体" w:eastAsia="宋体" w:hint="default"/>
                <w:sz w:val="21"/>
                <w:szCs w:val="21"/>
              </w:rPr>
            </w:pPr>
            <w:r>
              <w:rPr>
                <w:rFonts w:ascii="宋体" w:hAnsi="宋体" w:cs="宋体" w:eastAsia="宋体" w:hint="default"/>
                <w:sz w:val="21"/>
                <w:szCs w:val="21"/>
              </w:rPr>
              <w:t>济南</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0"/>
              <w:jc w:val="right"/>
              <w:rPr>
                <w:rFonts w:ascii="宋体" w:hAnsi="宋体" w:cs="宋体" w:eastAsia="宋体" w:hint="default"/>
                <w:sz w:val="21"/>
                <w:szCs w:val="21"/>
              </w:rPr>
            </w:pPr>
            <w:r>
              <w:rPr>
                <w:rFonts w:ascii="宋体"/>
                <w:sz w:val="21"/>
              </w:rPr>
              <w:t>3,000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37" w:lineRule="auto" w:before="47"/>
              <w:ind w:left="55" w:right="53"/>
              <w:jc w:val="both"/>
              <w:rPr>
                <w:rFonts w:ascii="宋体" w:hAnsi="宋体" w:cs="宋体" w:eastAsia="宋体" w:hint="default"/>
                <w:sz w:val="21"/>
                <w:szCs w:val="21"/>
              </w:rPr>
            </w:pPr>
            <w:r>
              <w:rPr>
                <w:rFonts w:ascii="宋体" w:hAnsi="宋体" w:cs="宋体" w:eastAsia="宋体" w:hint="default"/>
                <w:sz w:val="21"/>
                <w:szCs w:val="21"/>
              </w:rPr>
              <w:t>包装装潢印刷品印刷，其他印刷品印刷；软件开发、生</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产销售；纸制品加工、销售；纸张油墨、油墨、印刷机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械的销售；科技信息咨询服务。</w:t>
            </w:r>
          </w:p>
        </w:tc>
      </w:tr>
      <w:tr>
        <w:trPr>
          <w:trHeight w:val="786"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上海东港数据处理有限公司</w:t>
            </w:r>
          </w:p>
        </w:tc>
        <w:tc>
          <w:tcPr>
            <w:tcW w:w="13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生产型</w:t>
            </w:r>
          </w:p>
        </w:tc>
        <w:tc>
          <w:tcPr>
            <w:tcW w:w="13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z w:val="21"/>
              </w:rPr>
              <w:t>15,000</w:t>
            </w:r>
          </w:p>
        </w:tc>
        <w:tc>
          <w:tcPr>
            <w:tcW w:w="144" w:type="dxa"/>
            <w:tcBorders>
              <w:top w:val="nil" w:sz="6" w:space="0" w:color="auto"/>
              <w:left w:val="nil" w:sz="6" w:space="0" w:color="auto"/>
              <w:bottom w:val="nil" w:sz="6" w:space="0" w:color="auto"/>
              <w:right w:val="nil" w:sz="6" w:space="0" w:color="auto"/>
            </w:tcBorders>
          </w:tcPr>
          <w:p>
            <w:pPr/>
          </w:p>
        </w:tc>
        <w:tc>
          <w:tcPr>
            <w:tcW w:w="5228" w:type="dxa"/>
            <w:tcBorders>
              <w:top w:val="nil" w:sz="6" w:space="0" w:color="auto"/>
              <w:left w:val="nil" w:sz="6" w:space="0" w:color="auto"/>
              <w:bottom w:val="nil" w:sz="6" w:space="0" w:color="auto"/>
              <w:right w:val="nil" w:sz="6" w:space="0" w:color="auto"/>
            </w:tcBorders>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计算机软件开发、电脑数据处理、商务咨询</w:t>
            </w:r>
            <w:r>
              <w:rPr>
                <w:rFonts w:ascii="宋体" w:hAnsi="宋体" w:cs="宋体" w:eastAsia="宋体" w:hint="default"/>
                <w:sz w:val="21"/>
                <w:szCs w:val="21"/>
              </w:rPr>
              <w:t>(</w:t>
            </w:r>
            <w:r>
              <w:rPr>
                <w:rFonts w:ascii="宋体" w:hAnsi="宋体" w:cs="宋体" w:eastAsia="宋体" w:hint="default"/>
                <w:sz w:val="21"/>
                <w:szCs w:val="21"/>
              </w:rPr>
              <w:t>除经纪</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2" w:lineRule="exact" w:before="27"/>
              <w:ind w:left="55" w:right="53"/>
              <w:jc w:val="left"/>
              <w:rPr>
                <w:rFonts w:ascii="宋体" w:hAnsi="宋体" w:cs="宋体" w:eastAsia="宋体" w:hint="default"/>
                <w:sz w:val="21"/>
                <w:szCs w:val="21"/>
              </w:rPr>
            </w:pPr>
            <w:r>
              <w:rPr>
                <w:rFonts w:ascii="宋体" w:hAnsi="宋体" w:cs="宋体" w:eastAsia="宋体" w:hint="default"/>
                <w:sz w:val="21"/>
                <w:szCs w:val="21"/>
              </w:rPr>
              <w:t>计算机技术领域内的技术服务、技术咨询、技术开发、</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技术转让。</w:t>
            </w:r>
            <w:r>
              <w:rPr>
                <w:rFonts w:ascii="宋体" w:hAnsi="宋体" w:cs="宋体" w:eastAsia="宋体" w:hint="default"/>
                <w:sz w:val="21"/>
                <w:szCs w:val="21"/>
              </w:rPr>
              <w:t>(</w:t>
            </w:r>
            <w:r>
              <w:rPr>
                <w:rFonts w:ascii="宋体" w:hAnsi="宋体" w:cs="宋体" w:eastAsia="宋体" w:hint="default"/>
                <w:sz w:val="21"/>
                <w:szCs w:val="21"/>
              </w:rPr>
              <w:t>涉及行政许可的，凭许可证经营</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headerReference w:type="default" r:id="rId32"/>
          <w:footerReference w:type="default" r:id="rId33"/>
          <w:pgSz w:w="16840" w:h="11910" w:orient="landscape"/>
          <w:pgMar w:header="891" w:footer="1153" w:top="1260" w:bottom="1340" w:left="1560" w:right="0"/>
          <w:pgNumType w:start="88"/>
        </w:sectPr>
      </w:pPr>
    </w:p>
    <w:p>
      <w:pPr>
        <w:pStyle w:val="BodyText"/>
        <w:spacing w:line="240" w:lineRule="auto" w:before="57"/>
        <w:ind w:left="582" w:right="0"/>
        <w:jc w:val="left"/>
        <w:rPr>
          <w:rFonts w:ascii="Times New Roman" w:hAnsi="Times New Roman" w:cs="Times New Roman" w:eastAsia="Times New Roman" w:hint="default"/>
        </w:rPr>
      </w:pPr>
      <w:r>
        <w:rPr/>
        <w:t>⑴通过设立或投资等方式取得的子公司</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tbl>
      <w:tblPr>
        <w:tblW w:w="0" w:type="auto"/>
        <w:jc w:val="left"/>
        <w:tblInd w:w="431" w:type="dxa"/>
        <w:tblLayout w:type="fixed"/>
        <w:tblCellMar>
          <w:top w:w="0" w:type="dxa"/>
          <w:left w:w="0" w:type="dxa"/>
          <w:bottom w:w="0" w:type="dxa"/>
          <w:right w:w="0" w:type="dxa"/>
        </w:tblCellMar>
        <w:tblLook w:val="01E0"/>
      </w:tblPr>
      <w:tblGrid>
        <w:gridCol w:w="3485"/>
        <w:gridCol w:w="135"/>
        <w:gridCol w:w="1092"/>
        <w:gridCol w:w="137"/>
        <w:gridCol w:w="1020"/>
        <w:gridCol w:w="134"/>
        <w:gridCol w:w="1239"/>
        <w:gridCol w:w="142"/>
        <w:gridCol w:w="1073"/>
        <w:gridCol w:w="134"/>
        <w:gridCol w:w="1622"/>
        <w:gridCol w:w="137"/>
        <w:gridCol w:w="1421"/>
        <w:gridCol w:w="245"/>
        <w:gridCol w:w="1154"/>
      </w:tblGrid>
      <w:tr>
        <w:trPr>
          <w:trHeight w:val="798" w:hRule="exact"/>
        </w:trPr>
        <w:tc>
          <w:tcPr>
            <w:tcW w:w="348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2" w:lineRule="exact"/>
              <w:ind w:left="405" w:right="84" w:hanging="315"/>
              <w:jc w:val="left"/>
              <w:rPr>
                <w:rFonts w:ascii="宋体" w:hAnsi="宋体" w:cs="宋体" w:eastAsia="宋体" w:hint="default"/>
                <w:sz w:val="21"/>
                <w:szCs w:val="21"/>
              </w:rPr>
            </w:pPr>
            <w:r>
              <w:rPr>
                <w:rFonts w:ascii="宋体" w:hAnsi="宋体" w:cs="宋体" w:eastAsia="宋体" w:hint="default"/>
                <w:spacing w:val="-1"/>
                <w:sz w:val="21"/>
                <w:szCs w:val="21"/>
              </w:rPr>
              <w:t>法定代表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人</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2" w:lineRule="exact"/>
              <w:ind w:left="513" w:right="89" w:hanging="420"/>
              <w:jc w:val="left"/>
              <w:rPr>
                <w:rFonts w:ascii="宋体" w:hAnsi="宋体" w:cs="宋体" w:eastAsia="宋体" w:hint="default"/>
                <w:sz w:val="21"/>
                <w:szCs w:val="21"/>
              </w:rPr>
            </w:pPr>
            <w:r>
              <w:rPr>
                <w:rFonts w:ascii="宋体" w:hAnsi="宋体" w:cs="宋体" w:eastAsia="宋体" w:hint="default"/>
                <w:spacing w:val="-1"/>
                <w:sz w:val="21"/>
                <w:szCs w:val="21"/>
              </w:rPr>
              <w:t>组织机构代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码</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2" w:lineRule="exact"/>
              <w:ind w:left="220" w:right="110" w:hanging="104"/>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8" w:space="0" w:color="000000"/>
              <w:right w:val="nil" w:sz="6" w:space="0" w:color="auto"/>
            </w:tcBorders>
          </w:tcPr>
          <w:p>
            <w:pPr>
              <w:pStyle w:val="TableParagraph"/>
              <w:spacing w:line="210" w:lineRule="exact"/>
              <w:ind w:left="74" w:right="0"/>
              <w:jc w:val="left"/>
              <w:rPr>
                <w:rFonts w:ascii="宋体" w:hAnsi="宋体" w:cs="宋体" w:eastAsia="宋体" w:hint="default"/>
                <w:sz w:val="21"/>
                <w:szCs w:val="21"/>
              </w:rPr>
            </w:pPr>
            <w:r>
              <w:rPr>
                <w:rFonts w:ascii="宋体" w:hAnsi="宋体" w:cs="宋体" w:eastAsia="宋体" w:hint="default"/>
                <w:sz w:val="21"/>
                <w:szCs w:val="21"/>
              </w:rPr>
              <w:t>实质上构成对子</w:t>
            </w:r>
          </w:p>
          <w:p>
            <w:pPr>
              <w:pStyle w:val="TableParagraph"/>
              <w:spacing w:line="272" w:lineRule="exact" w:before="27"/>
              <w:ind w:left="283" w:right="72" w:hanging="209"/>
              <w:jc w:val="left"/>
              <w:rPr>
                <w:rFonts w:ascii="宋体" w:hAnsi="宋体" w:cs="宋体" w:eastAsia="宋体" w:hint="default"/>
                <w:sz w:val="21"/>
                <w:szCs w:val="21"/>
              </w:rPr>
            </w:pPr>
            <w:r>
              <w:rPr>
                <w:rFonts w:ascii="宋体" w:hAnsi="宋体" w:cs="宋体" w:eastAsia="宋体" w:hint="default"/>
                <w:spacing w:val="-1"/>
                <w:sz w:val="21"/>
                <w:szCs w:val="21"/>
              </w:rPr>
              <w:t>公司净投资的其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他项目余额</w:t>
            </w: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2" w:lineRule="exact"/>
              <w:ind w:left="470" w:right="153" w:hanging="315"/>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p>
        </w:tc>
      </w:tr>
      <w:tr>
        <w:trPr>
          <w:trHeight w:val="488" w:hRule="exact"/>
        </w:trPr>
        <w:tc>
          <w:tcPr>
            <w:tcW w:w="3485"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58"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57"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74579116-9</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50"/>
              <w:jc w:val="right"/>
              <w:rPr>
                <w:rFonts w:ascii="宋体" w:hAnsi="宋体" w:cs="宋体" w:eastAsia="宋体" w:hint="default"/>
                <w:sz w:val="21"/>
                <w:szCs w:val="21"/>
              </w:rPr>
            </w:pPr>
            <w:r>
              <w:rPr>
                <w:rFonts w:ascii="宋体"/>
                <w:spacing w:val="-1"/>
                <w:sz w:val="21"/>
              </w:rPr>
              <w:t>2,812.50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single" w:sz="8"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53"/>
              <w:jc w:val="right"/>
              <w:rPr>
                <w:rFonts w:ascii="宋体" w:hAnsi="宋体" w:cs="宋体" w:eastAsia="宋体" w:hint="default"/>
                <w:sz w:val="21"/>
                <w:szCs w:val="21"/>
              </w:rPr>
            </w:pPr>
            <w:r>
              <w:rPr>
                <w:rFonts w:ascii="宋体"/>
                <w:sz w:val="21"/>
              </w:rPr>
              <w:t>93.75%</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53"/>
              <w:jc w:val="right"/>
              <w:rPr>
                <w:rFonts w:ascii="宋体" w:hAnsi="宋体" w:cs="宋体" w:eastAsia="宋体" w:hint="default"/>
                <w:sz w:val="21"/>
                <w:szCs w:val="21"/>
              </w:rPr>
            </w:pPr>
            <w:r>
              <w:rPr>
                <w:rFonts w:ascii="宋体"/>
                <w:spacing w:val="-1"/>
                <w:sz w:val="21"/>
              </w:rPr>
              <w:t>100.00%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71785190-2</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3,900.00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8"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7"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宋体" w:hAnsi="宋体" w:cs="宋体" w:eastAsia="宋体" w:hint="default"/>
                <w:sz w:val="21"/>
                <w:szCs w:val="21"/>
              </w:rPr>
            </w:pPr>
            <w:r>
              <w:rPr>
                <w:rFonts w:ascii="宋体"/>
                <w:sz w:val="21"/>
              </w:rPr>
              <w:t>77606809-6</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
              <w:jc w:val="right"/>
              <w:rPr>
                <w:rFonts w:ascii="宋体" w:hAnsi="宋体" w:cs="宋体" w:eastAsia="宋体" w:hint="default"/>
                <w:sz w:val="21"/>
                <w:szCs w:val="21"/>
              </w:rPr>
            </w:pPr>
            <w:r>
              <w:rPr>
                <w:rFonts w:ascii="宋体"/>
                <w:sz w:val="21"/>
              </w:rPr>
              <w:t>468.80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3"/>
              <w:jc w:val="right"/>
              <w:rPr>
                <w:rFonts w:ascii="宋体" w:hAnsi="宋体" w:cs="宋体" w:eastAsia="宋体" w:hint="default"/>
                <w:sz w:val="21"/>
                <w:szCs w:val="21"/>
              </w:rPr>
            </w:pPr>
            <w:r>
              <w:rPr>
                <w:rFonts w:ascii="宋体"/>
                <w:sz w:val="21"/>
              </w:rPr>
              <w:t>93.75%</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3"/>
              <w:jc w:val="right"/>
              <w:rPr>
                <w:rFonts w:ascii="宋体" w:hAnsi="宋体" w:cs="宋体" w:eastAsia="宋体" w:hint="default"/>
                <w:sz w:val="21"/>
                <w:szCs w:val="21"/>
              </w:rPr>
            </w:pPr>
            <w:r>
              <w:rPr>
                <w:rFonts w:ascii="宋体"/>
                <w:spacing w:val="-1"/>
                <w:sz w:val="21"/>
              </w:rPr>
              <w:t>100.00%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74265815-1</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2,812.50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93.75%</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pacing w:val="-1"/>
                <w:sz w:val="21"/>
              </w:rPr>
              <w:t>100.00%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北京东港嘉华安全信息技术有限公司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79755702-4</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3,669.50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r>
      <w:tr>
        <w:trPr>
          <w:trHeight w:val="480"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79739514-1</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pacing w:val="-1"/>
                <w:sz w:val="21"/>
              </w:rPr>
              <w:t>3,150.00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z w:val="21"/>
              </w:rPr>
              <w:t>75.00%</w:t>
            </w:r>
          </w:p>
        </w:tc>
      </w:tr>
      <w:tr>
        <w:trPr>
          <w:trHeight w:val="473"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8" w:right="0"/>
              <w:jc w:val="left"/>
              <w:rPr>
                <w:rFonts w:ascii="宋体" w:hAnsi="宋体" w:cs="宋体" w:eastAsia="宋体" w:hint="default"/>
                <w:sz w:val="21"/>
                <w:szCs w:val="21"/>
              </w:rPr>
            </w:pPr>
            <w:r>
              <w:rPr>
                <w:rFonts w:ascii="宋体" w:hAnsi="宋体" w:cs="宋体" w:eastAsia="宋体" w:hint="default"/>
                <w:sz w:val="21"/>
                <w:szCs w:val="21"/>
              </w:rPr>
              <w:t>成都东港安全印刷有限公司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7"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 w:right="0"/>
              <w:jc w:val="center"/>
              <w:rPr>
                <w:rFonts w:ascii="宋体" w:hAnsi="宋体" w:cs="宋体" w:eastAsia="宋体" w:hint="default"/>
                <w:sz w:val="21"/>
                <w:szCs w:val="21"/>
              </w:rPr>
            </w:pPr>
            <w:r>
              <w:rPr>
                <w:rFonts w:ascii="宋体"/>
                <w:sz w:val="21"/>
              </w:rPr>
              <w:t>66966012-3</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21"/>
                <w:szCs w:val="21"/>
              </w:rPr>
            </w:pPr>
            <w:r>
              <w:rPr>
                <w:rFonts w:ascii="宋体"/>
                <w:sz w:val="21"/>
              </w:rPr>
              <w:t>500.00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pacing w:val="-1"/>
                <w:sz w:val="21"/>
              </w:rPr>
              <w:t>100.00%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3"/>
              <w:jc w:val="right"/>
              <w:rPr>
                <w:rFonts w:ascii="宋体" w:hAnsi="宋体" w:cs="宋体" w:eastAsia="宋体" w:hint="default"/>
                <w:sz w:val="21"/>
                <w:szCs w:val="21"/>
              </w:rPr>
            </w:pPr>
            <w:r>
              <w:rPr>
                <w:rFonts w:ascii="宋体"/>
                <w:spacing w:val="-1"/>
                <w:sz w:val="21"/>
              </w:rPr>
              <w:t>100.00%</w:t>
            </w:r>
          </w:p>
        </w:tc>
      </w:tr>
      <w:tr>
        <w:trPr>
          <w:trHeight w:val="495"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8" w:right="0"/>
              <w:jc w:val="left"/>
              <w:rPr>
                <w:rFonts w:ascii="宋体" w:hAnsi="宋体" w:cs="宋体" w:eastAsia="宋体" w:hint="default"/>
                <w:sz w:val="21"/>
                <w:szCs w:val="21"/>
              </w:rPr>
            </w:pPr>
            <w:r>
              <w:rPr>
                <w:rFonts w:ascii="宋体" w:hAnsi="宋体" w:cs="宋体" w:eastAsia="宋体" w:hint="default"/>
                <w:sz w:val="21"/>
                <w:szCs w:val="21"/>
              </w:rPr>
              <w:t>山东东港数据处理有限公司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21"/>
                <w:szCs w:val="21"/>
              </w:rPr>
            </w:pPr>
            <w:r>
              <w:rPr>
                <w:rFonts w:ascii="宋体" w:hAnsi="宋体" w:cs="宋体" w:eastAsia="宋体" w:hint="default"/>
                <w:sz w:val="21"/>
                <w:szCs w:val="21"/>
              </w:rPr>
              <w:t>王爱先</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宋体" w:hAnsi="宋体" w:cs="宋体" w:eastAsia="宋体" w:hint="default"/>
                <w:sz w:val="24"/>
                <w:szCs w:val="24"/>
              </w:rPr>
            </w:pPr>
            <w:r>
              <w:rPr>
                <w:rFonts w:ascii="宋体"/>
                <w:sz w:val="21"/>
              </w:rPr>
              <w:t>66670371</w:t>
            </w:r>
            <w:r>
              <w:rPr>
                <w:rFonts w:ascii="宋体"/>
                <w:sz w:val="24"/>
              </w:rPr>
              <w:t>-4</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0"/>
              <w:jc w:val="right"/>
              <w:rPr>
                <w:rFonts w:ascii="宋体" w:hAnsi="宋体" w:cs="宋体" w:eastAsia="宋体" w:hint="default"/>
                <w:sz w:val="21"/>
                <w:szCs w:val="21"/>
              </w:rPr>
            </w:pPr>
            <w:r>
              <w:rPr>
                <w:rFonts w:ascii="宋体"/>
                <w:spacing w:val="-1"/>
                <w:sz w:val="21"/>
              </w:rPr>
              <w:t>3,000.00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3"/>
              <w:jc w:val="right"/>
              <w:rPr>
                <w:rFonts w:ascii="宋体" w:hAnsi="宋体" w:cs="宋体" w:eastAsia="宋体" w:hint="default"/>
                <w:sz w:val="21"/>
                <w:szCs w:val="21"/>
              </w:rPr>
            </w:pPr>
            <w:r>
              <w:rPr>
                <w:rFonts w:ascii="宋体"/>
                <w:spacing w:val="-1"/>
                <w:sz w:val="21"/>
              </w:rPr>
              <w:t>100.00%</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3"/>
              <w:jc w:val="right"/>
              <w:rPr>
                <w:rFonts w:ascii="宋体" w:hAnsi="宋体" w:cs="宋体" w:eastAsia="宋体" w:hint="default"/>
                <w:sz w:val="21"/>
                <w:szCs w:val="21"/>
              </w:rPr>
            </w:pPr>
            <w:r>
              <w:rPr>
                <w:rFonts w:ascii="宋体"/>
                <w:spacing w:val="-1"/>
                <w:sz w:val="21"/>
              </w:rPr>
              <w:t>100.00%</w:t>
            </w:r>
          </w:p>
        </w:tc>
      </w:tr>
      <w:tr>
        <w:trPr>
          <w:trHeight w:val="339"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8" w:right="0"/>
              <w:jc w:val="left"/>
              <w:rPr>
                <w:rFonts w:ascii="宋体" w:hAnsi="宋体" w:cs="宋体" w:eastAsia="宋体" w:hint="default"/>
                <w:sz w:val="21"/>
                <w:szCs w:val="21"/>
              </w:rPr>
            </w:pPr>
            <w:r>
              <w:rPr>
                <w:rFonts w:ascii="宋体" w:hAnsi="宋体" w:cs="宋体" w:eastAsia="宋体" w:hint="default"/>
                <w:sz w:val="21"/>
                <w:szCs w:val="21"/>
              </w:rPr>
              <w:t>上海东港数据处理有限公司</w:t>
            </w:r>
          </w:p>
        </w:tc>
        <w:tc>
          <w:tcPr>
            <w:tcW w:w="1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34"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66942589-5</w:t>
            </w:r>
          </w:p>
        </w:tc>
        <w:tc>
          <w:tcPr>
            <w:tcW w:w="142"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
              <w:jc w:val="right"/>
              <w:rPr>
                <w:rFonts w:ascii="宋体" w:hAnsi="宋体" w:cs="宋体" w:eastAsia="宋体" w:hint="default"/>
                <w:sz w:val="21"/>
                <w:szCs w:val="21"/>
              </w:rPr>
            </w:pPr>
            <w:r>
              <w:rPr>
                <w:rFonts w:ascii="宋体"/>
                <w:spacing w:val="-1"/>
                <w:sz w:val="21"/>
              </w:rPr>
              <w:t>13,000.00</w:t>
            </w:r>
          </w:p>
        </w:tc>
        <w:tc>
          <w:tcPr>
            <w:tcW w:w="134"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3"/>
              <w:jc w:val="right"/>
              <w:rPr>
                <w:rFonts w:ascii="宋体" w:hAnsi="宋体" w:cs="宋体" w:eastAsia="宋体" w:hint="default"/>
                <w:sz w:val="21"/>
                <w:szCs w:val="21"/>
              </w:rPr>
            </w:pPr>
            <w:r>
              <w:rPr>
                <w:rFonts w:ascii="宋体"/>
                <w:sz w:val="21"/>
              </w:rPr>
              <w:t>98.53%</w:t>
            </w:r>
          </w:p>
        </w:tc>
        <w:tc>
          <w:tcPr>
            <w:tcW w:w="24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3"/>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BodyText"/>
        <w:spacing w:line="304" w:lineRule="auto" w:before="26"/>
        <w:ind w:left="100" w:right="1533" w:firstLine="480"/>
        <w:jc w:val="both"/>
      </w:pPr>
      <w:r>
        <w:rPr/>
        <w:t>上海东港数据处理有限公司原注册资本</w:t>
      </w:r>
      <w:r>
        <w:rPr>
          <w:spacing w:val="-75"/>
        </w:rPr>
        <w:t> </w:t>
      </w:r>
      <w:r>
        <w:rPr>
          <w:rFonts w:ascii="宋体" w:hAnsi="宋体" w:cs="宋体" w:eastAsia="宋体" w:hint="default"/>
        </w:rPr>
        <w:t>2,000</w:t>
      </w:r>
      <w:r>
        <w:rPr>
          <w:rFonts w:ascii="宋体" w:hAnsi="宋体" w:cs="宋体" w:eastAsia="宋体" w:hint="default"/>
          <w:spacing w:val="-75"/>
        </w:rPr>
        <w:t> </w:t>
      </w:r>
      <w:r>
        <w:rPr/>
        <w:t>万元，上海东港安全印刷有限公司、北京东港安全印刷有限公司分别出资</w:t>
      </w:r>
      <w:r>
        <w:rPr>
          <w:spacing w:val="-75"/>
        </w:rPr>
        <w:t> </w:t>
      </w:r>
      <w:r>
        <w:rPr>
          <w:rFonts w:ascii="宋体" w:hAnsi="宋体" w:cs="宋体" w:eastAsia="宋体" w:hint="default"/>
        </w:rPr>
        <w:t>1,500</w:t>
      </w:r>
      <w:r>
        <w:rPr>
          <w:rFonts w:ascii="宋体" w:hAnsi="宋体" w:cs="宋体" w:eastAsia="宋体" w:hint="default"/>
          <w:spacing w:val="-75"/>
        </w:rPr>
        <w:t> </w:t>
      </w:r>
      <w:r>
        <w:rPr/>
        <w:t>万 </w:t>
      </w:r>
      <w:r>
        <w:rPr>
          <w:spacing w:val="-3"/>
        </w:rPr>
        <w:t>元、</w:t>
      </w:r>
      <w:r>
        <w:rPr>
          <w:rFonts w:ascii="宋体" w:hAnsi="宋体" w:cs="宋体" w:eastAsia="宋体" w:hint="default"/>
          <w:spacing w:val="-3"/>
        </w:rPr>
        <w:t>500</w:t>
      </w:r>
      <w:r>
        <w:rPr>
          <w:rFonts w:ascii="宋体" w:hAnsi="宋体" w:cs="宋体" w:eastAsia="宋体" w:hint="default"/>
          <w:spacing w:val="-82"/>
        </w:rPr>
        <w:t> </w:t>
      </w:r>
      <w:r>
        <w:rPr/>
        <w:t>万元，持有其</w:t>
      </w:r>
      <w:r>
        <w:rPr>
          <w:spacing w:val="-82"/>
        </w:rPr>
        <w:t> </w:t>
      </w:r>
      <w:r>
        <w:rPr>
          <w:rFonts w:ascii="宋体" w:hAnsi="宋体" w:cs="宋体" w:eastAsia="宋体" w:hint="default"/>
        </w:rPr>
        <w:t>75%</w:t>
      </w:r>
      <w:r>
        <w:rPr/>
        <w:t>、</w:t>
      </w:r>
      <w:r>
        <w:rPr>
          <w:rFonts w:ascii="宋体" w:hAnsi="宋体" w:cs="宋体" w:eastAsia="宋体" w:hint="default"/>
        </w:rPr>
        <w:t>25%</w:t>
      </w:r>
      <w:r>
        <w:rPr/>
        <w:t>的股权，该公司通过上海东港安全印刷有限公司最终纳入本集团合并范围。本年度本公司对上海东港 数据处理有限公司新增投资</w:t>
      </w:r>
      <w:r>
        <w:rPr>
          <w:spacing w:val="-60"/>
        </w:rPr>
        <w:t> </w:t>
      </w:r>
      <w:r>
        <w:rPr>
          <w:rFonts w:ascii="宋体" w:hAnsi="宋体" w:cs="宋体" w:eastAsia="宋体" w:hint="default"/>
        </w:rPr>
        <w:t>1.3</w:t>
      </w:r>
      <w:r>
        <w:rPr>
          <w:rFonts w:ascii="宋体" w:hAnsi="宋体" w:cs="宋体" w:eastAsia="宋体" w:hint="default"/>
          <w:spacing w:val="-60"/>
        </w:rPr>
        <w:t> </w:t>
      </w:r>
      <w:r>
        <w:rPr/>
        <w:t>亿元人民币，成为上海东港数据处理有限公司控股股东，将其直接纳入合并范围。</w:t>
      </w:r>
    </w:p>
    <w:p>
      <w:pPr>
        <w:spacing w:after="0" w:line="304" w:lineRule="auto"/>
        <w:jc w:val="both"/>
        <w:sectPr>
          <w:headerReference w:type="default" r:id="rId34"/>
          <w:pgSz w:w="16840" w:h="11910" w:orient="landscape"/>
          <w:pgMar w:header="891" w:footer="1153" w:top="1260" w:bottom="1340" w:left="13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766"/>
        <w:gridCol w:w="262"/>
        <w:gridCol w:w="1800"/>
        <w:gridCol w:w="221"/>
        <w:gridCol w:w="948"/>
        <w:gridCol w:w="223"/>
        <w:gridCol w:w="1726"/>
        <w:gridCol w:w="223"/>
        <w:gridCol w:w="1370"/>
        <w:gridCol w:w="221"/>
        <w:gridCol w:w="3147"/>
      </w:tblGrid>
      <w:tr>
        <w:trPr>
          <w:trHeight w:val="1070" w:hRule="exact"/>
        </w:trPr>
        <w:tc>
          <w:tcPr>
            <w:tcW w:w="376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59" w:right="55"/>
              <w:jc w:val="center"/>
              <w:rPr>
                <w:rFonts w:ascii="宋体" w:hAnsi="宋体" w:cs="宋体" w:eastAsia="宋体" w:hint="default"/>
                <w:sz w:val="21"/>
                <w:szCs w:val="21"/>
              </w:rPr>
            </w:pPr>
            <w:r>
              <w:rPr>
                <w:rFonts w:ascii="宋体" w:hAnsi="宋体" w:cs="宋体" w:eastAsia="宋体" w:hint="default"/>
                <w:spacing w:val="-2"/>
                <w:sz w:val="21"/>
                <w:szCs w:val="21"/>
              </w:rPr>
              <w:t>实质上构成对子公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司净投资的其他项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目余额</w:t>
            </w: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72" w:lineRule="exact"/>
              <w:ind w:left="263" w:right="50" w:hanging="212"/>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8" w:space="0" w:color="000000"/>
              <w:right w:val="nil" w:sz="6" w:space="0" w:color="auto"/>
            </w:tcBorders>
          </w:tcPr>
          <w:p>
            <w:pPr>
              <w:pStyle w:val="TableParagraph"/>
              <w:spacing w:line="209" w:lineRule="exact"/>
              <w:ind w:left="2" w:right="0"/>
              <w:jc w:val="center"/>
              <w:rPr>
                <w:rFonts w:ascii="宋体" w:hAnsi="宋体" w:cs="宋体" w:eastAsia="宋体" w:hint="default"/>
                <w:sz w:val="21"/>
                <w:szCs w:val="21"/>
              </w:rPr>
            </w:pPr>
            <w:r>
              <w:rPr>
                <w:rFonts w:ascii="宋体" w:hAnsi="宋体" w:cs="宋体" w:eastAsia="宋体" w:hint="default"/>
                <w:sz w:val="21"/>
                <w:szCs w:val="21"/>
              </w:rPr>
              <w:t>少数股东权益</w:t>
            </w:r>
          </w:p>
          <w:p>
            <w:pPr>
              <w:pStyle w:val="TableParagraph"/>
              <w:spacing w:line="237" w:lineRule="auto"/>
              <w:ind w:left="55" w:right="50"/>
              <w:jc w:val="center"/>
              <w:rPr>
                <w:rFonts w:ascii="宋体" w:hAnsi="宋体" w:cs="宋体" w:eastAsia="宋体" w:hint="default"/>
                <w:sz w:val="21"/>
                <w:szCs w:val="21"/>
              </w:rPr>
            </w:pPr>
            <w:r>
              <w:rPr>
                <w:rFonts w:ascii="宋体" w:hAnsi="宋体" w:cs="宋体" w:eastAsia="宋体" w:hint="default"/>
                <w:spacing w:val="-1"/>
                <w:sz w:val="21"/>
                <w:szCs w:val="21"/>
              </w:rPr>
              <w:t>中用于冲减少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数股东损益的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金额</w:t>
            </w: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single" w:sz="8" w:space="0" w:color="000000"/>
              <w:right w:val="nil" w:sz="6" w:space="0" w:color="auto"/>
            </w:tcBorders>
          </w:tcPr>
          <w:p>
            <w:pPr>
              <w:pStyle w:val="TableParagraph"/>
              <w:spacing w:line="209" w:lineRule="exact"/>
              <w:ind w:right="0"/>
              <w:jc w:val="center"/>
              <w:rPr>
                <w:rFonts w:ascii="宋体" w:hAnsi="宋体" w:cs="宋体" w:eastAsia="宋体" w:hint="default"/>
                <w:sz w:val="21"/>
                <w:szCs w:val="21"/>
              </w:rPr>
            </w:pPr>
            <w:r>
              <w:rPr>
                <w:rFonts w:ascii="宋体" w:hAnsi="宋体" w:cs="宋体" w:eastAsia="宋体" w:hint="default"/>
                <w:sz w:val="21"/>
                <w:szCs w:val="21"/>
              </w:rPr>
              <w:t>从母公司所有者权益冲减子公司</w:t>
            </w:r>
          </w:p>
          <w:p>
            <w:pPr>
              <w:pStyle w:val="TableParagraph"/>
              <w:spacing w:line="237" w:lineRule="auto"/>
              <w:ind w:left="100" w:right="98"/>
              <w:jc w:val="center"/>
              <w:rPr>
                <w:rFonts w:ascii="宋体" w:hAnsi="宋体" w:cs="宋体" w:eastAsia="宋体" w:hint="default"/>
                <w:sz w:val="21"/>
                <w:szCs w:val="21"/>
              </w:rPr>
            </w:pPr>
            <w:r>
              <w:rPr>
                <w:rFonts w:ascii="宋体" w:hAnsi="宋体" w:cs="宋体" w:eastAsia="宋体" w:hint="default"/>
                <w:spacing w:val="-2"/>
                <w:sz w:val="21"/>
                <w:szCs w:val="21"/>
              </w:rPr>
              <w:t>少数股东分担的本期亏损超过少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数股东在该子公司期初所有者权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益中所享有份额后的余额</w:t>
            </w:r>
          </w:p>
        </w:tc>
      </w:tr>
      <w:tr>
        <w:trPr>
          <w:trHeight w:val="382" w:hRule="exact"/>
        </w:trPr>
        <w:tc>
          <w:tcPr>
            <w:tcW w:w="3766"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single" w:sz="8"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single" w:sz="8"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single" w:sz="8"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single" w:sz="8" w:space="0" w:color="000000"/>
              <w:left w:val="nil" w:sz="6" w:space="0" w:color="auto"/>
              <w:bottom w:val="nil" w:sz="6" w:space="0" w:color="auto"/>
              <w:right w:val="nil" w:sz="6" w:space="0" w:color="auto"/>
            </w:tcBorders>
          </w:tcPr>
          <w:p>
            <w:pPr/>
          </w:p>
        </w:tc>
      </w:tr>
      <w:tr>
        <w:trPr>
          <w:trHeight w:val="341"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1"/>
              <w:jc w:val="right"/>
              <w:rPr>
                <w:rFonts w:ascii="宋体" w:hAnsi="宋体" w:cs="宋体" w:eastAsia="宋体" w:hint="default"/>
                <w:sz w:val="21"/>
                <w:szCs w:val="21"/>
              </w:rPr>
            </w:pPr>
            <w:r>
              <w:rPr>
                <w:rFonts w:ascii="宋体"/>
                <w:spacing w:val="-1"/>
                <w:sz w:val="21"/>
              </w:rPr>
              <w:t>21,418,649.83</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1"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北京东港嘉华安全信息技术有限公司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1"/>
              <w:jc w:val="right"/>
              <w:rPr>
                <w:rFonts w:ascii="宋体" w:hAnsi="宋体" w:cs="宋体" w:eastAsia="宋体" w:hint="default"/>
                <w:sz w:val="21"/>
                <w:szCs w:val="21"/>
              </w:rPr>
            </w:pPr>
            <w:r>
              <w:rPr>
                <w:rFonts w:ascii="宋体"/>
                <w:spacing w:val="-1"/>
                <w:sz w:val="21"/>
              </w:rPr>
              <w:t>14,137,888.00</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1"/>
              <w:jc w:val="right"/>
              <w:rPr>
                <w:rFonts w:ascii="宋体" w:hAnsi="宋体" w:cs="宋体" w:eastAsia="宋体" w:hint="default"/>
                <w:sz w:val="21"/>
                <w:szCs w:val="21"/>
              </w:rPr>
            </w:pPr>
            <w:r>
              <w:rPr>
                <w:rFonts w:ascii="宋体"/>
                <w:spacing w:val="-1"/>
                <w:sz w:val="21"/>
              </w:rPr>
              <w:t>12,831,362.15</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成都东港安全印刷有限公司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41"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山东东港数据处理有限公司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276"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上海东港数据处理有限公司</w:t>
            </w:r>
          </w:p>
        </w:tc>
        <w:tc>
          <w:tcPr>
            <w:tcW w:w="26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7"/>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23"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1"/>
              <w:jc w:val="right"/>
              <w:rPr>
                <w:rFonts w:ascii="宋体" w:hAnsi="宋体" w:cs="宋体" w:eastAsia="宋体" w:hint="default"/>
                <w:sz w:val="21"/>
                <w:szCs w:val="21"/>
              </w:rPr>
            </w:pPr>
            <w:r>
              <w:rPr>
                <w:rFonts w:ascii="宋体"/>
                <w:spacing w:val="-1"/>
                <w:sz w:val="21"/>
              </w:rPr>
              <w:t>7,277.86</w:t>
            </w:r>
          </w:p>
        </w:tc>
        <w:tc>
          <w:tcPr>
            <w:tcW w:w="223"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tabs>
          <w:tab w:pos="1380" w:val="left" w:leader="none"/>
        </w:tabs>
        <w:spacing w:line="288" w:lineRule="auto" w:before="26"/>
        <w:ind w:left="600" w:right="10595" w:firstLine="2"/>
        <w:jc w:val="left"/>
      </w:pPr>
      <w:r>
        <w:rPr>
          <w:rFonts w:ascii="Times New Roman" w:hAnsi="Times New Roman" w:cs="Times New Roman" w:eastAsia="Times New Roman" w:hint="default"/>
          <w:spacing w:val="-1"/>
        </w:rPr>
        <w:t>2</w:t>
      </w:r>
      <w:r>
        <w:rPr>
          <w:spacing w:val="-1"/>
        </w:rPr>
        <w:t>、</w:t>
        <w:tab/>
      </w:r>
      <w:r>
        <w:rPr/>
        <w:t>合并范围发生变更的说明 本集团本年度未发生合并范围变更事项。</w:t>
      </w:r>
    </w:p>
    <w:p>
      <w:pPr>
        <w:spacing w:after="0" w:line="288" w:lineRule="auto"/>
        <w:jc w:val="left"/>
        <w:sectPr>
          <w:pgSz w:w="16840" w:h="11910" w:orient="landscape"/>
          <w:pgMar w:header="891" w:footer="1153" w:top="1260" w:bottom="1340" w:left="13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367" w:lineRule="exact"/>
        <w:ind w:right="0"/>
        <w:jc w:val="left"/>
        <w:rPr>
          <w:b w:val="0"/>
          <w:bCs w:val="0"/>
        </w:rPr>
      </w:pPr>
      <w:r>
        <w:rPr/>
        <w:t>七、</w:t>
      </w:r>
      <w:r>
        <w:rPr>
          <w:spacing w:val="-23"/>
        </w:rPr>
        <w:t> </w:t>
      </w:r>
      <w:r>
        <w:rPr/>
        <w:t>合并财务报表项目注释</w:t>
      </w:r>
      <w:r>
        <w:rPr>
          <w:b w:val="0"/>
          <w:bCs w:val="0"/>
        </w:rPr>
      </w:r>
    </w:p>
    <w:p>
      <w:pPr>
        <w:pStyle w:val="BodyText"/>
        <w:spacing w:line="240" w:lineRule="auto" w:before="98"/>
        <w:ind w:left="885" w:right="0"/>
        <w:jc w:val="left"/>
        <w:rPr>
          <w:rFonts w:ascii="宋体" w:hAnsi="宋体" w:cs="宋体" w:eastAsia="宋体" w:hint="default"/>
        </w:rPr>
      </w:pPr>
      <w:r>
        <w:rPr/>
        <w:t>以下注释项目除非特别指出，年初指</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6"/>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日，年末指</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p>
    <w:p>
      <w:pPr>
        <w:pStyle w:val="BodyText"/>
        <w:spacing w:line="240" w:lineRule="auto" w:before="86"/>
        <w:ind w:left="402" w:right="0"/>
        <w:jc w:val="left"/>
      </w:pPr>
      <w:r>
        <w:rPr/>
        <w:t>日；本年指</w:t>
      </w:r>
      <w:r>
        <w:rPr>
          <w:spacing w:val="-61"/>
        </w:rPr>
        <w:t> </w:t>
      </w:r>
      <w:r>
        <w:rPr>
          <w:rFonts w:ascii="宋体" w:hAnsi="宋体" w:cs="宋体" w:eastAsia="宋体" w:hint="default"/>
        </w:rPr>
        <w:t>2011</w:t>
      </w:r>
      <w:r>
        <w:rPr>
          <w:rFonts w:ascii="宋体" w:hAnsi="宋体" w:cs="宋体" w:eastAsia="宋体" w:hint="default"/>
          <w:spacing w:val="-61"/>
        </w:rPr>
        <w:t> </w:t>
      </w:r>
      <w:r>
        <w:rPr/>
        <w:t>年度，上年指</w:t>
      </w:r>
      <w:r>
        <w:rPr>
          <w:spacing w:val="-61"/>
        </w:rPr>
        <w:t> </w:t>
      </w:r>
      <w:r>
        <w:rPr>
          <w:rFonts w:ascii="宋体" w:hAnsi="宋体" w:cs="宋体" w:eastAsia="宋体" w:hint="default"/>
        </w:rPr>
        <w:t>2010</w:t>
      </w:r>
      <w:r>
        <w:rPr>
          <w:rFonts w:ascii="宋体" w:hAnsi="宋体" w:cs="宋体" w:eastAsia="宋体" w:hint="default"/>
          <w:spacing w:val="-61"/>
        </w:rPr>
        <w:t> </w:t>
      </w:r>
      <w:r>
        <w:rPr/>
        <w:t>年度。</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r>
        <w:rPr>
          <w:rFonts w:ascii="Trebuchet MS" w:hAnsi="Trebuchet MS" w:cs="Trebuchet MS" w:eastAsia="Trebuchet MS" w:hint="default"/>
          <w:spacing w:val="3"/>
        </w:rPr>
        <w:t>1</w:t>
      </w:r>
      <w:r>
        <w:rPr>
          <w:spacing w:val="3"/>
        </w:rPr>
        <w:t>、货币资金</w:t>
      </w:r>
      <w:r>
        <w:rPr>
          <w:b w:val="0"/>
          <w:bCs w:val="0"/>
          <w:spacing w:val="3"/>
        </w:rPr>
      </w:r>
    </w:p>
    <w:p>
      <w:pPr>
        <w:tabs>
          <w:tab w:pos="7226" w:val="left" w:leader="none"/>
        </w:tabs>
        <w:spacing w:before="103"/>
        <w:ind w:left="3374" w:right="0"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40" w:lineRule="auto" w:before="1"/>
        <w:rPr>
          <w:rFonts w:ascii="宋体" w:hAnsi="宋体" w:cs="宋体" w:eastAsia="宋体" w:hint="default"/>
          <w:sz w:val="2"/>
          <w:szCs w:val="2"/>
        </w:rPr>
      </w:pPr>
    </w:p>
    <w:p>
      <w:pPr>
        <w:tabs>
          <w:tab w:pos="5679" w:val="left" w:leader="none"/>
        </w:tabs>
        <w:spacing w:line="20" w:lineRule="exact"/>
        <w:ind w:left="1898" w:right="0" w:firstLine="0"/>
        <w:rPr>
          <w:rFonts w:ascii="宋体" w:hAnsi="宋体" w:cs="宋体" w:eastAsia="宋体" w:hint="default"/>
          <w:sz w:val="2"/>
          <w:szCs w:val="2"/>
        </w:rPr>
      </w:pPr>
      <w:r>
        <w:rPr>
          <w:rFonts w:ascii="宋体"/>
          <w:sz w:val="2"/>
        </w:rPr>
        <w:pict>
          <v:group style="width:174.8pt;height:1pt;mso-position-horizontal-relative:char;mso-position-vertical-relative:line" coordorigin="0,0" coordsize="3496,20">
            <v:group style="position:absolute;left:10;top:10;width:1016;height:2" coordorigin="10,10" coordsize="1016,2">
              <v:shape style="position:absolute;left:10;top:10;width:1016;height:2" coordorigin="10,10" coordsize="1016,0" path="m10,10l1025,10e" filled="false" stroked="true" strokeweight=".96001pt" strokecolor="#000000">
                <v:path arrowok="t"/>
              </v:shape>
            </v:group>
            <v:group style="position:absolute;left:1025;top:10;width:20;height:2" coordorigin="1025,10" coordsize="20,2">
              <v:shape style="position:absolute;left:1025;top:10;width:20;height:2" coordorigin="1025,10" coordsize="20,0" path="m1025,10l1045,10e" filled="false" stroked="true" strokeweight=".96001pt" strokecolor="#000000">
                <v:path arrowok="t"/>
              </v:shape>
            </v:group>
            <v:group style="position:absolute;left:1045;top:10;width:118;height:2" coordorigin="1045,10" coordsize="118,2">
              <v:shape style="position:absolute;left:1045;top:10;width:118;height:2" coordorigin="1045,10" coordsize="118,0" path="m1045,10l1162,10e" filled="false" stroked="true" strokeweight=".96001pt" strokecolor="#000000">
                <v:path arrowok="t"/>
              </v:shape>
            </v:group>
            <v:group style="position:absolute;left:1162;top:10;width:20;height:2" coordorigin="1162,10" coordsize="20,2">
              <v:shape style="position:absolute;left:1162;top:10;width:20;height:2" coordorigin="1162,10" coordsize="20,0" path="m1162,10l1181,10e" filled="false" stroked="true" strokeweight=".96001pt" strokecolor="#000000">
                <v:path arrowok="t"/>
              </v:shape>
            </v:group>
            <v:group style="position:absolute;left:1181;top:10;width:708;height:2" coordorigin="1181,10" coordsize="708,2">
              <v:shape style="position:absolute;left:1181;top:10;width:708;height:2" coordorigin="1181,10" coordsize="708,0" path="m1181,10l1889,10e" filled="false" stroked="true" strokeweight=".96001pt" strokecolor="#000000">
                <v:path arrowok="t"/>
              </v:shape>
            </v:group>
            <v:group style="position:absolute;left:1889;top:10;width:20;height:2" coordorigin="1889,10" coordsize="20,2">
              <v:shape style="position:absolute;left:1889;top:10;width:20;height:2" coordorigin="1889,10" coordsize="20,0" path="m1889,10l1909,10e" filled="false" stroked="true" strokeweight=".96001pt" strokecolor="#000000">
                <v:path arrowok="t"/>
              </v:shape>
            </v:group>
            <v:group style="position:absolute;left:1909;top:10;width:135;height:2" coordorigin="1909,10" coordsize="135,2">
              <v:shape style="position:absolute;left:1909;top:10;width:135;height:2" coordorigin="1909,10" coordsize="135,0" path="m1909,10l2043,10e" filled="false" stroked="true" strokeweight=".96001pt" strokecolor="#000000">
                <v:path arrowok="t"/>
              </v:shape>
            </v:group>
            <v:group style="position:absolute;left:2043;top:10;width:20;height:2" coordorigin="2043,10" coordsize="20,2">
              <v:shape style="position:absolute;left:2043;top:10;width:20;height:2" coordorigin="2043,10" coordsize="20,0" path="m2043,10l2062,10e" filled="false" stroked="true" strokeweight=".96001pt" strokecolor="#000000">
                <v:path arrowok="t"/>
              </v:shape>
            </v:group>
            <v:group style="position:absolute;left:2062;top:10;width:1424;height:2" coordorigin="2062,10" coordsize="1424,2">
              <v:shape style="position:absolute;left:2062;top:10;width:1424;height:2" coordorigin="2062,10" coordsize="1424,0" path="m2062,10l3486,10e" filled="false" stroked="true" strokeweight=".96001pt" strokecolor="#000000">
                <v:path arrowok="t"/>
              </v:shape>
            </v:group>
          </v:group>
        </w:pict>
      </w:r>
      <w:r>
        <w:rPr>
          <w:rFonts w:ascii="宋体"/>
          <w:sz w:val="2"/>
        </w:rPr>
      </w:r>
      <w:r>
        <w:rPr>
          <w:rFonts w:ascii="宋体"/>
          <w:sz w:val="2"/>
        </w:rPr>
        <w:tab/>
      </w:r>
      <w:r>
        <w:rPr>
          <w:rFonts w:ascii="宋体"/>
          <w:sz w:val="2"/>
        </w:rPr>
        <w:pict>
          <v:group style="width:181.95pt;height:1pt;mso-position-horizontal-relative:char;mso-position-vertical-relative:line" coordorigin="0,0" coordsize="3639,20">
            <v:group style="position:absolute;left:10;top:10;width:1066;height:2" coordorigin="10,10" coordsize="1066,2">
              <v:shape style="position:absolute;left:10;top:10;width:1066;height:2" coordorigin="10,10" coordsize="1066,0" path="m10,10l1075,10e" filled="false" stroked="true" strokeweight=".96001pt" strokecolor="#000000">
                <v:path arrowok="t"/>
              </v:shape>
            </v:group>
            <v:group style="position:absolute;left:1075;top:10;width:20;height:2" coordorigin="1075,10" coordsize="20,2">
              <v:shape style="position:absolute;left:1075;top:10;width:20;height:2" coordorigin="1075,10" coordsize="20,0" path="m1075,10l1094,10e" filled="false" stroked="true" strokeweight=".96001pt" strokecolor="#000000">
                <v:path arrowok="t"/>
              </v:shape>
            </v:group>
            <v:group style="position:absolute;left:1094;top:10;width:116;height:2" coordorigin="1094,10" coordsize="116,2">
              <v:shape style="position:absolute;left:1094;top:10;width:116;height:2" coordorigin="1094,10" coordsize="116,0" path="m1094,10l1210,10e" filled="false" stroked="true" strokeweight=".96001pt" strokecolor="#000000">
                <v:path arrowok="t"/>
              </v:shape>
            </v:group>
            <v:group style="position:absolute;left:1210;top:10;width:20;height:2" coordorigin="1210,10" coordsize="20,2">
              <v:shape style="position:absolute;left:1210;top:10;width:20;height:2" coordorigin="1210,10" coordsize="20,0" path="m1210,10l1229,10e" filled="false" stroked="true" strokeweight=".96001pt" strokecolor="#000000">
                <v:path arrowok="t"/>
              </v:shape>
            </v:group>
            <v:group style="position:absolute;left:1229;top:10;width:668;height:2" coordorigin="1229,10" coordsize="668,2">
              <v:shape style="position:absolute;left:1229;top:10;width:668;height:2" coordorigin="1229,10" coordsize="668,0" path="m1229,10l1896,10e" filled="false" stroked="true" strokeweight=".96001pt" strokecolor="#000000">
                <v:path arrowok="t"/>
              </v:shape>
            </v:group>
            <v:group style="position:absolute;left:1896;top:10;width:20;height:2" coordorigin="1896,10" coordsize="20,2">
              <v:shape style="position:absolute;left:1896;top:10;width:20;height:2" coordorigin="1896,10" coordsize="20,0" path="m1896,10l1915,10e" filled="false" stroked="true" strokeweight=".96001pt" strokecolor="#000000">
                <v:path arrowok="t"/>
              </v:shape>
            </v:group>
            <v:group style="position:absolute;left:1915;top:10;width:114;height:2" coordorigin="1915,10" coordsize="114,2">
              <v:shape style="position:absolute;left:1915;top:10;width:114;height:2" coordorigin="1915,10" coordsize="114,0" path="m1915,10l2028,10e" filled="false" stroked="true" strokeweight=".96001pt" strokecolor="#000000">
                <v:path arrowok="t"/>
              </v:shape>
            </v:group>
            <v:group style="position:absolute;left:2029;top:10;width:20;height:2" coordorigin="2029,10" coordsize="20,2">
              <v:shape style="position:absolute;left:2029;top:10;width:20;height:2" coordorigin="2029,10" coordsize="20,0" path="m2029,10l2048,10e" filled="false" stroked="true" strokeweight=".96001pt" strokecolor="#000000">
                <v:path arrowok="t"/>
              </v:shape>
            </v:group>
            <v:group style="position:absolute;left:2048;top:10;width:1582;height:2" coordorigin="2048,10" coordsize="1582,2">
              <v:shape style="position:absolute;left:2048;top:10;width:1582;height:2" coordorigin="2048,10" coordsize="1582,0" path="m2048,10l3629,10e" filled="false" stroked="true" strokeweight=".96001pt" strokecolor="#000000">
                <v:path arrowok="t"/>
              </v:shape>
            </v:group>
          </v:group>
        </w:pict>
      </w:r>
      <w:r>
        <w:rPr>
          <w:rFonts w:ascii="宋体"/>
          <w:sz w:val="2"/>
        </w:rPr>
      </w:r>
    </w:p>
    <w:p>
      <w:pPr>
        <w:tabs>
          <w:tab w:pos="2053" w:val="left" w:leader="none"/>
          <w:tab w:pos="3242" w:val="left" w:leader="none"/>
          <w:tab w:pos="4212" w:val="left" w:leader="none"/>
          <w:tab w:pos="5861" w:val="left" w:leader="none"/>
          <w:tab w:pos="7049" w:val="left" w:leader="none"/>
          <w:tab w:pos="8057" w:val="left" w:leader="none"/>
        </w:tabs>
        <w:spacing w:before="77"/>
        <w:ind w:left="880" w:right="0"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tab/>
        <w:t>外币金额</w:t>
        <w:tab/>
        <w:t>汇率</w:t>
        <w:tab/>
        <w:t>人民币金额</w:t>
        <w:tab/>
        <w:t>外币金额</w:t>
        <w:tab/>
        <w:t>汇率</w:t>
        <w:tab/>
        <w:t>人民币金额</w:t>
      </w:r>
    </w:p>
    <w:p>
      <w:pPr>
        <w:spacing w:line="240" w:lineRule="auto" w:before="1"/>
        <w:rPr>
          <w:rFonts w:ascii="宋体" w:hAnsi="宋体" w:cs="宋体" w:eastAsia="宋体" w:hint="default"/>
          <w:sz w:val="2"/>
          <w:szCs w:val="2"/>
        </w:rPr>
      </w:pPr>
    </w:p>
    <w:p>
      <w:pPr>
        <w:tabs>
          <w:tab w:pos="5679" w:val="left" w:leader="none"/>
        </w:tabs>
        <w:spacing w:line="20" w:lineRule="exact"/>
        <w:ind w:left="429" w:right="0" w:firstLine="0"/>
        <w:rPr>
          <w:rFonts w:ascii="宋体" w:hAnsi="宋体" w:cs="宋体" w:eastAsia="宋体" w:hint="default"/>
          <w:sz w:val="2"/>
          <w:szCs w:val="2"/>
        </w:rPr>
      </w:pPr>
      <w:r>
        <w:rPr>
          <w:rFonts w:ascii="宋体"/>
          <w:sz w:val="2"/>
        </w:rPr>
        <w:pict>
          <v:group style="width:67.7pt;height:1pt;mso-position-horizontal-relative:char;mso-position-vertical-relative:line" coordorigin="0,0" coordsize="1354,20">
            <v:group style="position:absolute;left:10;top:10;width:1335;height:2" coordorigin="10,10" coordsize="1335,2">
              <v:shape style="position:absolute;left:10;top:10;width:1335;height:2" coordorigin="10,10" coordsize="1335,0" path="m10,10l1344,10e" filled="false" stroked="true" strokeweight=".96001pt" strokecolor="#000000">
                <v:path arrowok="t"/>
              </v:shape>
            </v:group>
          </v:group>
        </w:pict>
      </w:r>
      <w:r>
        <w:rPr>
          <w:rFonts w:ascii="宋体"/>
          <w:sz w:val="2"/>
        </w:rPr>
      </w:r>
      <w:r>
        <w:rPr>
          <w:rFonts w:ascii="Times New Roman"/>
          <w:spacing w:val="112"/>
          <w:sz w:val="2"/>
        </w:rPr>
        <w:t> </w:t>
      </w:r>
      <w:r>
        <w:rPr>
          <w:rFonts w:ascii="宋体"/>
          <w:spacing w:val="112"/>
          <w:sz w:val="2"/>
        </w:rPr>
        <w:pict>
          <v:group style="width:51.75pt;height:1pt;mso-position-horizontal-relative:char;mso-position-vertical-relative:line" coordorigin="0,0" coordsize="1035,20">
            <v:group style="position:absolute;left:10;top:10;width:1016;height:2" coordorigin="10,10" coordsize="1016,2">
              <v:shape style="position:absolute;left:10;top:10;width:1016;height:2" coordorigin="10,10" coordsize="1016,0" path="m10,10l1025,10e" filled="false" stroked="true" strokeweight=".96001pt" strokecolor="#000000">
                <v:path arrowok="t"/>
              </v:shape>
            </v:group>
          </v:group>
        </w:pict>
      </w:r>
      <w:r>
        <w:rPr>
          <w:rFonts w:ascii="宋体"/>
          <w:spacing w:val="112"/>
          <w:sz w:val="2"/>
        </w:rPr>
      </w:r>
      <w:r>
        <w:rPr>
          <w:rFonts w:ascii="Times New Roman"/>
          <w:spacing w:val="115"/>
          <w:sz w:val="2"/>
        </w:rPr>
        <w:t> </w:t>
      </w:r>
      <w:r>
        <w:rPr>
          <w:rFonts w:ascii="宋体"/>
          <w:spacing w:val="115"/>
          <w:sz w:val="2"/>
        </w:rPr>
        <w:pict>
          <v:group style="width:37.35pt;height:1pt;mso-position-horizontal-relative:char;mso-position-vertical-relative:line" coordorigin="0,0" coordsize="747,20">
            <v:group style="position:absolute;left:10;top:10;width:728;height:2" coordorigin="10,10" coordsize="728,2">
              <v:shape style="position:absolute;left:10;top:10;width:728;height:2" coordorigin="10,10" coordsize="728,0" path="m10,10l737,10e" filled="false" stroked="true" strokeweight=".96001pt" strokecolor="#000000">
                <v:path arrowok="t"/>
              </v:shape>
            </v:group>
          </v:group>
        </w:pict>
      </w:r>
      <w:r>
        <w:rPr>
          <w:rFonts w:ascii="宋体"/>
          <w:spacing w:val="115"/>
          <w:sz w:val="2"/>
        </w:rPr>
      </w:r>
      <w:r>
        <w:rPr>
          <w:rFonts w:ascii="Times New Roman"/>
          <w:spacing w:val="131"/>
          <w:sz w:val="2"/>
        </w:rPr>
        <w:t> </w:t>
      </w:r>
      <w:r>
        <w:rPr>
          <w:rFonts w:ascii="宋体"/>
          <w:spacing w:val="131"/>
          <w:sz w:val="2"/>
        </w:rPr>
        <w:pict>
          <v:group style="width:73.150pt;height:1pt;mso-position-horizontal-relative:char;mso-position-vertical-relative:line" coordorigin="0,0" coordsize="1463,20">
            <v:group style="position:absolute;left:10;top:10;width:1443;height:2" coordorigin="10,10" coordsize="1443,2">
              <v:shape style="position:absolute;left:10;top:10;width:1443;height:2" coordorigin="10,10" coordsize="1443,0" path="m10,10l1452,10e" filled="false" stroked="true" strokeweight=".96001pt" strokecolor="#000000">
                <v:path arrowok="t"/>
              </v:shape>
            </v:group>
          </v:group>
        </w:pict>
      </w:r>
      <w:r>
        <w:rPr>
          <w:rFonts w:ascii="宋体"/>
          <w:spacing w:val="131"/>
          <w:sz w:val="2"/>
        </w:rPr>
      </w:r>
      <w:r>
        <w:rPr>
          <w:rFonts w:ascii="宋体"/>
          <w:spacing w:val="131"/>
          <w:sz w:val="2"/>
        </w:rPr>
        <w:tab/>
      </w:r>
      <w:r>
        <w:rPr>
          <w:rFonts w:ascii="宋体"/>
          <w:spacing w:val="131"/>
          <w:sz w:val="2"/>
        </w:rPr>
        <w:pict>
          <v:group style="width:54.25pt;height:1pt;mso-position-horizontal-relative:char;mso-position-vertical-relative:line" coordorigin="0,0" coordsize="1085,20">
            <v:group style="position:absolute;left:10;top:10;width:1066;height:2" coordorigin="10,10" coordsize="1066,2">
              <v:shape style="position:absolute;left:10;top:10;width:1066;height:2" coordorigin="10,10" coordsize="1066,0" path="m10,10l1075,10e" filled="false" stroked="true" strokeweight=".96001pt" strokecolor="#000000">
                <v:path arrowok="t"/>
              </v:shape>
            </v:group>
          </v:group>
        </w:pict>
      </w:r>
      <w:r>
        <w:rPr>
          <w:rFonts w:ascii="宋体"/>
          <w:spacing w:val="131"/>
          <w:sz w:val="2"/>
        </w:rPr>
      </w:r>
      <w:r>
        <w:rPr>
          <w:rFonts w:ascii="Times New Roman"/>
          <w:spacing w:val="112"/>
          <w:sz w:val="2"/>
        </w:rPr>
        <w:t> </w:t>
      </w:r>
      <w:r>
        <w:rPr>
          <w:rFonts w:ascii="宋体"/>
          <w:spacing w:val="112"/>
          <w:sz w:val="2"/>
        </w:rPr>
        <w:pict>
          <v:group style="width:35.3pt;height:1pt;mso-position-horizontal-relative:char;mso-position-vertical-relative:line" coordorigin="0,0" coordsize="706,20">
            <v:group style="position:absolute;left:10;top:10;width:687;height:2" coordorigin="10,10" coordsize="687,2">
              <v:shape style="position:absolute;left:10;top:10;width:687;height:2" coordorigin="10,10" coordsize="687,0" path="m10,10l696,10e" filled="false" stroked="true" strokeweight=".96001pt" strokecolor="#000000">
                <v:path arrowok="t"/>
              </v:shape>
            </v:group>
          </v:group>
        </w:pict>
      </w:r>
      <w:r>
        <w:rPr>
          <w:rFonts w:ascii="宋体"/>
          <w:spacing w:val="112"/>
          <w:sz w:val="2"/>
        </w:rPr>
      </w:r>
      <w:r>
        <w:rPr>
          <w:rFonts w:ascii="Times New Roman"/>
          <w:spacing w:val="110"/>
          <w:sz w:val="2"/>
        </w:rPr>
        <w:t> </w:t>
      </w:r>
      <w:r>
        <w:rPr>
          <w:rFonts w:ascii="宋体"/>
          <w:spacing w:val="110"/>
          <w:sz w:val="2"/>
        </w:rPr>
        <w:pict>
          <v:group style="width:81pt;height:1pt;mso-position-horizontal-relative:char;mso-position-vertical-relative:line" coordorigin="0,0" coordsize="1620,20">
            <v:group style="position:absolute;left:10;top:10;width:1601;height:2" coordorigin="10,10" coordsize="1601,2">
              <v:shape style="position:absolute;left:10;top:10;width:1601;height:2" coordorigin="10,10" coordsize="1601,0" path="m10,10l1610,10e" filled="false" stroked="true" strokeweight=".96001pt" strokecolor="#000000">
                <v:path arrowok="t"/>
              </v:shape>
            </v:group>
          </v:group>
        </w:pict>
      </w:r>
      <w:r>
        <w:rPr>
          <w:rFonts w:ascii="宋体"/>
          <w:spacing w:val="110"/>
          <w:sz w:val="2"/>
        </w:rPr>
      </w:r>
    </w:p>
    <w:p>
      <w:pPr>
        <w:tabs>
          <w:tab w:pos="4425" w:val="left" w:leader="none"/>
          <w:tab w:pos="8350" w:val="left" w:leader="none"/>
        </w:tabs>
        <w:spacing w:before="77"/>
        <w:ind w:left="496" w:right="0" w:firstLine="0"/>
        <w:jc w:val="left"/>
        <w:rPr>
          <w:rFonts w:ascii="宋体" w:hAnsi="宋体" w:cs="宋体" w:eastAsia="宋体" w:hint="default"/>
          <w:sz w:val="18"/>
          <w:szCs w:val="18"/>
        </w:rPr>
      </w:pPr>
      <w:r>
        <w:rPr>
          <w:rFonts w:ascii="宋体" w:hAnsi="宋体" w:cs="宋体" w:eastAsia="宋体" w:hint="default"/>
          <w:sz w:val="18"/>
          <w:szCs w:val="18"/>
        </w:rPr>
        <w:t>库存现金：</w:t>
        <w:tab/>
      </w:r>
      <w:r>
        <w:rPr>
          <w:rFonts w:ascii="宋体" w:hAnsi="宋体" w:cs="宋体" w:eastAsia="宋体" w:hint="default"/>
          <w:spacing w:val="-1"/>
          <w:sz w:val="18"/>
          <w:szCs w:val="18"/>
        </w:rPr>
        <w:t>280,016.00</w:t>
        <w:tab/>
        <w:t>212,580.57</w:t>
      </w:r>
    </w:p>
    <w:p>
      <w:pPr>
        <w:tabs>
          <w:tab w:pos="2685" w:val="left" w:leader="none"/>
          <w:tab w:pos="4425" w:val="left" w:leader="none"/>
          <w:tab w:pos="6077" w:val="left" w:leader="none"/>
          <w:tab w:pos="8350" w:val="left" w:leader="none"/>
        </w:tabs>
        <w:spacing w:before="105"/>
        <w:ind w:left="85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人民币</w:t>
        <w:tab/>
        <w:t>—</w:t>
        <w:tab/>
      </w:r>
      <w:r>
        <w:rPr>
          <w:rFonts w:ascii="宋体" w:hAnsi="宋体" w:cs="宋体" w:eastAsia="宋体" w:hint="default"/>
          <w:spacing w:val="-1"/>
          <w:sz w:val="18"/>
          <w:szCs w:val="18"/>
        </w:rPr>
        <w:t>243,065.32</w:t>
        <w:tab/>
      </w:r>
      <w:r>
        <w:rPr>
          <w:rFonts w:ascii="宋体" w:hAnsi="宋体" w:cs="宋体" w:eastAsia="宋体" w:hint="default"/>
          <w:sz w:val="18"/>
          <w:szCs w:val="18"/>
        </w:rPr>
        <w:t>—</w:t>
        <w:tab/>
      </w:r>
      <w:r>
        <w:rPr>
          <w:rFonts w:ascii="宋体" w:hAnsi="宋体" w:cs="宋体" w:eastAsia="宋体" w:hint="default"/>
          <w:spacing w:val="-1"/>
          <w:sz w:val="18"/>
          <w:szCs w:val="18"/>
        </w:rPr>
        <w:t>122,427.55</w:t>
      </w:r>
    </w:p>
    <w:p>
      <w:pPr>
        <w:spacing w:line="240" w:lineRule="auto" w:before="6"/>
        <w:rPr>
          <w:rFonts w:ascii="宋体" w:hAnsi="宋体" w:cs="宋体" w:eastAsia="宋体" w:hint="default"/>
          <w:sz w:val="4"/>
          <w:szCs w:val="4"/>
        </w:rPr>
      </w:pPr>
    </w:p>
    <w:tbl>
      <w:tblPr>
        <w:tblW w:w="0" w:type="auto"/>
        <w:jc w:val="left"/>
        <w:tblInd w:w="461" w:type="dxa"/>
        <w:tblLayout w:type="fixed"/>
        <w:tblCellMar>
          <w:top w:w="0" w:type="dxa"/>
          <w:left w:w="0" w:type="dxa"/>
          <w:bottom w:w="0" w:type="dxa"/>
          <w:right w:w="0" w:type="dxa"/>
        </w:tblCellMar>
        <w:tblLook w:val="01E0"/>
      </w:tblPr>
      <w:tblGrid>
        <w:gridCol w:w="1489"/>
        <w:gridCol w:w="778"/>
        <w:gridCol w:w="298"/>
        <w:gridCol w:w="870"/>
        <w:gridCol w:w="1487"/>
        <w:gridCol w:w="1407"/>
        <w:gridCol w:w="917"/>
        <w:gridCol w:w="1601"/>
      </w:tblGrid>
      <w:tr>
        <w:trPr>
          <w:trHeight w:val="361"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美元</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94" w:right="0"/>
              <w:jc w:val="left"/>
              <w:rPr>
                <w:rFonts w:ascii="宋体" w:hAnsi="宋体" w:cs="宋体" w:eastAsia="宋体" w:hint="default"/>
                <w:sz w:val="18"/>
                <w:szCs w:val="18"/>
              </w:rPr>
            </w:pPr>
            <w:r>
              <w:rPr>
                <w:rFonts w:ascii="宋体"/>
                <w:sz w:val="18"/>
              </w:rPr>
              <w:t>1,849.50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sz w:val="18"/>
              </w:rPr>
              <w:t>6.3009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宋体" w:hAnsi="宋体" w:cs="宋体" w:eastAsia="宋体" w:hint="default"/>
                <w:sz w:val="18"/>
                <w:szCs w:val="18"/>
              </w:rPr>
            </w:pPr>
            <w:r>
              <w:rPr>
                <w:rFonts w:ascii="宋体"/>
                <w:spacing w:val="-1"/>
                <w:sz w:val="18"/>
              </w:rPr>
              <w:t>11,653.50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
              <w:jc w:val="right"/>
              <w:rPr>
                <w:rFonts w:ascii="宋体" w:hAnsi="宋体" w:cs="宋体" w:eastAsia="宋体" w:hint="default"/>
                <w:sz w:val="18"/>
                <w:szCs w:val="18"/>
              </w:rPr>
            </w:pPr>
            <w:r>
              <w:rPr>
                <w:rFonts w:ascii="宋体"/>
                <w:spacing w:val="-1"/>
                <w:sz w:val="18"/>
              </w:rPr>
              <w:t>7,899.50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9"/>
              <w:jc w:val="right"/>
              <w:rPr>
                <w:rFonts w:ascii="宋体" w:hAnsi="宋体" w:cs="宋体" w:eastAsia="宋体" w:hint="default"/>
                <w:sz w:val="18"/>
                <w:szCs w:val="18"/>
              </w:rPr>
            </w:pPr>
            <w:r>
              <w:rPr>
                <w:rFonts w:ascii="宋体"/>
                <w:spacing w:val="-1"/>
                <w:sz w:val="18"/>
              </w:rPr>
              <w:t>6.6227</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宋体" w:hAnsi="宋体" w:cs="宋体" w:eastAsia="宋体" w:hint="default"/>
                <w:sz w:val="18"/>
                <w:szCs w:val="18"/>
              </w:rPr>
            </w:pPr>
            <w:r>
              <w:rPr>
                <w:rFonts w:ascii="宋体"/>
                <w:spacing w:val="-1"/>
                <w:sz w:val="18"/>
              </w:rPr>
              <w:t>52,316.02</w:t>
            </w:r>
          </w:p>
        </w:tc>
      </w:tr>
      <w:tr>
        <w:trPr>
          <w:trHeight w:val="341"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日元</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94" w:right="0"/>
              <w:jc w:val="left"/>
              <w:rPr>
                <w:rFonts w:ascii="宋体" w:hAnsi="宋体" w:cs="宋体" w:eastAsia="宋体" w:hint="default"/>
                <w:sz w:val="18"/>
                <w:szCs w:val="18"/>
              </w:rPr>
            </w:pPr>
            <w:r>
              <w:rPr>
                <w:rFonts w:ascii="宋体"/>
                <w:sz w:val="18"/>
              </w:rPr>
              <w:t>9,618.00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sz w:val="18"/>
              </w:rPr>
              <w:t>0.0811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780.05</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1"/>
              <w:jc w:val="right"/>
              <w:rPr>
                <w:rFonts w:ascii="宋体" w:hAnsi="宋体" w:cs="宋体" w:eastAsia="宋体" w:hint="default"/>
                <w:sz w:val="18"/>
                <w:szCs w:val="18"/>
              </w:rPr>
            </w:pPr>
            <w:r>
              <w:rPr>
                <w:rFonts w:ascii="宋体"/>
                <w:spacing w:val="-1"/>
                <w:sz w:val="18"/>
              </w:rPr>
              <w:t>190,358.00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9"/>
              <w:jc w:val="right"/>
              <w:rPr>
                <w:rFonts w:ascii="宋体" w:hAnsi="宋体" w:cs="宋体" w:eastAsia="宋体" w:hint="default"/>
                <w:sz w:val="18"/>
                <w:szCs w:val="18"/>
              </w:rPr>
            </w:pPr>
            <w:r>
              <w:rPr>
                <w:rFonts w:ascii="宋体"/>
                <w:spacing w:val="-1"/>
                <w:sz w:val="18"/>
              </w:rPr>
              <w:t>0.0813</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15,468.49</w:t>
            </w:r>
          </w:p>
        </w:tc>
      </w:tr>
      <w:tr>
        <w:trPr>
          <w:trHeight w:val="34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港币</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94" w:right="0"/>
              <w:jc w:val="left"/>
              <w:rPr>
                <w:rFonts w:ascii="宋体" w:hAnsi="宋体" w:cs="宋体" w:eastAsia="宋体" w:hint="default"/>
                <w:sz w:val="18"/>
                <w:szCs w:val="18"/>
              </w:rPr>
            </w:pPr>
            <w:r>
              <w:rPr>
                <w:rFonts w:ascii="宋体"/>
                <w:sz w:val="18"/>
              </w:rPr>
              <w:t>2,310.00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sz w:val="18"/>
              </w:rPr>
              <w:t>0.8107</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1,872.72</w:t>
            </w:r>
          </w:p>
        </w:tc>
        <w:tc>
          <w:tcPr>
            <w:tcW w:w="1407"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34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欧元</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94" w:right="0"/>
              <w:jc w:val="left"/>
              <w:rPr>
                <w:rFonts w:ascii="宋体" w:hAnsi="宋体" w:cs="宋体" w:eastAsia="宋体" w:hint="default"/>
                <w:sz w:val="18"/>
                <w:szCs w:val="18"/>
              </w:rPr>
            </w:pPr>
            <w:r>
              <w:rPr>
                <w:rFonts w:ascii="宋体"/>
                <w:sz w:val="18"/>
              </w:rPr>
              <w:t>2,774.20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sz w:val="18"/>
              </w:rPr>
              <w:t>8.1625</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22,644.41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1"/>
              <w:jc w:val="right"/>
              <w:rPr>
                <w:rFonts w:ascii="宋体" w:hAnsi="宋体" w:cs="宋体" w:eastAsia="宋体" w:hint="default"/>
                <w:sz w:val="18"/>
                <w:szCs w:val="18"/>
              </w:rPr>
            </w:pPr>
            <w:r>
              <w:rPr>
                <w:rFonts w:ascii="宋体"/>
                <w:spacing w:val="-1"/>
                <w:sz w:val="18"/>
              </w:rPr>
              <w:t>2,540.00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9"/>
              <w:jc w:val="right"/>
              <w:rPr>
                <w:rFonts w:ascii="宋体" w:hAnsi="宋体" w:cs="宋体" w:eastAsia="宋体" w:hint="default"/>
                <w:sz w:val="18"/>
                <w:szCs w:val="18"/>
              </w:rPr>
            </w:pPr>
            <w:r>
              <w:rPr>
                <w:rFonts w:ascii="宋体"/>
                <w:spacing w:val="-1"/>
                <w:sz w:val="18"/>
              </w:rPr>
              <w:t>8.8065</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22,368.51</w:t>
            </w:r>
          </w:p>
        </w:tc>
      </w:tr>
      <w:tr>
        <w:trPr>
          <w:trHeight w:val="341"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76" w:type="dxa"/>
            <w:gridSpan w:val="2"/>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pacing w:val="-1"/>
                <w:sz w:val="18"/>
              </w:rPr>
              <w:t>342,412,449.80</w:t>
            </w:r>
          </w:p>
        </w:tc>
        <w:tc>
          <w:tcPr>
            <w:tcW w:w="1407"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387,327,159.85</w:t>
            </w:r>
          </w:p>
        </w:tc>
      </w:tr>
      <w:tr>
        <w:trPr>
          <w:trHeight w:val="34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人民币</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right="158"/>
              <w:jc w:val="righ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pacing w:val="-1"/>
                <w:sz w:val="18"/>
              </w:rPr>
              <w:t>342,355,460.04</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0" w:right="0"/>
              <w:jc w:val="center"/>
              <w:rPr>
                <w:rFonts w:ascii="宋体" w:hAnsi="宋体" w:cs="宋体" w:eastAsia="宋体" w:hint="default"/>
                <w:sz w:val="18"/>
                <w:szCs w:val="18"/>
              </w:rPr>
            </w:pPr>
            <w:r>
              <w:rPr>
                <w:rFonts w:ascii="宋体" w:hAnsi="宋体" w:cs="宋体" w:eastAsia="宋体" w:hint="default"/>
                <w:sz w:val="18"/>
                <w:szCs w:val="18"/>
              </w:rPr>
              <w:t>—</w:t>
            </w:r>
          </w:p>
        </w:tc>
        <w:tc>
          <w:tcPr>
            <w:tcW w:w="9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386,593,539.95</w:t>
            </w:r>
          </w:p>
        </w:tc>
      </w:tr>
      <w:tr>
        <w:trPr>
          <w:trHeight w:val="34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美元</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94" w:right="0"/>
              <w:jc w:val="left"/>
              <w:rPr>
                <w:rFonts w:ascii="宋体" w:hAnsi="宋体" w:cs="宋体" w:eastAsia="宋体" w:hint="default"/>
                <w:sz w:val="18"/>
                <w:szCs w:val="18"/>
              </w:rPr>
            </w:pPr>
            <w:r>
              <w:rPr>
                <w:rFonts w:ascii="宋体"/>
                <w:sz w:val="18"/>
              </w:rPr>
              <w:t>9,044.70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sz w:val="18"/>
              </w:rPr>
              <w:t>6.3009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56,989.76</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1"/>
              <w:jc w:val="right"/>
              <w:rPr>
                <w:rFonts w:ascii="宋体" w:hAnsi="宋体" w:cs="宋体" w:eastAsia="宋体" w:hint="default"/>
                <w:sz w:val="18"/>
                <w:szCs w:val="18"/>
              </w:rPr>
            </w:pPr>
            <w:r>
              <w:rPr>
                <w:rFonts w:ascii="宋体"/>
                <w:spacing w:val="-1"/>
                <w:sz w:val="18"/>
              </w:rPr>
              <w:t>109,256.40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9"/>
              <w:jc w:val="right"/>
              <w:rPr>
                <w:rFonts w:ascii="宋体" w:hAnsi="宋体" w:cs="宋体" w:eastAsia="宋体" w:hint="default"/>
                <w:sz w:val="18"/>
                <w:szCs w:val="18"/>
              </w:rPr>
            </w:pPr>
            <w:r>
              <w:rPr>
                <w:rFonts w:ascii="宋体"/>
                <w:spacing w:val="-1"/>
                <w:sz w:val="18"/>
              </w:rPr>
              <w:t>6.6227</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723,572.37</w:t>
            </w:r>
          </w:p>
        </w:tc>
      </w:tr>
      <w:tr>
        <w:trPr>
          <w:trHeight w:val="341"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日元</w:t>
            </w:r>
          </w:p>
        </w:tc>
        <w:tc>
          <w:tcPr>
            <w:tcW w:w="1076" w:type="dxa"/>
            <w:gridSpan w:val="2"/>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1"/>
              <w:jc w:val="right"/>
              <w:rPr>
                <w:rFonts w:ascii="宋体" w:hAnsi="宋体" w:cs="宋体" w:eastAsia="宋体" w:hint="default"/>
                <w:sz w:val="18"/>
                <w:szCs w:val="18"/>
              </w:rPr>
            </w:pPr>
            <w:r>
              <w:rPr>
                <w:rFonts w:ascii="宋体"/>
                <w:spacing w:val="-1"/>
                <w:sz w:val="18"/>
              </w:rPr>
              <w:t>123,600.00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9"/>
              <w:jc w:val="right"/>
              <w:rPr>
                <w:rFonts w:ascii="宋体" w:hAnsi="宋体" w:cs="宋体" w:eastAsia="宋体" w:hint="default"/>
                <w:sz w:val="18"/>
                <w:szCs w:val="18"/>
              </w:rPr>
            </w:pPr>
            <w:r>
              <w:rPr>
                <w:rFonts w:ascii="宋体"/>
                <w:spacing w:val="-1"/>
                <w:sz w:val="18"/>
              </w:rPr>
              <w:t>0.0813</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10,043.74</w:t>
            </w:r>
          </w:p>
        </w:tc>
      </w:tr>
      <w:tr>
        <w:trPr>
          <w:trHeight w:val="34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新加坡元</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right="161"/>
              <w:jc w:val="right"/>
              <w:rPr>
                <w:rFonts w:ascii="宋体" w:hAnsi="宋体" w:cs="宋体" w:eastAsia="宋体" w:hint="default"/>
                <w:sz w:val="18"/>
                <w:szCs w:val="18"/>
              </w:rPr>
            </w:pPr>
            <w:r>
              <w:rPr>
                <w:rFonts w:ascii="宋体"/>
                <w:sz w:val="18"/>
              </w:rPr>
              <w:t>-</w:t>
            </w:r>
          </w:p>
        </w:tc>
        <w:tc>
          <w:tcPr>
            <w:tcW w:w="870"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1"/>
              <w:jc w:val="right"/>
              <w:rPr>
                <w:rFonts w:ascii="宋体" w:hAnsi="宋体" w:cs="宋体" w:eastAsia="宋体" w:hint="default"/>
                <w:sz w:val="18"/>
                <w:szCs w:val="18"/>
              </w:rPr>
            </w:pPr>
            <w:r>
              <w:rPr>
                <w:rFonts w:ascii="宋体"/>
                <w:sz w:val="18"/>
              </w:rPr>
              <w:t>0.74</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9"/>
              <w:jc w:val="right"/>
              <w:rPr>
                <w:rFonts w:ascii="宋体" w:hAnsi="宋体" w:cs="宋体" w:eastAsia="宋体" w:hint="default"/>
                <w:sz w:val="18"/>
                <w:szCs w:val="18"/>
              </w:rPr>
            </w:pPr>
            <w:r>
              <w:rPr>
                <w:rFonts w:ascii="宋体"/>
                <w:spacing w:val="-1"/>
                <w:sz w:val="18"/>
              </w:rPr>
              <w:t>5.1216</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4"/>
              <w:jc w:val="right"/>
              <w:rPr>
                <w:rFonts w:ascii="宋体" w:hAnsi="宋体" w:cs="宋体" w:eastAsia="宋体" w:hint="default"/>
                <w:sz w:val="18"/>
                <w:szCs w:val="18"/>
              </w:rPr>
            </w:pPr>
            <w:r>
              <w:rPr>
                <w:rFonts w:ascii="宋体"/>
                <w:sz w:val="18"/>
              </w:rPr>
              <w:t>3.79</w:t>
            </w:r>
          </w:p>
        </w:tc>
      </w:tr>
      <w:tr>
        <w:trPr>
          <w:trHeight w:val="340"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43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3"/>
              <w:ind w:left="2203" w:right="0"/>
              <w:jc w:val="left"/>
              <w:rPr>
                <w:rFonts w:ascii="宋体" w:hAnsi="宋体" w:cs="宋体" w:eastAsia="宋体" w:hint="default"/>
                <w:sz w:val="18"/>
                <w:szCs w:val="18"/>
              </w:rPr>
            </w:pPr>
            <w:r>
              <w:rPr>
                <w:rFonts w:ascii="宋体"/>
                <w:sz w:val="18"/>
              </w:rPr>
              <w:t>23,380,176.51</w:t>
            </w:r>
          </w:p>
        </w:tc>
        <w:tc>
          <w:tcPr>
            <w:tcW w:w="39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22,285,075.42</w:t>
            </w:r>
          </w:p>
        </w:tc>
      </w:tr>
      <w:tr>
        <w:trPr>
          <w:trHeight w:val="341"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人民币</w:t>
            </w:r>
          </w:p>
        </w:tc>
        <w:tc>
          <w:tcPr>
            <w:tcW w:w="3433" w:type="dxa"/>
            <w:gridSpan w:val="4"/>
            <w:tcBorders>
              <w:top w:val="nil" w:sz="6" w:space="0" w:color="auto"/>
              <w:left w:val="nil" w:sz="6" w:space="0" w:color="auto"/>
              <w:bottom w:val="nil" w:sz="6" w:space="0" w:color="auto"/>
              <w:right w:val="nil" w:sz="6" w:space="0" w:color="auto"/>
            </w:tcBorders>
          </w:tcPr>
          <w:p>
            <w:pPr>
              <w:pStyle w:val="TableParagraph"/>
              <w:tabs>
                <w:tab w:pos="2203" w:val="left" w:leader="none"/>
              </w:tabs>
              <w:spacing w:line="240" w:lineRule="auto" w:before="25"/>
              <w:ind w:left="73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23,380,176.51</w:t>
            </w:r>
          </w:p>
        </w:tc>
        <w:tc>
          <w:tcPr>
            <w:tcW w:w="3925" w:type="dxa"/>
            <w:gridSpan w:val="3"/>
            <w:tcBorders>
              <w:top w:val="nil" w:sz="6" w:space="0" w:color="auto"/>
              <w:left w:val="nil" w:sz="6" w:space="0" w:color="auto"/>
              <w:bottom w:val="nil" w:sz="6" w:space="0" w:color="auto"/>
              <w:right w:val="nil" w:sz="6" w:space="0" w:color="auto"/>
            </w:tcBorders>
          </w:tcPr>
          <w:p>
            <w:pPr>
              <w:pStyle w:val="TableParagraph"/>
              <w:tabs>
                <w:tab w:pos="2695" w:val="left" w:leader="none"/>
              </w:tabs>
              <w:spacing w:line="240" w:lineRule="auto" w:before="25"/>
              <w:ind w:left="693"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19,060,478.00</w:t>
            </w:r>
          </w:p>
        </w:tc>
      </w:tr>
      <w:tr>
        <w:trPr>
          <w:trHeight w:val="340" w:hRule="exact"/>
        </w:trPr>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英镑</w:t>
            </w:r>
          </w:p>
        </w:tc>
        <w:tc>
          <w:tcPr>
            <w:tcW w:w="2655" w:type="dxa"/>
            <w:gridSpan w:val="3"/>
            <w:tcBorders>
              <w:top w:val="nil" w:sz="6" w:space="0" w:color="auto"/>
              <w:left w:val="nil" w:sz="6" w:space="0" w:color="auto"/>
              <w:bottom w:val="nil" w:sz="6" w:space="0" w:color="auto"/>
              <w:right w:val="nil" w:sz="6" w:space="0" w:color="auto"/>
            </w:tcBorders>
          </w:tcPr>
          <w:p>
            <w:pPr>
              <w:pStyle w:val="TableParagraph"/>
              <w:tabs>
                <w:tab w:pos="2506" w:val="left" w:leader="none"/>
              </w:tabs>
              <w:spacing w:line="240" w:lineRule="auto" w:before="25"/>
              <w:ind w:left="45" w:right="0"/>
              <w:jc w:val="left"/>
              <w:rPr>
                <w:rFonts w:ascii="宋体" w:hAnsi="宋体" w:cs="宋体" w:eastAsia="宋体" w:hint="default"/>
                <w:sz w:val="18"/>
                <w:szCs w:val="18"/>
              </w:rPr>
            </w:pPr>
            <w:r>
              <w:rPr>
                <w:rFonts w:ascii="宋体"/>
                <w:sz w:val="18"/>
              </w:rPr>
              <w:t>-</w:t>
              <w:tab/>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1"/>
              <w:jc w:val="right"/>
              <w:rPr>
                <w:rFonts w:ascii="宋体" w:hAnsi="宋体" w:cs="宋体" w:eastAsia="宋体" w:hint="default"/>
                <w:sz w:val="18"/>
                <w:szCs w:val="18"/>
              </w:rPr>
            </w:pPr>
            <w:r>
              <w:rPr>
                <w:rFonts w:ascii="宋体"/>
                <w:spacing w:val="-1"/>
                <w:sz w:val="18"/>
              </w:rPr>
              <w:t>12,118.28</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1"/>
              <w:jc w:val="right"/>
              <w:rPr>
                <w:rFonts w:ascii="宋体" w:hAnsi="宋体" w:cs="宋体" w:eastAsia="宋体" w:hint="default"/>
                <w:sz w:val="18"/>
                <w:szCs w:val="18"/>
              </w:rPr>
            </w:pPr>
            <w:r>
              <w:rPr>
                <w:rFonts w:ascii="宋体"/>
                <w:sz w:val="18"/>
              </w:rPr>
              <w:t>10.2182</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123,827.01</w:t>
            </w:r>
          </w:p>
        </w:tc>
      </w:tr>
      <w:tr>
        <w:trPr>
          <w:trHeight w:val="299" w:hRule="exact"/>
        </w:trPr>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39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欧元</w:t>
            </w:r>
          </w:p>
        </w:tc>
        <w:tc>
          <w:tcPr>
            <w:tcW w:w="2655" w:type="dxa"/>
            <w:gridSpan w:val="3"/>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1"/>
              <w:jc w:val="right"/>
              <w:rPr>
                <w:rFonts w:ascii="宋体" w:hAnsi="宋体" w:cs="宋体" w:eastAsia="宋体" w:hint="default"/>
                <w:sz w:val="18"/>
                <w:szCs w:val="18"/>
              </w:rPr>
            </w:pPr>
            <w:r>
              <w:rPr>
                <w:rFonts w:ascii="宋体"/>
                <w:spacing w:val="-1"/>
                <w:sz w:val="18"/>
              </w:rPr>
              <w:t>352,100.20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9"/>
              <w:jc w:val="right"/>
              <w:rPr>
                <w:rFonts w:ascii="宋体" w:hAnsi="宋体" w:cs="宋体" w:eastAsia="宋体" w:hint="default"/>
                <w:sz w:val="18"/>
                <w:szCs w:val="18"/>
              </w:rPr>
            </w:pPr>
            <w:r>
              <w:rPr>
                <w:rFonts w:ascii="宋体"/>
                <w:spacing w:val="-1"/>
                <w:sz w:val="18"/>
              </w:rPr>
              <w:t>8.8065</w:t>
            </w:r>
          </w:p>
        </w:tc>
        <w:tc>
          <w:tcPr>
            <w:tcW w:w="1601"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3,100,770.41</w:t>
            </w:r>
          </w:p>
        </w:tc>
      </w:tr>
      <w:tr>
        <w:trPr>
          <w:trHeight w:val="372" w:hRule="exact"/>
        </w:trPr>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6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6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1337" w:right="0"/>
              <w:jc w:val="left"/>
              <w:rPr>
                <w:rFonts w:ascii="宋体" w:hAnsi="宋体" w:cs="宋体" w:eastAsia="宋体" w:hint="default"/>
                <w:sz w:val="18"/>
                <w:szCs w:val="18"/>
              </w:rPr>
            </w:pPr>
            <w:r>
              <w:rPr>
                <w:rFonts w:ascii="宋体"/>
                <w:sz w:val="18"/>
              </w:rPr>
              <w:t>366,072,642.31</w:t>
            </w:r>
          </w:p>
        </w:tc>
        <w:tc>
          <w:tcPr>
            <w:tcW w:w="1407"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601"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409,824,815.84</w:t>
            </w:r>
          </w:p>
        </w:tc>
      </w:tr>
      <w:tr>
        <w:trPr>
          <w:trHeight w:val="636" w:hRule="exact"/>
        </w:trPr>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421" w:right="0"/>
              <w:jc w:val="left"/>
              <w:rPr>
                <w:rFonts w:ascii="Microsoft JhengHei" w:hAnsi="Microsoft JhengHei" w:cs="Microsoft JhengHei" w:eastAsia="Microsoft JhengHei" w:hint="default"/>
                <w:sz w:val="24"/>
                <w:szCs w:val="24"/>
              </w:rPr>
            </w:pPr>
            <w:r>
              <w:rPr>
                <w:rFonts w:ascii="Trebuchet MS" w:hAnsi="Trebuchet MS" w:cs="Trebuchet MS" w:eastAsia="Trebuchet MS" w:hint="default"/>
                <w:b/>
                <w:bCs/>
                <w:spacing w:val="3"/>
                <w:sz w:val="24"/>
                <w:szCs w:val="24"/>
              </w:rPr>
              <w:t>2</w:t>
            </w:r>
            <w:r>
              <w:rPr>
                <w:rFonts w:ascii="Microsoft JhengHei" w:hAnsi="Microsoft JhengHei" w:cs="Microsoft JhengHei" w:eastAsia="Microsoft JhengHei" w:hint="default"/>
                <w:b/>
                <w:bCs/>
                <w:spacing w:val="3"/>
                <w:sz w:val="24"/>
                <w:szCs w:val="24"/>
              </w:rPr>
              <w:t>、应收票据</w:t>
            </w:r>
            <w:r>
              <w:rPr>
                <w:rFonts w:ascii="Microsoft JhengHei" w:hAnsi="Microsoft JhengHei" w:cs="Microsoft JhengHei" w:eastAsia="Microsoft JhengHei" w:hint="default"/>
                <w:spacing w:val="3"/>
                <w:sz w:val="24"/>
                <w:szCs w:val="24"/>
              </w:rPr>
            </w:r>
          </w:p>
        </w:tc>
        <w:tc>
          <w:tcPr>
            <w:tcW w:w="2655" w:type="dxa"/>
            <w:gridSpan w:val="3"/>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601" w:type="dxa"/>
            <w:tcBorders>
              <w:top w:val="single" w:sz="17" w:space="0" w:color="000000"/>
              <w:left w:val="nil" w:sz="6" w:space="0" w:color="auto"/>
              <w:bottom w:val="nil" w:sz="6" w:space="0" w:color="auto"/>
              <w:right w:val="nil" w:sz="6" w:space="0" w:color="auto"/>
            </w:tcBorders>
          </w:tcPr>
          <w:p>
            <w:pPr/>
          </w:p>
        </w:tc>
      </w:tr>
      <w:tr>
        <w:trPr>
          <w:trHeight w:val="424" w:hRule="exact"/>
        </w:trPr>
        <w:tc>
          <w:tcPr>
            <w:tcW w:w="22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21" w:right="0"/>
              <w:jc w:val="left"/>
              <w:rPr>
                <w:rFonts w:ascii="宋体" w:hAnsi="宋体" w:cs="宋体" w:eastAsia="宋体" w:hint="default"/>
                <w:sz w:val="24"/>
                <w:szCs w:val="24"/>
              </w:rPr>
            </w:pPr>
            <w:r>
              <w:rPr>
                <w:rFonts w:ascii="宋体" w:hAnsi="宋体" w:cs="宋体" w:eastAsia="宋体" w:hint="default"/>
                <w:sz w:val="24"/>
                <w:szCs w:val="24"/>
              </w:rPr>
              <w:t>⑴ </w:t>
            </w:r>
            <w:r>
              <w:rPr>
                <w:rFonts w:ascii="宋体" w:hAnsi="宋体" w:cs="宋体" w:eastAsia="宋体" w:hint="default"/>
                <w:sz w:val="24"/>
                <w:szCs w:val="24"/>
              </w:rPr>
              <w:t>应收票据分类</w:t>
            </w:r>
          </w:p>
        </w:tc>
        <w:tc>
          <w:tcPr>
            <w:tcW w:w="2655" w:type="dxa"/>
            <w:gridSpan w:val="3"/>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bl>
    <w:tbl>
      <w:tblPr>
        <w:tblW w:w="0" w:type="auto"/>
        <w:jc w:val="left"/>
        <w:tblInd w:w="402" w:type="dxa"/>
        <w:tblLayout w:type="fixed"/>
        <w:tblCellMar>
          <w:top w:w="0" w:type="dxa"/>
          <w:left w:w="0" w:type="dxa"/>
          <w:bottom w:w="0" w:type="dxa"/>
          <w:right w:w="0" w:type="dxa"/>
        </w:tblCellMar>
        <w:tblLook w:val="01E0"/>
      </w:tblPr>
      <w:tblGrid>
        <w:gridCol w:w="2758"/>
        <w:gridCol w:w="651"/>
        <w:gridCol w:w="2300"/>
        <w:gridCol w:w="794"/>
        <w:gridCol w:w="2374"/>
      </w:tblGrid>
      <w:tr>
        <w:trPr>
          <w:trHeight w:val="285" w:hRule="exact"/>
        </w:trPr>
        <w:tc>
          <w:tcPr>
            <w:tcW w:w="2758" w:type="dxa"/>
            <w:tcBorders>
              <w:top w:val="nil" w:sz="6" w:space="0" w:color="auto"/>
              <w:left w:val="nil" w:sz="6" w:space="0" w:color="auto"/>
              <w:bottom w:val="single" w:sz="8" w:space="0" w:color="000000"/>
              <w:right w:val="nil" w:sz="6" w:space="0" w:color="auto"/>
            </w:tcBorders>
          </w:tcPr>
          <w:p>
            <w:pPr>
              <w:pStyle w:val="TableParagraph"/>
              <w:spacing w:line="211" w:lineRule="exact"/>
              <w:ind w:right="1164"/>
              <w:jc w:val="right"/>
              <w:rPr>
                <w:rFonts w:ascii="宋体" w:hAnsi="宋体" w:cs="宋体" w:eastAsia="宋体" w:hint="default"/>
                <w:sz w:val="21"/>
                <w:szCs w:val="21"/>
              </w:rPr>
            </w:pPr>
            <w:r>
              <w:rPr>
                <w:rFonts w:ascii="宋体" w:hAnsi="宋体" w:cs="宋体" w:eastAsia="宋体" w:hint="default"/>
                <w:sz w:val="21"/>
                <w:szCs w:val="21"/>
              </w:rPr>
              <w:t>种类</w:t>
            </w:r>
          </w:p>
        </w:tc>
        <w:tc>
          <w:tcPr>
            <w:tcW w:w="651"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8" w:space="0" w:color="000000"/>
              <w:right w:val="nil" w:sz="6" w:space="0" w:color="auto"/>
            </w:tcBorders>
          </w:tcPr>
          <w:p>
            <w:pPr>
              <w:pStyle w:val="TableParagraph"/>
              <w:spacing w:line="245" w:lineRule="exact"/>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94"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8" w:space="0" w:color="000000"/>
              <w:right w:val="nil" w:sz="6" w:space="0" w:color="auto"/>
            </w:tcBorders>
          </w:tcPr>
          <w:p>
            <w:pPr>
              <w:pStyle w:val="TableParagraph"/>
              <w:spacing w:line="245" w:lineRule="exact"/>
              <w:ind w:left="7"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0" w:hRule="exact"/>
        </w:trPr>
        <w:tc>
          <w:tcPr>
            <w:tcW w:w="2758"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651" w:type="dxa"/>
            <w:tcBorders>
              <w:top w:val="nil" w:sz="6" w:space="0" w:color="auto"/>
              <w:left w:val="nil" w:sz="6" w:space="0" w:color="auto"/>
              <w:bottom w:val="nil" w:sz="6" w:space="0" w:color="auto"/>
              <w:right w:val="nil" w:sz="6" w:space="0" w:color="auto"/>
            </w:tcBorders>
          </w:tcPr>
          <w:p>
            <w:pPr/>
          </w:p>
        </w:tc>
        <w:tc>
          <w:tcPr>
            <w:tcW w:w="2300"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spacing w:val="-1"/>
                <w:sz w:val="21"/>
              </w:rPr>
              <w:t>1,336,000.00</w:t>
            </w:r>
          </w:p>
        </w:tc>
        <w:tc>
          <w:tcPr>
            <w:tcW w:w="794" w:type="dxa"/>
            <w:tcBorders>
              <w:top w:val="nil" w:sz="6" w:space="0" w:color="auto"/>
              <w:left w:val="nil" w:sz="6" w:space="0" w:color="auto"/>
              <w:bottom w:val="nil" w:sz="6" w:space="0" w:color="auto"/>
              <w:right w:val="nil" w:sz="6" w:space="0" w:color="auto"/>
            </w:tcBorders>
          </w:tcPr>
          <w:p>
            <w:pPr/>
          </w:p>
        </w:tc>
        <w:tc>
          <w:tcPr>
            <w:tcW w:w="2374"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spacing w:val="-1"/>
                <w:sz w:val="21"/>
              </w:rPr>
              <w:t>403,600.00</w:t>
            </w:r>
          </w:p>
        </w:tc>
      </w:tr>
      <w:tr>
        <w:trPr>
          <w:trHeight w:val="374"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4"/>
              <w:jc w:val="right"/>
              <w:rPr>
                <w:rFonts w:ascii="宋体" w:hAnsi="宋体" w:cs="宋体" w:eastAsia="宋体" w:hint="default"/>
                <w:sz w:val="21"/>
                <w:szCs w:val="21"/>
              </w:rPr>
            </w:pPr>
            <w:r>
              <w:rPr>
                <w:rFonts w:ascii="宋体" w:hAnsi="宋体" w:cs="宋体" w:eastAsia="宋体" w:hint="default"/>
                <w:sz w:val="21"/>
                <w:szCs w:val="21"/>
              </w:rPr>
              <w:t>合计</w:t>
            </w:r>
          </w:p>
        </w:tc>
        <w:tc>
          <w:tcPr>
            <w:tcW w:w="651" w:type="dxa"/>
            <w:tcBorders>
              <w:top w:val="nil" w:sz="6" w:space="0" w:color="auto"/>
              <w:left w:val="nil" w:sz="6" w:space="0" w:color="auto"/>
              <w:bottom w:val="nil" w:sz="6" w:space="0" w:color="auto"/>
              <w:right w:val="nil" w:sz="6" w:space="0" w:color="auto"/>
            </w:tcBorders>
          </w:tcPr>
          <w:p>
            <w:pPr/>
          </w:p>
        </w:tc>
        <w:tc>
          <w:tcPr>
            <w:tcW w:w="2300" w:type="dxa"/>
            <w:tcBorders>
              <w:top w:val="single" w:sz="8" w:space="0" w:color="000000"/>
              <w:left w:val="nil" w:sz="6" w:space="0" w:color="auto"/>
              <w:bottom w:val="single" w:sz="17" w:space="0" w:color="000000"/>
              <w:right w:val="nil" w:sz="6" w:space="0" w:color="auto"/>
            </w:tcBorders>
          </w:tcPr>
          <w:p>
            <w:pPr>
              <w:pStyle w:val="TableParagraph"/>
              <w:spacing w:line="240" w:lineRule="auto" w:before="2"/>
              <w:ind w:right="106"/>
              <w:jc w:val="right"/>
              <w:rPr>
                <w:rFonts w:ascii="宋体" w:hAnsi="宋体" w:cs="宋体" w:eastAsia="宋体" w:hint="default"/>
                <w:sz w:val="21"/>
                <w:szCs w:val="21"/>
              </w:rPr>
            </w:pPr>
            <w:r>
              <w:rPr>
                <w:rFonts w:ascii="宋体"/>
                <w:spacing w:val="-1"/>
                <w:sz w:val="21"/>
              </w:rPr>
              <w:t>1,336,000.00</w:t>
            </w:r>
          </w:p>
        </w:tc>
        <w:tc>
          <w:tcPr>
            <w:tcW w:w="794" w:type="dxa"/>
            <w:tcBorders>
              <w:top w:val="nil" w:sz="6" w:space="0" w:color="auto"/>
              <w:left w:val="nil" w:sz="6" w:space="0" w:color="auto"/>
              <w:bottom w:val="nil" w:sz="6" w:space="0" w:color="auto"/>
              <w:right w:val="nil" w:sz="6" w:space="0" w:color="auto"/>
            </w:tcBorders>
          </w:tcPr>
          <w:p>
            <w:pPr/>
          </w:p>
        </w:tc>
        <w:tc>
          <w:tcPr>
            <w:tcW w:w="2374" w:type="dxa"/>
            <w:tcBorders>
              <w:top w:val="single" w:sz="8" w:space="0" w:color="000000"/>
              <w:left w:val="nil" w:sz="6" w:space="0" w:color="auto"/>
              <w:bottom w:val="single" w:sz="17" w:space="0" w:color="000000"/>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spacing w:val="-1"/>
                <w:sz w:val="21"/>
              </w:rPr>
              <w:t>403,600.00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26"/>
        <w:ind w:left="882" w:right="0"/>
        <w:jc w:val="left"/>
      </w:pPr>
      <w:r>
        <w:rPr/>
        <w:t>⑵期末已经背书给其他方但尚未到期的票据情况（金额最大的前五项）</w:t>
      </w:r>
    </w:p>
    <w:p>
      <w:pPr>
        <w:spacing w:line="240" w:lineRule="auto" w:before="6"/>
        <w:rPr>
          <w:rFonts w:ascii="宋体" w:hAnsi="宋体" w:cs="宋体" w:eastAsia="宋体" w:hint="default"/>
          <w:sz w:val="11"/>
          <w:szCs w:val="11"/>
        </w:rPr>
      </w:pPr>
    </w:p>
    <w:tbl>
      <w:tblPr>
        <w:tblW w:w="0" w:type="auto"/>
        <w:jc w:val="left"/>
        <w:tblInd w:w="388" w:type="dxa"/>
        <w:tblLayout w:type="fixed"/>
        <w:tblCellMar>
          <w:top w:w="0" w:type="dxa"/>
          <w:left w:w="0" w:type="dxa"/>
          <w:bottom w:w="0" w:type="dxa"/>
          <w:right w:w="0" w:type="dxa"/>
        </w:tblCellMar>
        <w:tblLook w:val="01E0"/>
      </w:tblPr>
      <w:tblGrid>
        <w:gridCol w:w="2717"/>
        <w:gridCol w:w="300"/>
        <w:gridCol w:w="2024"/>
        <w:gridCol w:w="300"/>
        <w:gridCol w:w="1786"/>
        <w:gridCol w:w="253"/>
        <w:gridCol w:w="1498"/>
      </w:tblGrid>
      <w:tr>
        <w:trPr>
          <w:trHeight w:val="253" w:hRule="exact"/>
        </w:trPr>
        <w:tc>
          <w:tcPr>
            <w:tcW w:w="2717"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8" w:space="0" w:color="000000"/>
              <w:right w:val="nil" w:sz="6" w:space="0" w:color="auto"/>
            </w:tcBorders>
          </w:tcPr>
          <w:p>
            <w:pPr>
              <w:pStyle w:val="TableParagraph"/>
              <w:spacing w:line="211" w:lineRule="exact"/>
              <w:ind w:left="590"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8" w:space="0" w:color="000000"/>
              <w:right w:val="nil" w:sz="6" w:space="0" w:color="auto"/>
            </w:tcBorders>
          </w:tcPr>
          <w:p>
            <w:pPr>
              <w:pStyle w:val="TableParagraph"/>
              <w:spacing w:line="211" w:lineRule="exact"/>
              <w:ind w:left="57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9" w:hRule="exact"/>
        </w:trPr>
        <w:tc>
          <w:tcPr>
            <w:tcW w:w="2717" w:type="dxa"/>
            <w:tcBorders>
              <w:top w:val="single" w:sz="8" w:space="0" w:color="000000"/>
              <w:left w:val="nil" w:sz="6" w:space="0" w:color="auto"/>
              <w:bottom w:val="nil" w:sz="6" w:space="0" w:color="auto"/>
              <w:right w:val="nil" w:sz="6" w:space="0" w:color="auto"/>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single" w:sz="8"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sz w:val="21"/>
              </w:rPr>
              <w:t>2011-10-26</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single" w:sz="8" w:space="0" w:color="000000"/>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1"/>
                <w:szCs w:val="21"/>
              </w:rPr>
            </w:pPr>
            <w:r>
              <w:rPr>
                <w:rFonts w:ascii="宋体"/>
                <w:sz w:val="21"/>
              </w:rPr>
              <w:t>2012-1-26</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1,800,000.00</w:t>
            </w:r>
          </w:p>
        </w:tc>
      </w:tr>
      <w:tr>
        <w:trPr>
          <w:trHeight w:val="341"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 w:right="0"/>
              <w:jc w:val="center"/>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sz w:val="21"/>
              </w:rPr>
              <w:t>2011-11-25</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sz w:val="21"/>
              </w:rPr>
              <w:t>2012-2-25</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1,500,000.00</w:t>
            </w:r>
          </w:p>
        </w:tc>
      </w:tr>
      <w:tr>
        <w:trPr>
          <w:trHeight w:val="340"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 w:right="0"/>
              <w:jc w:val="center"/>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sz w:val="21"/>
              </w:rPr>
              <w:t>2011-12-27</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sz w:val="21"/>
              </w:rPr>
              <w:t>2012-3-27</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1,000,000.00</w:t>
            </w:r>
          </w:p>
        </w:tc>
      </w:tr>
      <w:tr>
        <w:trPr>
          <w:trHeight w:val="340"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sz w:val="21"/>
              </w:rPr>
              <w:t>2011-12-27</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sz w:val="21"/>
              </w:rPr>
              <w:t>2012-3-27</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600,000.00</w:t>
            </w:r>
          </w:p>
        </w:tc>
      </w:tr>
      <w:tr>
        <w:trPr>
          <w:trHeight w:val="345"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 w:right="0"/>
              <w:jc w:val="center"/>
              <w:rPr>
                <w:rFonts w:ascii="宋体" w:hAnsi="宋体" w:cs="宋体" w:eastAsia="宋体" w:hint="default"/>
                <w:sz w:val="21"/>
                <w:szCs w:val="21"/>
              </w:rPr>
            </w:pPr>
            <w:r>
              <w:rPr>
                <w:rFonts w:ascii="宋体" w:hAnsi="宋体" w:cs="宋体" w:eastAsia="宋体" w:hint="default"/>
                <w:sz w:val="21"/>
                <w:szCs w:val="21"/>
              </w:rPr>
              <w:t>东港安全印刷股份有限公司</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sz w:val="21"/>
              </w:rPr>
              <w:t>2011-10-31</w:t>
            </w: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sz w:val="21"/>
              </w:rPr>
              <w:t>2012-1-31</w:t>
            </w: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600,000.00</w:t>
            </w:r>
          </w:p>
        </w:tc>
      </w:tr>
      <w:tr>
        <w:trPr>
          <w:trHeight w:val="362" w:hRule="exact"/>
        </w:trPr>
        <w:tc>
          <w:tcPr>
            <w:tcW w:w="27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00"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5,500,000.00</w:t>
            </w:r>
          </w:p>
        </w:tc>
      </w:tr>
    </w:tbl>
    <w:p>
      <w:pPr>
        <w:spacing w:after="0" w:line="240" w:lineRule="auto"/>
        <w:jc w:val="right"/>
        <w:rPr>
          <w:rFonts w:ascii="宋体" w:hAnsi="宋体" w:cs="宋体" w:eastAsia="宋体" w:hint="default"/>
          <w:sz w:val="21"/>
          <w:szCs w:val="21"/>
        </w:rPr>
        <w:sectPr>
          <w:headerReference w:type="default" r:id="rId35"/>
          <w:footerReference w:type="default" r:id="rId36"/>
          <w:pgSz w:w="11910" w:h="16840"/>
          <w:pgMar w:header="811" w:footer="1153" w:top="1120" w:bottom="1340" w:left="1220" w:right="0"/>
          <w:pgNumType w:start="91"/>
        </w:sectPr>
      </w:pPr>
    </w:p>
    <w:p>
      <w:pPr>
        <w:spacing w:line="240" w:lineRule="auto" w:before="8"/>
        <w:rPr>
          <w:rFonts w:ascii="宋体" w:hAnsi="宋体" w:cs="宋体" w:eastAsia="宋体" w:hint="default"/>
          <w:sz w:val="27"/>
          <w:szCs w:val="27"/>
        </w:rPr>
      </w:pPr>
    </w:p>
    <w:p>
      <w:pPr>
        <w:pStyle w:val="Heading3"/>
        <w:spacing w:line="367" w:lineRule="exact"/>
        <w:ind w:right="0"/>
        <w:jc w:val="left"/>
        <w:rPr>
          <w:b w:val="0"/>
          <w:bCs w:val="0"/>
        </w:rPr>
      </w:pPr>
      <w:r>
        <w:rPr>
          <w:rFonts w:ascii="Trebuchet MS" w:hAnsi="Trebuchet MS" w:cs="Trebuchet MS" w:eastAsia="Trebuchet MS" w:hint="default"/>
          <w:spacing w:val="3"/>
        </w:rPr>
        <w:t>3</w:t>
      </w:r>
      <w:r>
        <w:rPr>
          <w:spacing w:val="3"/>
        </w:rPr>
        <w:t>、应收账款</w:t>
      </w:r>
      <w:r>
        <w:rPr>
          <w:b w:val="0"/>
          <w:bCs w:val="0"/>
          <w:spacing w:val="3"/>
        </w:rPr>
      </w:r>
    </w:p>
    <w:p>
      <w:pPr>
        <w:pStyle w:val="BodyText"/>
        <w:tabs>
          <w:tab w:pos="1362" w:val="left" w:leader="none"/>
        </w:tabs>
        <w:spacing w:line="240" w:lineRule="auto" w:before="210"/>
        <w:ind w:left="882" w:right="0"/>
        <w:jc w:val="left"/>
      </w:pPr>
      <w:r>
        <w:rPr/>
        <w:t>⑴</w:t>
        <w:tab/>
        <w:t>应收账款按种类列示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2261" w:firstLine="0"/>
        <w:jc w:val="right"/>
        <w:rPr>
          <w:rFonts w:ascii="宋体" w:hAnsi="宋体" w:cs="宋体" w:eastAsia="宋体" w:hint="default"/>
          <w:sz w:val="18"/>
          <w:szCs w:val="18"/>
        </w:rPr>
      </w:pPr>
      <w:r>
        <w:rPr/>
        <w:pict>
          <v:shape style="position:absolute;margin-left:80.424004pt;margin-top:-15.222669pt;width:450.45pt;height:254.6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1"/>
                    <w:gridCol w:w="221"/>
                    <w:gridCol w:w="1700"/>
                    <w:gridCol w:w="845"/>
                    <w:gridCol w:w="230"/>
                    <w:gridCol w:w="1304"/>
                    <w:gridCol w:w="228"/>
                    <w:gridCol w:w="780"/>
                  </w:tblGrid>
                  <w:tr>
                    <w:trPr>
                      <w:trHeight w:val="217"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right="2271"/>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360" w:hRule="exact"/>
                    </w:trPr>
                    <w:tc>
                      <w:tcPr>
                        <w:tcW w:w="3701"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45" w:type="dxa"/>
                        <w:tcBorders>
                          <w:top w:val="single" w:sz="8" w:space="0" w:color="000000"/>
                          <w:left w:val="nil" w:sz="6" w:space="0" w:color="auto"/>
                          <w:bottom w:val="single" w:sz="8" w:space="0" w:color="000000"/>
                          <w:right w:val="nil" w:sz="6" w:space="0" w:color="auto"/>
                        </w:tcBorders>
                      </w:tcPr>
                      <w:p>
                        <w:pPr/>
                      </w:p>
                    </w:tc>
                    <w:tc>
                      <w:tcPr>
                        <w:tcW w:w="230"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97"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28"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2"/>
                          <w:jc w:val="right"/>
                          <w:rPr>
                            <w:rFonts w:ascii="宋体" w:hAnsi="宋体" w:cs="宋体" w:eastAsia="宋体" w:hint="default"/>
                            <w:sz w:val="18"/>
                            <w:szCs w:val="18"/>
                          </w:rPr>
                        </w:pPr>
                        <w:r>
                          <w:rPr>
                            <w:rFonts w:ascii="宋体" w:hAnsi="宋体" w:cs="宋体" w:eastAsia="宋体" w:hint="default"/>
                            <w:sz w:val="18"/>
                            <w:szCs w:val="18"/>
                          </w:rPr>
                          <w:t>备</w:t>
                        </w:r>
                      </w:p>
                    </w:tc>
                    <w:tc>
                      <w:tcPr>
                        <w:tcW w:w="780" w:type="dxa"/>
                        <w:tcBorders>
                          <w:top w:val="single" w:sz="8" w:space="0" w:color="000000"/>
                          <w:left w:val="nil" w:sz="6" w:space="0" w:color="auto"/>
                          <w:bottom w:val="single" w:sz="8" w:space="0" w:color="000000"/>
                          <w:right w:val="nil" w:sz="6" w:space="0" w:color="auto"/>
                        </w:tcBorders>
                      </w:tcPr>
                      <w:p>
                        <w:pPr/>
                      </w:p>
                    </w:tc>
                  </w:tr>
                  <w:tr>
                    <w:trPr>
                      <w:trHeight w:val="355" w:hRule="exact"/>
                    </w:trPr>
                    <w:tc>
                      <w:tcPr>
                        <w:tcW w:w="3701" w:type="dxa"/>
                        <w:tcBorders>
                          <w:top w:val="nil" w:sz="6" w:space="0" w:color="auto"/>
                          <w:left w:val="nil" w:sz="6" w:space="0" w:color="auto"/>
                          <w:bottom w:val="single" w:sz="8" w:space="0" w:color="000000"/>
                          <w:right w:val="nil" w:sz="6" w:space="0" w:color="auto"/>
                        </w:tcBorders>
                      </w:tcPr>
                      <w:p>
                        <w:pPr>
                          <w:pStyle w:val="TableParagraph"/>
                          <w:tabs>
                            <w:tab w:pos="451"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5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8" w:space="0" w:color="000000"/>
                          <w:left w:val="nil" w:sz="6" w:space="0" w:color="auto"/>
                          <w:bottom w:val="nil" w:sz="6" w:space="0" w:color="auto"/>
                          <w:right w:val="nil" w:sz="6" w:space="0" w:color="auto"/>
                        </w:tcBorders>
                      </w:tcPr>
                      <w:p>
                        <w:pPr/>
                      </w:p>
                    </w:tc>
                    <w:tc>
                      <w:tcPr>
                        <w:tcW w:w="78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7"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34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sz w:val="18"/>
                          </w:rPr>
                          <w:t>108,741,936.36</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sz w:val="18"/>
                          </w:rPr>
                          <w:t>100.00%</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2" w:right="0"/>
                          <w:jc w:val="left"/>
                          <w:rPr>
                            <w:rFonts w:ascii="宋体" w:hAnsi="宋体" w:cs="宋体" w:eastAsia="宋体" w:hint="default"/>
                            <w:sz w:val="18"/>
                            <w:szCs w:val="18"/>
                          </w:rPr>
                        </w:pPr>
                        <w:r>
                          <w:rPr>
                            <w:rFonts w:ascii="宋体"/>
                            <w:sz w:val="18"/>
                          </w:rPr>
                          <w:t>5,742,153.68</w:t>
                        </w:r>
                      </w:p>
                    </w:tc>
                    <w:tc>
                      <w:tcPr>
                        <w:tcW w:w="228"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20" w:right="0"/>
                          <w:jc w:val="left"/>
                          <w:rPr>
                            <w:rFonts w:ascii="宋体" w:hAnsi="宋体" w:cs="宋体" w:eastAsia="宋体" w:hint="default"/>
                            <w:sz w:val="18"/>
                            <w:szCs w:val="18"/>
                          </w:rPr>
                        </w:pPr>
                        <w:r>
                          <w:rPr>
                            <w:rFonts w:ascii="宋体"/>
                            <w:sz w:val="18"/>
                          </w:rPr>
                          <w:t>5.28%</w:t>
                        </w:r>
                      </w:p>
                    </w:tc>
                  </w:tr>
                  <w:tr>
                    <w:trPr>
                      <w:trHeight w:val="293"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67"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sz w:val="18"/>
                          </w:rPr>
                          <w:t>108,741,936.36</w:t>
                        </w:r>
                      </w:p>
                    </w:tc>
                    <w:tc>
                      <w:tcPr>
                        <w:tcW w:w="845"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sz w:val="18"/>
                          </w:rPr>
                          <w:t>100.00%</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left="112" w:right="0"/>
                          <w:jc w:val="left"/>
                          <w:rPr>
                            <w:rFonts w:ascii="宋体" w:hAnsi="宋体" w:cs="宋体" w:eastAsia="宋体" w:hint="default"/>
                            <w:sz w:val="18"/>
                            <w:szCs w:val="18"/>
                          </w:rPr>
                        </w:pPr>
                        <w:r>
                          <w:rPr>
                            <w:rFonts w:ascii="宋体"/>
                            <w:sz w:val="18"/>
                          </w:rPr>
                          <w:t>5,742,153.68</w:t>
                        </w:r>
                      </w:p>
                    </w:tc>
                    <w:tc>
                      <w:tcPr>
                        <w:tcW w:w="228" w:type="dxa"/>
                        <w:tcBorders>
                          <w:top w:val="nil" w:sz="6" w:space="0" w:color="auto"/>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left="220" w:right="0"/>
                          <w:jc w:val="left"/>
                          <w:rPr>
                            <w:rFonts w:ascii="宋体" w:hAnsi="宋体" w:cs="宋体" w:eastAsia="宋体" w:hint="default"/>
                            <w:sz w:val="18"/>
                            <w:szCs w:val="18"/>
                          </w:rPr>
                        </w:pPr>
                        <w:r>
                          <w:rPr>
                            <w:rFonts w:ascii="宋体"/>
                            <w:sz w:val="18"/>
                          </w:rPr>
                          <w:t>5.28%</w:t>
                        </w:r>
                      </w:p>
                    </w:tc>
                  </w:tr>
                  <w:tr>
                    <w:trPr>
                      <w:trHeight w:val="608"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271"/>
                          <w:jc w:val="right"/>
                          <w:rPr>
                            <w:rFonts w:ascii="宋体" w:hAnsi="宋体" w:cs="宋体" w:eastAsia="宋体" w:hint="default"/>
                            <w:sz w:val="18"/>
                            <w:szCs w:val="18"/>
                          </w:rPr>
                        </w:pPr>
                        <w:r>
                          <w:rPr>
                            <w:rFonts w:ascii="宋体" w:hAnsi="宋体" w:cs="宋体" w:eastAsia="宋体" w:hint="default"/>
                            <w:sz w:val="18"/>
                            <w:szCs w:val="18"/>
                          </w:rPr>
                          <w:t>年初数</w:t>
                        </w:r>
                      </w:p>
                    </w:tc>
                  </w:tr>
                  <w:tr>
                    <w:trPr>
                      <w:trHeight w:val="360" w:hRule="exact"/>
                    </w:trPr>
                    <w:tc>
                      <w:tcPr>
                        <w:tcW w:w="3701"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45" w:type="dxa"/>
                        <w:tcBorders>
                          <w:top w:val="single" w:sz="8" w:space="0" w:color="000000"/>
                          <w:left w:val="nil" w:sz="6" w:space="0" w:color="auto"/>
                          <w:bottom w:val="single" w:sz="8" w:space="0" w:color="000000"/>
                          <w:right w:val="nil" w:sz="6" w:space="0" w:color="auto"/>
                        </w:tcBorders>
                      </w:tcPr>
                      <w:p>
                        <w:pPr/>
                      </w:p>
                    </w:tc>
                    <w:tc>
                      <w:tcPr>
                        <w:tcW w:w="230"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97"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28"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2"/>
                          <w:jc w:val="right"/>
                          <w:rPr>
                            <w:rFonts w:ascii="宋体" w:hAnsi="宋体" w:cs="宋体" w:eastAsia="宋体" w:hint="default"/>
                            <w:sz w:val="18"/>
                            <w:szCs w:val="18"/>
                          </w:rPr>
                        </w:pPr>
                        <w:r>
                          <w:rPr>
                            <w:rFonts w:ascii="宋体" w:hAnsi="宋体" w:cs="宋体" w:eastAsia="宋体" w:hint="default"/>
                            <w:sz w:val="18"/>
                            <w:szCs w:val="18"/>
                          </w:rPr>
                          <w:t>备</w:t>
                        </w:r>
                      </w:p>
                    </w:tc>
                    <w:tc>
                      <w:tcPr>
                        <w:tcW w:w="780" w:type="dxa"/>
                        <w:tcBorders>
                          <w:top w:val="single" w:sz="8" w:space="0" w:color="000000"/>
                          <w:left w:val="nil" w:sz="6" w:space="0" w:color="auto"/>
                          <w:bottom w:val="single" w:sz="8" w:space="0" w:color="000000"/>
                          <w:right w:val="nil" w:sz="6" w:space="0" w:color="auto"/>
                        </w:tcBorders>
                      </w:tcPr>
                      <w:p>
                        <w:pPr/>
                      </w:p>
                    </w:tc>
                  </w:tr>
                  <w:tr>
                    <w:trPr>
                      <w:trHeight w:val="355" w:hRule="exact"/>
                    </w:trPr>
                    <w:tc>
                      <w:tcPr>
                        <w:tcW w:w="3701" w:type="dxa"/>
                        <w:tcBorders>
                          <w:top w:val="nil" w:sz="6" w:space="0" w:color="auto"/>
                          <w:left w:val="nil" w:sz="6" w:space="0" w:color="auto"/>
                          <w:bottom w:val="single" w:sz="8" w:space="0" w:color="000000"/>
                          <w:right w:val="nil" w:sz="6" w:space="0" w:color="auto"/>
                        </w:tcBorders>
                      </w:tcPr>
                      <w:p>
                        <w:pPr>
                          <w:pStyle w:val="TableParagraph"/>
                          <w:tabs>
                            <w:tab w:pos="451"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5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8" w:space="0" w:color="000000"/>
                          <w:left w:val="nil" w:sz="6" w:space="0" w:color="auto"/>
                          <w:bottom w:val="nil" w:sz="6" w:space="0" w:color="auto"/>
                          <w:right w:val="nil" w:sz="6" w:space="0" w:color="auto"/>
                        </w:tcBorders>
                      </w:tcPr>
                      <w:p>
                        <w:pPr/>
                      </w:p>
                    </w:tc>
                    <w:tc>
                      <w:tcPr>
                        <w:tcW w:w="78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7"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34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02" w:right="0"/>
                          <w:jc w:val="left"/>
                          <w:rPr>
                            <w:rFonts w:ascii="宋体" w:hAnsi="宋体" w:cs="宋体" w:eastAsia="宋体" w:hint="default"/>
                            <w:sz w:val="18"/>
                            <w:szCs w:val="18"/>
                          </w:rPr>
                        </w:pPr>
                        <w:r>
                          <w:rPr>
                            <w:rFonts w:ascii="宋体"/>
                            <w:sz w:val="18"/>
                          </w:rPr>
                          <w:t>63,439,532.71</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100.00%</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
                          <w:jc w:val="right"/>
                          <w:rPr>
                            <w:rFonts w:ascii="宋体" w:hAnsi="宋体" w:cs="宋体" w:eastAsia="宋体" w:hint="default"/>
                            <w:sz w:val="18"/>
                            <w:szCs w:val="18"/>
                          </w:rPr>
                        </w:pPr>
                        <w:r>
                          <w:rPr>
                            <w:rFonts w:ascii="宋体"/>
                            <w:spacing w:val="-1"/>
                            <w:sz w:val="18"/>
                          </w:rPr>
                          <w:t>3,199,736.81</w:t>
                        </w:r>
                      </w:p>
                    </w:tc>
                    <w:tc>
                      <w:tcPr>
                        <w:tcW w:w="228"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5.04%</w:t>
                        </w:r>
                      </w:p>
                    </w:tc>
                  </w:tr>
                  <w:tr>
                    <w:trPr>
                      <w:trHeight w:val="293"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7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02" w:right="0"/>
                          <w:jc w:val="left"/>
                          <w:rPr>
                            <w:rFonts w:ascii="宋体" w:hAnsi="宋体" w:cs="宋体" w:eastAsia="宋体" w:hint="default"/>
                            <w:sz w:val="18"/>
                            <w:szCs w:val="18"/>
                          </w:rPr>
                        </w:pPr>
                        <w:r>
                          <w:rPr>
                            <w:rFonts w:ascii="宋体"/>
                            <w:sz w:val="18"/>
                          </w:rPr>
                          <w:t>63,439,532.71</w:t>
                        </w:r>
                      </w:p>
                    </w:tc>
                    <w:tc>
                      <w:tcPr>
                        <w:tcW w:w="845"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100.00%</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3"/>
                          <w:jc w:val="right"/>
                          <w:rPr>
                            <w:rFonts w:ascii="宋体" w:hAnsi="宋体" w:cs="宋体" w:eastAsia="宋体" w:hint="default"/>
                            <w:sz w:val="18"/>
                            <w:szCs w:val="18"/>
                          </w:rPr>
                        </w:pPr>
                        <w:r>
                          <w:rPr>
                            <w:rFonts w:ascii="宋体"/>
                            <w:spacing w:val="-1"/>
                            <w:sz w:val="18"/>
                          </w:rPr>
                          <w:t>3,199,736.81</w:t>
                        </w:r>
                      </w:p>
                    </w:tc>
                    <w:tc>
                      <w:tcPr>
                        <w:tcW w:w="228" w:type="dxa"/>
                        <w:tcBorders>
                          <w:top w:val="nil" w:sz="6" w:space="0" w:color="auto"/>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5.04%</w:t>
                        </w:r>
                      </w:p>
                    </w:tc>
                  </w:tr>
                </w:tbl>
                <w:p>
                  <w:pPr/>
                </w:p>
              </w:txbxContent>
            </v:textbox>
            <w10:wrap type="none"/>
          </v:shape>
        </w:pict>
      </w:r>
      <w:r>
        <w:rPr>
          <w:rFonts w:ascii="宋体" w:hAnsi="宋体" w:cs="宋体" w:eastAsia="宋体" w:hint="default"/>
          <w:sz w:val="18"/>
          <w:szCs w:val="18"/>
        </w:rPr>
        <w:t>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0" w:right="2261" w:firstLine="0"/>
        <w:jc w:val="right"/>
        <w:rPr>
          <w:rFonts w:ascii="宋体" w:hAnsi="宋体" w:cs="宋体" w:eastAsia="宋体" w:hint="default"/>
          <w:sz w:val="18"/>
          <w:szCs w:val="18"/>
        </w:rPr>
      </w:pPr>
      <w:r>
        <w:rPr>
          <w:rFonts w:ascii="宋体" w:hAnsi="宋体" w:cs="宋体" w:eastAsia="宋体" w:hint="default"/>
          <w:sz w:val="18"/>
          <w:szCs w:val="18"/>
        </w:rPr>
        <w:t>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11" w:footer="1153" w:top="1120" w:bottom="1340" w:left="1220" w:right="0"/>
        </w:sectPr>
      </w:pPr>
    </w:p>
    <w:p>
      <w:pPr>
        <w:pStyle w:val="BodyText"/>
        <w:tabs>
          <w:tab w:pos="1362" w:val="left" w:leader="none"/>
        </w:tabs>
        <w:spacing w:line="240" w:lineRule="auto" w:before="176"/>
        <w:ind w:left="882" w:right="-20"/>
        <w:jc w:val="left"/>
      </w:pPr>
      <w:r>
        <w:rPr/>
        <w:t>⑵</w:t>
        <w:tab/>
        <w:t>应收账款按账龄列示</w:t>
      </w:r>
    </w:p>
    <w:p>
      <w:pPr>
        <w:spacing w:before="196"/>
        <w:ind w:left="1055" w:right="-20" w:firstLine="0"/>
        <w:jc w:val="left"/>
        <w:rPr>
          <w:rFonts w:ascii="宋体" w:hAnsi="宋体" w:cs="宋体" w:eastAsia="宋体" w:hint="default"/>
          <w:sz w:val="21"/>
          <w:szCs w:val="21"/>
        </w:rPr>
      </w:pPr>
      <w:r>
        <w:rPr/>
        <w:pict>
          <v:shape style="position:absolute;margin-left:80.424004pt;margin-top:18.343691pt;width:444.2pt;height:99.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1"/>
                    <w:gridCol w:w="931"/>
                    <w:gridCol w:w="223"/>
                    <w:gridCol w:w="1841"/>
                    <w:gridCol w:w="216"/>
                    <w:gridCol w:w="1181"/>
                    <w:gridCol w:w="353"/>
                    <w:gridCol w:w="1916"/>
                    <w:gridCol w:w="228"/>
                    <w:gridCol w:w="1063"/>
                  </w:tblGrid>
                  <w:tr>
                    <w:trPr>
                      <w:trHeight w:val="331" w:hRule="exact"/>
                    </w:trPr>
                    <w:tc>
                      <w:tcPr>
                        <w:tcW w:w="2086" w:type="dxa"/>
                        <w:gridSpan w:val="3"/>
                        <w:tcBorders>
                          <w:top w:val="nil" w:sz="6" w:space="0" w:color="auto"/>
                          <w:left w:val="nil" w:sz="6" w:space="0" w:color="auto"/>
                          <w:bottom w:val="nil" w:sz="6" w:space="0" w:color="auto"/>
                          <w:right w:val="nil" w:sz="6" w:space="0" w:color="auto"/>
                        </w:tcBorders>
                      </w:tcPr>
                      <w:p>
                        <w:pPr/>
                      </w:p>
                    </w:tc>
                    <w:tc>
                      <w:tcPr>
                        <w:tcW w:w="1841"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16" w:type="dxa"/>
                        <w:tcBorders>
                          <w:top w:val="single" w:sz="8" w:space="0" w:color="000000"/>
                          <w:left w:val="nil" w:sz="6" w:space="0" w:color="auto"/>
                          <w:bottom w:val="nil" w:sz="6" w:space="0" w:color="auto"/>
                          <w:right w:val="nil" w:sz="6" w:space="0" w:color="auto"/>
                        </w:tcBorders>
                      </w:tcPr>
                      <w:p>
                        <w:pPr/>
                      </w:p>
                    </w:tc>
                    <w:tc>
                      <w:tcPr>
                        <w:tcW w:w="1181"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38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53" w:type="dxa"/>
                        <w:tcBorders>
                          <w:top w:val="nil" w:sz="6" w:space="0" w:color="auto"/>
                          <w:left w:val="nil" w:sz="6" w:space="0" w:color="auto"/>
                          <w:bottom w:val="nil" w:sz="6" w:space="0" w:color="auto"/>
                          <w:right w:val="nil" w:sz="6" w:space="0" w:color="auto"/>
                        </w:tcBorders>
                      </w:tcPr>
                      <w:p>
                        <w:pPr/>
                      </w:p>
                    </w:tc>
                    <w:tc>
                      <w:tcPr>
                        <w:tcW w:w="1916"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8" w:space="0" w:color="000000"/>
                          <w:left w:val="nil" w:sz="6" w:space="0" w:color="auto"/>
                          <w:bottom w:val="nil" w:sz="6" w:space="0" w:color="auto"/>
                          <w:right w:val="nil" w:sz="6" w:space="0" w:color="auto"/>
                        </w:tcBorders>
                      </w:tcPr>
                      <w:p>
                        <w:pPr/>
                      </w:p>
                    </w:tc>
                    <w:tc>
                      <w:tcPr>
                        <w:tcW w:w="1063"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32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13" w:hRule="exact"/>
                    </w:trPr>
                    <w:tc>
                      <w:tcPr>
                        <w:tcW w:w="931" w:type="dxa"/>
                        <w:tcBorders>
                          <w:top w:val="single" w:sz="8" w:space="0" w:color="000000"/>
                          <w:left w:val="nil" w:sz="6" w:space="0" w:color="auto"/>
                          <w:bottom w:val="nil" w:sz="6" w:space="0" w:color="auto"/>
                          <w:right w:val="nil" w:sz="6" w:space="0" w:color="auto"/>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31" w:type="dxa"/>
                        <w:tcBorders>
                          <w:top w:val="single" w:sz="8"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41" w:type="dxa"/>
                        <w:tcBorders>
                          <w:top w:val="single" w:sz="8" w:space="0" w:color="000000"/>
                          <w:left w:val="nil" w:sz="6" w:space="0" w:color="auto"/>
                          <w:bottom w:val="nil" w:sz="6" w:space="0" w:color="auto"/>
                          <w:right w:val="nil" w:sz="6" w:space="0" w:color="auto"/>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103,270,619.04</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single" w:sz="8" w:space="0" w:color="000000"/>
                          <w:left w:val="nil" w:sz="6" w:space="0" w:color="auto"/>
                          <w:bottom w:val="nil" w:sz="6" w:space="0" w:color="auto"/>
                          <w:right w:val="nil" w:sz="6" w:space="0" w:color="auto"/>
                        </w:tcBorders>
                      </w:tcPr>
                      <w:p>
                        <w:pPr>
                          <w:pStyle w:val="TableParagraph"/>
                          <w:spacing w:line="263" w:lineRule="exact"/>
                          <w:ind w:right="104"/>
                          <w:jc w:val="right"/>
                          <w:rPr>
                            <w:rFonts w:ascii="宋体" w:hAnsi="宋体" w:cs="宋体" w:eastAsia="宋体" w:hint="default"/>
                            <w:sz w:val="21"/>
                            <w:szCs w:val="21"/>
                          </w:rPr>
                        </w:pPr>
                        <w:r>
                          <w:rPr>
                            <w:rFonts w:ascii="宋体"/>
                            <w:sz w:val="21"/>
                          </w:rPr>
                          <w:t>94.97%</w:t>
                        </w:r>
                      </w:p>
                    </w:tc>
                    <w:tc>
                      <w:tcPr>
                        <w:tcW w:w="353" w:type="dxa"/>
                        <w:tcBorders>
                          <w:top w:val="nil" w:sz="6" w:space="0" w:color="auto"/>
                          <w:left w:val="nil" w:sz="6" w:space="0" w:color="auto"/>
                          <w:bottom w:val="nil" w:sz="6" w:space="0" w:color="auto"/>
                          <w:right w:val="nil" w:sz="6" w:space="0" w:color="auto"/>
                        </w:tcBorders>
                      </w:tcPr>
                      <w:p>
                        <w:pPr/>
                      </w:p>
                    </w:tc>
                    <w:tc>
                      <w:tcPr>
                        <w:tcW w:w="1916" w:type="dxa"/>
                        <w:tcBorders>
                          <w:top w:val="single" w:sz="8" w:space="0" w:color="000000"/>
                          <w:left w:val="nil" w:sz="6" w:space="0" w:color="auto"/>
                          <w:bottom w:val="nil" w:sz="6" w:space="0" w:color="auto"/>
                          <w:right w:val="nil" w:sz="6" w:space="0" w:color="auto"/>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63,075,826.67</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single" w:sz="8" w:space="0" w:color="000000"/>
                          <w:left w:val="nil" w:sz="6" w:space="0" w:color="auto"/>
                          <w:bottom w:val="nil" w:sz="6" w:space="0" w:color="auto"/>
                          <w:right w:val="nil" w:sz="6" w:space="0" w:color="auto"/>
                        </w:tcBorders>
                      </w:tcPr>
                      <w:p>
                        <w:pPr>
                          <w:pStyle w:val="TableParagraph"/>
                          <w:spacing w:line="263" w:lineRule="exact"/>
                          <w:ind w:right="0"/>
                          <w:jc w:val="right"/>
                          <w:rPr>
                            <w:rFonts w:ascii="宋体" w:hAnsi="宋体" w:cs="宋体" w:eastAsia="宋体" w:hint="default"/>
                            <w:sz w:val="21"/>
                            <w:szCs w:val="21"/>
                          </w:rPr>
                        </w:pPr>
                        <w:r>
                          <w:rPr>
                            <w:rFonts w:ascii="宋体"/>
                            <w:sz w:val="21"/>
                          </w:rPr>
                          <w:t>99.43%</w:t>
                        </w:r>
                      </w:p>
                    </w:tc>
                  </w:tr>
                  <w:tr>
                    <w:trPr>
                      <w:trHeight w:val="312"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52"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93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71" w:lineRule="exact"/>
                          <w:ind w:right="103"/>
                          <w:jc w:val="right"/>
                          <w:rPr>
                            <w:rFonts w:ascii="宋体" w:hAnsi="宋体" w:cs="宋体" w:eastAsia="宋体" w:hint="default"/>
                            <w:sz w:val="21"/>
                            <w:szCs w:val="21"/>
                          </w:rPr>
                        </w:pPr>
                        <w:r>
                          <w:rPr>
                            <w:rFonts w:ascii="宋体"/>
                            <w:spacing w:val="-1"/>
                            <w:sz w:val="21"/>
                          </w:rPr>
                          <w:t>5,335,176.83</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71" w:lineRule="exact"/>
                          <w:ind w:right="104"/>
                          <w:jc w:val="right"/>
                          <w:rPr>
                            <w:rFonts w:ascii="宋体" w:hAnsi="宋体" w:cs="宋体" w:eastAsia="宋体" w:hint="default"/>
                            <w:sz w:val="21"/>
                            <w:szCs w:val="21"/>
                          </w:rPr>
                        </w:pPr>
                        <w:r>
                          <w:rPr>
                            <w:rFonts w:ascii="宋体"/>
                            <w:sz w:val="21"/>
                          </w:rPr>
                          <w:t>4.91%</w:t>
                        </w:r>
                      </w:p>
                    </w:tc>
                    <w:tc>
                      <w:tcPr>
                        <w:tcW w:w="35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pacing w:val="-1"/>
                            <w:sz w:val="21"/>
                          </w:rPr>
                          <w:t>287,307.40</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0.45%</w:t>
                        </w:r>
                      </w:p>
                    </w:tc>
                  </w:tr>
                  <w:tr>
                    <w:trPr>
                      <w:trHeight w:val="312"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52" w:lineRule="exact"/>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93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71" w:lineRule="exact"/>
                          <w:ind w:right="103"/>
                          <w:jc w:val="right"/>
                          <w:rPr>
                            <w:rFonts w:ascii="宋体" w:hAnsi="宋体" w:cs="宋体" w:eastAsia="宋体" w:hint="default"/>
                            <w:sz w:val="21"/>
                            <w:szCs w:val="21"/>
                          </w:rPr>
                        </w:pPr>
                        <w:r>
                          <w:rPr>
                            <w:rFonts w:ascii="宋体"/>
                            <w:spacing w:val="-1"/>
                            <w:sz w:val="21"/>
                          </w:rPr>
                          <w:t>76,550.65</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71" w:lineRule="exact"/>
                          <w:ind w:right="104"/>
                          <w:jc w:val="right"/>
                          <w:rPr>
                            <w:rFonts w:ascii="宋体" w:hAnsi="宋体" w:cs="宋体" w:eastAsia="宋体" w:hint="default"/>
                            <w:sz w:val="21"/>
                            <w:szCs w:val="21"/>
                          </w:rPr>
                        </w:pPr>
                        <w:r>
                          <w:rPr>
                            <w:rFonts w:ascii="宋体"/>
                            <w:sz w:val="21"/>
                          </w:rPr>
                          <w:t>0.07%</w:t>
                        </w:r>
                      </w:p>
                    </w:tc>
                    <w:tc>
                      <w:tcPr>
                        <w:tcW w:w="35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pacing w:val="-1"/>
                            <w:sz w:val="21"/>
                          </w:rPr>
                          <w:t>69,948.64</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0.11%</w:t>
                        </w:r>
                      </w:p>
                    </w:tc>
                  </w:tr>
                  <w:tr>
                    <w:trPr>
                      <w:trHeight w:val="333"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52" w:lineRule="exact"/>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3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8" w:space="0" w:color="000000"/>
                          <w:right w:val="nil" w:sz="6" w:space="0" w:color="auto"/>
                        </w:tcBorders>
                      </w:tcPr>
                      <w:p>
                        <w:pPr>
                          <w:pStyle w:val="TableParagraph"/>
                          <w:spacing w:line="271" w:lineRule="exact"/>
                          <w:ind w:right="103"/>
                          <w:jc w:val="right"/>
                          <w:rPr>
                            <w:rFonts w:ascii="宋体" w:hAnsi="宋体" w:cs="宋体" w:eastAsia="宋体" w:hint="default"/>
                            <w:sz w:val="21"/>
                            <w:szCs w:val="21"/>
                          </w:rPr>
                        </w:pPr>
                        <w:r>
                          <w:rPr>
                            <w:rFonts w:ascii="宋体"/>
                            <w:spacing w:val="-1"/>
                            <w:sz w:val="21"/>
                          </w:rPr>
                          <w:t>59,589.84</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8" w:space="0" w:color="000000"/>
                          <w:right w:val="nil" w:sz="6" w:space="0" w:color="auto"/>
                        </w:tcBorders>
                      </w:tcPr>
                      <w:p>
                        <w:pPr>
                          <w:pStyle w:val="TableParagraph"/>
                          <w:spacing w:line="271" w:lineRule="exact"/>
                          <w:ind w:right="104"/>
                          <w:jc w:val="right"/>
                          <w:rPr>
                            <w:rFonts w:ascii="宋体" w:hAnsi="宋体" w:cs="宋体" w:eastAsia="宋体" w:hint="default"/>
                            <w:sz w:val="21"/>
                            <w:szCs w:val="21"/>
                          </w:rPr>
                        </w:pPr>
                        <w:r>
                          <w:rPr>
                            <w:rFonts w:ascii="宋体"/>
                            <w:sz w:val="21"/>
                          </w:rPr>
                          <w:t>0.05%</w:t>
                        </w:r>
                      </w:p>
                    </w:tc>
                    <w:tc>
                      <w:tcPr>
                        <w:tcW w:w="353"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8" w:space="0" w:color="000000"/>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pacing w:val="-1"/>
                            <w:sz w:val="21"/>
                          </w:rPr>
                          <w:t>6,450.00</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8" w:space="0" w:color="000000"/>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0.01%</w:t>
                        </w:r>
                      </w:p>
                    </w:tc>
                  </w:tr>
                  <w:tr>
                    <w:trPr>
                      <w:trHeight w:val="346"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70" w:lineRule="exact"/>
                          <w:ind w:right="50"/>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931" w:type="dxa"/>
                        <w:tcBorders>
                          <w:top w:val="nil" w:sz="6" w:space="0" w:color="auto"/>
                          <w:left w:val="nil" w:sz="6" w:space="0" w:color="auto"/>
                          <w:bottom w:val="nil" w:sz="6" w:space="0" w:color="auto"/>
                          <w:right w:val="nil" w:sz="6" w:space="0" w:color="auto"/>
                        </w:tcBorders>
                      </w:tcPr>
                      <w:p>
                        <w:pPr>
                          <w:pStyle w:val="TableParagraph"/>
                          <w:spacing w:line="270"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23" w:type="dxa"/>
                        <w:tcBorders>
                          <w:top w:val="nil" w:sz="6" w:space="0" w:color="auto"/>
                          <w:left w:val="nil" w:sz="6" w:space="0" w:color="auto"/>
                          <w:bottom w:val="nil" w:sz="6" w:space="0" w:color="auto"/>
                          <w:right w:val="nil" w:sz="6" w:space="0" w:color="auto"/>
                        </w:tcBorders>
                      </w:tcPr>
                      <w:p>
                        <w:pPr/>
                      </w:p>
                    </w:tc>
                    <w:tc>
                      <w:tcPr>
                        <w:tcW w:w="1841" w:type="dxa"/>
                        <w:tcBorders>
                          <w:top w:val="single" w:sz="8" w:space="0" w:color="000000"/>
                          <w:left w:val="nil" w:sz="6" w:space="0" w:color="auto"/>
                          <w:bottom w:val="single" w:sz="17" w:space="0" w:color="000000"/>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108,741,936.36</w:t>
                        </w:r>
                      </w:p>
                    </w:tc>
                    <w:tc>
                      <w:tcPr>
                        <w:tcW w:w="216" w:type="dxa"/>
                        <w:tcBorders>
                          <w:top w:val="nil" w:sz="6" w:space="0" w:color="auto"/>
                          <w:left w:val="nil" w:sz="6" w:space="0" w:color="auto"/>
                          <w:bottom w:val="nil" w:sz="6" w:space="0" w:color="auto"/>
                          <w:right w:val="nil" w:sz="6" w:space="0" w:color="auto"/>
                        </w:tcBorders>
                      </w:tcPr>
                      <w:p>
                        <w:pPr/>
                      </w:p>
                    </w:tc>
                    <w:tc>
                      <w:tcPr>
                        <w:tcW w:w="1181" w:type="dxa"/>
                        <w:tcBorders>
                          <w:top w:val="single" w:sz="8" w:space="0" w:color="000000"/>
                          <w:left w:val="nil" w:sz="6" w:space="0" w:color="auto"/>
                          <w:bottom w:val="single" w:sz="17"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100.00%</w:t>
                        </w:r>
                      </w:p>
                    </w:tc>
                    <w:tc>
                      <w:tcPr>
                        <w:tcW w:w="353" w:type="dxa"/>
                        <w:tcBorders>
                          <w:top w:val="nil" w:sz="6" w:space="0" w:color="auto"/>
                          <w:left w:val="nil" w:sz="6" w:space="0" w:color="auto"/>
                          <w:bottom w:val="nil" w:sz="6" w:space="0" w:color="auto"/>
                          <w:right w:val="nil" w:sz="6" w:space="0" w:color="auto"/>
                        </w:tcBorders>
                      </w:tcPr>
                      <w:p>
                        <w:pPr/>
                      </w:p>
                    </w:tc>
                    <w:tc>
                      <w:tcPr>
                        <w:tcW w:w="1916" w:type="dxa"/>
                        <w:tcBorders>
                          <w:top w:val="single" w:sz="8" w:space="0" w:color="000000"/>
                          <w:left w:val="nil" w:sz="6" w:space="0" w:color="auto"/>
                          <w:bottom w:val="single" w:sz="17"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63,439,532.71</w:t>
                        </w:r>
                      </w:p>
                    </w:tc>
                    <w:tc>
                      <w:tcPr>
                        <w:tcW w:w="228" w:type="dxa"/>
                        <w:tcBorders>
                          <w:top w:val="nil" w:sz="6" w:space="0" w:color="auto"/>
                          <w:left w:val="nil" w:sz="6" w:space="0" w:color="auto"/>
                          <w:bottom w:val="nil" w:sz="6" w:space="0" w:color="auto"/>
                          <w:right w:val="nil" w:sz="6" w:space="0" w:color="auto"/>
                        </w:tcBorders>
                      </w:tcPr>
                      <w:p>
                        <w:pPr/>
                      </w:p>
                    </w:tc>
                    <w:tc>
                      <w:tcPr>
                        <w:tcW w:w="1063" w:type="dxa"/>
                        <w:tcBorders>
                          <w:top w:val="single" w:sz="8" w:space="0" w:color="000000"/>
                          <w:left w:val="nil" w:sz="6" w:space="0" w:color="auto"/>
                          <w:bottom w:val="single" w:sz="17"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100.00%</w:t>
                        </w:r>
                      </w:p>
                    </w:tc>
                  </w:tr>
                </w:tbl>
                <w:p>
                  <w:pPr/>
                </w:p>
              </w:txbxContent>
            </v:textbox>
            <w10:wrap type="none"/>
          </v:shape>
        </w:pict>
      </w: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9"/>
          <w:szCs w:val="19"/>
        </w:rPr>
      </w:pPr>
    </w:p>
    <w:p>
      <w:pPr>
        <w:tabs>
          <w:tab w:pos="3793" w:val="left" w:leader="none"/>
        </w:tabs>
        <w:spacing w:before="0"/>
        <w:ind w:left="212" w:right="0"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after="0"/>
        <w:jc w:val="left"/>
        <w:rPr>
          <w:rFonts w:ascii="宋体" w:hAnsi="宋体" w:cs="宋体" w:eastAsia="宋体" w:hint="default"/>
          <w:sz w:val="21"/>
          <w:szCs w:val="21"/>
        </w:rPr>
        <w:sectPr>
          <w:type w:val="continuous"/>
          <w:pgSz w:w="11910" w:h="16840"/>
          <w:pgMar w:top="700" w:bottom="0" w:left="1220" w:right="0"/>
          <w:cols w:num="2" w:equalWidth="0">
            <w:col w:w="3523" w:space="40"/>
            <w:col w:w="712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1362" w:val="left" w:leader="none"/>
        </w:tabs>
        <w:spacing w:line="244" w:lineRule="auto" w:before="26"/>
        <w:ind w:left="882" w:right="5481"/>
        <w:jc w:val="left"/>
      </w:pPr>
      <w:r>
        <w:rPr/>
        <w:t>⑶</w:t>
        <w:tab/>
        <w:t>坏账准备的计提情况 按账龄分析法计提坏账准备的应收账款：</w:t>
      </w:r>
    </w:p>
    <w:p>
      <w:pPr>
        <w:spacing w:line="240" w:lineRule="auto" w:before="7"/>
        <w:rPr>
          <w:rFonts w:ascii="宋体" w:hAnsi="宋体" w:cs="宋体" w:eastAsia="宋体" w:hint="default"/>
          <w:sz w:val="12"/>
          <w:szCs w:val="12"/>
        </w:rPr>
      </w:pPr>
    </w:p>
    <w:tbl>
      <w:tblPr>
        <w:tblW w:w="0" w:type="auto"/>
        <w:jc w:val="left"/>
        <w:tblInd w:w="438" w:type="dxa"/>
        <w:tblLayout w:type="fixed"/>
        <w:tblCellMar>
          <w:top w:w="0" w:type="dxa"/>
          <w:left w:w="0" w:type="dxa"/>
          <w:bottom w:w="0" w:type="dxa"/>
          <w:right w:w="0" w:type="dxa"/>
        </w:tblCellMar>
        <w:tblLook w:val="01E0"/>
      </w:tblPr>
      <w:tblGrid>
        <w:gridCol w:w="996"/>
        <w:gridCol w:w="221"/>
        <w:gridCol w:w="1390"/>
        <w:gridCol w:w="151"/>
        <w:gridCol w:w="840"/>
        <w:gridCol w:w="142"/>
        <w:gridCol w:w="1308"/>
        <w:gridCol w:w="168"/>
        <w:gridCol w:w="1385"/>
        <w:gridCol w:w="161"/>
        <w:gridCol w:w="857"/>
        <w:gridCol w:w="173"/>
        <w:gridCol w:w="1306"/>
      </w:tblGrid>
      <w:tr>
        <w:trPr>
          <w:trHeight w:val="217" w:hRule="exact"/>
        </w:trPr>
        <w:tc>
          <w:tcPr>
            <w:tcW w:w="996"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8" w:space="0" w:color="000000"/>
              <w:right w:val="nil" w:sz="6" w:space="0" w:color="auto"/>
            </w:tcBorders>
          </w:tcPr>
          <w:p>
            <w:pPr/>
          </w:p>
        </w:tc>
        <w:tc>
          <w:tcPr>
            <w:tcW w:w="151" w:type="dxa"/>
            <w:tcBorders>
              <w:top w:val="nil" w:sz="6" w:space="0" w:color="auto"/>
              <w:left w:val="nil" w:sz="6" w:space="0" w:color="auto"/>
              <w:bottom w:val="single" w:sz="8" w:space="0" w:color="000000"/>
              <w:right w:val="nil" w:sz="6" w:space="0" w:color="auto"/>
            </w:tcBorders>
          </w:tcPr>
          <w:p>
            <w:pPr/>
          </w:p>
        </w:tc>
        <w:tc>
          <w:tcPr>
            <w:tcW w:w="840" w:type="dxa"/>
            <w:tcBorders>
              <w:top w:val="nil" w:sz="6" w:space="0" w:color="auto"/>
              <w:left w:val="nil" w:sz="6" w:space="0" w:color="auto"/>
              <w:bottom w:val="single" w:sz="8" w:space="0" w:color="000000"/>
              <w:right w:val="nil" w:sz="6" w:space="0" w:color="auto"/>
            </w:tcBorders>
          </w:tcPr>
          <w:p>
            <w:pPr>
              <w:pStyle w:val="TableParagraph"/>
              <w:spacing w:line="180" w:lineRule="exact"/>
              <w:ind w:left="129"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42" w:type="dxa"/>
            <w:tcBorders>
              <w:top w:val="nil" w:sz="6" w:space="0" w:color="auto"/>
              <w:left w:val="nil" w:sz="6" w:space="0" w:color="auto"/>
              <w:bottom w:val="single" w:sz="8" w:space="0" w:color="000000"/>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8" w:space="0" w:color="000000"/>
              <w:right w:val="nil" w:sz="6" w:space="0" w:color="auto"/>
            </w:tcBorders>
          </w:tcPr>
          <w:p>
            <w:pPr/>
          </w:p>
        </w:tc>
        <w:tc>
          <w:tcPr>
            <w:tcW w:w="161" w:type="dxa"/>
            <w:tcBorders>
              <w:top w:val="nil" w:sz="6" w:space="0" w:color="auto"/>
              <w:left w:val="nil" w:sz="6" w:space="0" w:color="auto"/>
              <w:bottom w:val="single" w:sz="8" w:space="0" w:color="000000"/>
              <w:right w:val="nil" w:sz="6" w:space="0" w:color="auto"/>
            </w:tcBorders>
          </w:tcPr>
          <w:p>
            <w:pPr/>
          </w:p>
        </w:tc>
        <w:tc>
          <w:tcPr>
            <w:tcW w:w="857" w:type="dxa"/>
            <w:tcBorders>
              <w:top w:val="nil" w:sz="6" w:space="0" w:color="auto"/>
              <w:left w:val="nil" w:sz="6" w:space="0" w:color="auto"/>
              <w:bottom w:val="single" w:sz="8" w:space="0" w:color="000000"/>
              <w:right w:val="nil" w:sz="6" w:space="0" w:color="auto"/>
            </w:tcBorders>
          </w:tcPr>
          <w:p>
            <w:pPr>
              <w:pStyle w:val="TableParagraph"/>
              <w:spacing w:line="180" w:lineRule="exact"/>
              <w:ind w:left="14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73" w:type="dxa"/>
            <w:tcBorders>
              <w:top w:val="nil" w:sz="6" w:space="0" w:color="auto"/>
              <w:left w:val="nil" w:sz="6" w:space="0" w:color="auto"/>
              <w:bottom w:val="single" w:sz="8" w:space="0" w:color="000000"/>
              <w:right w:val="nil" w:sz="6" w:space="0" w:color="auto"/>
            </w:tcBorders>
          </w:tcPr>
          <w:p>
            <w:pPr/>
          </w:p>
        </w:tc>
        <w:tc>
          <w:tcPr>
            <w:tcW w:w="1306" w:type="dxa"/>
            <w:tcBorders>
              <w:top w:val="nil" w:sz="6" w:space="0" w:color="auto"/>
              <w:left w:val="nil" w:sz="6" w:space="0" w:color="auto"/>
              <w:bottom w:val="single" w:sz="8" w:space="0" w:color="000000"/>
              <w:right w:val="nil" w:sz="6" w:space="0" w:color="auto"/>
            </w:tcBorders>
          </w:tcPr>
          <w:p>
            <w:pPr/>
          </w:p>
        </w:tc>
      </w:tr>
      <w:tr>
        <w:trPr>
          <w:trHeight w:val="360" w:hRule="exact"/>
        </w:trPr>
        <w:tc>
          <w:tcPr>
            <w:tcW w:w="996"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381" w:type="dxa"/>
            <w:gridSpan w:val="3"/>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5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 w:type="dxa"/>
            <w:tcBorders>
              <w:top w:val="single" w:sz="8" w:space="0" w:color="000000"/>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nil" w:sz="6" w:space="0" w:color="auto"/>
              <w:right w:val="nil" w:sz="6" w:space="0" w:color="auto"/>
            </w:tcBorders>
          </w:tcPr>
          <w:p>
            <w:pPr/>
          </w:p>
        </w:tc>
        <w:tc>
          <w:tcPr>
            <w:tcW w:w="25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7"/>
              <w:ind w:left="10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 w:type="dxa"/>
            <w:tcBorders>
              <w:top w:val="single" w:sz="8" w:space="0" w:color="000000"/>
              <w:left w:val="nil" w:sz="6" w:space="0" w:color="auto"/>
              <w:bottom w:val="nil" w:sz="6" w:space="0" w:color="auto"/>
              <w:right w:val="nil" w:sz="6" w:space="0" w:color="auto"/>
            </w:tcBorders>
          </w:tcPr>
          <w:p>
            <w:pPr/>
          </w:p>
        </w:tc>
        <w:tc>
          <w:tcPr>
            <w:tcW w:w="1306" w:type="dxa"/>
            <w:tcBorders>
              <w:top w:val="single" w:sz="8" w:space="0" w:color="000000"/>
              <w:left w:val="nil" w:sz="6" w:space="0" w:color="auto"/>
              <w:bottom w:val="nil" w:sz="6" w:space="0" w:color="auto"/>
              <w:right w:val="nil" w:sz="6" w:space="0" w:color="auto"/>
            </w:tcBorders>
          </w:tcPr>
          <w:p>
            <w:pPr/>
          </w:p>
        </w:tc>
      </w:tr>
      <w:tr>
        <w:trPr>
          <w:trHeight w:val="360" w:hRule="exact"/>
        </w:trPr>
        <w:tc>
          <w:tcPr>
            <w:tcW w:w="996"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245"/>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221" w:type="dxa"/>
            <w:tcBorders>
              <w:top w:val="nil" w:sz="6" w:space="0" w:color="auto"/>
              <w:left w:val="nil" w:sz="6" w:space="0" w:color="auto"/>
              <w:bottom w:val="nil" w:sz="6" w:space="0" w:color="auto"/>
              <w:right w:val="nil" w:sz="6" w:space="0" w:color="auto"/>
            </w:tcBorders>
          </w:tcPr>
          <w:p>
            <w:pPr/>
          </w:p>
        </w:tc>
        <w:tc>
          <w:tcPr>
            <w:tcW w:w="139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4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 w:type="dxa"/>
            <w:tcBorders>
              <w:top w:val="single" w:sz="8" w:space="0" w:color="000000"/>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3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 w:type="dxa"/>
            <w:tcBorders>
              <w:top w:val="nil" w:sz="6" w:space="0" w:color="auto"/>
              <w:left w:val="nil" w:sz="6" w:space="0" w:color="auto"/>
              <w:bottom w:val="nil" w:sz="6" w:space="0" w:color="auto"/>
              <w:right w:val="nil" w:sz="6" w:space="0" w:color="auto"/>
            </w:tcBorders>
          </w:tcPr>
          <w:p>
            <w:pPr/>
          </w:p>
        </w:tc>
        <w:tc>
          <w:tcPr>
            <w:tcW w:w="1385"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4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 w:type="dxa"/>
            <w:tcBorders>
              <w:top w:val="single" w:sz="8" w:space="0" w:color="000000"/>
              <w:left w:val="nil" w:sz="6" w:space="0" w:color="auto"/>
              <w:bottom w:val="nil" w:sz="6" w:space="0" w:color="auto"/>
              <w:right w:val="nil" w:sz="6" w:space="0" w:color="auto"/>
            </w:tcBorders>
          </w:tcPr>
          <w:p>
            <w:pPr/>
          </w:p>
        </w:tc>
        <w:tc>
          <w:tcPr>
            <w:tcW w:w="857"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6" w:hRule="exact"/>
        </w:trPr>
        <w:tc>
          <w:tcPr>
            <w:tcW w:w="996"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26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1" w:type="dxa"/>
            <w:tcBorders>
              <w:top w:val="nil" w:sz="6" w:space="0" w:color="auto"/>
              <w:left w:val="nil" w:sz="6" w:space="0" w:color="auto"/>
              <w:bottom w:val="nil" w:sz="6" w:space="0" w:color="auto"/>
              <w:right w:val="nil" w:sz="6" w:space="0" w:color="auto"/>
            </w:tcBorders>
          </w:tcPr>
          <w:p>
            <w:pPr/>
          </w:p>
        </w:tc>
        <w:tc>
          <w:tcPr>
            <w:tcW w:w="1390"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right="56"/>
              <w:jc w:val="right"/>
              <w:rPr>
                <w:rFonts w:ascii="宋体" w:hAnsi="宋体" w:cs="宋体" w:eastAsia="宋体" w:hint="default"/>
                <w:sz w:val="18"/>
                <w:szCs w:val="18"/>
              </w:rPr>
            </w:pPr>
            <w:r>
              <w:rPr>
                <w:rFonts w:ascii="宋体"/>
                <w:spacing w:val="-1"/>
                <w:sz w:val="18"/>
              </w:rPr>
              <w:t>103,270,619.04</w:t>
            </w:r>
          </w:p>
        </w:tc>
        <w:tc>
          <w:tcPr>
            <w:tcW w:w="151"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right="40"/>
              <w:jc w:val="right"/>
              <w:rPr>
                <w:rFonts w:ascii="宋体" w:hAnsi="宋体" w:cs="宋体" w:eastAsia="宋体" w:hint="default"/>
                <w:sz w:val="18"/>
                <w:szCs w:val="18"/>
              </w:rPr>
            </w:pPr>
            <w:r>
              <w:rPr>
                <w:rFonts w:ascii="宋体"/>
                <w:spacing w:val="-1"/>
                <w:sz w:val="18"/>
              </w:rPr>
              <w:t>94.97%</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8"/>
                <w:szCs w:val="18"/>
              </w:rPr>
            </w:pPr>
            <w:r>
              <w:rPr>
                <w:rFonts w:ascii="宋体"/>
                <w:spacing w:val="-1"/>
                <w:sz w:val="18"/>
              </w:rPr>
              <w:t>5,163,530.95</w:t>
            </w:r>
          </w:p>
        </w:tc>
        <w:tc>
          <w:tcPr>
            <w:tcW w:w="168" w:type="dxa"/>
            <w:tcBorders>
              <w:top w:val="nil" w:sz="6" w:space="0" w:color="auto"/>
              <w:left w:val="nil" w:sz="6" w:space="0" w:color="auto"/>
              <w:bottom w:val="nil" w:sz="6" w:space="0" w:color="auto"/>
              <w:right w:val="nil" w:sz="6" w:space="0" w:color="auto"/>
            </w:tcBorders>
          </w:tcPr>
          <w:p>
            <w:pPr/>
          </w:p>
        </w:tc>
        <w:tc>
          <w:tcPr>
            <w:tcW w:w="1385"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8"/>
                <w:szCs w:val="18"/>
              </w:rPr>
            </w:pPr>
            <w:r>
              <w:rPr>
                <w:rFonts w:ascii="宋体"/>
                <w:spacing w:val="-1"/>
                <w:sz w:val="18"/>
              </w:rPr>
              <w:t>63,075,826.67</w:t>
            </w:r>
          </w:p>
        </w:tc>
        <w:tc>
          <w:tcPr>
            <w:tcW w:w="161" w:type="dxa"/>
            <w:tcBorders>
              <w:top w:val="nil" w:sz="6" w:space="0" w:color="auto"/>
              <w:left w:val="nil" w:sz="6" w:space="0" w:color="auto"/>
              <w:bottom w:val="nil" w:sz="6" w:space="0" w:color="auto"/>
              <w:right w:val="nil" w:sz="6" w:space="0" w:color="auto"/>
            </w:tcBorders>
          </w:tcPr>
          <w:p>
            <w:pPr/>
          </w:p>
        </w:tc>
        <w:tc>
          <w:tcPr>
            <w:tcW w:w="857"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8"/>
                <w:szCs w:val="18"/>
              </w:rPr>
            </w:pPr>
            <w:r>
              <w:rPr>
                <w:rFonts w:ascii="宋体"/>
                <w:spacing w:val="-1"/>
                <w:sz w:val="18"/>
              </w:rPr>
              <w:t>99.43%</w:t>
            </w:r>
          </w:p>
        </w:tc>
        <w:tc>
          <w:tcPr>
            <w:tcW w:w="173" w:type="dxa"/>
            <w:tcBorders>
              <w:top w:val="nil" w:sz="6" w:space="0" w:color="auto"/>
              <w:left w:val="nil" w:sz="6" w:space="0" w:color="auto"/>
              <w:bottom w:val="nil" w:sz="6" w:space="0" w:color="auto"/>
              <w:right w:val="nil" w:sz="6" w:space="0" w:color="auto"/>
            </w:tcBorders>
          </w:tcPr>
          <w:p>
            <w:pPr/>
          </w:p>
        </w:tc>
        <w:tc>
          <w:tcPr>
            <w:tcW w:w="1306"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8"/>
                <w:szCs w:val="18"/>
              </w:rPr>
            </w:pPr>
            <w:r>
              <w:rPr>
                <w:rFonts w:ascii="宋体"/>
                <w:spacing w:val="-1"/>
                <w:sz w:val="18"/>
              </w:rPr>
              <w:t>3,153,791.33</w:t>
            </w:r>
          </w:p>
        </w:tc>
      </w:tr>
      <w:tr>
        <w:trPr>
          <w:trHeight w:val="341"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33" w:lineRule="exact"/>
              <w:ind w:right="26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pacing w:val="-1"/>
                <w:sz w:val="18"/>
              </w:rPr>
              <w:t>5,335,176.83</w:t>
            </w:r>
          </w:p>
        </w:tc>
        <w:tc>
          <w:tcPr>
            <w:tcW w:w="15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
              <w:jc w:val="right"/>
              <w:rPr>
                <w:rFonts w:ascii="宋体" w:hAnsi="宋体" w:cs="宋体" w:eastAsia="宋体" w:hint="default"/>
                <w:sz w:val="18"/>
                <w:szCs w:val="18"/>
              </w:rPr>
            </w:pPr>
            <w:r>
              <w:rPr>
                <w:rFonts w:ascii="宋体"/>
                <w:sz w:val="18"/>
              </w:rPr>
              <w:t>4.91%</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pacing w:val="-1"/>
                <w:sz w:val="18"/>
              </w:rPr>
              <w:t>533,517.68</w:t>
            </w:r>
          </w:p>
        </w:tc>
        <w:tc>
          <w:tcPr>
            <w:tcW w:w="16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pacing w:val="-1"/>
                <w:sz w:val="18"/>
              </w:rPr>
              <w:t>287,307.40</w:t>
            </w:r>
          </w:p>
        </w:tc>
        <w:tc>
          <w:tcPr>
            <w:tcW w:w="161"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z w:val="18"/>
              </w:rPr>
              <w:t>0.45%</w:t>
            </w:r>
          </w:p>
        </w:tc>
        <w:tc>
          <w:tcPr>
            <w:tcW w:w="17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pacing w:val="-1"/>
                <w:sz w:val="18"/>
              </w:rPr>
              <w:t>28,730.75</w:t>
            </w:r>
          </w:p>
        </w:tc>
      </w:tr>
      <w:tr>
        <w:trPr>
          <w:trHeight w:val="340"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33" w:lineRule="exact"/>
              <w:ind w:right="262"/>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宋体" w:hAnsi="宋体" w:cs="宋体" w:eastAsia="宋体" w:hint="default"/>
                <w:sz w:val="18"/>
                <w:szCs w:val="18"/>
              </w:rPr>
            </w:pPr>
            <w:r>
              <w:rPr>
                <w:rFonts w:ascii="宋体"/>
                <w:spacing w:val="-1"/>
                <w:sz w:val="18"/>
              </w:rPr>
              <w:t>76,550.65</w:t>
            </w:r>
          </w:p>
        </w:tc>
        <w:tc>
          <w:tcPr>
            <w:tcW w:w="15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宋体" w:hAnsi="宋体" w:cs="宋体" w:eastAsia="宋体" w:hint="default"/>
                <w:sz w:val="18"/>
                <w:szCs w:val="18"/>
              </w:rPr>
            </w:pPr>
            <w:r>
              <w:rPr>
                <w:rFonts w:ascii="宋体"/>
                <w:sz w:val="18"/>
              </w:rPr>
              <w:t>0.07%</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宋体" w:hAnsi="宋体" w:cs="宋体" w:eastAsia="宋体" w:hint="default"/>
                <w:sz w:val="18"/>
                <w:szCs w:val="18"/>
              </w:rPr>
            </w:pPr>
            <w:r>
              <w:rPr>
                <w:rFonts w:ascii="宋体"/>
                <w:spacing w:val="-1"/>
                <w:sz w:val="18"/>
              </w:rPr>
              <w:t>15,310.13</w:t>
            </w:r>
          </w:p>
        </w:tc>
        <w:tc>
          <w:tcPr>
            <w:tcW w:w="16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宋体" w:hAnsi="宋体" w:cs="宋体" w:eastAsia="宋体" w:hint="default"/>
                <w:sz w:val="18"/>
                <w:szCs w:val="18"/>
              </w:rPr>
            </w:pPr>
            <w:r>
              <w:rPr>
                <w:rFonts w:ascii="宋体"/>
                <w:spacing w:val="-1"/>
                <w:sz w:val="18"/>
              </w:rPr>
              <w:t>69,948.64</w:t>
            </w:r>
          </w:p>
        </w:tc>
        <w:tc>
          <w:tcPr>
            <w:tcW w:w="161"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宋体" w:hAnsi="宋体" w:cs="宋体" w:eastAsia="宋体" w:hint="default"/>
                <w:sz w:val="18"/>
                <w:szCs w:val="18"/>
              </w:rPr>
            </w:pPr>
            <w:r>
              <w:rPr>
                <w:rFonts w:ascii="宋体"/>
                <w:sz w:val="18"/>
              </w:rPr>
              <w:t>0.11%</w:t>
            </w:r>
          </w:p>
        </w:tc>
        <w:tc>
          <w:tcPr>
            <w:tcW w:w="17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宋体" w:hAnsi="宋体" w:cs="宋体" w:eastAsia="宋体" w:hint="default"/>
                <w:sz w:val="18"/>
                <w:szCs w:val="18"/>
              </w:rPr>
            </w:pPr>
            <w:r>
              <w:rPr>
                <w:rFonts w:ascii="宋体"/>
                <w:spacing w:val="-1"/>
                <w:sz w:val="18"/>
              </w:rPr>
              <w:t>13,989.73</w:t>
            </w:r>
          </w:p>
        </w:tc>
      </w:tr>
      <w:tr>
        <w:trPr>
          <w:trHeight w:val="32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34" w:lineRule="exact"/>
              <w:ind w:right="26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55"/>
              <w:jc w:val="right"/>
              <w:rPr>
                <w:rFonts w:ascii="宋体" w:hAnsi="宋体" w:cs="宋体" w:eastAsia="宋体" w:hint="default"/>
                <w:sz w:val="18"/>
                <w:szCs w:val="18"/>
              </w:rPr>
            </w:pPr>
            <w:r>
              <w:rPr>
                <w:rFonts w:ascii="宋体"/>
                <w:spacing w:val="-1"/>
                <w:sz w:val="18"/>
              </w:rPr>
              <w:t>59,589.84</w:t>
            </w:r>
          </w:p>
        </w:tc>
        <w:tc>
          <w:tcPr>
            <w:tcW w:w="151"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40"/>
              <w:jc w:val="right"/>
              <w:rPr>
                <w:rFonts w:ascii="宋体" w:hAnsi="宋体" w:cs="宋体" w:eastAsia="宋体" w:hint="default"/>
                <w:sz w:val="18"/>
                <w:szCs w:val="18"/>
              </w:rPr>
            </w:pPr>
            <w:r>
              <w:rPr>
                <w:rFonts w:ascii="宋体"/>
                <w:sz w:val="18"/>
              </w:rPr>
              <w:t>0.05%</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55"/>
              <w:jc w:val="right"/>
              <w:rPr>
                <w:rFonts w:ascii="宋体" w:hAnsi="宋体" w:cs="宋体" w:eastAsia="宋体" w:hint="default"/>
                <w:sz w:val="18"/>
                <w:szCs w:val="18"/>
              </w:rPr>
            </w:pPr>
            <w:r>
              <w:rPr>
                <w:rFonts w:ascii="宋体"/>
                <w:spacing w:val="-1"/>
                <w:sz w:val="18"/>
              </w:rPr>
              <w:t>29,794.92</w:t>
            </w:r>
          </w:p>
        </w:tc>
        <w:tc>
          <w:tcPr>
            <w:tcW w:w="16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55"/>
              <w:jc w:val="right"/>
              <w:rPr>
                <w:rFonts w:ascii="宋体" w:hAnsi="宋体" w:cs="宋体" w:eastAsia="宋体" w:hint="default"/>
                <w:sz w:val="18"/>
                <w:szCs w:val="18"/>
              </w:rPr>
            </w:pPr>
            <w:r>
              <w:rPr>
                <w:rFonts w:ascii="宋体"/>
                <w:spacing w:val="-1"/>
                <w:sz w:val="18"/>
              </w:rPr>
              <w:t>6,450.00</w:t>
            </w:r>
          </w:p>
        </w:tc>
        <w:tc>
          <w:tcPr>
            <w:tcW w:w="161"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55"/>
              <w:jc w:val="right"/>
              <w:rPr>
                <w:rFonts w:ascii="宋体" w:hAnsi="宋体" w:cs="宋体" w:eastAsia="宋体" w:hint="default"/>
                <w:sz w:val="18"/>
                <w:szCs w:val="18"/>
              </w:rPr>
            </w:pPr>
            <w:r>
              <w:rPr>
                <w:rFonts w:ascii="宋体"/>
                <w:sz w:val="18"/>
              </w:rPr>
              <w:t>0.01%</w:t>
            </w:r>
          </w:p>
        </w:tc>
        <w:tc>
          <w:tcPr>
            <w:tcW w:w="17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55"/>
              <w:jc w:val="right"/>
              <w:rPr>
                <w:rFonts w:ascii="宋体" w:hAnsi="宋体" w:cs="宋体" w:eastAsia="宋体" w:hint="default"/>
                <w:sz w:val="18"/>
                <w:szCs w:val="18"/>
              </w:rPr>
            </w:pPr>
            <w:r>
              <w:rPr>
                <w:rFonts w:ascii="宋体"/>
                <w:spacing w:val="-1"/>
                <w:sz w:val="18"/>
              </w:rPr>
              <w:t>3,225.00</w:t>
            </w:r>
          </w:p>
        </w:tc>
      </w:tr>
      <w:tr>
        <w:trPr>
          <w:trHeight w:val="37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21" w:type="dxa"/>
            <w:tcBorders>
              <w:top w:val="nil" w:sz="6" w:space="0" w:color="auto"/>
              <w:left w:val="nil" w:sz="6" w:space="0" w:color="auto"/>
              <w:bottom w:val="nil" w:sz="6" w:space="0" w:color="auto"/>
              <w:right w:val="nil" w:sz="6" w:space="0" w:color="auto"/>
            </w:tcBorders>
          </w:tcPr>
          <w:p>
            <w:pPr/>
          </w:p>
        </w:tc>
        <w:tc>
          <w:tcPr>
            <w:tcW w:w="1390"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6"/>
              <w:jc w:val="right"/>
              <w:rPr>
                <w:rFonts w:ascii="宋体" w:hAnsi="宋体" w:cs="宋体" w:eastAsia="宋体" w:hint="default"/>
                <w:sz w:val="18"/>
                <w:szCs w:val="18"/>
              </w:rPr>
            </w:pPr>
            <w:r>
              <w:rPr>
                <w:rFonts w:ascii="宋体"/>
                <w:spacing w:val="-1"/>
                <w:sz w:val="18"/>
              </w:rPr>
              <w:t>108,741,936.36</w:t>
            </w:r>
          </w:p>
        </w:tc>
        <w:tc>
          <w:tcPr>
            <w:tcW w:w="151"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40"/>
              <w:jc w:val="right"/>
              <w:rPr>
                <w:rFonts w:ascii="宋体" w:hAnsi="宋体" w:cs="宋体" w:eastAsia="宋体" w:hint="default"/>
                <w:sz w:val="18"/>
                <w:szCs w:val="18"/>
              </w:rPr>
            </w:pPr>
            <w:r>
              <w:rPr>
                <w:rFonts w:ascii="宋体"/>
                <w:sz w:val="18"/>
              </w:rPr>
              <w:t>100.00%</w:t>
            </w:r>
          </w:p>
        </w:tc>
        <w:tc>
          <w:tcPr>
            <w:tcW w:w="142" w:type="dxa"/>
            <w:tcBorders>
              <w:top w:val="nil" w:sz="6" w:space="0" w:color="auto"/>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5,742,153.68</w:t>
            </w:r>
          </w:p>
        </w:tc>
        <w:tc>
          <w:tcPr>
            <w:tcW w:w="168" w:type="dxa"/>
            <w:tcBorders>
              <w:top w:val="nil" w:sz="6" w:space="0" w:color="auto"/>
              <w:left w:val="nil" w:sz="6" w:space="0" w:color="auto"/>
              <w:bottom w:val="nil" w:sz="6" w:space="0" w:color="auto"/>
              <w:right w:val="nil" w:sz="6" w:space="0" w:color="auto"/>
            </w:tcBorders>
          </w:tcPr>
          <w:p>
            <w:pPr/>
          </w:p>
        </w:tc>
        <w:tc>
          <w:tcPr>
            <w:tcW w:w="1385"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63,439,532.71</w:t>
            </w:r>
          </w:p>
        </w:tc>
        <w:tc>
          <w:tcPr>
            <w:tcW w:w="161" w:type="dxa"/>
            <w:tcBorders>
              <w:top w:val="nil" w:sz="6" w:space="0" w:color="auto"/>
              <w:left w:val="nil" w:sz="6" w:space="0" w:color="auto"/>
              <w:bottom w:val="nil" w:sz="6" w:space="0" w:color="auto"/>
              <w:right w:val="nil" w:sz="6" w:space="0" w:color="auto"/>
            </w:tcBorders>
          </w:tcPr>
          <w:p>
            <w:pPr/>
          </w:p>
        </w:tc>
        <w:tc>
          <w:tcPr>
            <w:tcW w:w="857"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z w:val="18"/>
              </w:rPr>
              <w:t>100.00%</w:t>
            </w:r>
          </w:p>
        </w:tc>
        <w:tc>
          <w:tcPr>
            <w:tcW w:w="173" w:type="dxa"/>
            <w:tcBorders>
              <w:top w:val="nil" w:sz="6" w:space="0" w:color="auto"/>
              <w:left w:val="nil" w:sz="6" w:space="0" w:color="auto"/>
              <w:bottom w:val="nil" w:sz="6" w:space="0" w:color="auto"/>
              <w:right w:val="nil" w:sz="6" w:space="0" w:color="auto"/>
            </w:tcBorders>
          </w:tcPr>
          <w:p>
            <w:pPr/>
          </w:p>
        </w:tc>
        <w:tc>
          <w:tcPr>
            <w:tcW w:w="1306"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3,199,736.81</w:t>
            </w:r>
          </w:p>
        </w:tc>
      </w:tr>
    </w:tbl>
    <w:p>
      <w:pPr>
        <w:spacing w:line="240" w:lineRule="auto" w:before="2"/>
        <w:rPr>
          <w:rFonts w:ascii="宋体" w:hAnsi="宋体" w:cs="宋体" w:eastAsia="宋体" w:hint="default"/>
          <w:sz w:val="12"/>
          <w:szCs w:val="12"/>
        </w:rPr>
      </w:pPr>
    </w:p>
    <w:p>
      <w:pPr>
        <w:pStyle w:val="BodyText"/>
        <w:tabs>
          <w:tab w:pos="1362" w:val="left" w:leader="none"/>
        </w:tabs>
        <w:spacing w:line="240" w:lineRule="auto" w:before="26"/>
        <w:ind w:left="882" w:right="0"/>
        <w:jc w:val="left"/>
      </w:pPr>
      <w:r>
        <w:rPr/>
        <w:t>⑷</w:t>
        <w:tab/>
        <w:t>报告期应收账款中无应收持有公司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）以上表决权股份的股东款项。</w:t>
      </w:r>
    </w:p>
    <w:p>
      <w:pPr>
        <w:spacing w:line="240" w:lineRule="auto" w:before="8"/>
        <w:rPr>
          <w:rFonts w:ascii="宋体" w:hAnsi="宋体" w:cs="宋体" w:eastAsia="宋体" w:hint="default"/>
          <w:sz w:val="17"/>
          <w:szCs w:val="17"/>
        </w:rPr>
      </w:pPr>
    </w:p>
    <w:p>
      <w:pPr>
        <w:pStyle w:val="BodyText"/>
        <w:tabs>
          <w:tab w:pos="1362" w:val="left" w:leader="none"/>
        </w:tabs>
        <w:spacing w:line="240" w:lineRule="auto" w:before="0"/>
        <w:ind w:left="882" w:right="0"/>
        <w:jc w:val="left"/>
      </w:pPr>
      <w:r>
        <w:rPr/>
        <w:t>⑸</w:t>
        <w:tab/>
        <w:t>应收账款金额前五名单位情况</w:t>
      </w:r>
    </w:p>
    <w:p>
      <w:pPr>
        <w:spacing w:after="0" w:line="240" w:lineRule="auto"/>
        <w:jc w:val="left"/>
        <w:sectPr>
          <w:type w:val="continuous"/>
          <w:pgSz w:w="11910" w:h="16840"/>
          <w:pgMar w:top="700" w:bottom="0" w:left="1220" w:right="0"/>
        </w:sectPr>
      </w:pPr>
    </w:p>
    <w:p>
      <w:pPr>
        <w:spacing w:line="240" w:lineRule="auto" w:before="11"/>
        <w:rPr>
          <w:rFonts w:ascii="宋体" w:hAnsi="宋体" w:cs="宋体" w:eastAsia="宋体" w:hint="default"/>
          <w:sz w:val="2"/>
          <w:szCs w:val="2"/>
        </w:rPr>
      </w:pPr>
      <w:r>
        <w:rPr/>
        <w:pict>
          <v:shape style="position:absolute;margin-left:66.349998pt;margin-top:40.549984pt;width:18pt;height:15.75pt;mso-position-horizontal-relative:page;mso-position-vertical-relative:page;z-index:-747472" type="#_x0000_t75" stroked="false">
            <v:imagedata r:id="rId5" o:title=""/>
          </v:shape>
        </w:pict>
      </w:r>
    </w:p>
    <w:tbl>
      <w:tblPr>
        <w:tblW w:w="0" w:type="auto"/>
        <w:jc w:val="left"/>
        <w:tblInd w:w="374" w:type="dxa"/>
        <w:tblLayout w:type="fixed"/>
        <w:tblCellMar>
          <w:top w:w="0" w:type="dxa"/>
          <w:left w:w="0" w:type="dxa"/>
          <w:bottom w:w="0" w:type="dxa"/>
          <w:right w:w="0" w:type="dxa"/>
        </w:tblCellMar>
        <w:tblLook w:val="01E0"/>
      </w:tblPr>
      <w:tblGrid>
        <w:gridCol w:w="3574"/>
        <w:gridCol w:w="283"/>
        <w:gridCol w:w="1702"/>
        <w:gridCol w:w="276"/>
        <w:gridCol w:w="1700"/>
        <w:gridCol w:w="216"/>
        <w:gridCol w:w="1269"/>
      </w:tblGrid>
      <w:tr>
        <w:trPr>
          <w:trHeight w:val="679" w:hRule="exact"/>
        </w:trPr>
        <w:tc>
          <w:tcPr>
            <w:tcW w:w="3574"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应收单位前五名</w:t>
            </w:r>
          </w:p>
        </w:tc>
        <w:tc>
          <w:tcPr>
            <w:tcW w:w="283"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与本集团关系</w:t>
            </w:r>
          </w:p>
        </w:tc>
        <w:tc>
          <w:tcPr>
            <w:tcW w:w="276" w:type="dxa"/>
            <w:tcBorders>
              <w:top w:val="single" w:sz="6" w:space="0" w:color="000000"/>
              <w:left w:val="nil" w:sz="6" w:space="0" w:color="auto"/>
              <w:bottom w:val="nil" w:sz="6" w:space="0" w:color="auto"/>
              <w:right w:val="nil" w:sz="6" w:space="0" w:color="auto"/>
            </w:tcBorders>
          </w:tcPr>
          <w:p>
            <w:pPr/>
          </w:p>
        </w:tc>
        <w:tc>
          <w:tcPr>
            <w:tcW w:w="1700"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6" w:type="dxa"/>
            <w:tcBorders>
              <w:top w:val="single" w:sz="6" w:space="0" w:color="000000"/>
              <w:left w:val="nil" w:sz="6" w:space="0" w:color="auto"/>
              <w:bottom w:val="nil" w:sz="6" w:space="0" w:color="auto"/>
              <w:right w:val="nil" w:sz="6" w:space="0" w:color="auto"/>
            </w:tcBorders>
          </w:tcPr>
          <w:p>
            <w:pPr/>
          </w:p>
        </w:tc>
        <w:tc>
          <w:tcPr>
            <w:tcW w:w="1269"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pacing w:val="-1"/>
                <w:sz w:val="21"/>
                <w:szCs w:val="21"/>
              </w:rPr>
              <w:t>占总额比例</w:t>
            </w:r>
          </w:p>
        </w:tc>
      </w:tr>
      <w:tr>
        <w:trPr>
          <w:trHeight w:val="349" w:hRule="exact"/>
        </w:trPr>
        <w:tc>
          <w:tcPr>
            <w:tcW w:w="3574" w:type="dxa"/>
            <w:tcBorders>
              <w:top w:val="single" w:sz="8" w:space="0" w:color="000000"/>
              <w:left w:val="nil" w:sz="6" w:space="0" w:color="auto"/>
              <w:bottom w:val="nil" w:sz="6" w:space="0" w:color="auto"/>
              <w:right w:val="nil" w:sz="6" w:space="0" w:color="auto"/>
            </w:tcBorders>
          </w:tcPr>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8" w:space="0" w:color="000000"/>
              <w:left w:val="nil" w:sz="6" w:space="0" w:color="auto"/>
              <w:bottom w:val="nil" w:sz="6" w:space="0" w:color="auto"/>
              <w:right w:val="nil" w:sz="6" w:space="0" w:color="auto"/>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76" w:type="dxa"/>
            <w:tcBorders>
              <w:top w:val="nil" w:sz="6" w:space="0" w:color="auto"/>
              <w:left w:val="nil" w:sz="6" w:space="0" w:color="auto"/>
              <w:bottom w:val="nil" w:sz="6" w:space="0" w:color="auto"/>
              <w:right w:val="nil" w:sz="6" w:space="0" w:color="auto"/>
            </w:tcBorders>
          </w:tcPr>
          <w:p>
            <w:pPr/>
          </w:p>
        </w:tc>
        <w:tc>
          <w:tcPr>
            <w:tcW w:w="1700" w:type="dxa"/>
            <w:tcBorders>
              <w:top w:val="single" w:sz="8" w:space="0" w:color="000000"/>
              <w:left w:val="nil" w:sz="6" w:space="0" w:color="auto"/>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3,717,227.27</w:t>
            </w:r>
          </w:p>
        </w:tc>
        <w:tc>
          <w:tcPr>
            <w:tcW w:w="216" w:type="dxa"/>
            <w:tcBorders>
              <w:top w:val="nil" w:sz="6" w:space="0" w:color="auto"/>
              <w:left w:val="nil" w:sz="6" w:space="0" w:color="auto"/>
              <w:bottom w:val="nil" w:sz="6" w:space="0" w:color="auto"/>
              <w:right w:val="nil" w:sz="6" w:space="0" w:color="auto"/>
            </w:tcBorders>
          </w:tcPr>
          <w:p>
            <w:pPr/>
          </w:p>
        </w:tc>
        <w:tc>
          <w:tcPr>
            <w:tcW w:w="1269" w:type="dxa"/>
            <w:tcBorders>
              <w:top w:val="single" w:sz="8" w:space="0" w:color="000000"/>
              <w:left w:val="nil" w:sz="6" w:space="0" w:color="auto"/>
              <w:bottom w:val="nil" w:sz="6" w:space="0" w:color="auto"/>
              <w:right w:val="nil" w:sz="6" w:space="0" w:color="auto"/>
            </w:tcBorders>
          </w:tcPr>
          <w:p>
            <w:pPr>
              <w:pStyle w:val="TableParagraph"/>
              <w:spacing w:line="274" w:lineRule="exact"/>
              <w:ind w:right="137"/>
              <w:jc w:val="right"/>
              <w:rPr>
                <w:rFonts w:ascii="宋体" w:hAnsi="宋体" w:cs="宋体" w:eastAsia="宋体" w:hint="default"/>
                <w:sz w:val="21"/>
                <w:szCs w:val="21"/>
              </w:rPr>
            </w:pPr>
            <w:r>
              <w:rPr>
                <w:rFonts w:ascii="宋体"/>
                <w:sz w:val="21"/>
              </w:rPr>
              <w:t>3.42%</w:t>
            </w:r>
          </w:p>
        </w:tc>
      </w:tr>
      <w:tr>
        <w:trPr>
          <w:trHeight w:val="340"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7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3,599,546.00</w:t>
            </w:r>
          </w:p>
        </w:tc>
        <w:tc>
          <w:tcPr>
            <w:tcW w:w="216"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7"/>
              <w:jc w:val="right"/>
              <w:rPr>
                <w:rFonts w:ascii="宋体" w:hAnsi="宋体" w:cs="宋体" w:eastAsia="宋体" w:hint="default"/>
                <w:sz w:val="21"/>
                <w:szCs w:val="21"/>
              </w:rPr>
            </w:pPr>
            <w:r>
              <w:rPr>
                <w:rFonts w:ascii="宋体"/>
                <w:sz w:val="21"/>
              </w:rPr>
              <w:t>3.31%</w:t>
            </w:r>
          </w:p>
        </w:tc>
      </w:tr>
      <w:tr>
        <w:trPr>
          <w:trHeight w:val="341"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7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2,218,300.00</w:t>
            </w:r>
          </w:p>
        </w:tc>
        <w:tc>
          <w:tcPr>
            <w:tcW w:w="216"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137"/>
              <w:jc w:val="right"/>
              <w:rPr>
                <w:rFonts w:ascii="宋体" w:hAnsi="宋体" w:cs="宋体" w:eastAsia="宋体" w:hint="default"/>
                <w:sz w:val="21"/>
                <w:szCs w:val="21"/>
              </w:rPr>
            </w:pPr>
            <w:r>
              <w:rPr>
                <w:rFonts w:ascii="宋体"/>
                <w:sz w:val="21"/>
              </w:rPr>
              <w:t>2.04%</w:t>
            </w:r>
          </w:p>
        </w:tc>
      </w:tr>
      <w:tr>
        <w:trPr>
          <w:trHeight w:val="340"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7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2,100,881.40</w:t>
            </w:r>
          </w:p>
        </w:tc>
        <w:tc>
          <w:tcPr>
            <w:tcW w:w="216"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137"/>
              <w:jc w:val="right"/>
              <w:rPr>
                <w:rFonts w:ascii="宋体" w:hAnsi="宋体" w:cs="宋体" w:eastAsia="宋体" w:hint="default"/>
                <w:sz w:val="21"/>
                <w:szCs w:val="21"/>
              </w:rPr>
            </w:pPr>
            <w:r>
              <w:rPr>
                <w:rFonts w:ascii="宋体"/>
                <w:sz w:val="21"/>
              </w:rPr>
              <w:t>1.93%</w:t>
            </w:r>
          </w:p>
        </w:tc>
      </w:tr>
      <w:tr>
        <w:trPr>
          <w:trHeight w:val="34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7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1,778,506.10</w:t>
            </w:r>
          </w:p>
        </w:tc>
        <w:tc>
          <w:tcPr>
            <w:tcW w:w="216"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37"/>
              <w:jc w:val="right"/>
              <w:rPr>
                <w:rFonts w:ascii="宋体" w:hAnsi="宋体" w:cs="宋体" w:eastAsia="宋体" w:hint="default"/>
                <w:sz w:val="21"/>
                <w:szCs w:val="21"/>
              </w:rPr>
            </w:pPr>
            <w:r>
              <w:rPr>
                <w:rFonts w:ascii="宋体"/>
                <w:sz w:val="21"/>
              </w:rPr>
              <w:t>1.64%</w:t>
            </w:r>
          </w:p>
        </w:tc>
      </w:tr>
      <w:tr>
        <w:trPr>
          <w:trHeight w:val="372"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7" w:space="0" w:color="000000"/>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13,414,460.77</w:t>
            </w:r>
          </w:p>
        </w:tc>
        <w:tc>
          <w:tcPr>
            <w:tcW w:w="216" w:type="dxa"/>
            <w:tcBorders>
              <w:top w:val="nil" w:sz="6" w:space="0" w:color="auto"/>
              <w:left w:val="nil" w:sz="6" w:space="0" w:color="auto"/>
              <w:bottom w:val="nil" w:sz="6" w:space="0" w:color="auto"/>
              <w:right w:val="nil" w:sz="6" w:space="0" w:color="auto"/>
            </w:tcBorders>
          </w:tcPr>
          <w:p>
            <w:pPr/>
          </w:p>
        </w:tc>
        <w:tc>
          <w:tcPr>
            <w:tcW w:w="1269"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137"/>
              <w:jc w:val="right"/>
              <w:rPr>
                <w:rFonts w:ascii="宋体" w:hAnsi="宋体" w:cs="宋体" w:eastAsia="宋体" w:hint="default"/>
                <w:sz w:val="21"/>
                <w:szCs w:val="21"/>
              </w:rPr>
            </w:pPr>
            <w:r>
              <w:rPr>
                <w:rFonts w:ascii="宋体"/>
                <w:sz w:val="21"/>
              </w:rPr>
              <w:t>12.34%</w:t>
            </w:r>
          </w:p>
        </w:tc>
      </w:tr>
    </w:tbl>
    <w:p>
      <w:pPr>
        <w:pStyle w:val="BodyText"/>
        <w:spacing w:line="240" w:lineRule="auto" w:before="36"/>
        <w:ind w:left="882" w:right="0"/>
        <w:jc w:val="left"/>
      </w:pPr>
      <w:r>
        <w:rPr/>
        <w:pict>
          <v:group style="position:absolute;margin-left:466.899994pt;margin-top:-2.064382pt;width:62.3pt;height:.1pt;mso-position-horizontal-relative:page;mso-position-vertical-relative:paragraph;z-index:-747448" coordorigin="9338,-41" coordsize="1246,2">
            <v:shape style="position:absolute;left:9338;top:-41;width:1246;height:2" coordorigin="9338,-41" coordsize="1246,0" path="m9338,-41l10584,-41e" filled="false" stroked="true" strokeweight=".48pt" strokecolor="#000000">
              <v:path arrowok="t"/>
            </v:shape>
            <w10:wrap type="none"/>
          </v:group>
        </w:pict>
      </w:r>
      <w:r>
        <w:rPr/>
        <w:t>应收账款前五名账龄全部在一年以内。</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r>
        <w:rPr>
          <w:rFonts w:ascii="Trebuchet MS" w:hAnsi="Trebuchet MS" w:cs="Trebuchet MS" w:eastAsia="Trebuchet MS" w:hint="default"/>
          <w:spacing w:val="2"/>
        </w:rPr>
        <w:t>4</w:t>
      </w:r>
      <w:r>
        <w:rPr>
          <w:spacing w:val="2"/>
        </w:rPr>
        <w:t>、其他应收款</w:t>
      </w:r>
      <w:r>
        <w:rPr>
          <w:b w:val="0"/>
          <w:bCs w:val="0"/>
          <w:spacing w:val="2"/>
        </w:rPr>
      </w:r>
    </w:p>
    <w:p>
      <w:pPr>
        <w:pStyle w:val="BodyText"/>
        <w:tabs>
          <w:tab w:pos="1362" w:val="left" w:leader="none"/>
        </w:tabs>
        <w:spacing w:line="240" w:lineRule="auto" w:before="211"/>
        <w:ind w:left="882" w:right="0"/>
        <w:jc w:val="left"/>
      </w:pPr>
      <w:r>
        <w:rPr/>
        <w:t>⑴</w:t>
        <w:tab/>
        <w:t>其他应收款按种类列示</w:t>
      </w:r>
    </w:p>
    <w:p>
      <w:pPr>
        <w:spacing w:line="240" w:lineRule="auto" w:before="6"/>
        <w:rPr>
          <w:rFonts w:ascii="宋体" w:hAnsi="宋体" w:cs="宋体" w:eastAsia="宋体" w:hint="default"/>
          <w:sz w:val="13"/>
          <w:szCs w:val="13"/>
        </w:rPr>
      </w:pPr>
    </w:p>
    <w:tbl>
      <w:tblPr>
        <w:tblW w:w="0" w:type="auto"/>
        <w:jc w:val="left"/>
        <w:tblInd w:w="438" w:type="dxa"/>
        <w:tblLayout w:type="fixed"/>
        <w:tblCellMar>
          <w:top w:w="0" w:type="dxa"/>
          <w:left w:w="0" w:type="dxa"/>
          <w:bottom w:w="0" w:type="dxa"/>
          <w:right w:w="0" w:type="dxa"/>
        </w:tblCellMar>
        <w:tblLook w:val="01E0"/>
      </w:tblPr>
      <w:tblGrid>
        <w:gridCol w:w="3948"/>
        <w:gridCol w:w="147"/>
        <w:gridCol w:w="1532"/>
        <w:gridCol w:w="74"/>
        <w:gridCol w:w="794"/>
        <w:gridCol w:w="127"/>
        <w:gridCol w:w="1251"/>
        <w:gridCol w:w="161"/>
        <w:gridCol w:w="761"/>
      </w:tblGrid>
      <w:tr>
        <w:trPr>
          <w:trHeight w:val="219" w:hRule="exact"/>
        </w:trPr>
        <w:tc>
          <w:tcPr>
            <w:tcW w:w="8795"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right="2108"/>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360"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4" w:type="dxa"/>
            <w:tcBorders>
              <w:top w:val="single" w:sz="8" w:space="0" w:color="000000"/>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
        </w:tc>
        <w:tc>
          <w:tcPr>
            <w:tcW w:w="127" w:type="dxa"/>
            <w:tcBorders>
              <w:top w:val="single" w:sz="8" w:space="0" w:color="000000"/>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6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0" w:right="-10"/>
              <w:jc w:val="center"/>
              <w:rPr>
                <w:rFonts w:ascii="宋体" w:hAnsi="宋体" w:cs="宋体" w:eastAsia="宋体" w:hint="default"/>
                <w:sz w:val="18"/>
                <w:szCs w:val="18"/>
              </w:rPr>
            </w:pPr>
            <w:r>
              <w:rPr>
                <w:rFonts w:ascii="宋体" w:hAnsi="宋体" w:cs="宋体" w:eastAsia="宋体" w:hint="default"/>
                <w:sz w:val="18"/>
                <w:szCs w:val="18"/>
              </w:rPr>
              <w:t>备</w:t>
            </w:r>
          </w:p>
        </w:tc>
        <w:tc>
          <w:tcPr>
            <w:tcW w:w="761" w:type="dxa"/>
            <w:tcBorders>
              <w:top w:val="single" w:sz="8" w:space="0" w:color="000000"/>
              <w:left w:val="nil" w:sz="6" w:space="0" w:color="auto"/>
              <w:bottom w:val="single" w:sz="8" w:space="0" w:color="000000"/>
              <w:right w:val="nil" w:sz="6" w:space="0" w:color="auto"/>
            </w:tcBorders>
          </w:tcPr>
          <w:p>
            <w:pPr/>
          </w:p>
        </w:tc>
      </w:tr>
      <w:tr>
        <w:trPr>
          <w:trHeight w:val="360" w:hRule="exact"/>
        </w:trPr>
        <w:tc>
          <w:tcPr>
            <w:tcW w:w="3948" w:type="dxa"/>
            <w:tcBorders>
              <w:top w:val="nil" w:sz="6" w:space="0" w:color="auto"/>
              <w:left w:val="nil" w:sz="6" w:space="0" w:color="auto"/>
              <w:bottom w:val="single" w:sz="8" w:space="0" w:color="000000"/>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118"/>
              <w:jc w:val="center"/>
              <w:rPr>
                <w:rFonts w:ascii="宋体" w:hAnsi="宋体" w:cs="宋体" w:eastAsia="宋体" w:hint="default"/>
                <w:sz w:val="18"/>
                <w:szCs w:val="18"/>
              </w:rPr>
            </w:pPr>
            <w:r>
              <w:rPr>
                <w:rFonts w:ascii="宋体" w:hAnsi="宋体" w:cs="宋体" w:eastAsia="宋体" w:hint="default"/>
                <w:sz w:val="18"/>
                <w:szCs w:val="18"/>
              </w:rPr>
              <w:t>金额</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53"/>
              <w:jc w:val="center"/>
              <w:rPr>
                <w:rFonts w:ascii="宋体" w:hAnsi="宋体" w:cs="宋体" w:eastAsia="宋体" w:hint="default"/>
                <w:sz w:val="18"/>
                <w:szCs w:val="18"/>
              </w:rPr>
            </w:pPr>
            <w:r>
              <w:rPr>
                <w:rFonts w:ascii="宋体" w:hAnsi="宋体" w:cs="宋体" w:eastAsia="宋体" w:hint="default"/>
                <w:sz w:val="18"/>
                <w:szCs w:val="18"/>
              </w:rPr>
              <w:t>比例</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48"/>
              <w:jc w:val="center"/>
              <w:rPr>
                <w:rFonts w:ascii="宋体" w:hAnsi="宋体" w:cs="宋体" w:eastAsia="宋体" w:hint="default"/>
                <w:sz w:val="18"/>
                <w:szCs w:val="18"/>
              </w:rPr>
            </w:pPr>
            <w:r>
              <w:rPr>
                <w:rFonts w:ascii="宋体" w:hAnsi="宋体" w:cs="宋体" w:eastAsia="宋体" w:hint="default"/>
                <w:sz w:val="18"/>
                <w:szCs w:val="18"/>
              </w:rPr>
              <w:t>金额</w:t>
            </w:r>
          </w:p>
        </w:tc>
        <w:tc>
          <w:tcPr>
            <w:tcW w:w="161" w:type="dxa"/>
            <w:tcBorders>
              <w:top w:val="single" w:sz="8" w:space="0" w:color="000000"/>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3948"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19"/>
              <w:jc w:val="right"/>
              <w:rPr>
                <w:rFonts w:ascii="宋体" w:hAnsi="宋体" w:cs="宋体" w:eastAsia="宋体" w:hint="default"/>
                <w:sz w:val="18"/>
                <w:szCs w:val="18"/>
              </w:rPr>
            </w:pPr>
            <w:r>
              <w:rPr>
                <w:rFonts w:ascii="宋体"/>
                <w:sz w:val="18"/>
              </w:rPr>
              <w:t>-</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nil" w:sz="6" w:space="0" w:color="auto"/>
              <w:right w:val="nil" w:sz="6" w:space="0" w:color="auto"/>
            </w:tcBorders>
          </w:tcPr>
          <w:p>
            <w:pPr/>
          </w:p>
        </w:tc>
      </w:tr>
      <w:tr>
        <w:trPr>
          <w:trHeight w:val="341"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40" w:right="0"/>
              <w:jc w:val="left"/>
              <w:rPr>
                <w:rFonts w:ascii="宋体" w:hAnsi="宋体" w:cs="宋体" w:eastAsia="宋体" w:hint="default"/>
                <w:sz w:val="18"/>
                <w:szCs w:val="18"/>
              </w:rPr>
            </w:pPr>
            <w:r>
              <w:rPr>
                <w:rFonts w:ascii="宋体"/>
                <w:sz w:val="18"/>
              </w:rPr>
              <w:t>11,445,460.97</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8" w:right="0"/>
              <w:jc w:val="center"/>
              <w:rPr>
                <w:rFonts w:ascii="宋体" w:hAnsi="宋体" w:cs="宋体" w:eastAsia="宋体" w:hint="default"/>
                <w:sz w:val="18"/>
                <w:szCs w:val="18"/>
              </w:rPr>
            </w:pPr>
            <w:r>
              <w:rPr>
                <w:rFonts w:ascii="宋体"/>
                <w:sz w:val="18"/>
              </w:rPr>
              <w:t>100.00%</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sz w:val="18"/>
              </w:rPr>
              <w:t>1,538,158.13</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4"/>
              <w:jc w:val="right"/>
              <w:rPr>
                <w:rFonts w:ascii="宋体" w:hAnsi="宋体" w:cs="宋体" w:eastAsia="宋体" w:hint="default"/>
                <w:sz w:val="18"/>
                <w:szCs w:val="18"/>
              </w:rPr>
            </w:pPr>
            <w:r>
              <w:rPr>
                <w:rFonts w:ascii="宋体"/>
                <w:spacing w:val="-1"/>
                <w:sz w:val="18"/>
              </w:rPr>
              <w:t>13.44%</w:t>
            </w:r>
          </w:p>
        </w:tc>
      </w:tr>
      <w:tr>
        <w:trPr>
          <w:trHeight w:val="297"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8" w:space="0" w:color="000000"/>
              <w:right w:val="nil" w:sz="6" w:space="0" w:color="auto"/>
            </w:tcBorders>
          </w:tcPr>
          <w:p>
            <w:pP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single" w:sz="8" w:space="0" w:color="000000"/>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single" w:sz="8" w:space="0" w:color="000000"/>
              <w:right w:val="nil" w:sz="6" w:space="0" w:color="auto"/>
            </w:tcBorders>
          </w:tcPr>
          <w:p>
            <w:pPr/>
          </w:p>
        </w:tc>
      </w:tr>
      <w:tr>
        <w:trPr>
          <w:trHeight w:val="372"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240" w:right="0"/>
              <w:jc w:val="left"/>
              <w:rPr>
                <w:rFonts w:ascii="宋体" w:hAnsi="宋体" w:cs="宋体" w:eastAsia="宋体" w:hint="default"/>
                <w:sz w:val="18"/>
                <w:szCs w:val="18"/>
              </w:rPr>
            </w:pPr>
            <w:r>
              <w:rPr>
                <w:rFonts w:ascii="宋体"/>
                <w:sz w:val="18"/>
              </w:rPr>
              <w:t>11,445,460.97</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48" w:right="0"/>
              <w:jc w:val="center"/>
              <w:rPr>
                <w:rFonts w:ascii="宋体" w:hAnsi="宋体" w:cs="宋体" w:eastAsia="宋体" w:hint="default"/>
                <w:sz w:val="18"/>
                <w:szCs w:val="18"/>
              </w:rPr>
            </w:pPr>
            <w:r>
              <w:rPr>
                <w:rFonts w:ascii="宋体"/>
                <w:sz w:val="18"/>
              </w:rPr>
              <w:t>100.00%</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sz w:val="18"/>
              </w:rPr>
              <w:t>1,538,158.13</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宋体"/>
                <w:spacing w:val="-1"/>
                <w:sz w:val="18"/>
              </w:rPr>
              <w:t>13.44%</w:t>
            </w:r>
          </w:p>
        </w:tc>
      </w:tr>
      <w:tr>
        <w:trPr>
          <w:trHeight w:val="713" w:hRule="exact"/>
        </w:trPr>
        <w:tc>
          <w:tcPr>
            <w:tcW w:w="8795" w:type="dxa"/>
            <w:gridSpan w:val="9"/>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08"/>
              <w:jc w:val="right"/>
              <w:rPr>
                <w:rFonts w:ascii="宋体" w:hAnsi="宋体" w:cs="宋体" w:eastAsia="宋体" w:hint="default"/>
                <w:sz w:val="18"/>
                <w:szCs w:val="18"/>
              </w:rPr>
            </w:pPr>
            <w:r>
              <w:rPr>
                <w:rFonts w:ascii="宋体" w:hAnsi="宋体" w:cs="宋体" w:eastAsia="宋体" w:hint="default"/>
                <w:sz w:val="18"/>
                <w:szCs w:val="18"/>
              </w:rPr>
              <w:t>年初数</w:t>
            </w:r>
          </w:p>
        </w:tc>
      </w:tr>
      <w:tr>
        <w:trPr>
          <w:trHeight w:val="360"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74" w:type="dxa"/>
            <w:tcBorders>
              <w:top w:val="single" w:sz="8" w:space="0" w:color="000000"/>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
        </w:tc>
        <w:tc>
          <w:tcPr>
            <w:tcW w:w="127" w:type="dxa"/>
            <w:tcBorders>
              <w:top w:val="single" w:sz="8" w:space="0" w:color="000000"/>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right="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61" w:type="dxa"/>
            <w:tcBorders>
              <w:top w:val="single" w:sz="8" w:space="0" w:color="000000"/>
              <w:left w:val="nil" w:sz="6" w:space="0" w:color="auto"/>
              <w:bottom w:val="single" w:sz="8" w:space="0" w:color="000000"/>
              <w:right w:val="nil" w:sz="6" w:space="0" w:color="auto"/>
            </w:tcBorders>
          </w:tcPr>
          <w:p>
            <w:pPr>
              <w:pStyle w:val="TableParagraph"/>
              <w:spacing w:line="240" w:lineRule="auto" w:before="78"/>
              <w:ind w:left="-10" w:right="-10"/>
              <w:jc w:val="center"/>
              <w:rPr>
                <w:rFonts w:ascii="宋体" w:hAnsi="宋体" w:cs="宋体" w:eastAsia="宋体" w:hint="default"/>
                <w:sz w:val="18"/>
                <w:szCs w:val="18"/>
              </w:rPr>
            </w:pPr>
            <w:r>
              <w:rPr>
                <w:rFonts w:ascii="宋体" w:hAnsi="宋体" w:cs="宋体" w:eastAsia="宋体" w:hint="default"/>
                <w:sz w:val="18"/>
                <w:szCs w:val="18"/>
              </w:rPr>
              <w:t>备</w:t>
            </w:r>
          </w:p>
        </w:tc>
        <w:tc>
          <w:tcPr>
            <w:tcW w:w="761" w:type="dxa"/>
            <w:tcBorders>
              <w:top w:val="single" w:sz="8" w:space="0" w:color="000000"/>
              <w:left w:val="nil" w:sz="6" w:space="0" w:color="auto"/>
              <w:bottom w:val="single" w:sz="8" w:space="0" w:color="000000"/>
              <w:right w:val="nil" w:sz="6" w:space="0" w:color="auto"/>
            </w:tcBorders>
          </w:tcPr>
          <w:p>
            <w:pPr/>
          </w:p>
        </w:tc>
      </w:tr>
      <w:tr>
        <w:trPr>
          <w:trHeight w:val="360" w:hRule="exact"/>
        </w:trPr>
        <w:tc>
          <w:tcPr>
            <w:tcW w:w="3948" w:type="dxa"/>
            <w:tcBorders>
              <w:top w:val="nil" w:sz="6" w:space="0" w:color="auto"/>
              <w:left w:val="nil" w:sz="6" w:space="0" w:color="auto"/>
              <w:bottom w:val="single" w:sz="8" w:space="0" w:color="000000"/>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2"/>
              <w:jc w:val="center"/>
              <w:rPr>
                <w:rFonts w:ascii="宋体" w:hAnsi="宋体" w:cs="宋体" w:eastAsia="宋体" w:hint="default"/>
                <w:sz w:val="18"/>
                <w:szCs w:val="18"/>
              </w:rPr>
            </w:pPr>
            <w:r>
              <w:rPr>
                <w:rFonts w:ascii="宋体" w:hAnsi="宋体" w:cs="宋体" w:eastAsia="宋体" w:hint="default"/>
                <w:sz w:val="18"/>
                <w:szCs w:val="18"/>
              </w:rPr>
              <w:t>金额</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5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5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 w:type="dxa"/>
            <w:tcBorders>
              <w:top w:val="single" w:sz="8" w:space="0" w:color="000000"/>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394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331" w:right="0"/>
              <w:jc w:val="left"/>
              <w:rPr>
                <w:rFonts w:ascii="宋体" w:hAnsi="宋体" w:cs="宋体" w:eastAsia="宋体" w:hint="default"/>
                <w:sz w:val="18"/>
                <w:szCs w:val="18"/>
              </w:rPr>
            </w:pPr>
            <w:r>
              <w:rPr>
                <w:rFonts w:ascii="宋体"/>
                <w:sz w:val="18"/>
              </w:rPr>
              <w:t>1,682,540.00</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39" w:right="0"/>
              <w:jc w:val="center"/>
              <w:rPr>
                <w:rFonts w:ascii="宋体" w:hAnsi="宋体" w:cs="宋体" w:eastAsia="宋体" w:hint="default"/>
                <w:sz w:val="18"/>
                <w:szCs w:val="18"/>
              </w:rPr>
            </w:pPr>
            <w:r>
              <w:rPr>
                <w:rFonts w:ascii="宋体"/>
                <w:sz w:val="18"/>
              </w:rPr>
              <w:t>12.57%</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90" w:right="0"/>
              <w:jc w:val="left"/>
              <w:rPr>
                <w:rFonts w:ascii="宋体" w:hAnsi="宋体" w:cs="宋体" w:eastAsia="宋体" w:hint="default"/>
                <w:sz w:val="18"/>
                <w:szCs w:val="18"/>
              </w:rPr>
            </w:pPr>
            <w:r>
              <w:rPr>
                <w:rFonts w:ascii="宋体"/>
                <w:sz w:val="18"/>
              </w:rPr>
              <w:t>841,270.00</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宋体"/>
                <w:spacing w:val="-1"/>
                <w:sz w:val="18"/>
              </w:rPr>
              <w:t>50.00%</w:t>
            </w:r>
          </w:p>
        </w:tc>
      </w:tr>
      <w:tr>
        <w:trPr>
          <w:trHeight w:val="340"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40" w:right="0"/>
              <w:jc w:val="left"/>
              <w:rPr>
                <w:rFonts w:ascii="宋体" w:hAnsi="宋体" w:cs="宋体" w:eastAsia="宋体" w:hint="default"/>
                <w:sz w:val="18"/>
                <w:szCs w:val="18"/>
              </w:rPr>
            </w:pPr>
            <w:r>
              <w:rPr>
                <w:rFonts w:ascii="宋体"/>
                <w:sz w:val="18"/>
              </w:rPr>
              <w:t>11,697,523.86</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9" w:right="0"/>
              <w:jc w:val="center"/>
              <w:rPr>
                <w:rFonts w:ascii="宋体" w:hAnsi="宋体" w:cs="宋体" w:eastAsia="宋体" w:hint="default"/>
                <w:sz w:val="18"/>
                <w:szCs w:val="18"/>
              </w:rPr>
            </w:pPr>
            <w:r>
              <w:rPr>
                <w:rFonts w:ascii="宋体"/>
                <w:sz w:val="18"/>
              </w:rPr>
              <w:t>87.43%</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18"/>
                <w:szCs w:val="18"/>
              </w:rPr>
            </w:pPr>
            <w:r>
              <w:rPr>
                <w:rFonts w:ascii="宋体"/>
                <w:sz w:val="18"/>
              </w:rPr>
              <w:t>1,002,571.43</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4"/>
              <w:jc w:val="right"/>
              <w:rPr>
                <w:rFonts w:ascii="宋体" w:hAnsi="宋体" w:cs="宋体" w:eastAsia="宋体" w:hint="default"/>
                <w:sz w:val="18"/>
                <w:szCs w:val="18"/>
              </w:rPr>
            </w:pPr>
            <w:r>
              <w:rPr>
                <w:rFonts w:ascii="宋体"/>
                <w:sz w:val="18"/>
              </w:rPr>
              <w:t>8.57%</w:t>
            </w:r>
          </w:p>
        </w:tc>
      </w:tr>
      <w:tr>
        <w:trPr>
          <w:trHeight w:val="297"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8" w:space="0" w:color="000000"/>
              <w:right w:val="nil" w:sz="6" w:space="0" w:color="auto"/>
            </w:tcBorders>
          </w:tcPr>
          <w:p>
            <w:pP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single" w:sz="8" w:space="0" w:color="000000"/>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single" w:sz="8" w:space="0" w:color="000000"/>
              <w:right w:val="nil" w:sz="6" w:space="0" w:color="auto"/>
            </w:tcBorders>
          </w:tcPr>
          <w:p>
            <w:pPr/>
          </w:p>
        </w:tc>
      </w:tr>
      <w:tr>
        <w:trPr>
          <w:trHeight w:val="374"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 w:type="dxa"/>
            <w:tcBorders>
              <w:top w:val="nil" w:sz="6" w:space="0" w:color="auto"/>
              <w:left w:val="nil" w:sz="6" w:space="0" w:color="auto"/>
              <w:bottom w:val="nil" w:sz="6" w:space="0" w:color="auto"/>
              <w:right w:val="nil" w:sz="6" w:space="0" w:color="auto"/>
            </w:tcBorders>
          </w:tcPr>
          <w:p>
            <w:pPr/>
          </w:p>
        </w:tc>
        <w:tc>
          <w:tcPr>
            <w:tcW w:w="1532"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240" w:right="0"/>
              <w:jc w:val="left"/>
              <w:rPr>
                <w:rFonts w:ascii="宋体" w:hAnsi="宋体" w:cs="宋体" w:eastAsia="宋体" w:hint="default"/>
                <w:sz w:val="18"/>
                <w:szCs w:val="18"/>
              </w:rPr>
            </w:pPr>
            <w:r>
              <w:rPr>
                <w:rFonts w:ascii="宋体"/>
                <w:sz w:val="18"/>
              </w:rPr>
              <w:t>13,380,063.86</w:t>
            </w:r>
          </w:p>
        </w:tc>
        <w:tc>
          <w:tcPr>
            <w:tcW w:w="74" w:type="dxa"/>
            <w:tcBorders>
              <w:top w:val="nil" w:sz="6" w:space="0" w:color="auto"/>
              <w:left w:val="nil" w:sz="6" w:space="0" w:color="auto"/>
              <w:bottom w:val="nil" w:sz="6" w:space="0" w:color="auto"/>
              <w:right w:val="nil" w:sz="6" w:space="0" w:color="auto"/>
            </w:tcBorders>
          </w:tcPr>
          <w:p>
            <w:pPr/>
          </w:p>
        </w:tc>
        <w:tc>
          <w:tcPr>
            <w:tcW w:w="79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48" w:right="0"/>
              <w:jc w:val="center"/>
              <w:rPr>
                <w:rFonts w:ascii="宋体" w:hAnsi="宋体" w:cs="宋体" w:eastAsia="宋体" w:hint="default"/>
                <w:sz w:val="18"/>
                <w:szCs w:val="18"/>
              </w:rPr>
            </w:pPr>
            <w:r>
              <w:rPr>
                <w:rFonts w:ascii="宋体"/>
                <w:sz w:val="18"/>
              </w:rPr>
              <w:t>100.00%</w:t>
            </w:r>
          </w:p>
        </w:tc>
        <w:tc>
          <w:tcPr>
            <w:tcW w:w="127" w:type="dxa"/>
            <w:tcBorders>
              <w:top w:val="nil" w:sz="6" w:space="0" w:color="auto"/>
              <w:left w:val="nil" w:sz="6" w:space="0" w:color="auto"/>
              <w:bottom w:val="nil" w:sz="6" w:space="0" w:color="auto"/>
              <w:right w:val="nil" w:sz="6" w:space="0" w:color="auto"/>
            </w:tcBorders>
          </w:tcPr>
          <w:p>
            <w:pPr/>
          </w:p>
        </w:tc>
        <w:tc>
          <w:tcPr>
            <w:tcW w:w="125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sz w:val="18"/>
              </w:rPr>
              <w:t>1,843,841.43</w:t>
            </w:r>
          </w:p>
        </w:tc>
        <w:tc>
          <w:tcPr>
            <w:tcW w:w="161" w:type="dxa"/>
            <w:tcBorders>
              <w:top w:val="nil" w:sz="6" w:space="0" w:color="auto"/>
              <w:left w:val="nil" w:sz="6" w:space="0" w:color="auto"/>
              <w:bottom w:val="nil" w:sz="6" w:space="0" w:color="auto"/>
              <w:right w:val="nil" w:sz="6" w:space="0" w:color="auto"/>
            </w:tcBorders>
          </w:tcPr>
          <w:p>
            <w:pP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宋体"/>
                <w:spacing w:val="-1"/>
                <w:sz w:val="18"/>
              </w:rPr>
              <w:t>13.78%</w:t>
            </w:r>
          </w:p>
        </w:tc>
      </w:tr>
    </w:tbl>
    <w:p>
      <w:pPr>
        <w:spacing w:line="240" w:lineRule="auto" w:before="2"/>
        <w:rPr>
          <w:rFonts w:ascii="宋体" w:hAnsi="宋体" w:cs="宋体" w:eastAsia="宋体" w:hint="default"/>
          <w:sz w:val="12"/>
          <w:szCs w:val="12"/>
        </w:rPr>
      </w:pPr>
    </w:p>
    <w:p>
      <w:pPr>
        <w:pStyle w:val="BodyText"/>
        <w:spacing w:line="240" w:lineRule="auto" w:before="26"/>
        <w:ind w:left="882" w:right="0"/>
        <w:jc w:val="left"/>
      </w:pPr>
      <w:r>
        <w:rPr/>
        <w:t>⑵ 其他应收款按账龄列示</w:t>
      </w:r>
    </w:p>
    <w:p>
      <w:pPr>
        <w:spacing w:line="240" w:lineRule="auto" w:before="11"/>
        <w:rPr>
          <w:rFonts w:ascii="宋体" w:hAnsi="宋体" w:cs="宋体" w:eastAsia="宋体" w:hint="default"/>
          <w:sz w:val="10"/>
          <w:szCs w:val="10"/>
        </w:rPr>
      </w:pPr>
    </w:p>
    <w:tbl>
      <w:tblPr>
        <w:tblW w:w="0" w:type="auto"/>
        <w:jc w:val="left"/>
        <w:tblInd w:w="417" w:type="dxa"/>
        <w:tblLayout w:type="fixed"/>
        <w:tblCellMar>
          <w:top w:w="0" w:type="dxa"/>
          <w:left w:w="0" w:type="dxa"/>
          <w:bottom w:w="0" w:type="dxa"/>
          <w:right w:w="0" w:type="dxa"/>
        </w:tblCellMar>
        <w:tblLook w:val="01E0"/>
      </w:tblPr>
      <w:tblGrid>
        <w:gridCol w:w="1409"/>
        <w:gridCol w:w="312"/>
        <w:gridCol w:w="1954"/>
        <w:gridCol w:w="187"/>
        <w:gridCol w:w="1133"/>
        <w:gridCol w:w="410"/>
        <w:gridCol w:w="1688"/>
        <w:gridCol w:w="229"/>
        <w:gridCol w:w="1464"/>
      </w:tblGrid>
      <w:tr>
        <w:trPr>
          <w:trHeight w:val="253" w:hRule="exact"/>
        </w:trPr>
        <w:tc>
          <w:tcPr>
            <w:tcW w:w="1409"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z w:val="21"/>
                <w:szCs w:val="21"/>
              </w:rPr>
              <w:t>年末数</w:t>
            </w:r>
          </w:p>
        </w:tc>
        <w:tc>
          <w:tcPr>
            <w:tcW w:w="187" w:type="dxa"/>
            <w:tcBorders>
              <w:top w:val="nil" w:sz="6" w:space="0" w:color="auto"/>
              <w:left w:val="nil" w:sz="6" w:space="0" w:color="auto"/>
              <w:bottom w:val="single" w:sz="8" w:space="0" w:color="000000"/>
              <w:right w:val="nil" w:sz="6" w:space="0" w:color="auto"/>
            </w:tcBorders>
          </w:tcPr>
          <w:p>
            <w:pPr/>
          </w:p>
        </w:tc>
        <w:tc>
          <w:tcPr>
            <w:tcW w:w="1133" w:type="dxa"/>
            <w:tcBorders>
              <w:top w:val="nil" w:sz="6" w:space="0" w:color="auto"/>
              <w:left w:val="nil" w:sz="6" w:space="0" w:color="auto"/>
              <w:bottom w:val="single" w:sz="8" w:space="0" w:color="000000"/>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8" w:space="0" w:color="000000"/>
              <w:right w:val="nil" w:sz="6" w:space="0" w:color="auto"/>
            </w:tcBorders>
          </w:tcPr>
          <w:p>
            <w:pPr>
              <w:pStyle w:val="TableParagraph"/>
              <w:spacing w:line="211" w:lineRule="exact"/>
              <w:ind w:right="-104"/>
              <w:jc w:val="right"/>
              <w:rPr>
                <w:rFonts w:ascii="宋体" w:hAnsi="宋体" w:cs="宋体" w:eastAsia="宋体" w:hint="default"/>
                <w:sz w:val="21"/>
                <w:szCs w:val="21"/>
              </w:rPr>
            </w:pPr>
            <w:r>
              <w:rPr>
                <w:rFonts w:ascii="宋体" w:hAnsi="宋体" w:cs="宋体" w:eastAsia="宋体" w:hint="default"/>
                <w:sz w:val="21"/>
                <w:szCs w:val="21"/>
              </w:rPr>
              <w:t>年初</w:t>
            </w:r>
          </w:p>
        </w:tc>
        <w:tc>
          <w:tcPr>
            <w:tcW w:w="229" w:type="dxa"/>
            <w:tcBorders>
              <w:top w:val="nil" w:sz="6" w:space="0" w:color="auto"/>
              <w:left w:val="nil" w:sz="6" w:space="0" w:color="auto"/>
              <w:bottom w:val="single" w:sz="8" w:space="0" w:color="000000"/>
              <w:right w:val="nil" w:sz="6" w:space="0" w:color="auto"/>
            </w:tcBorders>
          </w:tcPr>
          <w:p>
            <w:pPr/>
          </w:p>
        </w:tc>
        <w:tc>
          <w:tcPr>
            <w:tcW w:w="1464" w:type="dxa"/>
            <w:tcBorders>
              <w:top w:val="nil" w:sz="6" w:space="0" w:color="auto"/>
              <w:left w:val="nil" w:sz="6" w:space="0" w:color="auto"/>
              <w:bottom w:val="single" w:sz="8" w:space="0" w:color="000000"/>
              <w:right w:val="nil" w:sz="6" w:space="0" w:color="auto"/>
            </w:tcBorders>
          </w:tcPr>
          <w:p>
            <w:pPr>
              <w:pStyle w:val="TableParagraph"/>
              <w:spacing w:line="211" w:lineRule="exact"/>
              <w:ind w:left="-126" w:right="0"/>
              <w:jc w:val="left"/>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360" w:hRule="exact"/>
        </w:trPr>
        <w:tc>
          <w:tcPr>
            <w:tcW w:w="1409"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437"/>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45"/>
              <w:jc w:val="center"/>
              <w:rPr>
                <w:rFonts w:ascii="宋体" w:hAnsi="宋体" w:cs="宋体" w:eastAsia="宋体" w:hint="default"/>
                <w:sz w:val="21"/>
                <w:szCs w:val="21"/>
              </w:rPr>
            </w:pPr>
            <w:r>
              <w:rPr>
                <w:rFonts w:ascii="宋体" w:hAnsi="宋体" w:cs="宋体" w:eastAsia="宋体" w:hint="default"/>
                <w:sz w:val="21"/>
                <w:szCs w:val="21"/>
              </w:rPr>
              <w:t>金额</w:t>
            </w:r>
          </w:p>
        </w:tc>
        <w:tc>
          <w:tcPr>
            <w:tcW w:w="187" w:type="dxa"/>
            <w:tcBorders>
              <w:top w:val="single" w:sz="8" w:space="0" w:color="000000"/>
              <w:left w:val="nil" w:sz="6" w:space="0" w:color="auto"/>
              <w:bottom w:val="nil" w:sz="6" w:space="0" w:color="auto"/>
              <w:right w:val="nil" w:sz="6" w:space="0" w:color="auto"/>
            </w:tcBorders>
          </w:tcPr>
          <w:p>
            <w:pPr/>
          </w:p>
        </w:tc>
        <w:tc>
          <w:tcPr>
            <w:tcW w:w="113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36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10"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9" w:type="dxa"/>
            <w:tcBorders>
              <w:top w:val="single" w:sz="8" w:space="0" w:color="000000"/>
              <w:left w:val="nil" w:sz="6" w:space="0" w:color="auto"/>
              <w:bottom w:val="nil" w:sz="6" w:space="0" w:color="auto"/>
              <w:right w:val="nil" w:sz="6" w:space="0" w:color="auto"/>
            </w:tcBorders>
          </w:tcPr>
          <w:p>
            <w:pPr/>
          </w:p>
        </w:tc>
        <w:tc>
          <w:tcPr>
            <w:tcW w:w="1464"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83" w:hRule="exact"/>
        </w:trPr>
        <w:tc>
          <w:tcPr>
            <w:tcW w:w="1409"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538" w:right="0"/>
              <w:jc w:val="left"/>
              <w:rPr>
                <w:rFonts w:ascii="宋体" w:hAnsi="宋体" w:cs="宋体" w:eastAsia="宋体" w:hint="default"/>
                <w:sz w:val="21"/>
                <w:szCs w:val="21"/>
              </w:rPr>
            </w:pPr>
            <w:r>
              <w:rPr>
                <w:rFonts w:ascii="宋体"/>
                <w:sz w:val="21"/>
              </w:rPr>
              <w:t>4,805,542.73</w:t>
            </w:r>
          </w:p>
        </w:tc>
        <w:tc>
          <w:tcPr>
            <w:tcW w:w="187" w:type="dxa"/>
            <w:tcBorders>
              <w:top w:val="nil" w:sz="6" w:space="0" w:color="auto"/>
              <w:left w:val="nil" w:sz="6" w:space="0" w:color="auto"/>
              <w:bottom w:val="nil" w:sz="6" w:space="0" w:color="auto"/>
              <w:right w:val="nil" w:sz="6" w:space="0" w:color="auto"/>
            </w:tcBorders>
          </w:tcPr>
          <w:p>
            <w:pPr/>
          </w:p>
        </w:tc>
        <w:tc>
          <w:tcPr>
            <w:tcW w:w="1133"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407" w:right="0"/>
              <w:jc w:val="left"/>
              <w:rPr>
                <w:rFonts w:ascii="宋体" w:hAnsi="宋体" w:cs="宋体" w:eastAsia="宋体" w:hint="default"/>
                <w:sz w:val="21"/>
                <w:szCs w:val="21"/>
              </w:rPr>
            </w:pPr>
            <w:r>
              <w:rPr>
                <w:rFonts w:ascii="宋体"/>
                <w:sz w:val="21"/>
              </w:rPr>
              <w:t>41.99%</w:t>
            </w:r>
          </w:p>
        </w:tc>
        <w:tc>
          <w:tcPr>
            <w:tcW w:w="410"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319" w:right="0"/>
              <w:jc w:val="left"/>
              <w:rPr>
                <w:rFonts w:ascii="宋体" w:hAnsi="宋体" w:cs="宋体" w:eastAsia="宋体" w:hint="default"/>
                <w:sz w:val="21"/>
                <w:szCs w:val="21"/>
              </w:rPr>
            </w:pPr>
            <w:r>
              <w:rPr>
                <w:rFonts w:ascii="宋体"/>
                <w:sz w:val="21"/>
              </w:rPr>
              <w:t>9,904,594.95</w:t>
            </w:r>
          </w:p>
        </w:tc>
        <w:tc>
          <w:tcPr>
            <w:tcW w:w="229" w:type="dxa"/>
            <w:tcBorders>
              <w:top w:val="nil" w:sz="6" w:space="0" w:color="auto"/>
              <w:left w:val="nil" w:sz="6" w:space="0" w:color="auto"/>
              <w:bottom w:val="nil" w:sz="6" w:space="0" w:color="auto"/>
              <w:right w:val="nil" w:sz="6" w:space="0" w:color="auto"/>
            </w:tcBorders>
          </w:tcPr>
          <w:p>
            <w:pPr/>
          </w:p>
        </w:tc>
        <w:tc>
          <w:tcPr>
            <w:tcW w:w="1464"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z w:val="21"/>
              </w:rPr>
              <w:t>74.02%</w:t>
            </w:r>
          </w:p>
        </w:tc>
      </w:tr>
      <w:tr>
        <w:trPr>
          <w:trHeight w:val="341"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8" w:right="0"/>
              <w:jc w:val="left"/>
              <w:rPr>
                <w:rFonts w:ascii="宋体" w:hAnsi="宋体" w:cs="宋体" w:eastAsia="宋体" w:hint="default"/>
                <w:sz w:val="21"/>
                <w:szCs w:val="21"/>
              </w:rPr>
            </w:pPr>
            <w:r>
              <w:rPr>
                <w:rFonts w:ascii="宋体"/>
                <w:sz w:val="21"/>
              </w:rPr>
              <w:t>3,820,804.02</w:t>
            </w:r>
          </w:p>
        </w:tc>
        <w:tc>
          <w:tcPr>
            <w:tcW w:w="18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7" w:right="0"/>
              <w:jc w:val="left"/>
              <w:rPr>
                <w:rFonts w:ascii="宋体" w:hAnsi="宋体" w:cs="宋体" w:eastAsia="宋体" w:hint="default"/>
                <w:sz w:val="21"/>
                <w:szCs w:val="21"/>
              </w:rPr>
            </w:pPr>
            <w:r>
              <w:rPr>
                <w:rFonts w:ascii="宋体"/>
                <w:sz w:val="21"/>
              </w:rPr>
              <w:t>33.38%</w:t>
            </w:r>
          </w:p>
        </w:tc>
        <w:tc>
          <w:tcPr>
            <w:tcW w:w="410"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19" w:right="0"/>
              <w:jc w:val="left"/>
              <w:rPr>
                <w:rFonts w:ascii="宋体" w:hAnsi="宋体" w:cs="宋体" w:eastAsia="宋体" w:hint="default"/>
                <w:sz w:val="21"/>
                <w:szCs w:val="21"/>
              </w:rPr>
            </w:pPr>
            <w:r>
              <w:rPr>
                <w:rFonts w:ascii="宋体"/>
                <w:sz w:val="21"/>
              </w:rPr>
              <w:t>1,963,946.96</w:t>
            </w:r>
          </w:p>
        </w:tc>
        <w:tc>
          <w:tcPr>
            <w:tcW w:w="22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z w:val="21"/>
              </w:rPr>
              <w:t>14.68%</w:t>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8" w:right="0"/>
              <w:jc w:val="left"/>
              <w:rPr>
                <w:rFonts w:ascii="宋体" w:hAnsi="宋体" w:cs="宋体" w:eastAsia="宋体" w:hint="default"/>
                <w:sz w:val="21"/>
                <w:szCs w:val="21"/>
              </w:rPr>
            </w:pPr>
            <w:r>
              <w:rPr>
                <w:rFonts w:ascii="宋体"/>
                <w:sz w:val="21"/>
              </w:rPr>
              <w:t>1,645,855.07</w:t>
            </w:r>
          </w:p>
        </w:tc>
        <w:tc>
          <w:tcPr>
            <w:tcW w:w="18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7" w:right="0"/>
              <w:jc w:val="left"/>
              <w:rPr>
                <w:rFonts w:ascii="宋体" w:hAnsi="宋体" w:cs="宋体" w:eastAsia="宋体" w:hint="default"/>
                <w:sz w:val="21"/>
                <w:szCs w:val="21"/>
              </w:rPr>
            </w:pPr>
            <w:r>
              <w:rPr>
                <w:rFonts w:ascii="宋体"/>
                <w:sz w:val="21"/>
              </w:rPr>
              <w:t>14.38%</w:t>
            </w:r>
          </w:p>
        </w:tc>
        <w:tc>
          <w:tcPr>
            <w:tcW w:w="410"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19" w:right="0"/>
              <w:jc w:val="left"/>
              <w:rPr>
                <w:rFonts w:ascii="宋体" w:hAnsi="宋体" w:cs="宋体" w:eastAsia="宋体" w:hint="default"/>
                <w:sz w:val="21"/>
                <w:szCs w:val="21"/>
              </w:rPr>
            </w:pPr>
            <w:r>
              <w:rPr>
                <w:rFonts w:ascii="宋体"/>
                <w:sz w:val="21"/>
              </w:rPr>
              <w:t>1,202,290.01</w:t>
            </w:r>
          </w:p>
        </w:tc>
        <w:tc>
          <w:tcPr>
            <w:tcW w:w="22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z w:val="21"/>
              </w:rPr>
              <w:t>8.99%</w:t>
            </w:r>
          </w:p>
        </w:tc>
      </w:tr>
      <w:tr>
        <w:trPr>
          <w:trHeight w:val="317"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40" w:lineRule="auto"/>
              <w:ind w:left="538" w:right="0"/>
              <w:jc w:val="left"/>
              <w:rPr>
                <w:rFonts w:ascii="宋体" w:hAnsi="宋体" w:cs="宋体" w:eastAsia="宋体" w:hint="default"/>
                <w:sz w:val="21"/>
                <w:szCs w:val="21"/>
              </w:rPr>
            </w:pPr>
            <w:r>
              <w:rPr>
                <w:rFonts w:ascii="宋体"/>
                <w:sz w:val="21"/>
              </w:rPr>
              <w:t>1,173,259.15</w:t>
            </w:r>
          </w:p>
        </w:tc>
        <w:tc>
          <w:tcPr>
            <w:tcW w:w="18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8" w:space="0" w:color="000000"/>
              <w:right w:val="nil" w:sz="6" w:space="0" w:color="auto"/>
            </w:tcBorders>
          </w:tcPr>
          <w:p>
            <w:pPr>
              <w:pStyle w:val="TableParagraph"/>
              <w:spacing w:line="240" w:lineRule="auto"/>
              <w:ind w:left="407" w:right="0"/>
              <w:jc w:val="left"/>
              <w:rPr>
                <w:rFonts w:ascii="宋体" w:hAnsi="宋体" w:cs="宋体" w:eastAsia="宋体" w:hint="default"/>
                <w:sz w:val="21"/>
                <w:szCs w:val="21"/>
              </w:rPr>
            </w:pPr>
            <w:r>
              <w:rPr>
                <w:rFonts w:ascii="宋体"/>
                <w:sz w:val="21"/>
              </w:rPr>
              <w:t>10.25%</w:t>
            </w:r>
          </w:p>
        </w:tc>
        <w:tc>
          <w:tcPr>
            <w:tcW w:w="410"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8" w:space="0" w:color="000000"/>
              <w:right w:val="nil" w:sz="6" w:space="0" w:color="auto"/>
            </w:tcBorders>
          </w:tcPr>
          <w:p>
            <w:pPr>
              <w:pStyle w:val="TableParagraph"/>
              <w:spacing w:line="240" w:lineRule="auto"/>
              <w:ind w:left="528" w:right="0"/>
              <w:jc w:val="left"/>
              <w:rPr>
                <w:rFonts w:ascii="宋体" w:hAnsi="宋体" w:cs="宋体" w:eastAsia="宋体" w:hint="default"/>
                <w:sz w:val="21"/>
                <w:szCs w:val="21"/>
              </w:rPr>
            </w:pPr>
            <w:r>
              <w:rPr>
                <w:rFonts w:ascii="宋体"/>
                <w:sz w:val="21"/>
              </w:rPr>
              <w:t>309,231.94</w:t>
            </w:r>
          </w:p>
        </w:tc>
        <w:tc>
          <w:tcPr>
            <w:tcW w:w="229"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z w:val="21"/>
              </w:rPr>
              <w:t>2.31%</w:t>
            </w:r>
          </w:p>
        </w:tc>
      </w:tr>
      <w:tr>
        <w:trPr>
          <w:trHeight w:val="374"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7"/>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12"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left="432" w:right="0"/>
              <w:jc w:val="left"/>
              <w:rPr>
                <w:rFonts w:ascii="宋体" w:hAnsi="宋体" w:cs="宋体" w:eastAsia="宋体" w:hint="default"/>
                <w:sz w:val="21"/>
                <w:szCs w:val="21"/>
              </w:rPr>
            </w:pPr>
            <w:r>
              <w:rPr>
                <w:rFonts w:ascii="宋体"/>
                <w:sz w:val="21"/>
              </w:rPr>
              <w:t>11,445,460.97</w:t>
            </w:r>
          </w:p>
        </w:tc>
        <w:tc>
          <w:tcPr>
            <w:tcW w:w="187" w:type="dxa"/>
            <w:tcBorders>
              <w:top w:val="nil" w:sz="6" w:space="0" w:color="auto"/>
              <w:left w:val="nil" w:sz="6" w:space="0" w:color="auto"/>
              <w:bottom w:val="nil" w:sz="6" w:space="0" w:color="auto"/>
              <w:right w:val="nil" w:sz="6" w:space="0" w:color="auto"/>
            </w:tcBorders>
          </w:tcPr>
          <w:p>
            <w:pPr/>
          </w:p>
        </w:tc>
        <w:tc>
          <w:tcPr>
            <w:tcW w:w="1133"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left="304" w:right="0"/>
              <w:jc w:val="left"/>
              <w:rPr>
                <w:rFonts w:ascii="宋体" w:hAnsi="宋体" w:cs="宋体" w:eastAsia="宋体" w:hint="default"/>
                <w:sz w:val="21"/>
                <w:szCs w:val="21"/>
              </w:rPr>
            </w:pPr>
            <w:r>
              <w:rPr>
                <w:rFonts w:ascii="宋体"/>
                <w:sz w:val="21"/>
              </w:rPr>
              <w:t>100.00%</w:t>
            </w:r>
          </w:p>
        </w:tc>
        <w:tc>
          <w:tcPr>
            <w:tcW w:w="410" w:type="dxa"/>
            <w:tcBorders>
              <w:top w:val="nil" w:sz="6" w:space="0" w:color="auto"/>
              <w:left w:val="nil" w:sz="6" w:space="0" w:color="auto"/>
              <w:bottom w:val="nil" w:sz="6" w:space="0" w:color="auto"/>
              <w:right w:val="nil" w:sz="6" w:space="0" w:color="auto"/>
            </w:tcBorders>
          </w:tcPr>
          <w:p>
            <w:pPr/>
          </w:p>
        </w:tc>
        <w:tc>
          <w:tcPr>
            <w:tcW w:w="1688"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left="214" w:right="0"/>
              <w:jc w:val="left"/>
              <w:rPr>
                <w:rFonts w:ascii="宋体" w:hAnsi="宋体" w:cs="宋体" w:eastAsia="宋体" w:hint="default"/>
                <w:sz w:val="21"/>
                <w:szCs w:val="21"/>
              </w:rPr>
            </w:pPr>
            <w:r>
              <w:rPr>
                <w:rFonts w:ascii="宋体"/>
                <w:sz w:val="21"/>
              </w:rPr>
              <w:t>13,380,063.86</w:t>
            </w:r>
          </w:p>
        </w:tc>
        <w:tc>
          <w:tcPr>
            <w:tcW w:w="229" w:type="dxa"/>
            <w:tcBorders>
              <w:top w:val="nil" w:sz="6" w:space="0" w:color="auto"/>
              <w:left w:val="nil" w:sz="6" w:space="0" w:color="auto"/>
              <w:bottom w:val="nil" w:sz="6" w:space="0" w:color="auto"/>
              <w:right w:val="nil" w:sz="6" w:space="0" w:color="auto"/>
            </w:tcBorders>
          </w:tcPr>
          <w:p>
            <w:pPr/>
          </w:p>
        </w:tc>
        <w:tc>
          <w:tcPr>
            <w:tcW w:w="1464"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1362" w:val="left" w:leader="none"/>
        </w:tabs>
        <w:spacing w:line="244" w:lineRule="auto" w:before="26"/>
        <w:ind w:left="882" w:right="5481"/>
        <w:jc w:val="left"/>
      </w:pPr>
      <w:r>
        <w:rPr/>
        <w:t>⑶</w:t>
        <w:tab/>
        <w:t>坏账准备的计提情况 按账龄分析法计提坏账准备的其他应收款</w:t>
      </w:r>
    </w:p>
    <w:p>
      <w:pPr>
        <w:spacing w:after="0" w:line="244" w:lineRule="auto"/>
        <w:jc w:val="left"/>
        <w:sectPr>
          <w:headerReference w:type="default" r:id="rId37"/>
          <w:pgSz w:w="11910" w:h="16840"/>
          <w:pgMar w:header="867" w:footer="1153" w:top="1060" w:bottom="1340" w:left="122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7" w:footer="1153" w:top="1060" w:bottom="1340" w:left="1220" w:right="0"/>
        </w:sect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5"/>
          <w:szCs w:val="15"/>
        </w:rPr>
      </w:pPr>
    </w:p>
    <w:p>
      <w:pPr>
        <w:tabs>
          <w:tab w:pos="2399" w:val="left" w:leader="none"/>
        </w:tabs>
        <w:spacing w:before="0"/>
        <w:ind w:left="611" w:right="-20" w:firstLine="0"/>
        <w:jc w:val="left"/>
        <w:rPr>
          <w:rFonts w:ascii="宋体" w:hAnsi="宋体" w:cs="宋体" w:eastAsia="宋体" w:hint="default"/>
          <w:sz w:val="18"/>
          <w:szCs w:val="18"/>
        </w:rPr>
      </w:pPr>
      <w:r>
        <w:rPr>
          <w:rFonts w:ascii="宋体" w:hAnsi="宋体" w:cs="宋体" w:eastAsia="宋体" w:hint="default"/>
          <w:position w:val="5"/>
          <w:sz w:val="18"/>
          <w:szCs w:val="18"/>
        </w:rPr>
        <w:t>账</w:t>
      </w:r>
      <w:r>
        <w:rPr>
          <w:rFonts w:ascii="宋体" w:hAnsi="宋体" w:cs="宋体" w:eastAsia="宋体" w:hint="default"/>
          <w:spacing w:val="1"/>
          <w:position w:val="5"/>
          <w:sz w:val="18"/>
          <w:szCs w:val="18"/>
        </w:rPr>
        <w:t> </w:t>
      </w:r>
      <w:r>
        <w:rPr>
          <w:rFonts w:ascii="宋体" w:hAnsi="宋体" w:cs="宋体" w:eastAsia="宋体" w:hint="default"/>
          <w:position w:val="5"/>
          <w:sz w:val="18"/>
          <w:szCs w:val="18"/>
        </w:rPr>
        <w:t>龄</w:t>
        <w:tab/>
      </w:r>
      <w:r>
        <w:rPr>
          <w:rFonts w:ascii="宋体" w:hAnsi="宋体" w:cs="宋体" w:eastAsia="宋体" w:hint="default"/>
          <w:sz w:val="18"/>
          <w:szCs w:val="18"/>
        </w:rPr>
        <w:t>账面余额</w:t>
      </w:r>
    </w:p>
    <w:p>
      <w:pPr>
        <w:spacing w:line="240" w:lineRule="auto" w:before="3"/>
        <w:rPr>
          <w:rFonts w:ascii="宋体" w:hAnsi="宋体" w:cs="宋体" w:eastAsia="宋体" w:hint="default"/>
          <w:sz w:val="14"/>
          <w:szCs w:val="14"/>
        </w:rPr>
      </w:pPr>
      <w:r>
        <w:rPr/>
        <w:br w:type="column"/>
      </w:r>
      <w:r>
        <w:rPr>
          <w:rFonts w:ascii="宋体"/>
          <w:sz w:val="14"/>
        </w:rPr>
      </w:r>
    </w:p>
    <w:p>
      <w:pPr>
        <w:tabs>
          <w:tab w:pos="4280" w:val="left" w:leader="none"/>
        </w:tabs>
        <w:spacing w:before="0"/>
        <w:ind w:left="102" w:right="-19" w:firstLine="0"/>
        <w:jc w:val="left"/>
        <w:rPr>
          <w:rFonts w:ascii="宋体" w:hAnsi="宋体" w:cs="宋体" w:eastAsia="宋体" w:hint="default"/>
          <w:sz w:val="18"/>
          <w:szCs w:val="18"/>
        </w:rPr>
      </w:pPr>
      <w:r>
        <w:rPr/>
        <w:pict>
          <v:group style="position:absolute;margin-left:136.567993pt;margin-top:13.267734pt;width:202.2pt;height:1pt;mso-position-horizontal-relative:page;mso-position-vertical-relative:paragraph;z-index:1960" coordorigin="2731,265" coordsize="4044,20">
            <v:group style="position:absolute;left:2741;top:275;width:2480;height:2" coordorigin="2741,275" coordsize="2480,2">
              <v:shape style="position:absolute;left:2741;top:275;width:2480;height:2" coordorigin="2741,275" coordsize="2480,0" path="m2741,275l5221,275e" filled="false" stroked="true" strokeweight=".984pt" strokecolor="#000000">
                <v:path arrowok="t"/>
              </v:shape>
            </v:group>
            <v:group style="position:absolute;left:5221;top:275;width:20;height:2" coordorigin="5221,275" coordsize="20,2">
              <v:shape style="position:absolute;left:5221;top:275;width:20;height:2" coordorigin="5221,275" coordsize="20,0" path="m5221,275l5240,275e" filled="false" stroked="true" strokeweight=".984pt" strokecolor="#000000">
                <v:path arrowok="t"/>
              </v:shape>
            </v:group>
            <v:group style="position:absolute;left:5240;top:275;width:228;height:2" coordorigin="5240,275" coordsize="228,2">
              <v:shape style="position:absolute;left:5240;top:275;width:228;height:2" coordorigin="5240,275" coordsize="228,0" path="m5240,275l5468,275e" filled="false" stroked="true" strokeweight=".984pt" strokecolor="#000000">
                <v:path arrowok="t"/>
              </v:shape>
            </v:group>
            <v:group style="position:absolute;left:5468;top:275;width:20;height:2" coordorigin="5468,275" coordsize="20,2">
              <v:shape style="position:absolute;left:5468;top:275;width:20;height:2" coordorigin="5468,275" coordsize="20,0" path="m5468,275l5487,275e" filled="false" stroked="true" strokeweight=".984pt" strokecolor="#000000">
                <v:path arrowok="t"/>
              </v:shape>
            </v:group>
            <v:group style="position:absolute;left:5487;top:275;width:1278;height:2" coordorigin="5487,275" coordsize="1278,2">
              <v:shape style="position:absolute;left:5487;top:275;width:1278;height:2" coordorigin="5487,275" coordsize="1278,0" path="m5487,275l6765,275e" filled="false" stroked="true" strokeweight=".984pt" strokecolor="#000000">
                <v:path arrowok="t"/>
              </v:shape>
            </v:group>
            <w10:wrap type="none"/>
          </v:group>
        </w:pict>
      </w:r>
      <w:r>
        <w:rPr/>
        <w:pict>
          <v:group style="position:absolute;margin-left:349.497986pt;margin-top:13.267734pt;width:194.25pt;height:1pt;mso-position-horizontal-relative:page;mso-position-vertical-relative:paragraph;z-index:1984" coordorigin="6990,265" coordsize="3885,20">
            <v:group style="position:absolute;left:7000;top:275;width:2269;height:2" coordorigin="7000,275" coordsize="2269,2">
              <v:shape style="position:absolute;left:7000;top:275;width:2269;height:2" coordorigin="7000,275" coordsize="2269,0" path="m7000,275l9268,275e" filled="false" stroked="true" strokeweight=".984pt" strokecolor="#000000">
                <v:path arrowok="t"/>
              </v:shape>
            </v:group>
            <v:group style="position:absolute;left:9268;top:275;width:20;height:2" coordorigin="9268,275" coordsize="20,2">
              <v:shape style="position:absolute;left:9268;top:275;width:20;height:2" coordorigin="9268,275" coordsize="20,0" path="m9268,275l9288,275e" filled="false" stroked="true" strokeweight=".984pt" strokecolor="#000000">
                <v:path arrowok="t"/>
              </v:shape>
            </v:group>
            <v:group style="position:absolute;left:9288;top:275;width:228;height:2" coordorigin="9288,275" coordsize="228,2">
              <v:shape style="position:absolute;left:9288;top:275;width:228;height:2" coordorigin="9288,275" coordsize="228,0" path="m9288,275l9516,275e" filled="false" stroked="true" strokeweight=".984pt" strokecolor="#000000">
                <v:path arrowok="t"/>
              </v:shape>
            </v:group>
            <v:group style="position:absolute;left:9516;top:275;width:20;height:2" coordorigin="9516,275" coordsize="20,2">
              <v:shape style="position:absolute;left:9516;top:275;width:20;height:2" coordorigin="9516,275" coordsize="20,0" path="m9516,275l9535,275e" filled="false" stroked="true" strokeweight=".984pt" strokecolor="#000000">
                <v:path arrowok="t"/>
              </v:shape>
            </v:group>
            <v:group style="position:absolute;left:9535;top:275;width:1330;height:2" coordorigin="9535,275" coordsize="1330,2">
              <v:shape style="position:absolute;left:9535;top:275;width:1330;height:2" coordorigin="9535,275" coordsize="1330,0" path="m9535,275l10864,275e" filled="false" stroked="true" strokeweight=".984pt" strokecolor="#000000">
                <v:path arrowok="t"/>
              </v:shape>
            </v:group>
            <w10:wrap type="none"/>
          </v:group>
        </w:pict>
      </w:r>
      <w:r>
        <w:rPr>
          <w:rFonts w:ascii="宋体" w:hAnsi="宋体" w:cs="宋体" w:eastAsia="宋体" w:hint="default"/>
          <w:sz w:val="18"/>
          <w:szCs w:val="18"/>
        </w:rPr>
        <w:t>年末数</w:t>
        <w:tab/>
        <w:t>年初数</w:t>
      </w:r>
    </w:p>
    <w:p>
      <w:pPr>
        <w:spacing w:line="181" w:lineRule="exact" w:before="125"/>
        <w:ind w:left="0" w:right="706"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spacing w:line="181" w:lineRule="exact" w:before="0"/>
        <w:ind w:left="1376" w:right="-19" w:firstLine="0"/>
        <w:jc w:val="left"/>
        <w:rPr>
          <w:rFonts w:ascii="宋体" w:hAnsi="宋体" w:cs="宋体" w:eastAsia="宋体" w:hint="default"/>
          <w:sz w:val="18"/>
          <w:szCs w:val="18"/>
        </w:rPr>
      </w:pPr>
      <w:r>
        <w:rPr/>
        <w:pict>
          <v:group style="position:absolute;margin-left:136.580002pt;margin-top:4.203049pt;width:124.95pt;height:1pt;mso-position-horizontal-relative:page;mso-position-vertical-relative:paragraph;z-index:2008" coordorigin="2732,84" coordsize="2499,20">
            <v:group style="position:absolute;left:2741;top:94;width:1388;height:2" coordorigin="2741,94" coordsize="1388,2">
              <v:shape style="position:absolute;left:2741;top:94;width:1388;height:2" coordorigin="2741,94" coordsize="1388,0" path="m2741,94l4129,94e" filled="false" stroked="true" strokeweight=".96pt" strokecolor="#000000">
                <v:path arrowok="t"/>
              </v:shape>
            </v:group>
            <v:group style="position:absolute;left:4129;top:94;width:20;height:2" coordorigin="4129,94" coordsize="20,2">
              <v:shape style="position:absolute;left:4129;top:94;width:20;height:2" coordorigin="4129,94" coordsize="20,0" path="m4129,94l4148,94e" filled="false" stroked="true" strokeweight=".96pt" strokecolor="#000000">
                <v:path arrowok="t"/>
              </v:shape>
            </v:group>
            <v:group style="position:absolute;left:4148;top:94;width:228;height:2" coordorigin="4148,94" coordsize="228,2">
              <v:shape style="position:absolute;left:4148;top:94;width:228;height:2" coordorigin="4148,94" coordsize="228,0" path="m4148,94l4376,94e" filled="false" stroked="true" strokeweight=".96pt" strokecolor="#000000">
                <v:path arrowok="t"/>
              </v:shape>
            </v:group>
            <v:group style="position:absolute;left:4376;top:94;width:20;height:2" coordorigin="4376,94" coordsize="20,2">
              <v:shape style="position:absolute;left:4376;top:94;width:20;height:2" coordorigin="4376,94" coordsize="20,0" path="m4376,94l4395,94e" filled="false" stroked="true" strokeweight=".96pt" strokecolor="#000000">
                <v:path arrowok="t"/>
              </v:shape>
            </v:group>
            <v:group style="position:absolute;left:4395;top:94;width:826;height:2" coordorigin="4395,94" coordsize="826,2">
              <v:shape style="position:absolute;left:4395;top:94;width:826;height:2" coordorigin="4395,94" coordsize="826,0" path="m4395,94l5221,94e" filled="false" stroked="true" strokeweight=".96pt" strokecolor="#000000">
                <v:path arrowok="t"/>
              </v:shape>
            </v:group>
            <w10:wrap type="none"/>
          </v:group>
        </w:pict>
      </w:r>
      <w:r>
        <w:rPr/>
        <w:pict>
          <v:group style="position:absolute;margin-left:349.51001pt;margin-top:4.203049pt;width:114.4pt;height:1pt;mso-position-horizontal-relative:page;mso-position-vertical-relative:paragraph;z-index:2032" coordorigin="6990,84" coordsize="2288,20">
            <v:group style="position:absolute;left:7000;top:94;width:1282;height:2" coordorigin="7000,94" coordsize="1282,2">
              <v:shape style="position:absolute;left:7000;top:94;width:1282;height:2" coordorigin="7000,94" coordsize="1282,0" path="m7000,94l8281,94e" filled="false" stroked="true" strokeweight=".96pt" strokecolor="#000000">
                <v:path arrowok="t"/>
              </v:shape>
            </v:group>
            <v:group style="position:absolute;left:8281;top:94;width:20;height:2" coordorigin="8281,94" coordsize="20,2">
              <v:shape style="position:absolute;left:8281;top:94;width:20;height:2" coordorigin="8281,94" coordsize="20,0" path="m8281,94l8301,94e" filled="false" stroked="true" strokeweight=".96pt" strokecolor="#000000">
                <v:path arrowok="t"/>
              </v:shape>
            </v:group>
            <v:group style="position:absolute;left:8301;top:94;width:228;height:2" coordorigin="8301,94" coordsize="228,2">
              <v:shape style="position:absolute;left:8301;top:94;width:228;height:2" coordorigin="8301,94" coordsize="228,0" path="m8301,94l8529,94e" filled="false" stroked="true" strokeweight=".96pt" strokecolor="#000000">
                <v:path arrowok="t"/>
              </v:shape>
            </v:group>
            <v:group style="position:absolute;left:8529;top:94;width:20;height:2" coordorigin="8529,94" coordsize="20,2">
              <v:shape style="position:absolute;left:8529;top:94;width:20;height:2" coordorigin="8529,94" coordsize="20,0" path="m8529,94l8548,94e" filled="false" stroked="true" strokeweight=".96pt" strokecolor="#000000">
                <v:path arrowok="t"/>
              </v:shape>
            </v:group>
            <v:group style="position:absolute;left:8548;top:94;width:721;height:2" coordorigin="8548,94" coordsize="721,2">
              <v:shape style="position:absolute;left:8548;top:94;width:721;height:2" coordorigin="8548,94" coordsize="721,0" path="m8548,94l9268,94e" filled="false" stroked="true" strokeweight=".96pt" strokecolor="#000000">
                <v:path arrowok="t"/>
              </v:shape>
            </v:group>
            <w10:wrap type="none"/>
          </v:group>
        </w:pict>
      </w:r>
      <w:r>
        <w:rPr>
          <w:rFonts w:ascii="宋体" w:hAnsi="宋体" w:cs="宋体" w:eastAsia="宋体" w:hint="default"/>
          <w:sz w:val="18"/>
          <w:szCs w:val="18"/>
        </w:rPr>
        <w:t>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588"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700" w:bottom="0" w:left="1220" w:right="0"/>
          <w:cols w:num="3" w:equalWidth="0">
            <w:col w:w="3120" w:space="40"/>
            <w:col w:w="4822" w:space="40"/>
            <w:col w:w="2668"/>
          </w:cols>
        </w:sectPr>
      </w:pPr>
    </w:p>
    <w:p>
      <w:pPr>
        <w:tabs>
          <w:tab w:pos="3398" w:val="left" w:leader="none"/>
          <w:tab w:pos="6238" w:val="left" w:leader="none"/>
          <w:tab w:pos="7495" w:val="left" w:leader="none"/>
        </w:tabs>
        <w:spacing w:line="233" w:lineRule="exact" w:before="0"/>
        <w:ind w:left="2032" w:right="0" w:firstLine="0"/>
        <w:jc w:val="left"/>
        <w:rPr>
          <w:rFonts w:ascii="宋体" w:hAnsi="宋体" w:cs="宋体" w:eastAsia="宋体" w:hint="default"/>
          <w:sz w:val="18"/>
          <w:szCs w:val="18"/>
        </w:rPr>
      </w:pPr>
      <w:r>
        <w:rPr/>
        <w:pict>
          <v:group style="position:absolute;margin-left:66.349998pt;margin-top:40.549984pt;width:464.75pt;height:15.75pt;mso-position-horizontal-relative:page;mso-position-vertical-relative:page;z-index:1936" coordorigin="1327,811" coordsize="9295,315">
            <v:group style="position:absolute;left:1594;top:1111;width:9021;height:2" coordorigin="1594,1111" coordsize="9021,2">
              <v:shape style="position:absolute;left:1594;top:1111;width:9021;height:2" coordorigin="1594,1111" coordsize="9021,0" path="m1594,1111l10615,1111e" filled="false" stroked="true" strokeweight=".72pt" strokecolor="#000000">
                <v:path arrowok="t"/>
              </v:shape>
              <v:shape style="position:absolute;left:1327;top:811;width:360;height:315" type="#_x0000_t75" stroked="false">
                <v:imagedata r:id="rId5" o:title=""/>
              </v:shape>
            </v:group>
            <w10:wrap type="none"/>
          </v:group>
        </w:pict>
      </w:r>
      <w:r>
        <w:rPr>
          <w:rFonts w:ascii="宋体" w:hAnsi="宋体" w:cs="宋体" w:eastAsia="宋体" w:hint="default"/>
          <w:sz w:val="18"/>
          <w:szCs w:val="18"/>
        </w:rPr>
        <w:t>金额</w:t>
        <w:tab/>
        <w:t>比例</w:t>
        <w:tab/>
        <w:t>金额</w:t>
        <w:tab/>
        <w:t>比例</w:t>
      </w:r>
    </w:p>
    <w:p>
      <w:pPr>
        <w:spacing w:line="240" w:lineRule="auto" w:before="4"/>
        <w:rPr>
          <w:rFonts w:ascii="宋体" w:hAnsi="宋体" w:cs="宋体" w:eastAsia="宋体" w:hint="default"/>
          <w:sz w:val="2"/>
          <w:szCs w:val="2"/>
        </w:rPr>
      </w:pPr>
    </w:p>
    <w:p>
      <w:pPr>
        <w:tabs>
          <w:tab w:pos="1511" w:val="left" w:leader="none"/>
          <w:tab w:pos="3146" w:val="left" w:leader="none"/>
          <w:tab w:pos="4238" w:val="left" w:leader="none"/>
          <w:tab w:pos="5770" w:val="left" w:leader="none"/>
          <w:tab w:pos="7299" w:val="left" w:leader="none"/>
          <w:tab w:pos="8286" w:val="left" w:leader="none"/>
        </w:tabs>
        <w:spacing w:line="20" w:lineRule="exact"/>
        <w:ind w:left="378" w:right="0" w:firstLine="0"/>
        <w:rPr>
          <w:rFonts w:ascii="宋体" w:hAnsi="宋体" w:cs="宋体" w:eastAsia="宋体" w:hint="default"/>
          <w:sz w:val="2"/>
          <w:szCs w:val="2"/>
        </w:rPr>
      </w:pPr>
      <w:r>
        <w:rPr>
          <w:rFonts w:ascii="宋体"/>
          <w:sz w:val="2"/>
        </w:rPr>
        <w:pict>
          <v:group style="width:45.85pt;height:1pt;mso-position-horizontal-relative:char;mso-position-vertical-relative:line" coordorigin="0,0" coordsize="917,20">
            <v:group style="position:absolute;left:10;top:10;width:898;height:2" coordorigin="10,10" coordsize="898,2">
              <v:shape style="position:absolute;left:10;top:10;width:898;height:2" coordorigin="10,10" coordsize="898,0" path="m10,10l907,10e" filled="false" stroked="true" strokeweight=".96pt" strokecolor="#000000">
                <v:path arrowok="t"/>
              </v:shape>
            </v:group>
          </v:group>
        </w:pict>
      </w:r>
      <w:r>
        <w:rPr>
          <w:rFonts w:ascii="宋体"/>
          <w:sz w:val="2"/>
        </w:rPr>
      </w:r>
      <w:r>
        <w:rPr>
          <w:rFonts w:ascii="宋体"/>
          <w:sz w:val="2"/>
        </w:rPr>
        <w:tab/>
      </w:r>
      <w:r>
        <w:rPr>
          <w:rFonts w:ascii="宋体"/>
          <w:sz w:val="2"/>
        </w:rPr>
        <w:pict>
          <v:group style="width:70.350pt;height:1pt;mso-position-horizontal-relative:char;mso-position-vertical-relative:line" coordorigin="0,0" coordsize="1407,20">
            <v:group style="position:absolute;left:10;top:10;width:1388;height:2" coordorigin="10,10" coordsize="1388,2">
              <v:shape style="position:absolute;left:10;top:10;width:1388;height:2" coordorigin="10,10" coordsize="1388,0" path="m10,10l1397,10e" filled="false" stroked="true" strokeweight=".96pt" strokecolor="#000000">
                <v:path arrowok="t"/>
              </v:shape>
            </v:group>
          </v:group>
        </w:pict>
      </w:r>
      <w:r>
        <w:rPr>
          <w:rFonts w:ascii="宋体"/>
          <w:sz w:val="2"/>
        </w:rPr>
      </w:r>
      <w:r>
        <w:rPr>
          <w:rFonts w:ascii="宋体"/>
          <w:sz w:val="2"/>
        </w:rPr>
        <w:tab/>
      </w:r>
      <w:r>
        <w:rPr>
          <w:rFonts w:ascii="宋体"/>
          <w:sz w:val="2"/>
        </w:rPr>
        <w:pict>
          <v:group style="width:43.2pt;height:1pt;mso-position-horizontal-relative:char;mso-position-vertical-relative:line" coordorigin="0,0" coordsize="864,20">
            <v:group style="position:absolute;left:10;top:10;width:845;height:2" coordorigin="10,10" coordsize="845,2">
              <v:shape style="position:absolute;left:10;top:10;width:845;height:2" coordorigin="10,10" coordsize="845,0" path="m10,10l854,10e" filled="false" stroked="true" strokeweight=".96pt" strokecolor="#000000">
                <v:path arrowok="t"/>
              </v:shape>
            </v:group>
          </v:group>
        </w:pict>
      </w:r>
      <w:r>
        <w:rPr>
          <w:rFonts w:ascii="宋体"/>
          <w:sz w:val="2"/>
        </w:rPr>
      </w:r>
      <w:r>
        <w:rPr>
          <w:rFonts w:ascii="宋体"/>
          <w:sz w:val="2"/>
        </w:rPr>
        <w:tab/>
      </w:r>
      <w:r>
        <w:rPr>
          <w:rFonts w:ascii="宋体"/>
          <w:sz w:val="2"/>
        </w:rPr>
        <w:pict>
          <v:group style="width:65.8pt;height:1pt;mso-position-horizontal-relative:char;mso-position-vertical-relative:line" coordorigin="0,0" coordsize="1316,20">
            <v:group style="position:absolute;left:10;top:10;width:1297;height:2" coordorigin="10,10" coordsize="1297,2">
              <v:shape style="position:absolute;left:10;top:10;width:1297;height:2" coordorigin="10,10" coordsize="1297,0" path="m10,10l1306,10e" filled="false" stroked="true" strokeweight=".96pt" strokecolor="#000000">
                <v:path arrowok="t"/>
              </v:shape>
            </v:group>
          </v:group>
        </w:pict>
      </w:r>
      <w:r>
        <w:rPr>
          <w:rFonts w:ascii="宋体"/>
          <w:sz w:val="2"/>
        </w:rPr>
      </w:r>
      <w:r>
        <w:rPr>
          <w:rFonts w:ascii="宋体"/>
          <w:sz w:val="2"/>
        </w:rPr>
        <w:tab/>
      </w:r>
      <w:r>
        <w:rPr>
          <w:rFonts w:ascii="宋体"/>
          <w:sz w:val="2"/>
        </w:rPr>
        <w:pict>
          <v:group style="width:65.05pt;height:1pt;mso-position-horizontal-relative:char;mso-position-vertical-relative:line" coordorigin="0,0" coordsize="1301,20">
            <v:group style="position:absolute;left:10;top:10;width:1282;height:2" coordorigin="10,10" coordsize="1282,2">
              <v:shape style="position:absolute;left:10;top:10;width:1282;height:2" coordorigin="10,10" coordsize="1282,0" path="m10,10l1291,10e" filled="false" stroked="true" strokeweight=".96pt" strokecolor="#000000">
                <v:path arrowok="t"/>
              </v:shape>
            </v:group>
          </v:group>
        </w:pict>
      </w:r>
      <w:r>
        <w:rPr>
          <w:rFonts w:ascii="宋体"/>
          <w:sz w:val="2"/>
        </w:rPr>
      </w:r>
      <w:r>
        <w:rPr>
          <w:rFonts w:ascii="宋体"/>
          <w:sz w:val="2"/>
        </w:rPr>
        <w:tab/>
      </w:r>
      <w:r>
        <w:rPr>
          <w:rFonts w:ascii="宋体"/>
          <w:sz w:val="2"/>
        </w:rPr>
        <w:pict>
          <v:group style="width:37.950pt;height:1pt;mso-position-horizontal-relative:char;mso-position-vertical-relative:line" coordorigin="0,0" coordsize="759,20">
            <v:group style="position:absolute;left:10;top:10;width:740;height:2" coordorigin="10,10" coordsize="740,2">
              <v:shape style="position:absolute;left:10;top:10;width:740;height:2" coordorigin="10,10" coordsize="740,0" path="m10,10l749,10e" filled="false" stroked="true" strokeweight=".96pt" strokecolor="#000000">
                <v:path arrowok="t"/>
              </v:shape>
            </v:group>
          </v:group>
        </w:pict>
      </w:r>
      <w:r>
        <w:rPr>
          <w:rFonts w:ascii="宋体"/>
          <w:sz w:val="2"/>
        </w:rPr>
      </w:r>
      <w:r>
        <w:rPr>
          <w:rFonts w:ascii="宋体"/>
          <w:sz w:val="2"/>
        </w:rPr>
        <w:tab/>
      </w:r>
      <w:r>
        <w:rPr>
          <w:rFonts w:ascii="宋体"/>
          <w:sz w:val="2"/>
        </w:rPr>
        <w:pict>
          <v:group style="width:68.4pt;height:1pt;mso-position-horizontal-relative:char;mso-position-vertical-relative:line" coordorigin="0,0" coordsize="1368,20">
            <v:group style="position:absolute;left:10;top:10;width:1349;height:2" coordorigin="10,10" coordsize="1349,2">
              <v:shape style="position:absolute;left:10;top:10;width:1349;height:2" coordorigin="10,10" coordsize="1349,0" path="m10,10l1358,10e" filled="false" stroked="true" strokeweight=".96pt" strokecolor="#000000">
                <v:path arrowok="t"/>
              </v:shape>
            </v:group>
          </v:group>
        </w:pict>
      </w:r>
      <w:r>
        <w:rPr>
          <w:rFonts w:ascii="宋体"/>
          <w:sz w:val="2"/>
        </w:rPr>
      </w:r>
    </w:p>
    <w:p>
      <w:pPr>
        <w:spacing w:line="240" w:lineRule="auto" w:before="4"/>
        <w:rPr>
          <w:rFonts w:ascii="宋体" w:hAnsi="宋体" w:cs="宋体" w:eastAsia="宋体" w:hint="default"/>
          <w:sz w:val="2"/>
          <w:szCs w:val="2"/>
        </w:rPr>
      </w:pPr>
    </w:p>
    <w:tbl>
      <w:tblPr>
        <w:tblW w:w="0" w:type="auto"/>
        <w:jc w:val="left"/>
        <w:tblInd w:w="355" w:type="dxa"/>
        <w:tblLayout w:type="fixed"/>
        <w:tblCellMar>
          <w:top w:w="0" w:type="dxa"/>
          <w:left w:w="0" w:type="dxa"/>
          <w:bottom w:w="0" w:type="dxa"/>
          <w:right w:w="0" w:type="dxa"/>
        </w:tblCellMar>
        <w:tblLook w:val="01E0"/>
      </w:tblPr>
      <w:tblGrid>
        <w:gridCol w:w="1165"/>
        <w:gridCol w:w="1388"/>
        <w:gridCol w:w="240"/>
        <w:gridCol w:w="852"/>
        <w:gridCol w:w="240"/>
        <w:gridCol w:w="1304"/>
        <w:gridCol w:w="228"/>
        <w:gridCol w:w="1289"/>
        <w:gridCol w:w="240"/>
        <w:gridCol w:w="747"/>
        <w:gridCol w:w="240"/>
        <w:gridCol w:w="1356"/>
      </w:tblGrid>
      <w:tr>
        <w:trPr>
          <w:trHeight w:val="360"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
              <w:jc w:val="right"/>
              <w:rPr>
                <w:rFonts w:ascii="宋体" w:hAnsi="宋体" w:cs="宋体" w:eastAsia="宋体" w:hint="default"/>
                <w:sz w:val="18"/>
                <w:szCs w:val="18"/>
              </w:rPr>
            </w:pPr>
            <w:r>
              <w:rPr>
                <w:rFonts w:ascii="宋体"/>
                <w:spacing w:val="-1"/>
                <w:sz w:val="18"/>
              </w:rPr>
              <w:t>4,805,542.73</w:t>
            </w:r>
          </w:p>
        </w:tc>
        <w:tc>
          <w:tcPr>
            <w:tcW w:w="24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0"/>
              <w:jc w:val="right"/>
              <w:rPr>
                <w:rFonts w:ascii="宋体" w:hAnsi="宋体" w:cs="宋体" w:eastAsia="宋体" w:hint="default"/>
                <w:sz w:val="18"/>
                <w:szCs w:val="18"/>
              </w:rPr>
            </w:pPr>
            <w:r>
              <w:rPr>
                <w:rFonts w:ascii="宋体"/>
                <w:spacing w:val="-1"/>
                <w:sz w:val="18"/>
              </w:rPr>
              <w:t>41.99%</w:t>
            </w:r>
          </w:p>
        </w:tc>
        <w:tc>
          <w:tcPr>
            <w:tcW w:w="2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
              <w:jc w:val="right"/>
              <w:rPr>
                <w:rFonts w:ascii="宋体" w:hAnsi="宋体" w:cs="宋体" w:eastAsia="宋体" w:hint="default"/>
                <w:sz w:val="18"/>
                <w:szCs w:val="18"/>
              </w:rPr>
            </w:pPr>
            <w:r>
              <w:rPr>
                <w:rFonts w:ascii="宋体"/>
                <w:spacing w:val="-1"/>
                <w:sz w:val="18"/>
              </w:rPr>
              <w:t>240,277.14</w:t>
            </w:r>
          </w:p>
        </w:tc>
        <w:tc>
          <w:tcPr>
            <w:tcW w:w="22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宋体" w:hAnsi="宋体" w:cs="宋体" w:eastAsia="宋体" w:hint="default"/>
                <w:sz w:val="18"/>
                <w:szCs w:val="18"/>
              </w:rPr>
            </w:pPr>
            <w:r>
              <w:rPr>
                <w:rFonts w:ascii="宋体"/>
                <w:spacing w:val="-1"/>
                <w:sz w:val="18"/>
              </w:rPr>
              <w:t>8,222,054.95</w:t>
            </w:r>
          </w:p>
        </w:tc>
        <w:tc>
          <w:tcPr>
            <w:tcW w:w="240"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宋体" w:hAnsi="宋体" w:cs="宋体" w:eastAsia="宋体" w:hint="default"/>
                <w:sz w:val="18"/>
                <w:szCs w:val="18"/>
              </w:rPr>
            </w:pPr>
            <w:r>
              <w:rPr>
                <w:rFonts w:ascii="宋体"/>
                <w:spacing w:val="-1"/>
                <w:sz w:val="18"/>
              </w:rPr>
              <w:t>70.29%</w:t>
            </w:r>
          </w:p>
        </w:tc>
        <w:tc>
          <w:tcPr>
            <w:tcW w:w="240"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2"/>
              <w:jc w:val="right"/>
              <w:rPr>
                <w:rFonts w:ascii="宋体" w:hAnsi="宋体" w:cs="宋体" w:eastAsia="宋体" w:hint="default"/>
                <w:sz w:val="18"/>
                <w:szCs w:val="18"/>
              </w:rPr>
            </w:pPr>
            <w:r>
              <w:rPr>
                <w:rFonts w:ascii="宋体"/>
                <w:spacing w:val="-1"/>
                <w:sz w:val="18"/>
              </w:rPr>
              <w:t>411,102.76</w:t>
            </w:r>
          </w:p>
        </w:tc>
      </w:tr>
      <w:tr>
        <w:trPr>
          <w:trHeight w:val="341"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5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pacing w:val="-1"/>
                <w:sz w:val="18"/>
              </w:rPr>
              <w:t>3,820,804.02</w:t>
            </w:r>
          </w:p>
        </w:tc>
        <w:tc>
          <w:tcPr>
            <w:tcW w:w="24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0"/>
              <w:jc w:val="right"/>
              <w:rPr>
                <w:rFonts w:ascii="宋体" w:hAnsi="宋体" w:cs="宋体" w:eastAsia="宋体" w:hint="default"/>
                <w:sz w:val="18"/>
                <w:szCs w:val="18"/>
              </w:rPr>
            </w:pPr>
            <w:r>
              <w:rPr>
                <w:rFonts w:ascii="宋体"/>
                <w:spacing w:val="-1"/>
                <w:sz w:val="18"/>
              </w:rPr>
              <w:t>33.38%</w:t>
            </w:r>
          </w:p>
        </w:tc>
        <w:tc>
          <w:tcPr>
            <w:tcW w:w="2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382,080.40</w:t>
            </w:r>
          </w:p>
        </w:tc>
        <w:tc>
          <w:tcPr>
            <w:tcW w:w="22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1,963,946.96</w:t>
            </w:r>
          </w:p>
        </w:tc>
        <w:tc>
          <w:tcPr>
            <w:tcW w:w="240"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16.79%</w:t>
            </w:r>
          </w:p>
        </w:tc>
        <w:tc>
          <w:tcPr>
            <w:tcW w:w="240"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pacing w:val="-1"/>
                <w:sz w:val="18"/>
              </w:rPr>
              <w:t>196,394.70</w:t>
            </w:r>
          </w:p>
        </w:tc>
      </w:tr>
      <w:tr>
        <w:trPr>
          <w:trHeight w:val="340"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5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1,645,855.07</w:t>
            </w:r>
          </w:p>
        </w:tc>
        <w:tc>
          <w:tcPr>
            <w:tcW w:w="24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0"/>
              <w:jc w:val="right"/>
              <w:rPr>
                <w:rFonts w:ascii="宋体" w:hAnsi="宋体" w:cs="宋体" w:eastAsia="宋体" w:hint="default"/>
                <w:sz w:val="18"/>
                <w:szCs w:val="18"/>
              </w:rPr>
            </w:pPr>
            <w:r>
              <w:rPr>
                <w:rFonts w:ascii="宋体"/>
                <w:spacing w:val="-1"/>
                <w:sz w:val="18"/>
              </w:rPr>
              <w:t>14.38%</w:t>
            </w:r>
          </w:p>
        </w:tc>
        <w:tc>
          <w:tcPr>
            <w:tcW w:w="2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329,171.01</w:t>
            </w:r>
          </w:p>
        </w:tc>
        <w:tc>
          <w:tcPr>
            <w:tcW w:w="22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1,202,290.01</w:t>
            </w:r>
          </w:p>
        </w:tc>
        <w:tc>
          <w:tcPr>
            <w:tcW w:w="240"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10.28%</w:t>
            </w:r>
          </w:p>
        </w:tc>
        <w:tc>
          <w:tcPr>
            <w:tcW w:w="240"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pacing w:val="-1"/>
                <w:sz w:val="18"/>
              </w:rPr>
              <w:t>240,458.00</w:t>
            </w:r>
          </w:p>
        </w:tc>
      </w:tr>
      <w:tr>
        <w:trPr>
          <w:trHeight w:val="299"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88"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3"/>
              <w:jc w:val="right"/>
              <w:rPr>
                <w:rFonts w:ascii="宋体" w:hAnsi="宋体" w:cs="宋体" w:eastAsia="宋体" w:hint="default"/>
                <w:sz w:val="18"/>
                <w:szCs w:val="18"/>
              </w:rPr>
            </w:pPr>
            <w:r>
              <w:rPr>
                <w:rFonts w:ascii="宋体"/>
                <w:spacing w:val="-1"/>
                <w:sz w:val="18"/>
              </w:rPr>
              <w:t>1,173,259.15</w:t>
            </w:r>
          </w:p>
        </w:tc>
        <w:tc>
          <w:tcPr>
            <w:tcW w:w="24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0"/>
              <w:jc w:val="right"/>
              <w:rPr>
                <w:rFonts w:ascii="宋体" w:hAnsi="宋体" w:cs="宋体" w:eastAsia="宋体" w:hint="default"/>
                <w:sz w:val="18"/>
                <w:szCs w:val="18"/>
              </w:rPr>
            </w:pPr>
            <w:r>
              <w:rPr>
                <w:rFonts w:ascii="宋体"/>
                <w:spacing w:val="-1"/>
                <w:sz w:val="18"/>
              </w:rPr>
              <w:t>10.25%</w:t>
            </w:r>
          </w:p>
        </w:tc>
        <w:tc>
          <w:tcPr>
            <w:tcW w:w="2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3"/>
              <w:jc w:val="right"/>
              <w:rPr>
                <w:rFonts w:ascii="宋体" w:hAnsi="宋体" w:cs="宋体" w:eastAsia="宋体" w:hint="default"/>
                <w:sz w:val="18"/>
                <w:szCs w:val="18"/>
              </w:rPr>
            </w:pPr>
            <w:r>
              <w:rPr>
                <w:rFonts w:ascii="宋体"/>
                <w:spacing w:val="-1"/>
                <w:sz w:val="18"/>
              </w:rPr>
              <w:t>586,629.58</w:t>
            </w:r>
          </w:p>
        </w:tc>
        <w:tc>
          <w:tcPr>
            <w:tcW w:w="22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309,231.94</w:t>
            </w:r>
          </w:p>
        </w:tc>
        <w:tc>
          <w:tcPr>
            <w:tcW w:w="240"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z w:val="18"/>
              </w:rPr>
              <w:t>2.64%</w:t>
            </w:r>
          </w:p>
        </w:tc>
        <w:tc>
          <w:tcPr>
            <w:tcW w:w="240"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2"/>
              <w:jc w:val="right"/>
              <w:rPr>
                <w:rFonts w:ascii="宋体" w:hAnsi="宋体" w:cs="宋体" w:eastAsia="宋体" w:hint="default"/>
                <w:sz w:val="18"/>
                <w:szCs w:val="18"/>
              </w:rPr>
            </w:pPr>
            <w:r>
              <w:rPr>
                <w:rFonts w:ascii="宋体"/>
                <w:spacing w:val="-1"/>
                <w:sz w:val="18"/>
              </w:rPr>
              <w:t>154,615.97</w:t>
            </w:r>
          </w:p>
        </w:tc>
      </w:tr>
      <w:tr>
        <w:trPr>
          <w:trHeight w:val="372"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6"/>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88"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3"/>
              <w:jc w:val="right"/>
              <w:rPr>
                <w:rFonts w:ascii="宋体" w:hAnsi="宋体" w:cs="宋体" w:eastAsia="宋体" w:hint="default"/>
                <w:sz w:val="18"/>
                <w:szCs w:val="18"/>
              </w:rPr>
            </w:pPr>
            <w:r>
              <w:rPr>
                <w:rFonts w:ascii="宋体"/>
                <w:spacing w:val="-1"/>
                <w:sz w:val="18"/>
              </w:rPr>
              <w:t>11,445,460.97</w:t>
            </w:r>
          </w:p>
        </w:tc>
        <w:tc>
          <w:tcPr>
            <w:tcW w:w="240" w:type="dxa"/>
            <w:tcBorders>
              <w:top w:val="nil" w:sz="6" w:space="0" w:color="auto"/>
              <w:left w:val="nil" w:sz="6" w:space="0" w:color="auto"/>
              <w:bottom w:val="nil" w:sz="6" w:space="0" w:color="auto"/>
              <w:right w:val="nil" w:sz="6" w:space="0" w:color="auto"/>
            </w:tcBorders>
          </w:tcPr>
          <w:p>
            <w:pPr/>
          </w:p>
        </w:tc>
        <w:tc>
          <w:tcPr>
            <w:tcW w:w="852"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0"/>
              <w:jc w:val="right"/>
              <w:rPr>
                <w:rFonts w:ascii="宋体" w:hAnsi="宋体" w:cs="宋体" w:eastAsia="宋体" w:hint="default"/>
                <w:sz w:val="18"/>
                <w:szCs w:val="18"/>
              </w:rPr>
            </w:pPr>
            <w:r>
              <w:rPr>
                <w:rFonts w:ascii="宋体"/>
                <w:sz w:val="18"/>
              </w:rPr>
              <w:t>100.00%</w:t>
            </w:r>
          </w:p>
        </w:tc>
        <w:tc>
          <w:tcPr>
            <w:tcW w:w="240"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3"/>
              <w:jc w:val="right"/>
              <w:rPr>
                <w:rFonts w:ascii="宋体" w:hAnsi="宋体" w:cs="宋体" w:eastAsia="宋体" w:hint="default"/>
                <w:sz w:val="18"/>
                <w:szCs w:val="18"/>
              </w:rPr>
            </w:pPr>
            <w:r>
              <w:rPr>
                <w:rFonts w:ascii="宋体"/>
                <w:spacing w:val="-1"/>
                <w:sz w:val="18"/>
              </w:rPr>
              <w:t>1,538,158.13</w:t>
            </w:r>
          </w:p>
        </w:tc>
        <w:tc>
          <w:tcPr>
            <w:tcW w:w="228" w:type="dxa"/>
            <w:tcBorders>
              <w:top w:val="nil" w:sz="6" w:space="0" w:color="auto"/>
              <w:left w:val="nil" w:sz="6" w:space="0" w:color="auto"/>
              <w:bottom w:val="nil" w:sz="6" w:space="0" w:color="auto"/>
              <w:right w:val="nil" w:sz="6" w:space="0" w:color="auto"/>
            </w:tcBorders>
          </w:tcPr>
          <w:p>
            <w:pPr/>
          </w:p>
        </w:tc>
        <w:tc>
          <w:tcPr>
            <w:tcW w:w="1289"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4"/>
              <w:jc w:val="right"/>
              <w:rPr>
                <w:rFonts w:ascii="宋体" w:hAnsi="宋体" w:cs="宋体" w:eastAsia="宋体" w:hint="default"/>
                <w:sz w:val="18"/>
                <w:szCs w:val="18"/>
              </w:rPr>
            </w:pPr>
            <w:r>
              <w:rPr>
                <w:rFonts w:ascii="宋体"/>
                <w:spacing w:val="-1"/>
                <w:sz w:val="18"/>
              </w:rPr>
              <w:t>11,697,523.86</w:t>
            </w:r>
          </w:p>
        </w:tc>
        <w:tc>
          <w:tcPr>
            <w:tcW w:w="240" w:type="dxa"/>
            <w:tcBorders>
              <w:top w:val="nil" w:sz="6" w:space="0" w:color="auto"/>
              <w:left w:val="nil" w:sz="6" w:space="0" w:color="auto"/>
              <w:bottom w:val="nil" w:sz="6" w:space="0" w:color="auto"/>
              <w:right w:val="nil" w:sz="6" w:space="0" w:color="auto"/>
            </w:tcBorders>
          </w:tcPr>
          <w:p>
            <w:pPr/>
          </w:p>
        </w:tc>
        <w:tc>
          <w:tcPr>
            <w:tcW w:w="747"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z w:val="18"/>
              </w:rPr>
              <w:t>100.00%</w:t>
            </w:r>
          </w:p>
        </w:tc>
        <w:tc>
          <w:tcPr>
            <w:tcW w:w="240" w:type="dxa"/>
            <w:tcBorders>
              <w:top w:val="nil" w:sz="6" w:space="0" w:color="auto"/>
              <w:left w:val="nil" w:sz="6" w:space="0" w:color="auto"/>
              <w:bottom w:val="nil" w:sz="6" w:space="0" w:color="auto"/>
              <w:right w:val="nil" w:sz="6" w:space="0" w:color="auto"/>
            </w:tcBorders>
          </w:tcPr>
          <w:p>
            <w:pPr/>
          </w:p>
        </w:tc>
        <w:tc>
          <w:tcPr>
            <w:tcW w:w="1356"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3"/>
              <w:jc w:val="right"/>
              <w:rPr>
                <w:rFonts w:ascii="宋体" w:hAnsi="宋体" w:cs="宋体" w:eastAsia="宋体" w:hint="default"/>
                <w:sz w:val="18"/>
                <w:szCs w:val="18"/>
              </w:rPr>
            </w:pPr>
            <w:r>
              <w:rPr>
                <w:rFonts w:ascii="宋体"/>
                <w:spacing w:val="-1"/>
                <w:sz w:val="18"/>
              </w:rPr>
              <w:t>1,002,571.43</w:t>
            </w:r>
          </w:p>
        </w:tc>
      </w:tr>
    </w:tbl>
    <w:p>
      <w:pPr>
        <w:spacing w:line="240" w:lineRule="auto" w:before="7"/>
        <w:rPr>
          <w:rFonts w:ascii="宋体" w:hAnsi="宋体" w:cs="宋体" w:eastAsia="宋体" w:hint="default"/>
          <w:sz w:val="10"/>
          <w:szCs w:val="10"/>
        </w:rPr>
      </w:pPr>
    </w:p>
    <w:p>
      <w:pPr>
        <w:pStyle w:val="BodyText"/>
        <w:tabs>
          <w:tab w:pos="1362" w:val="left" w:leader="none"/>
        </w:tabs>
        <w:spacing w:line="240" w:lineRule="auto" w:before="26"/>
        <w:ind w:left="882" w:right="0"/>
        <w:jc w:val="left"/>
      </w:pPr>
      <w:r>
        <w:rPr/>
        <w:t>⑷</w:t>
        <w:tab/>
        <w:t>其他应收款中无应收持有公司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）以上表决权股份股东的款项。</w:t>
      </w:r>
    </w:p>
    <w:p>
      <w:pPr>
        <w:spacing w:line="240" w:lineRule="auto" w:before="11"/>
        <w:rPr>
          <w:rFonts w:ascii="宋体" w:hAnsi="宋体" w:cs="宋体" w:eastAsia="宋体" w:hint="default"/>
          <w:sz w:val="17"/>
          <w:szCs w:val="17"/>
        </w:rPr>
      </w:pPr>
    </w:p>
    <w:p>
      <w:pPr>
        <w:pStyle w:val="BodyText"/>
        <w:tabs>
          <w:tab w:pos="1362" w:val="left" w:leader="none"/>
        </w:tabs>
        <w:spacing w:line="240" w:lineRule="auto" w:before="0"/>
        <w:ind w:left="882" w:right="0"/>
        <w:jc w:val="left"/>
      </w:pPr>
      <w:r>
        <w:rPr/>
        <w:t>⑸</w:t>
        <w:tab/>
        <w:t>其他应收款金额前五名单位情况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tbl>
      <w:tblPr>
        <w:tblW w:w="0" w:type="auto"/>
        <w:jc w:val="left"/>
        <w:tblInd w:w="294" w:type="dxa"/>
        <w:tblLayout w:type="fixed"/>
        <w:tblCellMar>
          <w:top w:w="0" w:type="dxa"/>
          <w:left w:w="0" w:type="dxa"/>
          <w:bottom w:w="0" w:type="dxa"/>
          <w:right w:w="0" w:type="dxa"/>
        </w:tblCellMar>
        <w:tblLook w:val="01E0"/>
      </w:tblPr>
      <w:tblGrid>
        <w:gridCol w:w="3084"/>
        <w:gridCol w:w="286"/>
        <w:gridCol w:w="1298"/>
        <w:gridCol w:w="245"/>
        <w:gridCol w:w="1483"/>
        <w:gridCol w:w="252"/>
        <w:gridCol w:w="1008"/>
        <w:gridCol w:w="247"/>
        <w:gridCol w:w="1375"/>
      </w:tblGrid>
      <w:tr>
        <w:trPr>
          <w:trHeight w:val="273" w:hRule="exact"/>
        </w:trPr>
        <w:tc>
          <w:tcPr>
            <w:tcW w:w="308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其他应收单位前五名</w:t>
            </w:r>
          </w:p>
        </w:tc>
        <w:tc>
          <w:tcPr>
            <w:tcW w:w="2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与本集团关系</w:t>
            </w:r>
          </w:p>
        </w:tc>
        <w:tc>
          <w:tcPr>
            <w:tcW w:w="24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4" w:space="0" w:color="000000"/>
              <w:right w:val="nil" w:sz="6" w:space="0" w:color="auto"/>
            </w:tcBorders>
          </w:tcPr>
          <w:p>
            <w:pPr>
              <w:pStyle w:val="TableParagraph"/>
              <w:spacing w:line="211" w:lineRule="exact"/>
              <w:ind w:left="292"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47"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Style w:val="TableParagraph"/>
              <w:spacing w:line="211" w:lineRule="exact"/>
              <w:ind w:left="165" w:right="0"/>
              <w:jc w:val="left"/>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336" w:hRule="exact"/>
        </w:trPr>
        <w:tc>
          <w:tcPr>
            <w:tcW w:w="3084" w:type="dxa"/>
            <w:tcBorders>
              <w:top w:val="single" w:sz="4" w:space="0" w:color="000000"/>
              <w:left w:val="nil" w:sz="6" w:space="0" w:color="auto"/>
              <w:bottom w:val="nil" w:sz="6" w:space="0" w:color="auto"/>
              <w:right w:val="nil" w:sz="6" w:space="0" w:color="auto"/>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86"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45"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1,230,000.00</w:t>
            </w:r>
          </w:p>
        </w:tc>
        <w:tc>
          <w:tcPr>
            <w:tcW w:w="252" w:type="dxa"/>
            <w:tcBorders>
              <w:top w:val="nil" w:sz="6" w:space="0" w:color="auto"/>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47"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z w:val="21"/>
              </w:rPr>
              <w:t>10.75%</w:t>
            </w:r>
          </w:p>
        </w:tc>
      </w:tr>
      <w:tr>
        <w:trPr>
          <w:trHeight w:val="329"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4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982,540.00</w:t>
            </w:r>
          </w:p>
        </w:tc>
        <w:tc>
          <w:tcPr>
            <w:tcW w:w="25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47"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z w:val="21"/>
              </w:rPr>
              <w:t>8.58%</w:t>
            </w:r>
          </w:p>
        </w:tc>
      </w:tr>
      <w:tr>
        <w:trPr>
          <w:trHeight w:val="331"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政府</w:t>
            </w:r>
          </w:p>
        </w:tc>
        <w:tc>
          <w:tcPr>
            <w:tcW w:w="24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855,000.00</w:t>
            </w:r>
          </w:p>
        </w:tc>
        <w:tc>
          <w:tcPr>
            <w:tcW w:w="25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47"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z w:val="21"/>
              </w:rPr>
              <w:t>7.47%</w:t>
            </w:r>
          </w:p>
        </w:tc>
      </w:tr>
      <w:tr>
        <w:trPr>
          <w:trHeight w:val="329"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4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500,000.00</w:t>
            </w:r>
          </w:p>
        </w:tc>
        <w:tc>
          <w:tcPr>
            <w:tcW w:w="25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47"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z w:val="21"/>
              </w:rPr>
              <w:t>4.37%</w:t>
            </w:r>
          </w:p>
        </w:tc>
      </w:tr>
      <w:tr>
        <w:trPr>
          <w:trHeight w:val="336"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员工</w:t>
            </w:r>
          </w:p>
        </w:tc>
        <w:tc>
          <w:tcPr>
            <w:tcW w:w="24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350,000.00</w:t>
            </w:r>
          </w:p>
        </w:tc>
        <w:tc>
          <w:tcPr>
            <w:tcW w:w="25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47"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z w:val="21"/>
              </w:rPr>
              <w:t>3.06%</w:t>
            </w:r>
          </w:p>
        </w:tc>
      </w:tr>
      <w:tr>
        <w:trPr>
          <w:trHeight w:val="358"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3,917,540.00</w:t>
            </w:r>
          </w:p>
        </w:tc>
        <w:tc>
          <w:tcPr>
            <w:tcW w:w="25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z w:val="21"/>
              </w:rPr>
              <w:t>34.23%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367" w:lineRule="exact"/>
        <w:ind w:right="0"/>
        <w:jc w:val="left"/>
        <w:rPr>
          <w:b w:val="0"/>
          <w:bCs w:val="0"/>
        </w:rPr>
      </w:pPr>
      <w:r>
        <w:rPr>
          <w:rFonts w:ascii="Trebuchet MS" w:hAnsi="Trebuchet MS" w:cs="Trebuchet MS" w:eastAsia="Trebuchet MS" w:hint="default"/>
          <w:spacing w:val="3"/>
        </w:rPr>
        <w:t>5</w:t>
      </w:r>
      <w:r>
        <w:rPr>
          <w:spacing w:val="3"/>
        </w:rPr>
        <w:t>、预付款项</w:t>
      </w:r>
      <w:r>
        <w:rPr>
          <w:b w:val="0"/>
          <w:bCs w:val="0"/>
          <w:spacing w:val="3"/>
        </w:rPr>
      </w:r>
    </w:p>
    <w:p>
      <w:pPr>
        <w:pStyle w:val="BodyText"/>
        <w:tabs>
          <w:tab w:pos="1362" w:val="left" w:leader="none"/>
        </w:tabs>
        <w:spacing w:line="240" w:lineRule="auto" w:before="213"/>
        <w:ind w:left="882" w:right="0"/>
        <w:jc w:val="left"/>
      </w:pPr>
      <w:r>
        <w:rPr/>
        <w:pict>
          <v:group style="position:absolute;margin-left:189.169983pt;margin-top:45.545616pt;width:151.75pt;height:1pt;mso-position-horizontal-relative:page;mso-position-vertical-relative:paragraph;z-index:-747136" coordorigin="3783,911" coordsize="3035,20">
            <v:group style="position:absolute;left:3793;top:921;width:1630;height:2" coordorigin="3793,921" coordsize="1630,2">
              <v:shape style="position:absolute;left:3793;top:921;width:1630;height:2" coordorigin="3793,921" coordsize="1630,0" path="m3793,921l5423,921e" filled="false" stroked="true" strokeweight=".96002pt" strokecolor="#000000">
                <v:path arrowok="t"/>
              </v:shape>
            </v:group>
            <v:group style="position:absolute;left:5423;top:921;width:20;height:2" coordorigin="5423,921" coordsize="20,2">
              <v:shape style="position:absolute;left:5423;top:921;width:20;height:2" coordorigin="5423,921" coordsize="20,0" path="m5423,921l5442,921e" filled="false" stroked="true" strokeweight=".96002pt" strokecolor="#000000">
                <v:path arrowok="t"/>
              </v:shape>
            </v:group>
            <v:group style="position:absolute;left:5442;top:921;width:216;height:2" coordorigin="5442,921" coordsize="216,2">
              <v:shape style="position:absolute;left:5442;top:921;width:216;height:2" coordorigin="5442,921" coordsize="216,0" path="m5442,921l5658,921e" filled="false" stroked="true" strokeweight=".96002pt" strokecolor="#000000">
                <v:path arrowok="t"/>
              </v:shape>
            </v:group>
            <v:group style="position:absolute;left:5658;top:921;width:20;height:2" coordorigin="5658,921" coordsize="20,2">
              <v:shape style="position:absolute;left:5658;top:921;width:20;height:2" coordorigin="5658,921" coordsize="20,0" path="m5658,921l5677,921e" filled="false" stroked="true" strokeweight=".96002pt" strokecolor="#000000">
                <v:path arrowok="t"/>
              </v:shape>
            </v:group>
            <v:group style="position:absolute;left:5677;top:921;width:1131;height:2" coordorigin="5677,921" coordsize="1131,2">
              <v:shape style="position:absolute;left:5677;top:921;width:1131;height:2" coordorigin="5677,921" coordsize="1131,0" path="m5677,921l6808,921e" filled="false" stroked="true" strokeweight=".96002pt" strokecolor="#000000">
                <v:path arrowok="t"/>
              </v:shape>
            </v:group>
            <w10:wrap type="none"/>
          </v:group>
        </w:pict>
      </w:r>
      <w:r>
        <w:rPr/>
        <w:pict>
          <v:group style="position:absolute;margin-left:371.22998pt;margin-top:45.545616pt;width:153.550pt;height:1pt;mso-position-horizontal-relative:page;mso-position-vertical-relative:paragraph;z-index:-747112" coordorigin="7425,911" coordsize="3071,20">
            <v:group style="position:absolute;left:7434;top:921;width:1707;height:2" coordorigin="7434,921" coordsize="1707,2">
              <v:shape style="position:absolute;left:7434;top:921;width:1707;height:2" coordorigin="7434,921" coordsize="1707,0" path="m7434,921l9141,921e" filled="false" stroked="true" strokeweight=".96002pt" strokecolor="#000000">
                <v:path arrowok="t"/>
              </v:shape>
            </v:group>
            <v:group style="position:absolute;left:9141;top:921;width:20;height:2" coordorigin="9141,921" coordsize="20,2">
              <v:shape style="position:absolute;left:9141;top:921;width:20;height:2" coordorigin="9141,921" coordsize="20,0" path="m9141,921l9160,921e" filled="false" stroked="true" strokeweight=".96002pt" strokecolor="#000000">
                <v:path arrowok="t"/>
              </v:shape>
            </v:group>
            <v:group style="position:absolute;left:9160;top:921;width:216;height:2" coordorigin="9160,921" coordsize="216,2">
              <v:shape style="position:absolute;left:9160;top:921;width:216;height:2" coordorigin="9160,921" coordsize="216,0" path="m9160,921l9376,921e" filled="false" stroked="true" strokeweight=".96002pt" strokecolor="#000000">
                <v:path arrowok="t"/>
              </v:shape>
            </v:group>
            <v:group style="position:absolute;left:9376;top:921;width:20;height:2" coordorigin="9376,921" coordsize="20,2">
              <v:shape style="position:absolute;left:9376;top:921;width:20;height:2" coordorigin="9376,921" coordsize="20,0" path="m9376,921l9396,921e" filled="false" stroked="true" strokeweight=".96002pt" strokecolor="#000000">
                <v:path arrowok="t"/>
              </v:shape>
            </v:group>
            <v:group style="position:absolute;left:9396;top:921;width:1090;height:2" coordorigin="9396,921" coordsize="1090,2">
              <v:shape style="position:absolute;left:9396;top:921;width:1090;height:2" coordorigin="9396,921" coordsize="1090,0" path="m9396,921l10485,921e" filled="false" stroked="true" strokeweight=".96002pt" strokecolor="#000000">
                <v:path arrowok="t"/>
              </v:shape>
            </v:group>
            <w10:wrap type="none"/>
          </v:group>
        </w:pict>
      </w:r>
      <w:r>
        <w:rPr/>
        <w:t>⑴</w:t>
        <w:tab/>
        <w:t>预付款项按账龄列示</w:t>
      </w:r>
    </w:p>
    <w:p>
      <w:pPr>
        <w:spacing w:line="240" w:lineRule="auto" w:before="11"/>
        <w:rPr>
          <w:rFonts w:ascii="宋体" w:hAnsi="宋体" w:cs="宋体" w:eastAsia="宋体" w:hint="default"/>
          <w:sz w:val="10"/>
          <w:szCs w:val="10"/>
        </w:rPr>
      </w:pPr>
    </w:p>
    <w:tbl>
      <w:tblPr>
        <w:tblW w:w="0" w:type="auto"/>
        <w:jc w:val="left"/>
        <w:tblInd w:w="388" w:type="dxa"/>
        <w:tblLayout w:type="fixed"/>
        <w:tblCellMar>
          <w:top w:w="0" w:type="dxa"/>
          <w:left w:w="0" w:type="dxa"/>
          <w:bottom w:w="0" w:type="dxa"/>
          <w:right w:w="0" w:type="dxa"/>
        </w:tblCellMar>
        <w:tblLook w:val="01E0"/>
      </w:tblPr>
      <w:tblGrid>
        <w:gridCol w:w="1639"/>
        <w:gridCol w:w="538"/>
        <w:gridCol w:w="1872"/>
        <w:gridCol w:w="1150"/>
        <w:gridCol w:w="605"/>
        <w:gridCol w:w="1728"/>
        <w:gridCol w:w="228"/>
        <w:gridCol w:w="1116"/>
      </w:tblGrid>
      <w:tr>
        <w:trPr>
          <w:trHeight w:val="359"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3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11" w:lineRule="exact"/>
              <w:ind w:left="1197"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150"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11" w:lineRule="exact"/>
              <w:ind w:right="72"/>
              <w:jc w:val="right"/>
              <w:rPr>
                <w:rFonts w:ascii="宋体" w:hAnsi="宋体" w:cs="宋体" w:eastAsia="宋体" w:hint="default"/>
                <w:sz w:val="21"/>
                <w:szCs w:val="21"/>
              </w:rPr>
            </w:pPr>
            <w:r>
              <w:rPr>
                <w:rFonts w:ascii="宋体" w:hAnsi="宋体" w:cs="宋体" w:eastAsia="宋体" w:hint="default"/>
                <w:sz w:val="21"/>
                <w:szCs w:val="21"/>
              </w:rPr>
              <w:t>年初</w:t>
            </w:r>
          </w:p>
        </w:tc>
        <w:tc>
          <w:tcPr>
            <w:tcW w:w="228" w:type="dxa"/>
            <w:tcBorders>
              <w:top w:val="nil" w:sz="6" w:space="0" w:color="auto"/>
              <w:left w:val="nil" w:sz="6" w:space="0" w:color="auto"/>
              <w:bottom w:val="nil" w:sz="6" w:space="0" w:color="auto"/>
              <w:right w:val="nil" w:sz="6" w:space="0" w:color="auto"/>
            </w:tcBorders>
          </w:tcPr>
          <w:p>
            <w:pPr>
              <w:pStyle w:val="TableParagraph"/>
              <w:spacing w:line="211" w:lineRule="exact"/>
              <w:ind w:left="-75"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116" w:type="dxa"/>
            <w:tcBorders>
              <w:top w:val="nil" w:sz="6" w:space="0" w:color="auto"/>
              <w:left w:val="nil" w:sz="6" w:space="0" w:color="auto"/>
              <w:bottom w:val="nil" w:sz="6" w:space="0" w:color="auto"/>
              <w:right w:val="nil" w:sz="6" w:space="0" w:color="auto"/>
            </w:tcBorders>
          </w:tcPr>
          <w:p>
            <w:pPr/>
          </w:p>
        </w:tc>
      </w:tr>
      <w:tr>
        <w:trPr>
          <w:trHeight w:val="252" w:hRule="exact"/>
        </w:trPr>
        <w:tc>
          <w:tcPr>
            <w:tcW w:w="1639" w:type="dxa"/>
            <w:tcBorders>
              <w:top w:val="nil" w:sz="6" w:space="0" w:color="auto"/>
              <w:left w:val="nil" w:sz="6" w:space="0" w:color="auto"/>
              <w:bottom w:val="single" w:sz="8" w:space="0" w:color="000000"/>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8" w:space="0" w:color="000000"/>
              <w:right w:val="nil" w:sz="6" w:space="0" w:color="auto"/>
            </w:tcBorders>
          </w:tcPr>
          <w:p>
            <w:pPr>
              <w:pStyle w:val="TableParagraph"/>
              <w:spacing w:line="212" w:lineRule="exact"/>
              <w:ind w:left="6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50" w:type="dxa"/>
            <w:tcBorders>
              <w:top w:val="nil" w:sz="6" w:space="0" w:color="auto"/>
              <w:left w:val="nil" w:sz="6" w:space="0" w:color="auto"/>
              <w:bottom w:val="single" w:sz="8" w:space="0" w:color="000000"/>
              <w:right w:val="nil" w:sz="6" w:space="0" w:color="auto"/>
            </w:tcBorders>
          </w:tcPr>
          <w:p>
            <w:pPr>
              <w:pStyle w:val="TableParagraph"/>
              <w:spacing w:line="212" w:lineRule="exact"/>
              <w:ind w:left="3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0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1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8" w:space="0" w:color="000000"/>
              <w:right w:val="nil" w:sz="6" w:space="0" w:color="auto"/>
            </w:tcBorders>
          </w:tcPr>
          <w:p>
            <w:pPr>
              <w:pStyle w:val="TableParagraph"/>
              <w:spacing w:line="212" w:lineRule="exact"/>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67" w:hRule="exact"/>
        </w:trPr>
        <w:tc>
          <w:tcPr>
            <w:tcW w:w="163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10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538" w:type="dxa"/>
            <w:tcBorders>
              <w:top w:val="nil" w:sz="6" w:space="0" w:color="auto"/>
              <w:left w:val="nil" w:sz="6" w:space="0" w:color="auto"/>
              <w:bottom w:val="nil" w:sz="6" w:space="0" w:color="auto"/>
              <w:right w:val="nil" w:sz="6" w:space="0" w:color="auto"/>
            </w:tcBorders>
          </w:tcPr>
          <w:p>
            <w:pPr/>
          </w:p>
        </w:tc>
        <w:tc>
          <w:tcPr>
            <w:tcW w:w="187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66" w:right="0"/>
              <w:jc w:val="left"/>
              <w:rPr>
                <w:rFonts w:ascii="宋体" w:hAnsi="宋体" w:cs="宋体" w:eastAsia="宋体" w:hint="default"/>
                <w:sz w:val="21"/>
                <w:szCs w:val="21"/>
              </w:rPr>
            </w:pPr>
            <w:r>
              <w:rPr>
                <w:rFonts w:ascii="宋体"/>
                <w:sz w:val="21"/>
              </w:rPr>
              <w:t>2,071,676.22</w:t>
            </w:r>
          </w:p>
        </w:tc>
        <w:tc>
          <w:tcPr>
            <w:tcW w:w="115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sz w:val="21"/>
              </w:rPr>
              <w:t>97.54%</w:t>
            </w:r>
          </w:p>
        </w:tc>
        <w:tc>
          <w:tcPr>
            <w:tcW w:w="605"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1,222,370.55</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87.77%</w:t>
            </w:r>
          </w:p>
        </w:tc>
      </w:tr>
      <w:tr>
        <w:trPr>
          <w:trHeight w:val="340"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58" w:lineRule="exact"/>
              <w:ind w:right="10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53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6" w:right="0"/>
              <w:jc w:val="left"/>
              <w:rPr>
                <w:rFonts w:ascii="宋体" w:hAnsi="宋体" w:cs="宋体" w:eastAsia="宋体" w:hint="default"/>
                <w:sz w:val="21"/>
                <w:szCs w:val="21"/>
              </w:rPr>
            </w:pPr>
            <w:r>
              <w:rPr>
                <w:rFonts w:ascii="宋体"/>
                <w:sz w:val="21"/>
              </w:rPr>
              <w:t>2,000.00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宋体" w:hAnsi="宋体" w:cs="宋体" w:eastAsia="宋体" w:hint="default"/>
                <w:sz w:val="21"/>
                <w:szCs w:val="21"/>
              </w:rPr>
            </w:pPr>
            <w:r>
              <w:rPr>
                <w:rFonts w:ascii="宋体"/>
                <w:sz w:val="21"/>
              </w:rPr>
              <w:t>0.09%</w:t>
            </w:r>
          </w:p>
        </w:tc>
        <w:tc>
          <w:tcPr>
            <w:tcW w:w="60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120,000.00</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z w:val="21"/>
              </w:rPr>
              <w:t>8.62%</w:t>
            </w:r>
          </w:p>
        </w:tc>
      </w:tr>
      <w:tr>
        <w:trPr>
          <w:trHeight w:val="341"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59" w:lineRule="exact"/>
              <w:ind w:right="103"/>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53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3"/>
              <w:jc w:val="right"/>
              <w:rPr>
                <w:rFonts w:ascii="宋体" w:hAnsi="宋体" w:cs="宋体" w:eastAsia="宋体" w:hint="default"/>
                <w:sz w:val="21"/>
                <w:szCs w:val="21"/>
              </w:rPr>
            </w:pPr>
            <w:r>
              <w:rPr>
                <w:rFonts w:ascii="宋体"/>
                <w:w w:val="100"/>
                <w:sz w:val="21"/>
              </w:rPr>
              <w:t>-</w:t>
            </w:r>
          </w:p>
        </w:tc>
        <w:tc>
          <w:tcPr>
            <w:tcW w:w="1150"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r>
      <w:tr>
        <w:trPr>
          <w:trHeight w:val="333"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59" w:lineRule="exact"/>
              <w:ind w:right="103"/>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53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581" w:right="0"/>
              <w:jc w:val="left"/>
              <w:rPr>
                <w:rFonts w:ascii="宋体" w:hAnsi="宋体" w:cs="宋体" w:eastAsia="宋体" w:hint="default"/>
                <w:sz w:val="21"/>
                <w:szCs w:val="21"/>
              </w:rPr>
            </w:pPr>
            <w:r>
              <w:rPr>
                <w:rFonts w:ascii="宋体"/>
                <w:sz w:val="21"/>
              </w:rPr>
              <w:t>50,256.46</w:t>
            </w:r>
          </w:p>
        </w:tc>
        <w:tc>
          <w:tcPr>
            <w:tcW w:w="1150"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sz w:val="21"/>
              </w:rPr>
              <w:t>2.37%</w:t>
            </w:r>
          </w:p>
        </w:tc>
        <w:tc>
          <w:tcPr>
            <w:tcW w:w="60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50,256.46</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z w:val="21"/>
              </w:rPr>
              <w:t>3.61%</w:t>
            </w:r>
          </w:p>
        </w:tc>
      </w:tr>
      <w:tr>
        <w:trPr>
          <w:trHeight w:val="375"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38" w:type="dxa"/>
            <w:tcBorders>
              <w:top w:val="nil" w:sz="6" w:space="0" w:color="auto"/>
              <w:left w:val="nil" w:sz="6" w:space="0" w:color="auto"/>
              <w:bottom w:val="nil" w:sz="6" w:space="0" w:color="auto"/>
              <w:right w:val="nil" w:sz="6" w:space="0" w:color="auto"/>
            </w:tcBorders>
          </w:tcPr>
          <w:p>
            <w:pPr/>
          </w:p>
        </w:tc>
        <w:tc>
          <w:tcPr>
            <w:tcW w:w="1872"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266" w:right="0"/>
              <w:jc w:val="left"/>
              <w:rPr>
                <w:rFonts w:ascii="宋体" w:hAnsi="宋体" w:cs="宋体" w:eastAsia="宋体" w:hint="default"/>
                <w:sz w:val="21"/>
                <w:szCs w:val="21"/>
              </w:rPr>
            </w:pPr>
            <w:r>
              <w:rPr>
                <w:rFonts w:ascii="宋体"/>
                <w:sz w:val="21"/>
              </w:rPr>
              <w:t>2,123,932.68</w:t>
            </w:r>
          </w:p>
        </w:tc>
        <w:tc>
          <w:tcPr>
            <w:tcW w:w="1150"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104"/>
              <w:jc w:val="right"/>
              <w:rPr>
                <w:rFonts w:ascii="宋体" w:hAnsi="宋体" w:cs="宋体" w:eastAsia="宋体" w:hint="default"/>
                <w:sz w:val="21"/>
                <w:szCs w:val="21"/>
              </w:rPr>
            </w:pPr>
            <w:r>
              <w:rPr>
                <w:rFonts w:ascii="宋体"/>
                <w:spacing w:val="-1"/>
                <w:sz w:val="21"/>
              </w:rPr>
              <w:t>100.00%</w:t>
            </w:r>
          </w:p>
        </w:tc>
        <w:tc>
          <w:tcPr>
            <w:tcW w:w="605"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1,392,627.01</w:t>
            </w:r>
          </w:p>
        </w:tc>
        <w:tc>
          <w:tcPr>
            <w:tcW w:w="228" w:type="dxa"/>
            <w:tcBorders>
              <w:top w:val="nil" w:sz="6" w:space="0" w:color="auto"/>
              <w:left w:val="nil" w:sz="6" w:space="0" w:color="auto"/>
              <w:bottom w:val="nil" w:sz="6" w:space="0" w:color="auto"/>
              <w:right w:val="nil" w:sz="6" w:space="0" w:color="auto"/>
            </w:tcBorders>
          </w:tcPr>
          <w:p>
            <w:pPr/>
          </w:p>
        </w:tc>
        <w:tc>
          <w:tcPr>
            <w:tcW w:w="1116"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type w:val="continuous"/>
          <w:pgSz w:w="11910" w:h="16840"/>
          <w:pgMar w:top="700" w:bottom="0" w:left="1220" w:right="0"/>
        </w:sectPr>
      </w:pPr>
    </w:p>
    <w:p>
      <w:pPr>
        <w:spacing w:line="240" w:lineRule="auto" w:before="2"/>
        <w:rPr>
          <w:rFonts w:ascii="宋体" w:hAnsi="宋体" w:cs="宋体" w:eastAsia="宋体" w:hint="default"/>
          <w:sz w:val="25"/>
          <w:szCs w:val="25"/>
        </w:rPr>
      </w:pPr>
    </w:p>
    <w:p>
      <w:pPr>
        <w:pStyle w:val="BodyText"/>
        <w:spacing w:line="240" w:lineRule="auto" w:before="26"/>
        <w:ind w:left="882" w:right="0"/>
        <w:jc w:val="left"/>
      </w:pPr>
      <w:r>
        <w:rPr/>
        <w:t>⑵ 预付款项金额的前五名单位情况</w:t>
      </w:r>
    </w:p>
    <w:p>
      <w:pPr>
        <w:spacing w:line="240" w:lineRule="auto" w:before="3"/>
        <w:rPr>
          <w:rFonts w:ascii="宋体" w:hAnsi="宋体" w:cs="宋体" w:eastAsia="宋体" w:hint="default"/>
          <w:sz w:val="27"/>
          <w:szCs w:val="27"/>
        </w:rPr>
      </w:pPr>
    </w:p>
    <w:tbl>
      <w:tblPr>
        <w:tblW w:w="0" w:type="auto"/>
        <w:jc w:val="left"/>
        <w:tblInd w:w="374" w:type="dxa"/>
        <w:tblLayout w:type="fixed"/>
        <w:tblCellMar>
          <w:top w:w="0" w:type="dxa"/>
          <w:left w:w="0" w:type="dxa"/>
          <w:bottom w:w="0" w:type="dxa"/>
          <w:right w:w="0" w:type="dxa"/>
        </w:tblCellMar>
        <w:tblLook w:val="01E0"/>
      </w:tblPr>
      <w:tblGrid>
        <w:gridCol w:w="3600"/>
        <w:gridCol w:w="1609"/>
        <w:gridCol w:w="1903"/>
        <w:gridCol w:w="149"/>
        <w:gridCol w:w="1615"/>
      </w:tblGrid>
      <w:tr>
        <w:trPr>
          <w:trHeight w:val="249" w:hRule="exact"/>
        </w:trPr>
        <w:tc>
          <w:tcPr>
            <w:tcW w:w="3600"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09" w:type="dxa"/>
            <w:tcBorders>
              <w:top w:val="nil" w:sz="6" w:space="0" w:color="auto"/>
              <w:left w:val="nil" w:sz="6" w:space="0" w:color="auto"/>
              <w:bottom w:val="single" w:sz="4" w:space="0" w:color="000000"/>
              <w:right w:val="nil" w:sz="6" w:space="0" w:color="auto"/>
            </w:tcBorders>
          </w:tcPr>
          <w:p>
            <w:pPr>
              <w:pStyle w:val="TableParagraph"/>
              <w:spacing w:line="211" w:lineRule="exact"/>
              <w:ind w:left="211" w:right="0"/>
              <w:jc w:val="left"/>
              <w:rPr>
                <w:rFonts w:ascii="宋体" w:hAnsi="宋体" w:cs="宋体" w:eastAsia="宋体" w:hint="default"/>
                <w:sz w:val="21"/>
                <w:szCs w:val="21"/>
              </w:rPr>
            </w:pPr>
            <w:r>
              <w:rPr>
                <w:rFonts w:ascii="宋体" w:hAnsi="宋体" w:cs="宋体" w:eastAsia="宋体" w:hint="default"/>
                <w:sz w:val="21"/>
                <w:szCs w:val="21"/>
              </w:rPr>
              <w:t>与本集团关系</w:t>
            </w:r>
          </w:p>
        </w:tc>
        <w:tc>
          <w:tcPr>
            <w:tcW w:w="1903" w:type="dxa"/>
            <w:tcBorders>
              <w:top w:val="nil" w:sz="6" w:space="0" w:color="auto"/>
              <w:left w:val="nil" w:sz="6" w:space="0" w:color="auto"/>
              <w:bottom w:val="single" w:sz="4" w:space="0" w:color="000000"/>
              <w:right w:val="nil" w:sz="6" w:space="0" w:color="auto"/>
            </w:tcBorders>
          </w:tcPr>
          <w:p>
            <w:pPr>
              <w:pStyle w:val="TableParagraph"/>
              <w:spacing w:line="21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11" w:lineRule="exact"/>
              <w:ind w:left="386" w:right="0"/>
              <w:jc w:val="left"/>
              <w:rPr>
                <w:rFonts w:ascii="宋体" w:hAnsi="宋体" w:cs="宋体" w:eastAsia="宋体" w:hint="default"/>
                <w:sz w:val="21"/>
                <w:szCs w:val="21"/>
              </w:rPr>
            </w:pPr>
            <w:r>
              <w:rPr>
                <w:rFonts w:ascii="宋体" w:hAnsi="宋体" w:cs="宋体" w:eastAsia="宋体" w:hint="default"/>
                <w:sz w:val="21"/>
                <w:szCs w:val="21"/>
              </w:rPr>
              <w:t>预付时间</w:t>
            </w:r>
          </w:p>
        </w:tc>
      </w:tr>
      <w:tr>
        <w:trPr>
          <w:trHeight w:val="349" w:hRule="exact"/>
        </w:trPr>
        <w:tc>
          <w:tcPr>
            <w:tcW w:w="360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新疆博湖苇业股份有限公司</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sz w:val="20"/>
                <w:szCs w:val="20"/>
              </w:rPr>
              <w:t>供应商</w:t>
            </w:r>
          </w:p>
        </w:tc>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4"/>
              <w:jc w:val="right"/>
              <w:rPr>
                <w:rFonts w:ascii="宋体" w:hAnsi="宋体" w:cs="宋体" w:eastAsia="宋体" w:hint="default"/>
                <w:sz w:val="20"/>
                <w:szCs w:val="20"/>
              </w:rPr>
            </w:pPr>
            <w:r>
              <w:rPr>
                <w:rFonts w:ascii="宋体"/>
                <w:w w:val="95"/>
                <w:sz w:val="20"/>
              </w:rPr>
              <w:t>399,730.00</w:t>
            </w:r>
            <w:r>
              <w:rPr>
                <w:rFonts w:ascii="宋体"/>
                <w:sz w:val="20"/>
              </w:rPr>
            </w:r>
          </w:p>
        </w:tc>
        <w:tc>
          <w:tcPr>
            <w:tcW w:w="149"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346"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库尔兹烫印器材销售</w:t>
            </w:r>
            <w:r>
              <w:rPr>
                <w:rFonts w:ascii="宋体" w:hAnsi="宋体" w:cs="宋体" w:eastAsia="宋体" w:hint="default"/>
                <w:sz w:val="20"/>
                <w:szCs w:val="20"/>
              </w:rPr>
              <w:t>(</w:t>
            </w:r>
            <w:r>
              <w:rPr>
                <w:rFonts w:ascii="宋体" w:hAnsi="宋体" w:cs="宋体" w:eastAsia="宋体" w:hint="default"/>
                <w:sz w:val="20"/>
                <w:szCs w:val="20"/>
              </w:rPr>
              <w:t>合肥</w:t>
            </w:r>
            <w:r>
              <w:rPr>
                <w:rFonts w:ascii="宋体" w:hAnsi="宋体" w:cs="宋体" w:eastAsia="宋体" w:hint="default"/>
                <w:sz w:val="20"/>
                <w:szCs w:val="20"/>
              </w:rPr>
              <w:t>)</w:t>
            </w:r>
            <w:r>
              <w:rPr>
                <w:rFonts w:ascii="宋体" w:hAnsi="宋体" w:cs="宋体" w:eastAsia="宋体" w:hint="default"/>
                <w:sz w:val="20"/>
                <w:szCs w:val="20"/>
              </w:rPr>
              <w:t>有限公司</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3" w:right="0"/>
              <w:jc w:val="left"/>
              <w:rPr>
                <w:rFonts w:ascii="宋体" w:hAnsi="宋体" w:cs="宋体" w:eastAsia="宋体" w:hint="default"/>
                <w:sz w:val="20"/>
                <w:szCs w:val="20"/>
              </w:rPr>
            </w:pPr>
            <w:r>
              <w:rPr>
                <w:rFonts w:ascii="宋体" w:hAnsi="宋体" w:cs="宋体" w:eastAsia="宋体" w:hint="default"/>
                <w:sz w:val="20"/>
                <w:szCs w:val="20"/>
              </w:rPr>
              <w:t>供应商</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宋体" w:hAnsi="宋体" w:cs="宋体" w:eastAsia="宋体" w:hint="default"/>
                <w:sz w:val="20"/>
                <w:szCs w:val="20"/>
              </w:rPr>
            </w:pPr>
            <w:r>
              <w:rPr>
                <w:rFonts w:ascii="宋体"/>
                <w:w w:val="95"/>
                <w:sz w:val="20"/>
              </w:rPr>
              <w:t>322,500.00</w:t>
            </w:r>
            <w:r>
              <w:rPr>
                <w:rFonts w:ascii="宋体"/>
                <w:sz w:val="20"/>
              </w:rPr>
            </w:r>
          </w:p>
        </w:tc>
        <w:tc>
          <w:tcPr>
            <w:tcW w:w="14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344"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广州市榆萱文化用品有限公司</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20"/>
                <w:szCs w:val="20"/>
              </w:rPr>
            </w:pPr>
            <w:r>
              <w:rPr>
                <w:rFonts w:ascii="宋体" w:hAnsi="宋体" w:cs="宋体" w:eastAsia="宋体" w:hint="default"/>
                <w:sz w:val="20"/>
                <w:szCs w:val="20"/>
              </w:rPr>
              <w:t>供应商</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right"/>
              <w:rPr>
                <w:rFonts w:ascii="宋体" w:hAnsi="宋体" w:cs="宋体" w:eastAsia="宋体" w:hint="default"/>
                <w:sz w:val="20"/>
                <w:szCs w:val="20"/>
              </w:rPr>
            </w:pPr>
            <w:r>
              <w:rPr>
                <w:rFonts w:ascii="宋体"/>
                <w:w w:val="95"/>
                <w:sz w:val="20"/>
              </w:rPr>
              <w:t>255,240.00</w:t>
            </w:r>
            <w:r>
              <w:rPr>
                <w:rFonts w:ascii="宋体"/>
                <w:sz w:val="20"/>
              </w:rPr>
            </w:r>
          </w:p>
        </w:tc>
        <w:tc>
          <w:tcPr>
            <w:tcW w:w="14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344"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济南市历城区供电公司</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sz w:val="20"/>
                <w:szCs w:val="20"/>
              </w:rPr>
              <w:t>供应商</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
              <w:jc w:val="right"/>
              <w:rPr>
                <w:rFonts w:ascii="宋体" w:hAnsi="宋体" w:cs="宋体" w:eastAsia="宋体" w:hint="default"/>
                <w:sz w:val="20"/>
                <w:szCs w:val="20"/>
              </w:rPr>
            </w:pPr>
            <w:r>
              <w:rPr>
                <w:rFonts w:ascii="宋体"/>
                <w:w w:val="95"/>
                <w:sz w:val="20"/>
              </w:rPr>
              <w:t>394,594.73</w:t>
            </w:r>
            <w:r>
              <w:rPr>
                <w:rFonts w:ascii="宋体"/>
                <w:sz w:val="20"/>
              </w:rPr>
            </w:r>
          </w:p>
        </w:tc>
        <w:tc>
          <w:tcPr>
            <w:tcW w:w="14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352"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中国石化加油站</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3" w:right="0"/>
              <w:jc w:val="left"/>
              <w:rPr>
                <w:rFonts w:ascii="宋体" w:hAnsi="宋体" w:cs="宋体" w:eastAsia="宋体" w:hint="default"/>
                <w:sz w:val="20"/>
                <w:szCs w:val="20"/>
              </w:rPr>
            </w:pPr>
            <w:r>
              <w:rPr>
                <w:rFonts w:ascii="宋体" w:hAnsi="宋体" w:cs="宋体" w:eastAsia="宋体" w:hint="default"/>
                <w:sz w:val="20"/>
                <w:szCs w:val="20"/>
              </w:rPr>
              <w:t>供应商</w:t>
            </w: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24"/>
              <w:jc w:val="right"/>
              <w:rPr>
                <w:rFonts w:ascii="宋体" w:hAnsi="宋体" w:cs="宋体" w:eastAsia="宋体" w:hint="default"/>
                <w:sz w:val="20"/>
                <w:szCs w:val="20"/>
              </w:rPr>
            </w:pPr>
            <w:r>
              <w:rPr>
                <w:rFonts w:ascii="宋体"/>
                <w:w w:val="95"/>
                <w:sz w:val="20"/>
              </w:rPr>
              <w:t>45,000.00</w:t>
            </w:r>
            <w:r>
              <w:rPr>
                <w:rFonts w:ascii="宋体"/>
                <w:sz w:val="20"/>
              </w:rPr>
            </w:r>
          </w:p>
        </w:tc>
        <w:tc>
          <w:tcPr>
            <w:tcW w:w="14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一年以内</w:t>
            </w:r>
          </w:p>
        </w:tc>
      </w:tr>
      <w:tr>
        <w:trPr>
          <w:trHeight w:val="374"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09"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24"/>
              <w:jc w:val="right"/>
              <w:rPr>
                <w:rFonts w:ascii="宋体" w:hAnsi="宋体" w:cs="宋体" w:eastAsia="宋体" w:hint="default"/>
                <w:sz w:val="20"/>
                <w:szCs w:val="20"/>
              </w:rPr>
            </w:pPr>
            <w:r>
              <w:rPr>
                <w:rFonts w:ascii="宋体"/>
                <w:w w:val="95"/>
                <w:sz w:val="20"/>
              </w:rPr>
              <w:t>1,417,064.73</w:t>
            </w:r>
            <w:r>
              <w:rPr>
                <w:rFonts w:ascii="宋体"/>
                <w:sz w:val="20"/>
              </w:rPr>
            </w:r>
          </w:p>
        </w:tc>
        <w:tc>
          <w:tcPr>
            <w:tcW w:w="149"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2"/>
          <w:szCs w:val="12"/>
        </w:rPr>
      </w:pPr>
    </w:p>
    <w:p>
      <w:pPr>
        <w:pStyle w:val="BodyText"/>
        <w:tabs>
          <w:tab w:pos="1362" w:val="left" w:leader="none"/>
        </w:tabs>
        <w:spacing w:line="240" w:lineRule="auto" w:before="26"/>
        <w:ind w:left="882" w:right="0"/>
        <w:jc w:val="left"/>
      </w:pPr>
      <w:r>
        <w:rPr/>
        <w:t>⑶</w:t>
        <w:tab/>
        <w:t>报告期预付款项中无预付持有公司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）以上表决权股份的股东款项。</w:t>
      </w:r>
    </w:p>
    <w:p>
      <w:pPr>
        <w:spacing w:line="240" w:lineRule="auto" w:before="5"/>
        <w:rPr>
          <w:rFonts w:ascii="宋体" w:hAnsi="宋体" w:cs="宋体" w:eastAsia="宋体" w:hint="default"/>
          <w:sz w:val="25"/>
          <w:szCs w:val="25"/>
        </w:rPr>
      </w:pPr>
    </w:p>
    <w:p>
      <w:pPr>
        <w:spacing w:line="276" w:lineRule="auto" w:before="0"/>
        <w:ind w:left="882" w:right="8824" w:firstLine="0"/>
        <w:jc w:val="left"/>
        <w:rPr>
          <w:rFonts w:ascii="宋体" w:hAnsi="宋体" w:cs="宋体" w:eastAsia="宋体" w:hint="default"/>
          <w:sz w:val="24"/>
          <w:szCs w:val="24"/>
        </w:rPr>
      </w:pPr>
      <w:r>
        <w:rPr>
          <w:rFonts w:ascii="Trebuchet MS" w:hAnsi="Trebuchet MS" w:cs="Trebuchet MS" w:eastAsia="Trebuchet MS" w:hint="default"/>
          <w:b/>
          <w:bCs/>
          <w:spacing w:val="4"/>
          <w:sz w:val="24"/>
          <w:szCs w:val="24"/>
        </w:rPr>
        <w:t>6</w:t>
      </w:r>
      <w:r>
        <w:rPr>
          <w:rFonts w:ascii="Microsoft JhengHei" w:hAnsi="Microsoft JhengHei" w:cs="Microsoft JhengHei" w:eastAsia="Microsoft JhengHei" w:hint="default"/>
          <w:b/>
          <w:bCs/>
          <w:spacing w:val="4"/>
          <w:sz w:val="24"/>
          <w:szCs w:val="24"/>
        </w:rPr>
        <w:t>、存货</w:t>
      </w:r>
      <w:r>
        <w:rPr>
          <w:rFonts w:ascii="Microsoft JhengHei" w:hAnsi="Microsoft JhengHei" w:cs="Microsoft JhengHei" w:eastAsia="Microsoft JhengHei" w:hint="default"/>
          <w:b/>
          <w:bCs/>
          <w:spacing w:val="2"/>
          <w:sz w:val="24"/>
          <w:szCs w:val="24"/>
        </w:rPr>
        <w:t> </w:t>
      </w:r>
      <w:r>
        <w:rPr>
          <w:rFonts w:ascii="宋体" w:hAnsi="宋体" w:cs="宋体" w:eastAsia="宋体" w:hint="default"/>
          <w:sz w:val="24"/>
          <w:szCs w:val="24"/>
        </w:rPr>
        <w:t>存货分类</w:t>
      </w:r>
    </w:p>
    <w:p>
      <w:pPr>
        <w:spacing w:line="240" w:lineRule="auto" w:before="12"/>
        <w:rPr>
          <w:rFonts w:ascii="宋体" w:hAnsi="宋体" w:cs="宋体" w:eastAsia="宋体" w:hint="default"/>
          <w:sz w:val="3"/>
          <w:szCs w:val="3"/>
        </w:rPr>
      </w:pPr>
    </w:p>
    <w:tbl>
      <w:tblPr>
        <w:tblW w:w="0" w:type="auto"/>
        <w:jc w:val="left"/>
        <w:tblInd w:w="388" w:type="dxa"/>
        <w:tblLayout w:type="fixed"/>
        <w:tblCellMar>
          <w:top w:w="0" w:type="dxa"/>
          <w:left w:w="0" w:type="dxa"/>
          <w:bottom w:w="0" w:type="dxa"/>
          <w:right w:w="0" w:type="dxa"/>
        </w:tblCellMar>
        <w:tblLook w:val="01E0"/>
      </w:tblPr>
      <w:tblGrid>
        <w:gridCol w:w="2028"/>
        <w:gridCol w:w="478"/>
        <w:gridCol w:w="1910"/>
        <w:gridCol w:w="435"/>
        <w:gridCol w:w="1673"/>
        <w:gridCol w:w="343"/>
        <w:gridCol w:w="1954"/>
      </w:tblGrid>
      <w:tr>
        <w:trPr>
          <w:trHeight w:val="251" w:hRule="exact"/>
        </w:trPr>
        <w:tc>
          <w:tcPr>
            <w:tcW w:w="2028" w:type="dxa"/>
            <w:vMerge w:val="restart"/>
            <w:tcBorders>
              <w:top w:val="nil" w:sz="6" w:space="0" w:color="auto"/>
              <w:left w:val="nil" w:sz="6" w:space="0" w:color="auto"/>
              <w:right w:val="nil" w:sz="6" w:space="0" w:color="auto"/>
            </w:tcBorders>
          </w:tcPr>
          <w:p>
            <w:pPr>
              <w:pStyle w:val="TableParagraph"/>
              <w:spacing w:line="240" w:lineRule="auto" w:before="82"/>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78" w:type="dxa"/>
            <w:vMerge w:val="restart"/>
            <w:tcBorders>
              <w:top w:val="nil" w:sz="6" w:space="0" w:color="auto"/>
              <w:left w:val="nil" w:sz="6" w:space="0" w:color="auto"/>
              <w:right w:val="nil" w:sz="6" w:space="0" w:color="auto"/>
            </w:tcBorders>
          </w:tcPr>
          <w:p>
            <w:pPr/>
          </w:p>
        </w:tc>
        <w:tc>
          <w:tcPr>
            <w:tcW w:w="1910" w:type="dxa"/>
            <w:tcBorders>
              <w:top w:val="nil" w:sz="6" w:space="0" w:color="auto"/>
              <w:left w:val="nil" w:sz="6" w:space="0" w:color="auto"/>
              <w:bottom w:val="single" w:sz="8" w:space="0" w:color="000000"/>
              <w:right w:val="nil" w:sz="6" w:space="0" w:color="auto"/>
            </w:tcBorders>
          </w:tcPr>
          <w:p>
            <w:pPr/>
          </w:p>
        </w:tc>
        <w:tc>
          <w:tcPr>
            <w:tcW w:w="435" w:type="dxa"/>
            <w:tcBorders>
              <w:top w:val="nil" w:sz="6" w:space="0" w:color="auto"/>
              <w:left w:val="nil" w:sz="6" w:space="0" w:color="auto"/>
              <w:bottom w:val="single" w:sz="8" w:space="0" w:color="000000"/>
              <w:right w:val="nil" w:sz="6" w:space="0" w:color="auto"/>
            </w:tcBorders>
          </w:tcPr>
          <w:p>
            <w:pPr/>
          </w:p>
        </w:tc>
        <w:tc>
          <w:tcPr>
            <w:tcW w:w="1673" w:type="dxa"/>
            <w:tcBorders>
              <w:top w:val="nil" w:sz="6" w:space="0" w:color="auto"/>
              <w:left w:val="nil" w:sz="6" w:space="0" w:color="auto"/>
              <w:bottom w:val="single" w:sz="8" w:space="0" w:color="000000"/>
              <w:right w:val="nil" w:sz="6" w:space="0" w:color="auto"/>
            </w:tcBorders>
          </w:tcPr>
          <w:p>
            <w:pPr>
              <w:pStyle w:val="TableParagraph"/>
              <w:spacing w:line="211" w:lineRule="exact"/>
              <w:ind w:right="48"/>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43" w:type="dxa"/>
            <w:tcBorders>
              <w:top w:val="nil" w:sz="6" w:space="0" w:color="auto"/>
              <w:left w:val="nil" w:sz="6" w:space="0" w:color="auto"/>
              <w:bottom w:val="single" w:sz="8" w:space="0" w:color="000000"/>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
        </w:tc>
      </w:tr>
      <w:tr>
        <w:trPr>
          <w:trHeight w:val="305" w:hRule="exact"/>
        </w:trPr>
        <w:tc>
          <w:tcPr>
            <w:tcW w:w="2028" w:type="dxa"/>
            <w:vMerge/>
            <w:tcBorders>
              <w:left w:val="nil" w:sz="6" w:space="0" w:color="auto"/>
              <w:bottom w:val="single" w:sz="8" w:space="0" w:color="000000"/>
              <w:right w:val="nil" w:sz="6" w:space="0" w:color="auto"/>
            </w:tcBorders>
          </w:tcPr>
          <w:p>
            <w:pPr/>
          </w:p>
        </w:tc>
        <w:tc>
          <w:tcPr>
            <w:tcW w:w="478" w:type="dxa"/>
            <w:vMerge/>
            <w:tcBorders>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35" w:type="dxa"/>
            <w:tcBorders>
              <w:top w:val="single" w:sz="8" w:space="0" w:color="000000"/>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9"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343" w:type="dxa"/>
            <w:tcBorders>
              <w:top w:val="single" w:sz="8" w:space="0" w:color="000000"/>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5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91" w:hRule="exact"/>
        </w:trPr>
        <w:tc>
          <w:tcPr>
            <w:tcW w:w="2028" w:type="dxa"/>
            <w:tcBorders>
              <w:top w:val="single" w:sz="8" w:space="0" w:color="000000"/>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nil" w:sz="6" w:space="0" w:color="auto"/>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宋体"/>
                <w:spacing w:val="-1"/>
                <w:sz w:val="21"/>
              </w:rPr>
              <w:t>42,055,576.68</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nil" w:sz="6" w:space="0" w:color="auto"/>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42,055,576.68</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w w:val="100"/>
                <w:sz w:val="21"/>
              </w:rPr>
              <w:t>-</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108"/>
              <w:jc w:val="right"/>
              <w:rPr>
                <w:rFonts w:ascii="宋体" w:hAnsi="宋体" w:cs="宋体" w:eastAsia="宋体" w:hint="default"/>
                <w:sz w:val="21"/>
                <w:szCs w:val="21"/>
              </w:rPr>
            </w:pPr>
            <w:r>
              <w:rPr>
                <w:rFonts w:ascii="宋体"/>
                <w:spacing w:val="-1"/>
                <w:sz w:val="21"/>
              </w:rPr>
              <w:t>5,759,151.11</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5,759,151.11</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108"/>
              <w:jc w:val="right"/>
              <w:rPr>
                <w:rFonts w:ascii="宋体" w:hAnsi="宋体" w:cs="宋体" w:eastAsia="宋体" w:hint="default"/>
                <w:sz w:val="21"/>
                <w:szCs w:val="21"/>
              </w:rPr>
            </w:pPr>
            <w:r>
              <w:rPr>
                <w:rFonts w:ascii="宋体"/>
                <w:spacing w:val="-1"/>
                <w:sz w:val="21"/>
              </w:rPr>
              <w:t>39,835,620.89</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39,835,620.89</w:t>
            </w:r>
          </w:p>
        </w:tc>
      </w:tr>
      <w:tr>
        <w:trPr>
          <w:trHeight w:val="292"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8" w:space="0" w:color="000000"/>
              <w:right w:val="nil" w:sz="6" w:space="0" w:color="auto"/>
            </w:tcBorders>
          </w:tcPr>
          <w:p>
            <w:pPr>
              <w:pStyle w:val="TableParagraph"/>
              <w:spacing w:line="247" w:lineRule="exact"/>
              <w:ind w:right="108"/>
              <w:jc w:val="right"/>
              <w:rPr>
                <w:rFonts w:ascii="宋体" w:hAnsi="宋体" w:cs="宋体" w:eastAsia="宋体" w:hint="default"/>
                <w:sz w:val="21"/>
                <w:szCs w:val="21"/>
              </w:rPr>
            </w:pPr>
            <w:r>
              <w:rPr>
                <w:rFonts w:ascii="宋体"/>
                <w:spacing w:val="-1"/>
                <w:sz w:val="21"/>
              </w:rPr>
              <w:t>1,466,289.83</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8"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1,466,289.83</w:t>
            </w:r>
          </w:p>
        </w:tc>
      </w:tr>
      <w:tr>
        <w:trPr>
          <w:trHeight w:val="317"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17" w:space="0" w:color="000000"/>
              <w:right w:val="nil" w:sz="6" w:space="0" w:color="auto"/>
            </w:tcBorders>
          </w:tcPr>
          <w:p>
            <w:pPr>
              <w:pStyle w:val="TableParagraph"/>
              <w:spacing w:line="248" w:lineRule="exact"/>
              <w:ind w:right="108"/>
              <w:jc w:val="right"/>
              <w:rPr>
                <w:rFonts w:ascii="宋体" w:hAnsi="宋体" w:cs="宋体" w:eastAsia="宋体" w:hint="default"/>
                <w:sz w:val="21"/>
                <w:szCs w:val="21"/>
              </w:rPr>
            </w:pPr>
            <w:r>
              <w:rPr>
                <w:rFonts w:ascii="宋体"/>
                <w:spacing w:val="-1"/>
                <w:sz w:val="21"/>
              </w:rPr>
              <w:t>89,116,638.51</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17"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17" w:space="0" w:color="000000"/>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89,116,638.51</w:t>
            </w:r>
          </w:p>
        </w:tc>
      </w:tr>
      <w:tr>
        <w:trPr>
          <w:trHeight w:val="598" w:hRule="exact"/>
        </w:trPr>
        <w:tc>
          <w:tcPr>
            <w:tcW w:w="2028"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78" w:type="dxa"/>
            <w:vMerge w:val="restart"/>
            <w:tcBorders>
              <w:top w:val="nil" w:sz="6" w:space="0" w:color="auto"/>
              <w:left w:val="nil" w:sz="6" w:space="0" w:color="auto"/>
              <w:right w:val="nil" w:sz="6" w:space="0" w:color="auto"/>
            </w:tcBorders>
          </w:tcPr>
          <w:p>
            <w:pPr/>
          </w:p>
        </w:tc>
        <w:tc>
          <w:tcPr>
            <w:tcW w:w="1910" w:type="dxa"/>
            <w:tcBorders>
              <w:top w:val="single" w:sz="17" w:space="0" w:color="000000"/>
              <w:left w:val="nil" w:sz="6" w:space="0" w:color="auto"/>
              <w:bottom w:val="single" w:sz="8" w:space="0" w:color="000000"/>
              <w:right w:val="nil" w:sz="6" w:space="0" w:color="auto"/>
            </w:tcBorders>
          </w:tcPr>
          <w:p>
            <w:pPr/>
          </w:p>
        </w:tc>
        <w:tc>
          <w:tcPr>
            <w:tcW w:w="435" w:type="dxa"/>
            <w:tcBorders>
              <w:top w:val="nil" w:sz="6" w:space="0" w:color="auto"/>
              <w:left w:val="nil" w:sz="6" w:space="0" w:color="auto"/>
              <w:bottom w:val="single" w:sz="8" w:space="0" w:color="000000"/>
              <w:right w:val="nil" w:sz="6" w:space="0" w:color="auto"/>
            </w:tcBorders>
          </w:tcPr>
          <w:p>
            <w:pPr/>
          </w:p>
        </w:tc>
        <w:tc>
          <w:tcPr>
            <w:tcW w:w="1673" w:type="dxa"/>
            <w:tcBorders>
              <w:top w:val="single" w:sz="17"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年初数</w:t>
            </w:r>
          </w:p>
        </w:tc>
        <w:tc>
          <w:tcPr>
            <w:tcW w:w="343" w:type="dxa"/>
            <w:tcBorders>
              <w:top w:val="nil" w:sz="6" w:space="0" w:color="auto"/>
              <w:left w:val="nil" w:sz="6" w:space="0" w:color="auto"/>
              <w:bottom w:val="single" w:sz="8" w:space="0" w:color="000000"/>
              <w:right w:val="nil" w:sz="6" w:space="0" w:color="auto"/>
            </w:tcBorders>
          </w:tcPr>
          <w:p>
            <w:pPr/>
          </w:p>
        </w:tc>
        <w:tc>
          <w:tcPr>
            <w:tcW w:w="1954" w:type="dxa"/>
            <w:tcBorders>
              <w:top w:val="single" w:sz="17" w:space="0" w:color="000000"/>
              <w:left w:val="nil" w:sz="6" w:space="0" w:color="auto"/>
              <w:bottom w:val="single" w:sz="8" w:space="0" w:color="000000"/>
              <w:right w:val="nil" w:sz="6" w:space="0" w:color="auto"/>
            </w:tcBorders>
          </w:tcPr>
          <w:p>
            <w:pPr/>
          </w:p>
        </w:tc>
      </w:tr>
      <w:tr>
        <w:trPr>
          <w:trHeight w:val="305" w:hRule="exact"/>
        </w:trPr>
        <w:tc>
          <w:tcPr>
            <w:tcW w:w="2028" w:type="dxa"/>
            <w:vMerge/>
            <w:tcBorders>
              <w:left w:val="nil" w:sz="6" w:space="0" w:color="auto"/>
              <w:bottom w:val="single" w:sz="8" w:space="0" w:color="000000"/>
              <w:right w:val="nil" w:sz="6" w:space="0" w:color="auto"/>
            </w:tcBorders>
          </w:tcPr>
          <w:p>
            <w:pPr/>
          </w:p>
        </w:tc>
        <w:tc>
          <w:tcPr>
            <w:tcW w:w="478" w:type="dxa"/>
            <w:vMerge/>
            <w:tcBorders>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35" w:type="dxa"/>
            <w:tcBorders>
              <w:top w:val="single" w:sz="8" w:space="0" w:color="000000"/>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9"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343" w:type="dxa"/>
            <w:tcBorders>
              <w:top w:val="single" w:sz="8" w:space="0" w:color="000000"/>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5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91" w:hRule="exact"/>
        </w:trPr>
        <w:tc>
          <w:tcPr>
            <w:tcW w:w="2028" w:type="dxa"/>
            <w:tcBorders>
              <w:top w:val="single" w:sz="8" w:space="0" w:color="000000"/>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nil" w:sz="6" w:space="0" w:color="auto"/>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43,158,775.17</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43,158,775.17</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12,794.95</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12,794.95</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5,808,984.56</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5,808,984.56</w:t>
            </w:r>
          </w:p>
        </w:tc>
      </w:tr>
      <w:tr>
        <w:trPr>
          <w:trHeight w:val="283"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38,235,986.02</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38,235,986.02</w:t>
            </w:r>
          </w:p>
        </w:tc>
      </w:tr>
      <w:tr>
        <w:trPr>
          <w:trHeight w:val="292"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single" w:sz="8" w:space="0" w:color="000000"/>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4,190,678.56</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8"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4,190,678.56</w:t>
            </w:r>
          </w:p>
        </w:tc>
      </w:tr>
      <w:tr>
        <w:trPr>
          <w:trHeight w:val="317"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478" w:type="dxa"/>
            <w:tcBorders>
              <w:top w:val="nil" w:sz="6" w:space="0" w:color="auto"/>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single" w:sz="17" w:space="0" w:color="000000"/>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91,407,219.26</w:t>
            </w:r>
          </w:p>
        </w:tc>
        <w:tc>
          <w:tcPr>
            <w:tcW w:w="4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17" w:space="0" w:color="000000"/>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17"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91,407,219.26</w:t>
            </w:r>
          </w:p>
        </w:tc>
      </w:tr>
    </w:tbl>
    <w:p>
      <w:pPr>
        <w:spacing w:line="240" w:lineRule="auto" w:before="10"/>
        <w:rPr>
          <w:rFonts w:ascii="宋体" w:hAnsi="宋体" w:cs="宋体" w:eastAsia="宋体" w:hint="default"/>
          <w:sz w:val="25"/>
          <w:szCs w:val="25"/>
        </w:rPr>
      </w:pPr>
    </w:p>
    <w:p>
      <w:pPr>
        <w:pStyle w:val="Heading3"/>
        <w:spacing w:line="367" w:lineRule="exact"/>
        <w:ind w:right="0"/>
        <w:jc w:val="left"/>
        <w:rPr>
          <w:b w:val="0"/>
          <w:bCs w:val="0"/>
        </w:rPr>
      </w:pPr>
      <w:r>
        <w:rPr>
          <w:rFonts w:ascii="Trebuchet MS" w:hAnsi="Trebuchet MS" w:cs="Trebuchet MS" w:eastAsia="Trebuchet MS" w:hint="default"/>
          <w:spacing w:val="2"/>
        </w:rPr>
        <w:t>7</w:t>
      </w:r>
      <w:r>
        <w:rPr>
          <w:spacing w:val="2"/>
        </w:rPr>
        <w:t>、其他流动资产</w:t>
      </w:r>
      <w:r>
        <w:rPr>
          <w:b w:val="0"/>
          <w:bCs w:val="0"/>
          <w:spacing w:val="2"/>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388" w:type="dxa"/>
        <w:tblLayout w:type="fixed"/>
        <w:tblCellMar>
          <w:top w:w="0" w:type="dxa"/>
          <w:left w:w="0" w:type="dxa"/>
          <w:bottom w:w="0" w:type="dxa"/>
          <w:right w:w="0" w:type="dxa"/>
        </w:tblCellMar>
        <w:tblLook w:val="01E0"/>
      </w:tblPr>
      <w:tblGrid>
        <w:gridCol w:w="2158"/>
        <w:gridCol w:w="476"/>
        <w:gridCol w:w="1901"/>
        <w:gridCol w:w="459"/>
        <w:gridCol w:w="1658"/>
        <w:gridCol w:w="329"/>
        <w:gridCol w:w="1952"/>
      </w:tblGrid>
      <w:tr>
        <w:trPr>
          <w:trHeight w:val="251" w:hRule="exact"/>
        </w:trPr>
        <w:tc>
          <w:tcPr>
            <w:tcW w:w="2158"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8"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8" w:space="0" w:color="000000"/>
              <w:right w:val="nil" w:sz="6" w:space="0" w:color="auto"/>
            </w:tcBorders>
          </w:tcPr>
          <w:p>
            <w:pPr>
              <w:pStyle w:val="TableParagraph"/>
              <w:spacing w:line="211" w:lineRule="exact"/>
              <w:ind w:left="513"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single" w:sz="8"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85" w:hRule="exact"/>
        </w:trPr>
        <w:tc>
          <w:tcPr>
            <w:tcW w:w="2158"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604"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01"/>
              <w:jc w:val="center"/>
              <w:rPr>
                <w:rFonts w:ascii="宋体" w:hAnsi="宋体" w:cs="宋体" w:eastAsia="宋体" w:hint="default"/>
                <w:sz w:val="21"/>
                <w:szCs w:val="21"/>
              </w:rPr>
            </w:pPr>
            <w:r>
              <w:rPr>
                <w:rFonts w:ascii="宋体" w:hAnsi="宋体" w:cs="宋体" w:eastAsia="宋体" w:hint="default"/>
                <w:sz w:val="21"/>
                <w:szCs w:val="21"/>
              </w:rPr>
              <w:t>厂房租金</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21"/>
                <w:szCs w:val="21"/>
              </w:rPr>
            </w:pPr>
            <w:r>
              <w:rPr>
                <w:rFonts w:ascii="宋体"/>
                <w:spacing w:val="-1"/>
                <w:sz w:val="21"/>
              </w:rPr>
              <w:t>79,935.60</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86,400.00</w:t>
            </w:r>
          </w:p>
        </w:tc>
      </w:tr>
      <w:tr>
        <w:trPr>
          <w:trHeight w:val="340"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604"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center"/>
              <w:rPr>
                <w:rFonts w:ascii="宋体" w:hAnsi="宋体" w:cs="宋体" w:eastAsia="宋体" w:hint="default"/>
                <w:sz w:val="21"/>
                <w:szCs w:val="21"/>
              </w:rPr>
            </w:pPr>
            <w:r>
              <w:rPr>
                <w:rFonts w:ascii="宋体" w:hAnsi="宋体" w:cs="宋体" w:eastAsia="宋体" w:hint="default"/>
                <w:sz w:val="21"/>
                <w:szCs w:val="21"/>
              </w:rPr>
              <w:t>保险费</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宋体" w:hAnsi="宋体" w:cs="宋体" w:eastAsia="宋体" w:hint="default"/>
                <w:sz w:val="21"/>
                <w:szCs w:val="21"/>
              </w:rPr>
            </w:pPr>
            <w:r>
              <w:rPr>
                <w:rFonts w:ascii="宋体"/>
                <w:spacing w:val="-1"/>
                <w:sz w:val="21"/>
              </w:rPr>
              <w:t>243,535.55</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269,260.24</w:t>
            </w:r>
          </w:p>
        </w:tc>
      </w:tr>
      <w:tr>
        <w:trPr>
          <w:trHeight w:val="340"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ind w:left="604"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取暖费</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pacing w:val="-1"/>
                <w:sz w:val="21"/>
              </w:rPr>
              <w:t>29,980.59</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30,455.19</w:t>
            </w:r>
          </w:p>
        </w:tc>
      </w:tr>
      <w:tr>
        <w:trPr>
          <w:trHeight w:val="316"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604"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center"/>
              <w:rPr>
                <w:rFonts w:ascii="宋体" w:hAnsi="宋体" w:cs="宋体" w:eastAsia="宋体" w:hint="default"/>
                <w:sz w:val="21"/>
                <w:szCs w:val="21"/>
              </w:rPr>
            </w:pPr>
            <w:r>
              <w:rPr>
                <w:rFonts w:ascii="宋体" w:hAnsi="宋体" w:cs="宋体" w:eastAsia="宋体" w:hint="default"/>
                <w:sz w:val="21"/>
                <w:szCs w:val="21"/>
              </w:rPr>
              <w:t>其他</w:t>
            </w: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5"/>
              <w:jc w:val="right"/>
              <w:rPr>
                <w:rFonts w:ascii="宋体" w:hAnsi="宋体" w:cs="宋体" w:eastAsia="宋体" w:hint="default"/>
                <w:sz w:val="21"/>
                <w:szCs w:val="21"/>
              </w:rPr>
            </w:pPr>
            <w:r>
              <w:rPr>
                <w:rFonts w:ascii="宋体"/>
                <w:spacing w:val="-1"/>
                <w:sz w:val="21"/>
              </w:rPr>
              <w:t>62,177.30</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right"/>
              <w:rPr>
                <w:rFonts w:ascii="宋体" w:hAnsi="宋体" w:cs="宋体" w:eastAsia="宋体" w:hint="default"/>
                <w:sz w:val="21"/>
                <w:szCs w:val="21"/>
              </w:rPr>
            </w:pPr>
            <w:r>
              <w:rPr>
                <w:rFonts w:ascii="宋体"/>
                <w:spacing w:val="-1"/>
                <w:sz w:val="21"/>
              </w:rPr>
              <w:t>103,091.19</w:t>
            </w:r>
          </w:p>
        </w:tc>
      </w:tr>
      <w:tr>
        <w:trPr>
          <w:trHeight w:val="374" w:hRule="exact"/>
        </w:trPr>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47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65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pacing w:val="-1"/>
                <w:sz w:val="21"/>
              </w:rPr>
              <w:t>415,629.04</w:t>
            </w:r>
          </w:p>
        </w:tc>
        <w:tc>
          <w:tcPr>
            <w:tcW w:w="329" w:type="dxa"/>
            <w:tcBorders>
              <w:top w:val="nil" w:sz="6" w:space="0" w:color="auto"/>
              <w:left w:val="nil" w:sz="6" w:space="0" w:color="auto"/>
              <w:bottom w:val="nil" w:sz="6" w:space="0" w:color="auto"/>
              <w:right w:val="nil" w:sz="6" w:space="0" w:color="auto"/>
            </w:tcBorders>
          </w:tcPr>
          <w:p>
            <w:pPr/>
          </w:p>
        </w:tc>
        <w:tc>
          <w:tcPr>
            <w:tcW w:w="195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489,206.62</w:t>
            </w:r>
          </w:p>
        </w:tc>
      </w:tr>
    </w:tbl>
    <w:p>
      <w:pPr>
        <w:spacing w:after="0" w:line="240" w:lineRule="auto"/>
        <w:jc w:val="right"/>
        <w:rPr>
          <w:rFonts w:ascii="宋体" w:hAnsi="宋体" w:cs="宋体" w:eastAsia="宋体" w:hint="default"/>
          <w:sz w:val="21"/>
          <w:szCs w:val="21"/>
        </w:rPr>
        <w:sectPr>
          <w:headerReference w:type="default" r:id="rId38"/>
          <w:pgSz w:w="11910" w:h="16840"/>
          <w:pgMar w:header="811" w:footer="1153" w:top="1120" w:bottom="1340" w:left="1220" w:right="0"/>
        </w:sectPr>
      </w:pPr>
    </w:p>
    <w:p>
      <w:pPr>
        <w:spacing w:line="240" w:lineRule="auto" w:before="13"/>
        <w:rPr>
          <w:rFonts w:ascii="Microsoft JhengHei" w:hAnsi="Microsoft JhengHei" w:cs="Microsoft JhengHei" w:eastAsia="Microsoft JhengHei" w:hint="default"/>
          <w:b/>
          <w:bCs/>
          <w:sz w:val="20"/>
          <w:szCs w:val="20"/>
        </w:rPr>
      </w:pPr>
    </w:p>
    <w:p>
      <w:pPr>
        <w:pStyle w:val="Heading3"/>
        <w:spacing w:line="367" w:lineRule="exact"/>
        <w:ind w:right="0"/>
        <w:jc w:val="left"/>
        <w:rPr>
          <w:b w:val="0"/>
          <w:bCs w:val="0"/>
        </w:rPr>
      </w:pPr>
      <w:r>
        <w:rPr>
          <w:rFonts w:ascii="Trebuchet MS" w:hAnsi="Trebuchet MS" w:cs="Trebuchet MS" w:eastAsia="Trebuchet MS" w:hint="default"/>
        </w:rPr>
        <w:t>8</w:t>
      </w:r>
      <w:r>
        <w:rPr/>
        <w:t>、一年内到期的非流动资产</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297" w:type="dxa"/>
        <w:tblLayout w:type="fixed"/>
        <w:tblCellMar>
          <w:top w:w="0" w:type="dxa"/>
          <w:left w:w="0" w:type="dxa"/>
          <w:bottom w:w="0" w:type="dxa"/>
          <w:right w:w="0" w:type="dxa"/>
        </w:tblCellMar>
        <w:tblLook w:val="01E0"/>
      </w:tblPr>
      <w:tblGrid>
        <w:gridCol w:w="2868"/>
        <w:gridCol w:w="223"/>
        <w:gridCol w:w="1510"/>
        <w:gridCol w:w="468"/>
        <w:gridCol w:w="1673"/>
        <w:gridCol w:w="336"/>
        <w:gridCol w:w="1944"/>
      </w:tblGrid>
      <w:tr>
        <w:trPr>
          <w:trHeight w:val="246" w:hRule="exact"/>
        </w:trPr>
        <w:tc>
          <w:tcPr>
            <w:tcW w:w="2868" w:type="dxa"/>
            <w:tcBorders>
              <w:top w:val="nil" w:sz="6" w:space="0" w:color="auto"/>
              <w:left w:val="nil" w:sz="6" w:space="0" w:color="auto"/>
              <w:bottom w:val="single" w:sz="4" w:space="0" w:color="000000"/>
              <w:right w:val="nil" w:sz="6" w:space="0" w:color="auto"/>
            </w:tcBorders>
          </w:tcPr>
          <w:p>
            <w:pPr>
              <w:pStyle w:val="TableParagraph"/>
              <w:tabs>
                <w:tab w:pos="500" w:val="left" w:leader="none"/>
              </w:tabs>
              <w:spacing w:line="211" w:lineRule="exact"/>
              <w:ind w:left="7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11" w:lineRule="exact"/>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6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1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3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0" w:hRule="exact"/>
        </w:trPr>
        <w:tc>
          <w:tcPr>
            <w:tcW w:w="2868"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一年内到期的长期待摊费用</w:t>
            </w:r>
          </w:p>
        </w:tc>
        <w:tc>
          <w:tcPr>
            <w:tcW w:w="22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29"/>
              <w:jc w:val="right"/>
              <w:rPr>
                <w:rFonts w:ascii="宋体" w:hAnsi="宋体" w:cs="宋体" w:eastAsia="宋体" w:hint="default"/>
                <w:sz w:val="21"/>
                <w:szCs w:val="21"/>
              </w:rPr>
            </w:pPr>
            <w:r>
              <w:rPr>
                <w:rFonts w:ascii="宋体"/>
                <w:spacing w:val="-1"/>
                <w:sz w:val="21"/>
              </w:rPr>
              <w:t>170,348.32</w:t>
            </w:r>
          </w:p>
        </w:tc>
        <w:tc>
          <w:tcPr>
            <w:tcW w:w="336" w:type="dxa"/>
            <w:tcBorders>
              <w:top w:val="nil" w:sz="6" w:space="0" w:color="auto"/>
              <w:left w:val="nil" w:sz="6" w:space="0" w:color="auto"/>
              <w:bottom w:val="nil" w:sz="6" w:space="0" w:color="auto"/>
              <w:right w:val="nil" w:sz="6" w:space="0" w:color="auto"/>
            </w:tcBorders>
          </w:tcPr>
          <w:p>
            <w:pPr/>
          </w:p>
        </w:tc>
        <w:tc>
          <w:tcPr>
            <w:tcW w:w="1944" w:type="dxa"/>
            <w:tcBorders>
              <w:top w:val="single" w:sz="4" w:space="0" w:color="000000"/>
              <w:left w:val="nil" w:sz="6" w:space="0" w:color="auto"/>
              <w:bottom w:val="nil" w:sz="6" w:space="0" w:color="auto"/>
              <w:right w:val="nil" w:sz="6" w:space="0" w:color="auto"/>
            </w:tcBorders>
          </w:tcPr>
          <w:p>
            <w:pPr/>
          </w:p>
        </w:tc>
      </w:tr>
      <w:tr>
        <w:trPr>
          <w:trHeight w:val="367"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4"/>
              <w:ind w:left="78"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3"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17" w:space="0" w:color="000000"/>
              <w:right w:val="nil" w:sz="6" w:space="0" w:color="auto"/>
            </w:tcBorders>
          </w:tcPr>
          <w:p>
            <w:pPr>
              <w:pStyle w:val="TableParagraph"/>
              <w:spacing w:line="274" w:lineRule="exact"/>
              <w:ind w:right="29"/>
              <w:jc w:val="right"/>
              <w:rPr>
                <w:rFonts w:ascii="宋体" w:hAnsi="宋体" w:cs="宋体" w:eastAsia="宋体" w:hint="default"/>
                <w:sz w:val="21"/>
                <w:szCs w:val="21"/>
              </w:rPr>
            </w:pPr>
            <w:r>
              <w:rPr>
                <w:rFonts w:ascii="宋体"/>
                <w:spacing w:val="-1"/>
                <w:sz w:val="21"/>
              </w:rPr>
              <w:t>170,348.32</w:t>
            </w:r>
          </w:p>
        </w:tc>
        <w:tc>
          <w:tcPr>
            <w:tcW w:w="33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Microsoft JhengHei" w:hAnsi="Microsoft JhengHei" w:cs="Microsoft JhengHei" w:eastAsia="Microsoft JhengHei" w:hint="default"/>
          <w:b/>
          <w:bCs/>
          <w:sz w:val="19"/>
          <w:szCs w:val="19"/>
        </w:rPr>
      </w:pPr>
    </w:p>
    <w:p>
      <w:pPr>
        <w:pStyle w:val="Heading3"/>
        <w:spacing w:line="367" w:lineRule="exact"/>
        <w:ind w:right="0"/>
        <w:jc w:val="left"/>
        <w:rPr>
          <w:b w:val="0"/>
          <w:bCs w:val="0"/>
        </w:rPr>
      </w:pPr>
      <w:r>
        <w:rPr>
          <w:rFonts w:ascii="Trebuchet MS" w:hAnsi="Trebuchet MS" w:cs="Trebuchet MS" w:eastAsia="Trebuchet MS" w:hint="default"/>
          <w:spacing w:val="2"/>
        </w:rPr>
        <w:t>9</w:t>
      </w:r>
      <w:r>
        <w:rPr>
          <w:spacing w:val="2"/>
        </w:rPr>
        <w:t>、投资性房地产</w:t>
      </w:r>
      <w:r>
        <w:rPr>
          <w:b w:val="0"/>
          <w:bCs w:val="0"/>
          <w:spacing w:val="2"/>
        </w:rPr>
      </w:r>
    </w:p>
    <w:p>
      <w:pPr>
        <w:pStyle w:val="BodyText"/>
        <w:tabs>
          <w:tab w:pos="1362" w:val="left" w:leader="none"/>
        </w:tabs>
        <w:spacing w:line="240" w:lineRule="auto" w:before="213"/>
        <w:ind w:left="882" w:right="0"/>
        <w:jc w:val="left"/>
      </w:pPr>
      <w:r>
        <w:rPr/>
        <w:t>⑴</w:t>
        <w:tab/>
        <w:t>投资性房地产明细情况</w:t>
      </w:r>
    </w:p>
    <w:p>
      <w:pPr>
        <w:spacing w:line="240" w:lineRule="auto" w:before="3"/>
        <w:rPr>
          <w:rFonts w:ascii="宋体" w:hAnsi="宋体" w:cs="宋体" w:eastAsia="宋体" w:hint="default"/>
          <w:sz w:val="16"/>
          <w:szCs w:val="16"/>
        </w:rPr>
      </w:pPr>
    </w:p>
    <w:tbl>
      <w:tblPr>
        <w:tblW w:w="0" w:type="auto"/>
        <w:jc w:val="left"/>
        <w:tblInd w:w="438" w:type="dxa"/>
        <w:tblLayout w:type="fixed"/>
        <w:tblCellMar>
          <w:top w:w="0" w:type="dxa"/>
          <w:left w:w="0" w:type="dxa"/>
          <w:bottom w:w="0" w:type="dxa"/>
          <w:right w:w="0" w:type="dxa"/>
        </w:tblCellMar>
        <w:tblLook w:val="01E0"/>
      </w:tblPr>
      <w:tblGrid>
        <w:gridCol w:w="2612"/>
        <w:gridCol w:w="238"/>
        <w:gridCol w:w="1291"/>
        <w:gridCol w:w="168"/>
        <w:gridCol w:w="1556"/>
        <w:gridCol w:w="182"/>
        <w:gridCol w:w="1452"/>
        <w:gridCol w:w="168"/>
        <w:gridCol w:w="1438"/>
      </w:tblGrid>
      <w:tr>
        <w:trPr>
          <w:trHeight w:val="217" w:hRule="exact"/>
        </w:trPr>
        <w:tc>
          <w:tcPr>
            <w:tcW w:w="2612"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8"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8"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8" w:space="0" w:color="000000"/>
              <w:right w:val="nil" w:sz="6" w:space="0" w:color="auto"/>
            </w:tcBorders>
          </w:tcPr>
          <w:p>
            <w:pPr>
              <w:pStyle w:val="TableParagraph"/>
              <w:spacing w:line="180" w:lineRule="exact"/>
              <w:ind w:left="36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77" w:hRule="exact"/>
        </w:trPr>
        <w:tc>
          <w:tcPr>
            <w:tcW w:w="2612" w:type="dxa"/>
            <w:tcBorders>
              <w:top w:val="single" w:sz="8" w:space="0" w:color="000000"/>
              <w:left w:val="nil" w:sz="6" w:space="0" w:color="auto"/>
              <w:bottom w:val="nil" w:sz="6" w:space="0" w:color="auto"/>
              <w:right w:val="nil" w:sz="6" w:space="0" w:color="auto"/>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pacing w:val="11"/>
                <w:sz w:val="18"/>
                <w:szCs w:val="18"/>
              </w:rPr>
              <w:t>采用成本模式进行后续计量的</w:t>
            </w: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8" w:type="dxa"/>
            <w:tcBorders>
              <w:top w:val="nil" w:sz="6" w:space="0" w:color="auto"/>
              <w:left w:val="nil" w:sz="6" w:space="0" w:color="auto"/>
              <w:bottom w:val="nil" w:sz="6" w:space="0" w:color="auto"/>
              <w:right w:val="nil" w:sz="6" w:space="0" w:color="auto"/>
            </w:tcBorders>
          </w:tcPr>
          <w:p>
            <w:pPr/>
          </w:p>
        </w:tc>
        <w:tc>
          <w:tcPr>
            <w:tcW w:w="1291"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right"/>
              <w:rPr>
                <w:rFonts w:ascii="宋体" w:hAnsi="宋体" w:cs="宋体" w:eastAsia="宋体" w:hint="default"/>
                <w:sz w:val="18"/>
                <w:szCs w:val="18"/>
              </w:rPr>
            </w:pPr>
            <w:r>
              <w:rPr>
                <w:rFonts w:ascii="宋体"/>
                <w:spacing w:val="-1"/>
                <w:sz w:val="18"/>
              </w:rPr>
              <w:t>13,339,223.68</w:t>
            </w: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right"/>
              <w:rPr>
                <w:rFonts w:ascii="宋体" w:hAnsi="宋体" w:cs="宋体" w:eastAsia="宋体" w:hint="default"/>
                <w:sz w:val="18"/>
                <w:szCs w:val="18"/>
              </w:rPr>
            </w:pPr>
            <w:r>
              <w:rPr>
                <w:rFonts w:ascii="宋体"/>
                <w:spacing w:val="-1"/>
                <w:sz w:val="18"/>
              </w:rPr>
              <w:t>657,540.03</w:t>
            </w: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653,370.37</w:t>
            </w: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13,343,393.34</w:t>
            </w:r>
          </w:p>
        </w:tc>
      </w:tr>
      <w:tr>
        <w:trPr>
          <w:trHeight w:val="537"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pacing w:val="11"/>
                <w:sz w:val="18"/>
                <w:szCs w:val="18"/>
              </w:rPr>
              <w:t>采用公允价值模式进行后续计</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量的投资性房地产</w:t>
            </w:r>
          </w:p>
        </w:tc>
        <w:tc>
          <w:tcPr>
            <w:tcW w:w="23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317"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8"/>
                <w:szCs w:val="18"/>
              </w:rPr>
            </w:pPr>
            <w:r>
              <w:rPr>
                <w:rFonts w:ascii="宋体" w:hAnsi="宋体" w:cs="宋体" w:eastAsia="宋体" w:hint="default"/>
                <w:sz w:val="18"/>
                <w:szCs w:val="18"/>
              </w:rPr>
              <w:t>减：投资性房地产减值准备</w:t>
            </w:r>
          </w:p>
        </w:tc>
        <w:tc>
          <w:tcPr>
            <w:tcW w:w="238"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54"/>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8" w:space="0" w:color="000000"/>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8"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56"/>
              <w:jc w:val="right"/>
              <w:rPr>
                <w:rFonts w:ascii="宋体" w:hAnsi="宋体" w:cs="宋体" w:eastAsia="宋体" w:hint="default"/>
                <w:sz w:val="18"/>
                <w:szCs w:val="18"/>
              </w:rPr>
            </w:pPr>
            <w:r>
              <w:rPr>
                <w:rFonts w:ascii="宋体"/>
                <w:sz w:val="18"/>
              </w:rPr>
              <w:t>-</w:t>
            </w:r>
          </w:p>
        </w:tc>
      </w:tr>
      <w:tr>
        <w:trPr>
          <w:trHeight w:val="408"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8" w:type="dxa"/>
            <w:tcBorders>
              <w:top w:val="nil" w:sz="6" w:space="0" w:color="auto"/>
              <w:left w:val="nil" w:sz="6" w:space="0" w:color="auto"/>
              <w:bottom w:val="nil" w:sz="6" w:space="0" w:color="auto"/>
              <w:right w:val="nil" w:sz="6" w:space="0" w:color="auto"/>
            </w:tcBorders>
          </w:tcPr>
          <w:p>
            <w:pPr/>
          </w:p>
        </w:tc>
        <w:tc>
          <w:tcPr>
            <w:tcW w:w="1291" w:type="dxa"/>
            <w:tcBorders>
              <w:top w:val="single" w:sz="8" w:space="0" w:color="000000"/>
              <w:left w:val="nil" w:sz="6" w:space="0" w:color="auto"/>
              <w:bottom w:val="single" w:sz="17" w:space="0" w:color="000000"/>
              <w:right w:val="nil" w:sz="6" w:space="0" w:color="auto"/>
            </w:tcBorders>
          </w:tcPr>
          <w:p>
            <w:pPr>
              <w:pStyle w:val="TableParagraph"/>
              <w:spacing w:line="240" w:lineRule="auto" w:before="39"/>
              <w:ind w:right="53"/>
              <w:jc w:val="right"/>
              <w:rPr>
                <w:rFonts w:ascii="宋体" w:hAnsi="宋体" w:cs="宋体" w:eastAsia="宋体" w:hint="default"/>
                <w:sz w:val="18"/>
                <w:szCs w:val="18"/>
              </w:rPr>
            </w:pPr>
            <w:r>
              <w:rPr>
                <w:rFonts w:ascii="宋体"/>
                <w:spacing w:val="-1"/>
                <w:sz w:val="18"/>
              </w:rPr>
              <w:t>13,339,223.68</w:t>
            </w:r>
          </w:p>
        </w:tc>
        <w:tc>
          <w:tcPr>
            <w:tcW w:w="168" w:type="dxa"/>
            <w:tcBorders>
              <w:top w:val="nil" w:sz="6" w:space="0" w:color="auto"/>
              <w:left w:val="nil" w:sz="6" w:space="0" w:color="auto"/>
              <w:bottom w:val="nil" w:sz="6" w:space="0" w:color="auto"/>
              <w:right w:val="nil" w:sz="6" w:space="0" w:color="auto"/>
            </w:tcBorders>
          </w:tcPr>
          <w:p>
            <w:pPr/>
          </w:p>
        </w:tc>
        <w:tc>
          <w:tcPr>
            <w:tcW w:w="1556" w:type="dxa"/>
            <w:tcBorders>
              <w:top w:val="single" w:sz="8" w:space="0" w:color="000000"/>
              <w:left w:val="nil" w:sz="6" w:space="0" w:color="auto"/>
              <w:bottom w:val="single" w:sz="17" w:space="0" w:color="000000"/>
              <w:right w:val="nil" w:sz="6" w:space="0" w:color="auto"/>
            </w:tcBorders>
          </w:tcPr>
          <w:p>
            <w:pPr>
              <w:pStyle w:val="TableParagraph"/>
              <w:spacing w:line="240" w:lineRule="auto" w:before="39"/>
              <w:ind w:right="52"/>
              <w:jc w:val="right"/>
              <w:rPr>
                <w:rFonts w:ascii="宋体" w:hAnsi="宋体" w:cs="宋体" w:eastAsia="宋体" w:hint="default"/>
                <w:sz w:val="18"/>
                <w:szCs w:val="18"/>
              </w:rPr>
            </w:pPr>
            <w:r>
              <w:rPr>
                <w:rFonts w:ascii="宋体"/>
                <w:spacing w:val="-1"/>
                <w:sz w:val="18"/>
              </w:rPr>
              <w:t>657,540.03</w:t>
            </w:r>
          </w:p>
        </w:tc>
        <w:tc>
          <w:tcPr>
            <w:tcW w:w="182" w:type="dxa"/>
            <w:tcBorders>
              <w:top w:val="nil" w:sz="6" w:space="0" w:color="auto"/>
              <w:left w:val="nil" w:sz="6" w:space="0" w:color="auto"/>
              <w:bottom w:val="nil" w:sz="6" w:space="0" w:color="auto"/>
              <w:right w:val="nil" w:sz="6" w:space="0" w:color="auto"/>
            </w:tcBorders>
          </w:tcPr>
          <w:p>
            <w:pPr/>
          </w:p>
        </w:tc>
        <w:tc>
          <w:tcPr>
            <w:tcW w:w="1452" w:type="dxa"/>
            <w:tcBorders>
              <w:top w:val="single" w:sz="8" w:space="0" w:color="000000"/>
              <w:left w:val="nil" w:sz="6" w:space="0" w:color="auto"/>
              <w:bottom w:val="single" w:sz="17" w:space="0" w:color="000000"/>
              <w:right w:val="nil" w:sz="6" w:space="0" w:color="auto"/>
            </w:tcBorders>
          </w:tcPr>
          <w:p>
            <w:pPr>
              <w:pStyle w:val="TableParagraph"/>
              <w:spacing w:line="240" w:lineRule="auto" w:before="39"/>
              <w:ind w:right="53"/>
              <w:jc w:val="right"/>
              <w:rPr>
                <w:rFonts w:ascii="宋体" w:hAnsi="宋体" w:cs="宋体" w:eastAsia="宋体" w:hint="default"/>
                <w:sz w:val="18"/>
                <w:szCs w:val="18"/>
              </w:rPr>
            </w:pPr>
            <w:r>
              <w:rPr>
                <w:rFonts w:ascii="宋体"/>
                <w:spacing w:val="-1"/>
                <w:sz w:val="18"/>
              </w:rPr>
              <w:t>653,370.37</w:t>
            </w:r>
          </w:p>
        </w:tc>
        <w:tc>
          <w:tcPr>
            <w:tcW w:w="16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single" w:sz="17" w:space="0" w:color="000000"/>
              <w:right w:val="nil" w:sz="6" w:space="0" w:color="auto"/>
            </w:tcBorders>
          </w:tcPr>
          <w:p>
            <w:pPr>
              <w:pStyle w:val="TableParagraph"/>
              <w:spacing w:line="240" w:lineRule="auto" w:before="39"/>
              <w:ind w:right="55"/>
              <w:jc w:val="right"/>
              <w:rPr>
                <w:rFonts w:ascii="宋体" w:hAnsi="宋体" w:cs="宋体" w:eastAsia="宋体" w:hint="default"/>
                <w:sz w:val="18"/>
                <w:szCs w:val="18"/>
              </w:rPr>
            </w:pPr>
            <w:r>
              <w:rPr>
                <w:rFonts w:ascii="宋体"/>
                <w:spacing w:val="-1"/>
                <w:sz w:val="18"/>
              </w:rPr>
              <w:t>13,343,393.34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tabs>
          <w:tab w:pos="1362" w:val="left" w:leader="none"/>
        </w:tabs>
        <w:spacing w:line="240" w:lineRule="auto" w:before="26"/>
        <w:ind w:left="882" w:right="0"/>
        <w:jc w:val="left"/>
      </w:pPr>
      <w:r>
        <w:rPr/>
        <w:t>⑵</w:t>
        <w:tab/>
        <w:t>按成本计量的投资性房地产</w:t>
      </w:r>
    </w:p>
    <w:p>
      <w:pPr>
        <w:spacing w:line="240" w:lineRule="auto" w:before="9"/>
        <w:rPr>
          <w:rFonts w:ascii="宋体" w:hAnsi="宋体" w:cs="宋体" w:eastAsia="宋体" w:hint="default"/>
          <w:sz w:val="13"/>
          <w:szCs w:val="13"/>
        </w:rPr>
      </w:pPr>
    </w:p>
    <w:tbl>
      <w:tblPr>
        <w:tblW w:w="0" w:type="auto"/>
        <w:jc w:val="left"/>
        <w:tblInd w:w="438" w:type="dxa"/>
        <w:tblLayout w:type="fixed"/>
        <w:tblCellMar>
          <w:top w:w="0" w:type="dxa"/>
          <w:left w:w="0" w:type="dxa"/>
          <w:bottom w:w="0" w:type="dxa"/>
          <w:right w:w="0" w:type="dxa"/>
        </w:tblCellMar>
        <w:tblLook w:val="01E0"/>
      </w:tblPr>
      <w:tblGrid>
        <w:gridCol w:w="2597"/>
        <w:gridCol w:w="267"/>
        <w:gridCol w:w="1284"/>
        <w:gridCol w:w="194"/>
        <w:gridCol w:w="1512"/>
        <w:gridCol w:w="214"/>
        <w:gridCol w:w="1445"/>
        <w:gridCol w:w="197"/>
        <w:gridCol w:w="1421"/>
      </w:tblGrid>
      <w:tr>
        <w:trPr>
          <w:trHeight w:val="217" w:hRule="exact"/>
        </w:trPr>
        <w:tc>
          <w:tcPr>
            <w:tcW w:w="2597" w:type="dxa"/>
            <w:tcBorders>
              <w:top w:val="nil" w:sz="6" w:space="0" w:color="auto"/>
              <w:left w:val="nil" w:sz="6" w:space="0" w:color="auto"/>
              <w:bottom w:val="single" w:sz="8" w:space="0" w:color="000000"/>
              <w:right w:val="nil" w:sz="6" w:space="0" w:color="auto"/>
            </w:tcBorders>
          </w:tcPr>
          <w:p>
            <w:pPr>
              <w:pStyle w:val="TableParagraph"/>
              <w:tabs>
                <w:tab w:pos="451"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Style w:val="TableParagraph"/>
              <w:spacing w:line="180" w:lineRule="exact"/>
              <w:ind w:left="36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8"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60" w:hRule="exact"/>
        </w:trPr>
        <w:tc>
          <w:tcPr>
            <w:tcW w:w="2597"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一、原值合计</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14,420,782.32</w:t>
            </w: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1,171,555.40</w:t>
            </w: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56"/>
              <w:jc w:val="right"/>
              <w:rPr>
                <w:rFonts w:ascii="宋体" w:hAnsi="宋体" w:cs="宋体" w:eastAsia="宋体" w:hint="default"/>
                <w:sz w:val="18"/>
                <w:szCs w:val="18"/>
              </w:rPr>
            </w:pPr>
            <w:r>
              <w:rPr>
                <w:rFonts w:ascii="宋体"/>
                <w:sz w:val="18"/>
              </w:rPr>
              <w:t>-</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宋体"/>
                <w:spacing w:val="-1"/>
                <w:sz w:val="18"/>
              </w:rPr>
              <w:t>15,592,337.72</w:t>
            </w:r>
          </w:p>
        </w:tc>
      </w:tr>
      <w:tr>
        <w:trPr>
          <w:trHeight w:val="40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14,420,782.32</w:t>
            </w: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1,171,555.40</w:t>
            </w: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6"/>
              <w:jc w:val="right"/>
              <w:rPr>
                <w:rFonts w:ascii="宋体" w:hAnsi="宋体" w:cs="宋体" w:eastAsia="宋体" w:hint="default"/>
                <w:sz w:val="18"/>
                <w:szCs w:val="18"/>
              </w:rPr>
            </w:pPr>
            <w:r>
              <w:rPr>
                <w:rFonts w:ascii="宋体"/>
                <w:sz w:val="18"/>
              </w:rPr>
              <w:t>-</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15,592,337.72</w:t>
            </w:r>
          </w:p>
        </w:tc>
      </w:tr>
      <w:tr>
        <w:trPr>
          <w:trHeight w:val="299"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二、累计折旧和摊销合计</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1,081,558.64</w:t>
            </w: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1,167,385.74</w:t>
            </w: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6"/>
              <w:jc w:val="right"/>
              <w:rPr>
                <w:rFonts w:ascii="宋体" w:hAnsi="宋体" w:cs="宋体" w:eastAsia="宋体" w:hint="default"/>
                <w:sz w:val="18"/>
                <w:szCs w:val="18"/>
              </w:rPr>
            </w:pPr>
            <w:r>
              <w:rPr>
                <w:rFonts w:ascii="宋体"/>
                <w:sz w:val="18"/>
              </w:rPr>
              <w:t>-</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2,248,944.38</w:t>
            </w:r>
          </w:p>
        </w:tc>
      </w:tr>
      <w:tr>
        <w:trPr>
          <w:trHeight w:val="401"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1,081,558.64</w:t>
            </w: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1,167,385.74</w:t>
            </w: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6"/>
              <w:jc w:val="right"/>
              <w:rPr>
                <w:rFonts w:ascii="宋体" w:hAnsi="宋体" w:cs="宋体" w:eastAsia="宋体" w:hint="default"/>
                <w:sz w:val="18"/>
                <w:szCs w:val="18"/>
              </w:rPr>
            </w:pPr>
            <w:r>
              <w:rPr>
                <w:rFonts w:ascii="宋体"/>
                <w:sz w:val="18"/>
              </w:rPr>
              <w:t>-</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2,248,944.38</w:t>
            </w:r>
          </w:p>
        </w:tc>
      </w:tr>
      <w:tr>
        <w:trPr>
          <w:trHeight w:val="297"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三、减值准备合计</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
        </w:tc>
      </w:tr>
      <w:tr>
        <w:trPr>
          <w:trHeight w:val="403"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
        </w:tc>
      </w:tr>
      <w:tr>
        <w:trPr>
          <w:trHeight w:val="309"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13,339,223.68</w:t>
            </w: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z w:val="18"/>
              </w:rPr>
              <w:t>-</w:t>
            </w: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8"/>
                <w:szCs w:val="18"/>
              </w:rPr>
            </w:pPr>
            <w:r>
              <w:rPr>
                <w:rFonts w:ascii="宋体"/>
                <w:sz w:val="18"/>
              </w:rPr>
              <w:t>-</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13,343,393.34</w:t>
            </w:r>
          </w:p>
        </w:tc>
      </w:tr>
      <w:tr>
        <w:trPr>
          <w:trHeight w:val="33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1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 w:type="dxa"/>
            <w:tcBorders>
              <w:top w:val="nil" w:sz="6" w:space="0" w:color="auto"/>
              <w:left w:val="nil" w:sz="6" w:space="0" w:color="auto"/>
              <w:bottom w:val="nil" w:sz="6" w:space="0" w:color="auto"/>
              <w:right w:val="nil" w:sz="6" w:space="0" w:color="auto"/>
            </w:tcBorders>
          </w:tcPr>
          <w:p>
            <w:pPr/>
          </w:p>
        </w:tc>
        <w:tc>
          <w:tcPr>
            <w:tcW w:w="1284" w:type="dxa"/>
            <w:tcBorders>
              <w:top w:val="single" w:sz="17"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13,339,223.68</w:t>
            </w:r>
          </w:p>
        </w:tc>
        <w:tc>
          <w:tcPr>
            <w:tcW w:w="194"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17"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13,343,393.34</w:t>
            </w:r>
          </w:p>
        </w:tc>
      </w:tr>
    </w:tbl>
    <w:p>
      <w:pPr>
        <w:spacing w:line="240" w:lineRule="auto" w:before="0"/>
        <w:rPr>
          <w:rFonts w:ascii="宋体" w:hAnsi="宋体" w:cs="宋体" w:eastAsia="宋体" w:hint="default"/>
          <w:sz w:val="20"/>
          <w:szCs w:val="20"/>
        </w:rPr>
      </w:pPr>
    </w:p>
    <w:p>
      <w:pPr>
        <w:pStyle w:val="BodyText"/>
        <w:spacing w:line="240" w:lineRule="auto" w:before="205"/>
        <w:ind w:left="882" w:right="0"/>
        <w:jc w:val="left"/>
      </w:pPr>
      <w:r>
        <w:rPr/>
        <w:t>注：本期计提折旧金额</w:t>
      </w:r>
      <w:r>
        <w:rPr>
          <w:spacing w:val="-60"/>
        </w:rPr>
        <w:t> </w:t>
      </w:r>
      <w:r>
        <w:rPr>
          <w:rFonts w:ascii="宋体" w:hAnsi="宋体" w:cs="宋体" w:eastAsia="宋体" w:hint="default"/>
        </w:rPr>
        <w:t>653,370.37</w:t>
      </w:r>
      <w:r>
        <w:rPr>
          <w:rFonts w:ascii="宋体" w:hAnsi="宋体" w:cs="宋体" w:eastAsia="宋体" w:hint="default"/>
          <w:spacing w:val="-60"/>
        </w:rPr>
        <w:t> </w:t>
      </w:r>
      <w:r>
        <w:rPr/>
        <w:t>元。</w:t>
      </w:r>
    </w:p>
    <w:p>
      <w:pPr>
        <w:spacing w:after="0" w:line="240" w:lineRule="auto"/>
        <w:jc w:val="left"/>
        <w:sectPr>
          <w:pgSz w:w="11910" w:h="16840"/>
          <w:pgMar w:header="811" w:footer="1153" w:top="1120" w:bottom="1340" w:left="1220" w:right="0"/>
        </w:sectPr>
      </w:pPr>
    </w:p>
    <w:p>
      <w:pPr>
        <w:spacing w:line="240" w:lineRule="auto" w:before="0"/>
        <w:rPr>
          <w:rFonts w:ascii="宋体" w:hAnsi="宋体" w:cs="宋体" w:eastAsia="宋体" w:hint="default"/>
          <w:sz w:val="20"/>
          <w:szCs w:val="20"/>
        </w:rPr>
      </w:pPr>
      <w:r>
        <w:rPr/>
        <w:pict>
          <v:group style="position:absolute;margin-left:54.400002pt;margin-top:40.549984pt;width:478.4pt;height:15.75pt;mso-position-horizontal-relative:page;mso-position-vertical-relative:page;z-index:-747088" coordorigin="1088,811" coordsize="9568,315">
            <v:group style="position:absolute;left:1354;top:1111;width:9295;height:2" coordorigin="1354,1111" coordsize="9295,2">
              <v:shape style="position:absolute;left:1354;top:1111;width:9295;height:2" coordorigin="1354,1111" coordsize="9295,0" path="m1354,1111l10648,1111e" filled="false" stroked="true" strokeweight=".72pt" strokecolor="#000000">
                <v:path arrowok="t"/>
              </v:shape>
              <v:shape style="position:absolute;left:1088;top:811;width:360;height:315" type="#_x0000_t75" stroked="false">
                <v:imagedata r:id="rId5" o:title=""/>
              </v:shape>
            </v:group>
            <w10:wrap type="none"/>
          </v:group>
        </w:pict>
      </w:r>
      <w:r>
        <w:rPr/>
        <w:pict>
          <v:group style="position:absolute;margin-left:176.539993pt;margin-top:260.779999pt;width:74.1pt;height:.1pt;mso-position-horizontal-relative:page;mso-position-vertical-relative:page;z-index:-747016" coordorigin="3531,5216" coordsize="1482,2">
            <v:shape style="position:absolute;left:3531;top:5216;width:1482;height:2" coordorigin="3531,5216" coordsize="1482,0" path="m3531,5216l5012,5216e" filled="false" stroked="true" strokeweight=".95999pt" strokecolor="#000000">
              <v:path arrowok="t"/>
            </v:shape>
            <w10:wrap type="none"/>
          </v:group>
        </w:pict>
      </w:r>
    </w:p>
    <w:p>
      <w:pPr>
        <w:pStyle w:val="Heading3"/>
        <w:tabs>
          <w:tab w:pos="1662" w:val="left" w:leader="none"/>
        </w:tabs>
        <w:spacing w:line="240" w:lineRule="auto" w:before="107"/>
        <w:ind w:left="822" w:right="1285"/>
        <w:jc w:val="left"/>
        <w:rPr>
          <w:b w:val="0"/>
          <w:bCs w:val="0"/>
        </w:rPr>
      </w:pPr>
      <w:r>
        <w:rPr>
          <w:rFonts w:ascii="Trebuchet MS" w:hAnsi="Trebuchet MS" w:cs="Trebuchet MS" w:eastAsia="Trebuchet MS" w:hint="default"/>
          <w:w w:val="90"/>
        </w:rPr>
        <w:t>10</w:t>
      </w:r>
      <w:r>
        <w:rPr>
          <w:w w:val="90"/>
        </w:rPr>
        <w:t>、</w:t>
        <w:tab/>
      </w:r>
      <w:r>
        <w:rPr/>
        <w:t>固定资产</w:t>
      </w:r>
      <w:r>
        <w:rPr>
          <w:b w:val="0"/>
          <w:bCs w:val="0"/>
        </w:rPr>
      </w:r>
    </w:p>
    <w:p>
      <w:pPr>
        <w:pStyle w:val="BodyText"/>
        <w:tabs>
          <w:tab w:pos="1362" w:val="left" w:leader="none"/>
        </w:tabs>
        <w:spacing w:line="240" w:lineRule="auto" w:before="210"/>
        <w:ind w:left="882" w:right="1285"/>
        <w:jc w:val="left"/>
      </w:pPr>
      <w:r>
        <w:rPr/>
        <w:pict>
          <v:group style="position:absolute;margin-left:176.539993pt;margin-top:45.995602pt;width:74.1pt;height:.1pt;mso-position-horizontal-relative:page;mso-position-vertical-relative:paragraph;z-index:-747064" coordorigin="3531,920" coordsize="1482,2">
            <v:shape style="position:absolute;left:3531;top:920;width:1482;height:2" coordorigin="3531,920" coordsize="1482,0" path="m3531,920l5012,920e" filled="false" stroked="true" strokeweight=".95999pt" strokecolor="#000000">
              <v:path arrowok="t"/>
            </v:shape>
            <w10:wrap type="none"/>
          </v:group>
        </w:pict>
      </w:r>
      <w:r>
        <w:rPr/>
        <w:pict>
          <v:group style="position:absolute;margin-left:176.539993pt;margin-top:63.995602pt;width:74.1pt;height:.1pt;mso-position-horizontal-relative:page;mso-position-vertical-relative:paragraph;z-index:-747040" coordorigin="3531,1280" coordsize="1482,2">
            <v:shape style="position:absolute;left:3531;top:1280;width:1482;height:2" coordorigin="3531,1280" coordsize="1482,0" path="m3531,1280l5012,1280e" filled="false" stroked="true" strokeweight=".95999pt" strokecolor="#000000">
              <v:path arrowok="t"/>
            </v:shape>
            <w10:wrap type="none"/>
          </v:group>
        </w:pict>
      </w:r>
      <w:r>
        <w:rPr/>
        <w:t>⑴</w:t>
        <w:tab/>
        <w:t>固定资产情况</w:t>
      </w:r>
    </w:p>
    <w:p>
      <w:pPr>
        <w:spacing w:line="240" w:lineRule="auto" w:before="9"/>
        <w:rPr>
          <w:rFonts w:ascii="宋体" w:hAnsi="宋体" w:cs="宋体" w:eastAsia="宋体" w:hint="default"/>
          <w:sz w:val="13"/>
          <w:szCs w:val="13"/>
        </w:rPr>
      </w:pPr>
    </w:p>
    <w:tbl>
      <w:tblPr>
        <w:tblW w:w="0" w:type="auto"/>
        <w:jc w:val="left"/>
        <w:tblInd w:w="438" w:type="dxa"/>
        <w:tblLayout w:type="fixed"/>
        <w:tblCellMar>
          <w:top w:w="0" w:type="dxa"/>
          <w:left w:w="0" w:type="dxa"/>
          <w:bottom w:w="0" w:type="dxa"/>
          <w:right w:w="0" w:type="dxa"/>
        </w:tblCellMar>
        <w:tblLook w:val="01E0"/>
      </w:tblPr>
      <w:tblGrid>
        <w:gridCol w:w="1891"/>
        <w:gridCol w:w="221"/>
        <w:gridCol w:w="2560"/>
        <w:gridCol w:w="230"/>
        <w:gridCol w:w="134"/>
        <w:gridCol w:w="1291"/>
        <w:gridCol w:w="134"/>
        <w:gridCol w:w="1301"/>
        <w:gridCol w:w="139"/>
        <w:gridCol w:w="1375"/>
      </w:tblGrid>
      <w:tr>
        <w:trPr>
          <w:trHeight w:val="217" w:hRule="exact"/>
        </w:trPr>
        <w:tc>
          <w:tcPr>
            <w:tcW w:w="1891"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180" w:lineRule="exact"/>
              <w:ind w:left="471"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655" w:type="dxa"/>
            <w:gridSpan w:val="3"/>
            <w:tcBorders>
              <w:top w:val="nil" w:sz="6" w:space="0" w:color="auto"/>
              <w:left w:val="nil" w:sz="6" w:space="0" w:color="auto"/>
              <w:bottom w:val="single" w:sz="8" w:space="0" w:color="000000"/>
              <w:right w:val="nil" w:sz="6" w:space="0" w:color="auto"/>
            </w:tcBorders>
          </w:tcPr>
          <w:p>
            <w:pPr>
              <w:pStyle w:val="TableParagraph"/>
              <w:spacing w:line="180" w:lineRule="exact"/>
              <w:ind w:left="-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8"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8" w:space="0" w:color="000000"/>
              <w:right w:val="nil" w:sz="6" w:space="0" w:color="auto"/>
            </w:tcBorders>
          </w:tcPr>
          <w:p>
            <w:pPr>
              <w:pStyle w:val="TableParagraph"/>
              <w:spacing w:line="180" w:lineRule="exact"/>
              <w:ind w:left="417"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60" w:hRule="exact"/>
        </w:trPr>
        <w:tc>
          <w:tcPr>
            <w:tcW w:w="189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163" w:right="0"/>
              <w:jc w:val="left"/>
              <w:rPr>
                <w:rFonts w:ascii="宋体" w:hAnsi="宋体" w:cs="宋体" w:eastAsia="宋体" w:hint="default"/>
                <w:sz w:val="18"/>
                <w:szCs w:val="18"/>
              </w:rPr>
            </w:pPr>
            <w:r>
              <w:rPr>
                <w:rFonts w:ascii="宋体"/>
                <w:sz w:val="18"/>
              </w:rPr>
              <w:t>818,969,815.51</w:t>
            </w:r>
          </w:p>
        </w:tc>
        <w:tc>
          <w:tcPr>
            <w:tcW w:w="230" w:type="dxa"/>
            <w:tcBorders>
              <w:top w:val="single" w:sz="8" w:space="0" w:color="000000"/>
              <w:left w:val="nil" w:sz="6" w:space="0" w:color="auto"/>
              <w:bottom w:val="single" w:sz="8" w:space="0" w:color="000000"/>
              <w:right w:val="nil" w:sz="6" w:space="0" w:color="auto"/>
            </w:tcBorders>
          </w:tcPr>
          <w:p>
            <w:pPr/>
          </w:p>
        </w:tc>
        <w:tc>
          <w:tcPr>
            <w:tcW w:w="134" w:type="dxa"/>
            <w:tcBorders>
              <w:top w:val="single" w:sz="8" w:space="0" w:color="000000"/>
              <w:left w:val="nil" w:sz="6" w:space="0" w:color="auto"/>
              <w:bottom w:val="single" w:sz="8" w:space="0" w:color="000000"/>
              <w:right w:val="nil" w:sz="6" w:space="0" w:color="auto"/>
            </w:tcBorders>
          </w:tcPr>
          <w:p>
            <w:pP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7" w:right="55"/>
              <w:jc w:val="right"/>
              <w:rPr>
                <w:rFonts w:ascii="宋体" w:hAnsi="宋体" w:cs="宋体" w:eastAsia="宋体" w:hint="default"/>
                <w:sz w:val="18"/>
                <w:szCs w:val="18"/>
              </w:rPr>
            </w:pPr>
            <w:r>
              <w:rPr>
                <w:rFonts w:ascii="宋体"/>
                <w:spacing w:val="-1"/>
                <w:sz w:val="18"/>
              </w:rPr>
              <w:t>155,395,645.35</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53"/>
              <w:jc w:val="right"/>
              <w:rPr>
                <w:rFonts w:ascii="宋体" w:hAnsi="宋体" w:cs="宋体" w:eastAsia="宋体" w:hint="default"/>
                <w:sz w:val="18"/>
                <w:szCs w:val="18"/>
              </w:rPr>
            </w:pPr>
            <w:r>
              <w:rPr>
                <w:rFonts w:ascii="宋体"/>
                <w:spacing w:val="-1"/>
                <w:sz w:val="18"/>
              </w:rPr>
              <w:t>3,026,106.88</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971,339,353.98</w:t>
            </w:r>
          </w:p>
        </w:tc>
      </w:tr>
      <w:tr>
        <w:trPr>
          <w:trHeight w:val="402"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63" w:right="0"/>
              <w:jc w:val="left"/>
              <w:rPr>
                <w:rFonts w:ascii="宋体" w:hAnsi="宋体" w:cs="宋体" w:eastAsia="宋体" w:hint="default"/>
                <w:sz w:val="18"/>
                <w:szCs w:val="18"/>
              </w:rPr>
            </w:pPr>
            <w:r>
              <w:rPr>
                <w:rFonts w:ascii="宋体"/>
                <w:sz w:val="18"/>
              </w:rPr>
              <w:t>285,930,776.05</w:t>
            </w:r>
          </w:p>
        </w:tc>
        <w:tc>
          <w:tcPr>
            <w:tcW w:w="230" w:type="dxa"/>
            <w:tcBorders>
              <w:top w:val="single" w:sz="8" w:space="0" w:color="000000"/>
              <w:left w:val="nil" w:sz="6" w:space="0" w:color="auto"/>
              <w:bottom w:val="nil" w:sz="6" w:space="0" w:color="auto"/>
              <w:right w:val="nil" w:sz="6" w:space="0" w:color="auto"/>
            </w:tcBorders>
          </w:tcPr>
          <w:p>
            <w:pPr/>
          </w:p>
        </w:tc>
        <w:tc>
          <w:tcPr>
            <w:tcW w:w="134" w:type="dxa"/>
            <w:tcBorders>
              <w:top w:val="single" w:sz="8" w:space="0" w:color="000000"/>
              <w:left w:val="nil" w:sz="6" w:space="0" w:color="auto"/>
              <w:bottom w:val="nil" w:sz="6" w:space="0" w:color="auto"/>
              <w:right w:val="nil" w:sz="6" w:space="0" w:color="auto"/>
            </w:tcBorders>
          </w:tcPr>
          <w:p>
            <w:pPr/>
          </w:p>
        </w:tc>
        <w:tc>
          <w:tcPr>
            <w:tcW w:w="129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77,442,770.51</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3"/>
              <w:jc w:val="right"/>
              <w:rPr>
                <w:rFonts w:ascii="宋体" w:hAnsi="宋体" w:cs="宋体" w:eastAsia="宋体" w:hint="default"/>
                <w:sz w:val="18"/>
                <w:szCs w:val="18"/>
              </w:rPr>
            </w:pPr>
            <w:r>
              <w:rPr>
                <w:rFonts w:ascii="宋体"/>
                <w:spacing w:val="-1"/>
                <w:sz w:val="18"/>
              </w:rPr>
              <w:t>1,171,555.40</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362,201,991.16</w:t>
            </w: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63" w:right="0"/>
              <w:jc w:val="left"/>
              <w:rPr>
                <w:rFonts w:ascii="宋体" w:hAnsi="宋体" w:cs="宋体" w:eastAsia="宋体" w:hint="default"/>
                <w:sz w:val="18"/>
                <w:szCs w:val="18"/>
              </w:rPr>
            </w:pPr>
            <w:r>
              <w:rPr>
                <w:rFonts w:ascii="宋体"/>
                <w:sz w:val="18"/>
              </w:rPr>
              <w:t>472,438,978.85</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67,539,855.01</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3"/>
              <w:jc w:val="right"/>
              <w:rPr>
                <w:rFonts w:ascii="宋体" w:hAnsi="宋体" w:cs="宋体" w:eastAsia="宋体" w:hint="default"/>
                <w:sz w:val="18"/>
                <w:szCs w:val="18"/>
              </w:rPr>
            </w:pPr>
            <w:r>
              <w:rPr>
                <w:rFonts w:ascii="宋体"/>
                <w:spacing w:val="-1"/>
                <w:sz w:val="18"/>
              </w:rPr>
              <w:t>537,774.42</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539,441,059.44</w:t>
            </w:r>
          </w:p>
        </w:tc>
      </w:tr>
      <w:tr>
        <w:trPr>
          <w:trHeight w:val="341"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5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2" w:right="0"/>
              <w:jc w:val="left"/>
              <w:rPr>
                <w:rFonts w:ascii="宋体" w:hAnsi="宋体" w:cs="宋体" w:eastAsia="宋体" w:hint="default"/>
                <w:sz w:val="18"/>
                <w:szCs w:val="18"/>
              </w:rPr>
            </w:pPr>
            <w:r>
              <w:rPr>
                <w:rFonts w:ascii="宋体"/>
                <w:sz w:val="18"/>
              </w:rPr>
              <w:t>24,142,113.17</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1,625,138.52</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1,166,876.30</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24,600,375.39</w:t>
            </w: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8"/>
              <w:jc w:val="center"/>
              <w:rPr>
                <w:rFonts w:ascii="宋体" w:hAnsi="宋体" w:cs="宋体" w:eastAsia="宋体" w:hint="default"/>
                <w:sz w:val="18"/>
                <w:szCs w:val="18"/>
              </w:rPr>
            </w:pPr>
            <w:r>
              <w:rPr>
                <w:rFonts w:ascii="宋体" w:hAnsi="宋体" w:cs="宋体" w:eastAsia="宋体" w:hint="default"/>
                <w:sz w:val="18"/>
                <w:szCs w:val="18"/>
              </w:rPr>
              <w:t>其他</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2" w:right="0"/>
              <w:jc w:val="left"/>
              <w:rPr>
                <w:rFonts w:ascii="宋体" w:hAnsi="宋体" w:cs="宋体" w:eastAsia="宋体" w:hint="default"/>
                <w:sz w:val="18"/>
                <w:szCs w:val="18"/>
              </w:rPr>
            </w:pPr>
            <w:r>
              <w:rPr>
                <w:rFonts w:ascii="宋体"/>
                <w:sz w:val="18"/>
              </w:rPr>
              <w:t>36,457,947.44</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8,787,881.31</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149,900.76</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45,095,927.99</w:t>
            </w:r>
          </w:p>
        </w:tc>
      </w:tr>
      <w:tr>
        <w:trPr>
          <w:trHeight w:val="299"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4"/>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230" w:type="dxa"/>
            <w:tcBorders>
              <w:top w:val="nil" w:sz="6" w:space="0" w:color="auto"/>
              <w:left w:val="nil" w:sz="6" w:space="0" w:color="auto"/>
              <w:bottom w:val="single" w:sz="8"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2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r>
        <w:trPr>
          <w:trHeight w:val="36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163" w:right="0"/>
              <w:jc w:val="left"/>
              <w:rPr>
                <w:rFonts w:ascii="宋体" w:hAnsi="宋体" w:cs="宋体" w:eastAsia="宋体" w:hint="default"/>
                <w:sz w:val="18"/>
                <w:szCs w:val="18"/>
              </w:rPr>
            </w:pPr>
            <w:r>
              <w:rPr>
                <w:rFonts w:ascii="宋体"/>
                <w:sz w:val="18"/>
              </w:rPr>
              <w:t>233,163,439.82</w:t>
            </w:r>
          </w:p>
        </w:tc>
        <w:tc>
          <w:tcPr>
            <w:tcW w:w="230"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left="21" w:right="0"/>
              <w:jc w:val="center"/>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single" w:sz="8" w:space="0" w:color="000000"/>
              <w:left w:val="nil" w:sz="6" w:space="0" w:color="auto"/>
              <w:bottom w:val="single" w:sz="8" w:space="0" w:color="000000"/>
              <w:right w:val="nil" w:sz="6" w:space="0" w:color="auto"/>
            </w:tcBorders>
          </w:tcPr>
          <w:p>
            <w:pPr>
              <w:pStyle w:val="TableParagraph"/>
              <w:spacing w:line="240" w:lineRule="auto" w:before="75"/>
              <w:ind w:right="53"/>
              <w:jc w:val="right"/>
              <w:rPr>
                <w:rFonts w:ascii="宋体" w:hAnsi="宋体" w:cs="宋体" w:eastAsia="宋体" w:hint="default"/>
                <w:sz w:val="18"/>
                <w:szCs w:val="18"/>
              </w:rPr>
            </w:pPr>
            <w:r>
              <w:rPr>
                <w:rFonts w:ascii="宋体"/>
                <w:spacing w:val="-1"/>
                <w:sz w:val="18"/>
              </w:rPr>
              <w:t>63,063,906.42</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1,705,191.66</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8" w:space="0" w:color="000000"/>
              <w:right w:val="nil" w:sz="6" w:space="0" w:color="auto"/>
            </w:tcBorders>
          </w:tcPr>
          <w:p>
            <w:pPr>
              <w:pStyle w:val="TableParagraph"/>
              <w:spacing w:line="240" w:lineRule="auto" w:before="85"/>
              <w:ind w:right="55"/>
              <w:jc w:val="right"/>
              <w:rPr>
                <w:rFonts w:ascii="宋体" w:hAnsi="宋体" w:cs="宋体" w:eastAsia="宋体" w:hint="default"/>
                <w:sz w:val="18"/>
                <w:szCs w:val="18"/>
              </w:rPr>
            </w:pPr>
            <w:r>
              <w:rPr>
                <w:rFonts w:ascii="宋体"/>
                <w:spacing w:val="-1"/>
                <w:sz w:val="18"/>
              </w:rPr>
              <w:t>294,522,154.58</w:t>
            </w:r>
          </w:p>
        </w:tc>
      </w:tr>
      <w:tr>
        <w:trPr>
          <w:trHeight w:val="402"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left="252" w:right="0"/>
              <w:jc w:val="left"/>
              <w:rPr>
                <w:rFonts w:ascii="宋体" w:hAnsi="宋体" w:cs="宋体" w:eastAsia="宋体" w:hint="default"/>
                <w:sz w:val="18"/>
                <w:szCs w:val="18"/>
              </w:rPr>
            </w:pPr>
            <w:r>
              <w:rPr>
                <w:rFonts w:ascii="宋体"/>
                <w:sz w:val="18"/>
              </w:rPr>
              <w:t>29,346,665.04</w:t>
            </w:r>
          </w:p>
        </w:tc>
        <w:tc>
          <w:tcPr>
            <w:tcW w:w="230"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left="21" w:right="0"/>
              <w:jc w:val="center"/>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53"/>
              <w:jc w:val="right"/>
              <w:rPr>
                <w:rFonts w:ascii="宋体" w:hAnsi="宋体" w:cs="宋体" w:eastAsia="宋体" w:hint="default"/>
                <w:sz w:val="18"/>
                <w:szCs w:val="18"/>
              </w:rPr>
            </w:pPr>
            <w:r>
              <w:rPr>
                <w:rFonts w:ascii="宋体"/>
                <w:spacing w:val="-1"/>
                <w:sz w:val="18"/>
              </w:rPr>
              <w:t>13,145,037.91</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514,015.37</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55"/>
              <w:jc w:val="right"/>
              <w:rPr>
                <w:rFonts w:ascii="宋体" w:hAnsi="宋体" w:cs="宋体" w:eastAsia="宋体" w:hint="default"/>
                <w:sz w:val="18"/>
                <w:szCs w:val="18"/>
              </w:rPr>
            </w:pPr>
            <w:r>
              <w:rPr>
                <w:rFonts w:ascii="宋体"/>
                <w:spacing w:val="-1"/>
                <w:sz w:val="18"/>
              </w:rPr>
              <w:t>41,977,687.58</w:t>
            </w:r>
          </w:p>
        </w:tc>
      </w:tr>
      <w:tr>
        <w:trPr>
          <w:trHeight w:val="341"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宋体" w:hAnsi="宋体" w:cs="宋体" w:eastAsia="宋体" w:hint="default"/>
                <w:sz w:val="18"/>
                <w:szCs w:val="18"/>
              </w:rPr>
            </w:pPr>
            <w:r>
              <w:rPr>
                <w:rFonts w:ascii="宋体"/>
                <w:sz w:val="18"/>
              </w:rPr>
              <w:t>179,211,395.88</w:t>
            </w: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 w:right="0"/>
              <w:jc w:val="center"/>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40,745,967.42</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41,067.77</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219,916,295.53</w:t>
            </w: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2" w:right="0"/>
              <w:jc w:val="left"/>
              <w:rPr>
                <w:rFonts w:ascii="宋体" w:hAnsi="宋体" w:cs="宋体" w:eastAsia="宋体" w:hint="default"/>
                <w:sz w:val="18"/>
                <w:szCs w:val="18"/>
              </w:rPr>
            </w:pPr>
            <w:r>
              <w:rPr>
                <w:rFonts w:ascii="宋体"/>
                <w:sz w:val="18"/>
              </w:rPr>
              <w:t>11,583,804.08</w:t>
            </w: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 w:right="0"/>
              <w:jc w:val="center"/>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2,980,805.98</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1,015,872.20</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13,548,737.86</w:t>
            </w: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7"/>
              <w:jc w:val="center"/>
              <w:rPr>
                <w:rFonts w:ascii="宋体" w:hAnsi="宋体" w:cs="宋体" w:eastAsia="宋体" w:hint="default"/>
                <w:sz w:val="18"/>
                <w:szCs w:val="18"/>
              </w:rPr>
            </w:pPr>
            <w:r>
              <w:rPr>
                <w:rFonts w:ascii="宋体" w:hAnsi="宋体" w:cs="宋体" w:eastAsia="宋体" w:hint="default"/>
                <w:sz w:val="18"/>
                <w:szCs w:val="18"/>
              </w:rPr>
              <w:t>其他</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2" w:right="0"/>
              <w:jc w:val="left"/>
              <w:rPr>
                <w:rFonts w:ascii="宋体" w:hAnsi="宋体" w:cs="宋体" w:eastAsia="宋体" w:hint="default"/>
                <w:sz w:val="18"/>
                <w:szCs w:val="18"/>
              </w:rPr>
            </w:pPr>
            <w:r>
              <w:rPr>
                <w:rFonts w:ascii="宋体"/>
                <w:sz w:val="18"/>
              </w:rPr>
              <w:t>13,021,574.82</w:t>
            </w: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2"/>
              <w:jc w:val="right"/>
              <w:rPr>
                <w:rFonts w:ascii="宋体" w:hAnsi="宋体" w:cs="宋体" w:eastAsia="宋体" w:hint="default"/>
                <w:sz w:val="18"/>
                <w:szCs w:val="18"/>
              </w:rPr>
            </w:pPr>
            <w:r>
              <w:rPr>
                <w:rFonts w:ascii="宋体"/>
                <w:spacing w:val="-1"/>
                <w:sz w:val="18"/>
              </w:rPr>
              <w:t>6,192,095.11</w:t>
            </w: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3"/>
              <w:jc w:val="right"/>
              <w:rPr>
                <w:rFonts w:ascii="宋体" w:hAnsi="宋体" w:cs="宋体" w:eastAsia="宋体" w:hint="default"/>
                <w:sz w:val="18"/>
                <w:szCs w:val="18"/>
              </w:rPr>
            </w:pPr>
            <w:r>
              <w:rPr>
                <w:rFonts w:ascii="宋体"/>
                <w:spacing w:val="-1"/>
                <w:sz w:val="18"/>
              </w:rPr>
              <w:t>134,236.32</w:t>
            </w: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19,079,433.61</w:t>
            </w:r>
          </w:p>
        </w:tc>
      </w:tr>
      <w:tr>
        <w:trPr>
          <w:trHeight w:val="29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三、账面净值合计</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163" w:right="0"/>
              <w:jc w:val="left"/>
              <w:rPr>
                <w:rFonts w:ascii="宋体" w:hAnsi="宋体" w:cs="宋体" w:eastAsia="宋体" w:hint="default"/>
                <w:sz w:val="18"/>
                <w:szCs w:val="18"/>
              </w:rPr>
            </w:pPr>
            <w:r>
              <w:rPr>
                <w:rFonts w:ascii="宋体"/>
                <w:sz w:val="18"/>
              </w:rPr>
              <w:t>585,806,375.69</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676,817,199.40</w:t>
            </w:r>
          </w:p>
        </w:tc>
      </w:tr>
      <w:tr>
        <w:trPr>
          <w:trHeight w:val="403"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63" w:right="0"/>
              <w:jc w:val="left"/>
              <w:rPr>
                <w:rFonts w:ascii="宋体" w:hAnsi="宋体" w:cs="宋体" w:eastAsia="宋体" w:hint="default"/>
                <w:sz w:val="18"/>
                <w:szCs w:val="18"/>
              </w:rPr>
            </w:pPr>
            <w:r>
              <w:rPr>
                <w:rFonts w:ascii="宋体"/>
                <w:sz w:val="18"/>
              </w:rPr>
              <w:t>256,584,111.01</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320,224,303.58</w:t>
            </w: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宋体" w:hAnsi="宋体" w:cs="宋体" w:eastAsia="宋体" w:hint="default"/>
                <w:sz w:val="18"/>
                <w:szCs w:val="18"/>
              </w:rPr>
            </w:pPr>
            <w:r>
              <w:rPr>
                <w:rFonts w:ascii="宋体"/>
                <w:sz w:val="18"/>
              </w:rPr>
              <w:t>293,227,582.97</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319,524,763.91</w:t>
            </w: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2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2" w:right="0"/>
              <w:jc w:val="left"/>
              <w:rPr>
                <w:rFonts w:ascii="宋体" w:hAnsi="宋体" w:cs="宋体" w:eastAsia="宋体" w:hint="default"/>
                <w:sz w:val="18"/>
                <w:szCs w:val="18"/>
              </w:rPr>
            </w:pPr>
            <w:r>
              <w:rPr>
                <w:rFonts w:ascii="宋体"/>
                <w:sz w:val="18"/>
              </w:rPr>
              <w:t>12,558,309.09</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11,051,637.53</w:t>
            </w:r>
          </w:p>
        </w:tc>
      </w:tr>
      <w:tr>
        <w:trPr>
          <w:trHeight w:val="341"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2" w:right="0"/>
              <w:jc w:val="left"/>
              <w:rPr>
                <w:rFonts w:ascii="宋体" w:hAnsi="宋体" w:cs="宋体" w:eastAsia="宋体" w:hint="default"/>
                <w:sz w:val="18"/>
                <w:szCs w:val="18"/>
              </w:rPr>
            </w:pPr>
            <w:r>
              <w:rPr>
                <w:rFonts w:ascii="宋体"/>
                <w:sz w:val="18"/>
              </w:rPr>
              <w:t>23,436,372.62</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宋体" w:hAnsi="宋体" w:cs="宋体" w:eastAsia="宋体" w:hint="default"/>
                <w:sz w:val="18"/>
                <w:szCs w:val="18"/>
              </w:rPr>
            </w:pPr>
            <w:r>
              <w:rPr>
                <w:rFonts w:ascii="宋体"/>
                <w:spacing w:val="-1"/>
                <w:sz w:val="18"/>
              </w:rPr>
              <w:t>26,016,494.38</w:t>
            </w:r>
            <w:r>
              <w:rPr>
                <w:rFonts w:ascii="宋体"/>
                <w:sz w:val="18"/>
              </w:rPr>
            </w:r>
          </w:p>
        </w:tc>
      </w:tr>
      <w:tr>
        <w:trPr>
          <w:trHeight w:val="29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612" w:right="0"/>
              <w:jc w:val="left"/>
              <w:rPr>
                <w:rFonts w:ascii="宋体" w:hAnsi="宋体" w:cs="宋体" w:eastAsia="宋体" w:hint="default"/>
                <w:sz w:val="18"/>
                <w:szCs w:val="18"/>
              </w:rPr>
            </w:pPr>
            <w:r>
              <w:rPr>
                <w:rFonts w:ascii="宋体"/>
                <w:sz w:val="18"/>
              </w:rPr>
              <w:t>53,577.91</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53,577.91</w:t>
            </w:r>
          </w:p>
        </w:tc>
      </w:tr>
      <w:tr>
        <w:trPr>
          <w:trHeight w:val="403"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nil" w:sz="6" w:space="0" w:color="auto"/>
              <w:right w:val="nil" w:sz="6" w:space="0" w:color="auto"/>
            </w:tcBorders>
          </w:tcPr>
          <w:p>
            <w:pP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2" w:right="0"/>
              <w:jc w:val="left"/>
              <w:rPr>
                <w:rFonts w:ascii="宋体" w:hAnsi="宋体" w:cs="宋体" w:eastAsia="宋体" w:hint="default"/>
                <w:sz w:val="18"/>
                <w:szCs w:val="18"/>
              </w:rPr>
            </w:pPr>
            <w:r>
              <w:rPr>
                <w:rFonts w:ascii="宋体"/>
                <w:sz w:val="18"/>
              </w:rPr>
              <w:t>24,124.90</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24,124.90</w:t>
            </w:r>
          </w:p>
        </w:tc>
      </w:tr>
      <w:tr>
        <w:trPr>
          <w:trHeight w:val="341"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5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8"/>
              <w:jc w:val="center"/>
              <w:rPr>
                <w:rFonts w:ascii="宋体" w:hAnsi="宋体" w:cs="宋体" w:eastAsia="宋体" w:hint="default"/>
                <w:sz w:val="18"/>
                <w:szCs w:val="18"/>
              </w:rPr>
            </w:pPr>
            <w:r>
              <w:rPr>
                <w:rFonts w:ascii="宋体" w:hAnsi="宋体" w:cs="宋体" w:eastAsia="宋体" w:hint="default"/>
                <w:sz w:val="18"/>
                <w:szCs w:val="18"/>
              </w:rPr>
              <w:t>其他</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2" w:right="0"/>
              <w:jc w:val="left"/>
              <w:rPr>
                <w:rFonts w:ascii="宋体" w:hAnsi="宋体" w:cs="宋体" w:eastAsia="宋体" w:hint="default"/>
                <w:sz w:val="18"/>
                <w:szCs w:val="18"/>
              </w:rPr>
            </w:pPr>
            <w:r>
              <w:rPr>
                <w:rFonts w:ascii="宋体"/>
                <w:sz w:val="18"/>
              </w:rPr>
              <w:t>29,453.01</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29,453.01</w:t>
            </w:r>
          </w:p>
        </w:tc>
      </w:tr>
      <w:tr>
        <w:trPr>
          <w:trHeight w:val="299"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五、账面价值合计</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63" w:right="0"/>
              <w:jc w:val="left"/>
              <w:rPr>
                <w:rFonts w:ascii="宋体" w:hAnsi="宋体" w:cs="宋体" w:eastAsia="宋体" w:hint="default"/>
                <w:sz w:val="18"/>
                <w:szCs w:val="18"/>
              </w:rPr>
            </w:pPr>
            <w:r>
              <w:rPr>
                <w:rFonts w:ascii="宋体"/>
                <w:sz w:val="18"/>
              </w:rPr>
              <w:t>585,752,797.78</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676,763,621.49</w:t>
            </w:r>
          </w:p>
        </w:tc>
      </w:tr>
      <w:tr>
        <w:trPr>
          <w:trHeight w:val="401"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63" w:right="0"/>
              <w:jc w:val="left"/>
              <w:rPr>
                <w:rFonts w:ascii="宋体" w:hAnsi="宋体" w:cs="宋体" w:eastAsia="宋体" w:hint="default"/>
                <w:sz w:val="18"/>
                <w:szCs w:val="18"/>
              </w:rPr>
            </w:pPr>
            <w:r>
              <w:rPr>
                <w:rFonts w:ascii="宋体"/>
                <w:sz w:val="18"/>
              </w:rPr>
              <w:t>256,584,111.01</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320,224,303.58</w:t>
            </w:r>
          </w:p>
        </w:tc>
      </w:tr>
      <w:tr>
        <w:trPr>
          <w:trHeight w:val="341"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宋体" w:hAnsi="宋体" w:cs="宋体" w:eastAsia="宋体" w:hint="default"/>
                <w:sz w:val="18"/>
                <w:szCs w:val="18"/>
              </w:rPr>
            </w:pPr>
            <w:r>
              <w:rPr>
                <w:rFonts w:ascii="宋体"/>
                <w:sz w:val="18"/>
              </w:rPr>
              <w:t>293,203,458.07</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319,500,639.01</w:t>
            </w:r>
          </w:p>
        </w:tc>
      </w:tr>
      <w:tr>
        <w:trPr>
          <w:trHeight w:val="34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5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2" w:right="0"/>
              <w:jc w:val="left"/>
              <w:rPr>
                <w:rFonts w:ascii="宋体" w:hAnsi="宋体" w:cs="宋体" w:eastAsia="宋体" w:hint="default"/>
                <w:sz w:val="18"/>
                <w:szCs w:val="18"/>
              </w:rPr>
            </w:pPr>
            <w:r>
              <w:rPr>
                <w:rFonts w:ascii="宋体"/>
                <w:sz w:val="18"/>
              </w:rPr>
              <w:t>12,558,309.09</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11,051,637.53</w:t>
            </w:r>
          </w:p>
        </w:tc>
      </w:tr>
      <w:tr>
        <w:trPr>
          <w:trHeight w:val="259"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8"/>
              <w:jc w:val="center"/>
              <w:rPr>
                <w:rFonts w:ascii="宋体" w:hAnsi="宋体" w:cs="宋体" w:eastAsia="宋体" w:hint="default"/>
                <w:sz w:val="18"/>
                <w:szCs w:val="18"/>
              </w:rPr>
            </w:pPr>
            <w:r>
              <w:rPr>
                <w:rFonts w:ascii="宋体" w:hAnsi="宋体" w:cs="宋体" w:eastAsia="宋体" w:hint="default"/>
                <w:sz w:val="18"/>
                <w:szCs w:val="18"/>
              </w:rPr>
              <w:t>其他</w:t>
            </w:r>
          </w:p>
        </w:tc>
        <w:tc>
          <w:tcPr>
            <w:tcW w:w="221"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2" w:right="0"/>
              <w:jc w:val="left"/>
              <w:rPr>
                <w:rFonts w:ascii="宋体" w:hAnsi="宋体" w:cs="宋体" w:eastAsia="宋体" w:hint="default"/>
                <w:sz w:val="18"/>
                <w:szCs w:val="18"/>
              </w:rPr>
            </w:pPr>
            <w:r>
              <w:rPr>
                <w:rFonts w:ascii="宋体"/>
                <w:sz w:val="18"/>
              </w:rPr>
              <w:t>23,406,919.61</w:t>
            </w:r>
          </w:p>
        </w:tc>
        <w:tc>
          <w:tcPr>
            <w:tcW w:w="23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25,987,041.37</w:t>
            </w:r>
          </w:p>
        </w:tc>
      </w:tr>
    </w:tbl>
    <w:p>
      <w:pPr>
        <w:pStyle w:val="BodyText"/>
        <w:spacing w:line="304" w:lineRule="exact" w:before="0"/>
        <w:ind w:left="882" w:right="1285"/>
        <w:jc w:val="left"/>
      </w:pPr>
      <w:r>
        <w:rPr/>
        <w:t>注：本期折旧额为</w:t>
      </w:r>
      <w:r>
        <w:rPr>
          <w:spacing w:val="-60"/>
        </w:rPr>
        <w:t> </w:t>
      </w:r>
      <w:r>
        <w:rPr>
          <w:rFonts w:ascii="宋体" w:hAnsi="宋体" w:cs="宋体" w:eastAsia="宋体" w:hint="default"/>
        </w:rPr>
        <w:t>63,063,906.42</w:t>
      </w:r>
      <w:r>
        <w:rPr>
          <w:rFonts w:ascii="宋体" w:hAnsi="宋体" w:cs="宋体" w:eastAsia="宋体" w:hint="default"/>
          <w:spacing w:val="-60"/>
        </w:rPr>
        <w:t> </w:t>
      </w:r>
      <w:r>
        <w:rPr/>
        <w:t>元。</w:t>
      </w:r>
    </w:p>
    <w:p>
      <w:pPr>
        <w:spacing w:line="240" w:lineRule="auto" w:before="12"/>
        <w:rPr>
          <w:rFonts w:ascii="宋体" w:hAnsi="宋体" w:cs="宋体" w:eastAsia="宋体" w:hint="default"/>
          <w:sz w:val="16"/>
          <w:szCs w:val="16"/>
        </w:rPr>
      </w:pPr>
    </w:p>
    <w:p>
      <w:pPr>
        <w:pStyle w:val="BodyText"/>
        <w:spacing w:line="240" w:lineRule="auto" w:before="0"/>
        <w:ind w:left="882" w:right="1285"/>
        <w:jc w:val="left"/>
      </w:pPr>
      <w:r>
        <w:rPr/>
        <w:t>⑵</w:t>
      </w:r>
      <w:r>
        <w:rPr>
          <w:spacing w:val="-1"/>
        </w:rPr>
        <w:t> </w:t>
      </w:r>
      <w:r>
        <w:rPr/>
        <w:t>未办妥产权证书的固定资产情况</w:t>
      </w:r>
    </w:p>
    <w:p>
      <w:pPr>
        <w:spacing w:line="240" w:lineRule="auto" w:before="12"/>
        <w:rPr>
          <w:rFonts w:ascii="宋体" w:hAnsi="宋体" w:cs="宋体" w:eastAsia="宋体" w:hint="default"/>
          <w:sz w:val="5"/>
          <w:szCs w:val="5"/>
        </w:rPr>
      </w:pPr>
    </w:p>
    <w:tbl>
      <w:tblPr>
        <w:tblW w:w="0" w:type="auto"/>
        <w:jc w:val="left"/>
        <w:tblInd w:w="374" w:type="dxa"/>
        <w:tblLayout w:type="fixed"/>
        <w:tblCellMar>
          <w:top w:w="0" w:type="dxa"/>
          <w:left w:w="0" w:type="dxa"/>
          <w:bottom w:w="0" w:type="dxa"/>
          <w:right w:w="0" w:type="dxa"/>
        </w:tblCellMar>
        <w:tblLook w:val="01E0"/>
      </w:tblPr>
      <w:tblGrid>
        <w:gridCol w:w="2119"/>
        <w:gridCol w:w="233"/>
        <w:gridCol w:w="2792"/>
        <w:gridCol w:w="233"/>
        <w:gridCol w:w="1522"/>
        <w:gridCol w:w="254"/>
        <w:gridCol w:w="1822"/>
      </w:tblGrid>
      <w:tr>
        <w:trPr>
          <w:trHeight w:val="518" w:hRule="exact"/>
        </w:trPr>
        <w:tc>
          <w:tcPr>
            <w:tcW w:w="211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33"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233"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209" w:lineRule="exact"/>
              <w:ind w:right="0"/>
              <w:jc w:val="center"/>
              <w:rPr>
                <w:rFonts w:ascii="宋体" w:hAnsi="宋体" w:cs="宋体" w:eastAsia="宋体" w:hint="default"/>
                <w:sz w:val="21"/>
                <w:szCs w:val="21"/>
              </w:rPr>
            </w:pPr>
            <w:r>
              <w:rPr>
                <w:rFonts w:ascii="宋体" w:hAnsi="宋体" w:cs="宋体" w:eastAsia="宋体" w:hint="default"/>
                <w:sz w:val="21"/>
                <w:szCs w:val="21"/>
              </w:rPr>
              <w:t>预计办结产权</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证书的时间</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8" w:hRule="exact"/>
        </w:trPr>
        <w:tc>
          <w:tcPr>
            <w:tcW w:w="2119" w:type="dxa"/>
            <w:tcBorders>
              <w:top w:val="single" w:sz="4" w:space="0" w:color="000000"/>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pacing w:val="16"/>
                <w:sz w:val="21"/>
                <w:szCs w:val="21"/>
              </w:rPr>
              <w:t>济南临港生产基地车</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间及办公楼</w:t>
            </w:r>
          </w:p>
        </w:tc>
        <w:tc>
          <w:tcPr>
            <w:tcW w:w="233" w:type="dxa"/>
            <w:tcBorders>
              <w:top w:val="nil" w:sz="6" w:space="0" w:color="auto"/>
              <w:left w:val="nil" w:sz="6" w:space="0" w:color="auto"/>
              <w:bottom w:val="nil" w:sz="6" w:space="0" w:color="auto"/>
              <w:right w:val="nil" w:sz="6" w:space="0" w:color="auto"/>
            </w:tcBorders>
          </w:tcPr>
          <w:p>
            <w:pPr/>
          </w:p>
        </w:tc>
        <w:tc>
          <w:tcPr>
            <w:tcW w:w="2792" w:type="dxa"/>
            <w:tcBorders>
              <w:top w:val="single" w:sz="4" w:space="0" w:color="000000"/>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该生产基地科研楼尚未完工，</w:t>
            </w:r>
          </w:p>
          <w:p>
            <w:pPr>
              <w:pStyle w:val="TableParagraph"/>
              <w:spacing w:line="240" w:lineRule="auto"/>
              <w:ind w:left="26" w:right="27"/>
              <w:jc w:val="left"/>
              <w:rPr>
                <w:rFonts w:ascii="宋体" w:hAnsi="宋体" w:cs="宋体" w:eastAsia="宋体" w:hint="default"/>
                <w:sz w:val="21"/>
                <w:szCs w:val="21"/>
              </w:rPr>
            </w:pPr>
            <w:r>
              <w:rPr>
                <w:rFonts w:ascii="宋体" w:hAnsi="宋体" w:cs="宋体" w:eastAsia="宋体" w:hint="default"/>
                <w:spacing w:val="15"/>
                <w:sz w:val="21"/>
                <w:szCs w:val="21"/>
              </w:rPr>
              <w:t>待完工后同时办理产权证手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续。</w:t>
            </w:r>
          </w:p>
        </w:tc>
        <w:tc>
          <w:tcPr>
            <w:tcW w:w="233"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111,549,502.20</w:t>
            </w:r>
          </w:p>
        </w:tc>
      </w:tr>
      <w:tr>
        <w:trPr>
          <w:trHeight w:val="358"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33"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single" w:sz="17" w:space="0" w:color="000000"/>
              <w:right w:val="nil" w:sz="6" w:space="0" w:color="auto"/>
            </w:tcBorders>
          </w:tcPr>
          <w:p>
            <w:pPr>
              <w:pStyle w:val="TableParagraph"/>
              <w:spacing w:line="270" w:lineRule="exact"/>
              <w:ind w:right="24"/>
              <w:jc w:val="right"/>
              <w:rPr>
                <w:rFonts w:ascii="宋体" w:hAnsi="宋体" w:cs="宋体" w:eastAsia="宋体" w:hint="default"/>
                <w:sz w:val="21"/>
                <w:szCs w:val="21"/>
              </w:rPr>
            </w:pPr>
            <w:r>
              <w:rPr>
                <w:rFonts w:ascii="宋体"/>
                <w:spacing w:val="-1"/>
                <w:sz w:val="21"/>
              </w:rPr>
              <w:t>111,549,502.20</w:t>
            </w:r>
          </w:p>
        </w:tc>
      </w:tr>
    </w:tbl>
    <w:p>
      <w:pPr>
        <w:spacing w:after="0" w:line="270" w:lineRule="exact"/>
        <w:jc w:val="right"/>
        <w:rPr>
          <w:rFonts w:ascii="宋体" w:hAnsi="宋体" w:cs="宋体" w:eastAsia="宋体" w:hint="default"/>
          <w:sz w:val="21"/>
          <w:szCs w:val="21"/>
        </w:rPr>
        <w:sectPr>
          <w:headerReference w:type="default" r:id="rId39"/>
          <w:footerReference w:type="default" r:id="rId40"/>
          <w:pgSz w:w="11910" w:h="16840"/>
          <w:pgMar w:header="867" w:footer="956" w:top="1060" w:bottom="1140" w:left="980" w:right="0"/>
          <w:pgNumType w:start="97"/>
        </w:sectPr>
      </w:pPr>
    </w:p>
    <w:p>
      <w:pPr>
        <w:spacing w:line="240" w:lineRule="auto" w:before="8"/>
        <w:rPr>
          <w:rFonts w:ascii="宋体" w:hAnsi="宋体" w:cs="宋体" w:eastAsia="宋体" w:hint="default"/>
          <w:sz w:val="27"/>
          <w:szCs w:val="27"/>
        </w:rPr>
      </w:pPr>
    </w:p>
    <w:p>
      <w:pPr>
        <w:pStyle w:val="Heading3"/>
        <w:tabs>
          <w:tab w:pos="1662" w:val="left" w:leader="none"/>
        </w:tabs>
        <w:spacing w:line="367" w:lineRule="exact"/>
        <w:ind w:left="822" w:right="1285"/>
        <w:jc w:val="left"/>
        <w:rPr>
          <w:b w:val="0"/>
          <w:bCs w:val="0"/>
        </w:rPr>
      </w:pPr>
      <w:r>
        <w:rPr>
          <w:rFonts w:ascii="Trebuchet MS" w:hAnsi="Trebuchet MS" w:cs="Trebuchet MS" w:eastAsia="Trebuchet MS" w:hint="default"/>
          <w:w w:val="90"/>
        </w:rPr>
        <w:t>11</w:t>
      </w:r>
      <w:r>
        <w:rPr>
          <w:w w:val="90"/>
        </w:rPr>
        <w:t>、</w:t>
        <w:tab/>
      </w:r>
      <w:r>
        <w:rPr/>
        <w:t>在建工程</w:t>
      </w:r>
      <w:r>
        <w:rPr>
          <w:b w:val="0"/>
          <w:bCs w:val="0"/>
        </w:rPr>
      </w:r>
    </w:p>
    <w:p>
      <w:pPr>
        <w:pStyle w:val="BodyText"/>
        <w:tabs>
          <w:tab w:pos="1362" w:val="left" w:leader="none"/>
        </w:tabs>
        <w:spacing w:line="240" w:lineRule="auto" w:before="210"/>
        <w:ind w:left="882" w:right="1285"/>
        <w:jc w:val="left"/>
      </w:pPr>
      <w:r>
        <w:rPr/>
        <w:t>⑴</w:t>
        <w:tab/>
        <w:t>在建工程基本情况</w:t>
      </w:r>
    </w:p>
    <w:p>
      <w:pPr>
        <w:spacing w:line="240" w:lineRule="auto" w:before="1"/>
        <w:rPr>
          <w:rFonts w:ascii="宋体" w:hAnsi="宋体" w:cs="宋体" w:eastAsia="宋体" w:hint="default"/>
          <w:sz w:val="11"/>
          <w:szCs w:val="11"/>
        </w:rPr>
      </w:pPr>
    </w:p>
    <w:tbl>
      <w:tblPr>
        <w:tblW w:w="0" w:type="auto"/>
        <w:jc w:val="left"/>
        <w:tblInd w:w="486" w:type="dxa"/>
        <w:tblLayout w:type="fixed"/>
        <w:tblCellMar>
          <w:top w:w="0" w:type="dxa"/>
          <w:left w:w="0" w:type="dxa"/>
          <w:bottom w:w="0" w:type="dxa"/>
          <w:right w:w="0" w:type="dxa"/>
        </w:tblCellMar>
        <w:tblLook w:val="01E0"/>
      </w:tblPr>
      <w:tblGrid>
        <w:gridCol w:w="3192"/>
        <w:gridCol w:w="238"/>
        <w:gridCol w:w="1779"/>
        <w:gridCol w:w="216"/>
        <w:gridCol w:w="1469"/>
        <w:gridCol w:w="216"/>
        <w:gridCol w:w="1770"/>
      </w:tblGrid>
      <w:tr>
        <w:trPr>
          <w:trHeight w:val="251" w:hRule="exact"/>
        </w:trPr>
        <w:tc>
          <w:tcPr>
            <w:tcW w:w="31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single" w:sz="8" w:space="0" w:color="000000"/>
              <w:right w:val="nil" w:sz="6" w:space="0" w:color="auto"/>
            </w:tcBorders>
          </w:tcPr>
          <w:p>
            <w:pPr/>
          </w:p>
        </w:tc>
        <w:tc>
          <w:tcPr>
            <w:tcW w:w="1469" w:type="dxa"/>
            <w:tcBorders>
              <w:top w:val="nil" w:sz="6" w:space="0" w:color="auto"/>
              <w:left w:val="nil" w:sz="6" w:space="0" w:color="auto"/>
              <w:bottom w:val="single" w:sz="8" w:space="0" w:color="000000"/>
              <w:right w:val="nil" w:sz="6" w:space="0" w:color="auto"/>
            </w:tcBorders>
          </w:tcPr>
          <w:p>
            <w:pPr>
              <w:pStyle w:val="TableParagraph"/>
              <w:spacing w:line="211" w:lineRule="exact"/>
              <w:ind w:right="7"/>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6" w:type="dxa"/>
            <w:tcBorders>
              <w:top w:val="nil" w:sz="6" w:space="0" w:color="auto"/>
              <w:left w:val="nil" w:sz="6" w:space="0" w:color="auto"/>
              <w:bottom w:val="single" w:sz="8" w:space="0" w:color="000000"/>
              <w:right w:val="nil" w:sz="6" w:space="0" w:color="auto"/>
            </w:tcBorders>
          </w:tcPr>
          <w:p>
            <w:pPr/>
          </w:p>
        </w:tc>
        <w:tc>
          <w:tcPr>
            <w:tcW w:w="1770" w:type="dxa"/>
            <w:tcBorders>
              <w:top w:val="nil" w:sz="6" w:space="0" w:color="auto"/>
              <w:left w:val="nil" w:sz="6" w:space="0" w:color="auto"/>
              <w:bottom w:val="single" w:sz="8" w:space="0" w:color="000000"/>
              <w:right w:val="nil" w:sz="6" w:space="0" w:color="auto"/>
            </w:tcBorders>
          </w:tcPr>
          <w:p>
            <w:pPr/>
          </w:p>
        </w:tc>
      </w:tr>
      <w:tr>
        <w:trPr>
          <w:trHeight w:val="360" w:hRule="exact"/>
        </w:trPr>
        <w:tc>
          <w:tcPr>
            <w:tcW w:w="3192"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 w:type="dxa"/>
            <w:tcBorders>
              <w:top w:val="single" w:sz="8" w:space="0" w:color="000000"/>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16" w:type="dxa"/>
            <w:tcBorders>
              <w:top w:val="single" w:sz="8" w:space="0" w:color="000000"/>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6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67" w:hRule="exact"/>
        </w:trPr>
        <w:tc>
          <w:tcPr>
            <w:tcW w:w="3192"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济南临港生产基地（一期）基建工程</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9,699,730.11</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9,699,730.11</w:t>
            </w:r>
          </w:p>
        </w:tc>
      </w:tr>
      <w:tr>
        <w:trPr>
          <w:trHeight w:val="340"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济南印刷设备等</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宋体" w:hAnsi="宋体" w:cs="宋体" w:eastAsia="宋体" w:hint="default"/>
                <w:sz w:val="21"/>
                <w:szCs w:val="21"/>
              </w:rPr>
            </w:pPr>
            <w:r>
              <w:rPr>
                <w:rFonts w:ascii="宋体"/>
                <w:spacing w:val="-1"/>
                <w:sz w:val="21"/>
              </w:rPr>
              <w:t>7,402,467.59</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宋体" w:hAnsi="宋体" w:cs="宋体" w:eastAsia="宋体" w:hint="default"/>
                <w:sz w:val="21"/>
                <w:szCs w:val="21"/>
              </w:rPr>
            </w:pPr>
            <w:r>
              <w:rPr>
                <w:rFonts w:ascii="宋体"/>
                <w:spacing w:val="-1"/>
                <w:sz w:val="21"/>
              </w:rPr>
              <w:t>7,402,467.59</w:t>
            </w:r>
          </w:p>
        </w:tc>
      </w:tr>
      <w:tr>
        <w:trPr>
          <w:trHeight w:val="33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成都公司兰剑物流设备</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spacing w:val="-1"/>
                <w:sz w:val="21"/>
              </w:rPr>
              <w:t>26,405.98</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3"/>
              <w:jc w:val="right"/>
              <w:rPr>
                <w:rFonts w:ascii="宋体" w:hAnsi="宋体" w:cs="宋体" w:eastAsia="宋体" w:hint="default"/>
                <w:sz w:val="21"/>
                <w:szCs w:val="21"/>
              </w:rPr>
            </w:pPr>
            <w:r>
              <w:rPr>
                <w:rFonts w:ascii="宋体"/>
                <w:spacing w:val="-1"/>
                <w:sz w:val="21"/>
              </w:rPr>
              <w:t>26,405.98</w:t>
            </w:r>
          </w:p>
        </w:tc>
      </w:tr>
      <w:tr>
        <w:trPr>
          <w:trHeight w:val="372" w:hRule="exact"/>
        </w:trPr>
        <w:tc>
          <w:tcPr>
            <w:tcW w:w="319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304" w:right="0"/>
              <w:jc w:val="left"/>
              <w:rPr>
                <w:rFonts w:ascii="宋体" w:hAnsi="宋体" w:cs="宋体" w:eastAsia="宋体" w:hint="default"/>
                <w:sz w:val="21"/>
                <w:szCs w:val="21"/>
              </w:rPr>
            </w:pPr>
            <w:r>
              <w:rPr>
                <w:rFonts w:ascii="宋体"/>
                <w:sz w:val="21"/>
              </w:rPr>
              <w:t>17,128,603.68</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17"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295" w:right="0"/>
              <w:jc w:val="left"/>
              <w:rPr>
                <w:rFonts w:ascii="宋体" w:hAnsi="宋体" w:cs="宋体" w:eastAsia="宋体" w:hint="default"/>
                <w:sz w:val="21"/>
                <w:szCs w:val="21"/>
              </w:rPr>
            </w:pPr>
            <w:r>
              <w:rPr>
                <w:rFonts w:ascii="宋体"/>
                <w:sz w:val="21"/>
              </w:rPr>
              <w:t>17,128,603.68</w:t>
            </w:r>
          </w:p>
        </w:tc>
      </w:tr>
      <w:tr>
        <w:trPr>
          <w:trHeight w:val="715" w:hRule="exact"/>
        </w:trPr>
        <w:tc>
          <w:tcPr>
            <w:tcW w:w="31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17" w:space="0" w:color="000000"/>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single" w:sz="8" w:space="0" w:color="000000"/>
              <w:right w:val="nil" w:sz="6" w:space="0" w:color="auto"/>
            </w:tcBorders>
          </w:tcPr>
          <w:p>
            <w:pPr/>
          </w:p>
        </w:tc>
        <w:tc>
          <w:tcPr>
            <w:tcW w:w="1469" w:type="dxa"/>
            <w:tcBorders>
              <w:top w:val="single" w:sz="17" w:space="0" w:color="000000"/>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年初数</w:t>
            </w:r>
          </w:p>
        </w:tc>
        <w:tc>
          <w:tcPr>
            <w:tcW w:w="216" w:type="dxa"/>
            <w:tcBorders>
              <w:top w:val="nil" w:sz="6" w:space="0" w:color="auto"/>
              <w:left w:val="nil" w:sz="6" w:space="0" w:color="auto"/>
              <w:bottom w:val="single" w:sz="8" w:space="0" w:color="000000"/>
              <w:right w:val="nil" w:sz="6" w:space="0" w:color="auto"/>
            </w:tcBorders>
          </w:tcPr>
          <w:p>
            <w:pPr/>
          </w:p>
        </w:tc>
        <w:tc>
          <w:tcPr>
            <w:tcW w:w="1770" w:type="dxa"/>
            <w:tcBorders>
              <w:top w:val="single" w:sz="17" w:space="0" w:color="000000"/>
              <w:left w:val="nil" w:sz="6" w:space="0" w:color="auto"/>
              <w:bottom w:val="single" w:sz="8" w:space="0" w:color="000000"/>
              <w:right w:val="nil" w:sz="6" w:space="0" w:color="auto"/>
            </w:tcBorders>
          </w:tcPr>
          <w:p>
            <w:pPr/>
          </w:p>
        </w:tc>
      </w:tr>
      <w:tr>
        <w:trPr>
          <w:trHeight w:val="361" w:hRule="exact"/>
        </w:trPr>
        <w:tc>
          <w:tcPr>
            <w:tcW w:w="3192" w:type="dxa"/>
            <w:tcBorders>
              <w:top w:val="nil" w:sz="6" w:space="0" w:color="auto"/>
              <w:left w:val="nil" w:sz="6" w:space="0" w:color="auto"/>
              <w:bottom w:val="single" w:sz="8" w:space="0" w:color="000000"/>
              <w:right w:val="nil" w:sz="6" w:space="0" w:color="auto"/>
            </w:tcBorders>
          </w:tcPr>
          <w:p>
            <w:pPr>
              <w:pStyle w:val="TableParagraph"/>
              <w:tabs>
                <w:tab w:pos="527" w:val="left" w:leader="none"/>
              </w:tabs>
              <w:spacing w:line="240" w:lineRule="auto" w:before="43"/>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4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 w:type="dxa"/>
            <w:tcBorders>
              <w:top w:val="single" w:sz="8" w:space="0" w:color="000000"/>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7"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16" w:type="dxa"/>
            <w:tcBorders>
              <w:top w:val="single" w:sz="8" w:space="0" w:color="000000"/>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left="46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66" w:hRule="exact"/>
        </w:trPr>
        <w:tc>
          <w:tcPr>
            <w:tcW w:w="3192"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济南临港生产基地（一期）基建工程</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72,212,250.84</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72,212,250.84</w:t>
            </w:r>
          </w:p>
        </w:tc>
      </w:tr>
      <w:tr>
        <w:trPr>
          <w:trHeight w:val="340"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济南印刷设备等</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25,733,108.79</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spacing w:val="-1"/>
                <w:sz w:val="21"/>
              </w:rPr>
              <w:t>25,733,108.79</w:t>
            </w:r>
          </w:p>
        </w:tc>
      </w:tr>
      <w:tr>
        <w:trPr>
          <w:trHeight w:val="334"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58"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北京公司生产设备</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482,906.00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482,906.00</w:t>
            </w:r>
          </w:p>
        </w:tc>
      </w:tr>
      <w:tr>
        <w:trPr>
          <w:trHeight w:val="374" w:hRule="exact"/>
        </w:trPr>
        <w:tc>
          <w:tcPr>
            <w:tcW w:w="3192"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1779"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98,428,265.63</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8" w:space="0" w:color="000000"/>
              <w:left w:val="nil" w:sz="6" w:space="0" w:color="auto"/>
              <w:bottom w:val="single" w:sz="17"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98,428,265.63</w:t>
            </w:r>
          </w:p>
        </w:tc>
      </w:tr>
    </w:tbl>
    <w:p>
      <w:pPr>
        <w:spacing w:line="240" w:lineRule="auto" w:before="2"/>
        <w:rPr>
          <w:rFonts w:ascii="宋体" w:hAnsi="宋体" w:cs="宋体" w:eastAsia="宋体" w:hint="default"/>
          <w:sz w:val="12"/>
          <w:szCs w:val="12"/>
        </w:rPr>
      </w:pPr>
    </w:p>
    <w:p>
      <w:pPr>
        <w:pStyle w:val="BodyText"/>
        <w:tabs>
          <w:tab w:pos="1362" w:val="left" w:leader="none"/>
        </w:tabs>
        <w:spacing w:line="240" w:lineRule="auto" w:before="26"/>
        <w:ind w:left="882" w:right="1285"/>
        <w:jc w:val="left"/>
      </w:pPr>
      <w:r>
        <w:rPr/>
        <w:t>⑵</w:t>
        <w:tab/>
        <w:t>重大在建工程项目变动情况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386" w:type="dxa"/>
        <w:tblLayout w:type="fixed"/>
        <w:tblCellMar>
          <w:top w:w="0" w:type="dxa"/>
          <w:left w:w="0" w:type="dxa"/>
          <w:bottom w:w="0" w:type="dxa"/>
          <w:right w:w="0" w:type="dxa"/>
        </w:tblCellMar>
        <w:tblLook w:val="01E0"/>
      </w:tblPr>
      <w:tblGrid>
        <w:gridCol w:w="2523"/>
        <w:gridCol w:w="238"/>
        <w:gridCol w:w="972"/>
        <w:gridCol w:w="230"/>
        <w:gridCol w:w="1080"/>
        <w:gridCol w:w="230"/>
        <w:gridCol w:w="1188"/>
        <w:gridCol w:w="230"/>
        <w:gridCol w:w="1191"/>
        <w:gridCol w:w="228"/>
        <w:gridCol w:w="1109"/>
      </w:tblGrid>
      <w:tr>
        <w:trPr>
          <w:trHeight w:val="183" w:hRule="exact"/>
        </w:trPr>
        <w:tc>
          <w:tcPr>
            <w:tcW w:w="2523" w:type="dxa"/>
            <w:tcBorders>
              <w:top w:val="nil" w:sz="6" w:space="0" w:color="auto"/>
              <w:left w:val="nil" w:sz="6" w:space="0" w:color="auto"/>
              <w:bottom w:val="single" w:sz="8" w:space="0" w:color="000000"/>
              <w:right w:val="nil" w:sz="6" w:space="0" w:color="auto"/>
            </w:tcBorders>
          </w:tcPr>
          <w:p>
            <w:pPr>
              <w:pStyle w:val="TableParagraph"/>
              <w:spacing w:line="151" w:lineRule="exact"/>
              <w:ind w:right="0"/>
              <w:jc w:val="center"/>
              <w:rPr>
                <w:rFonts w:ascii="宋体" w:hAnsi="宋体" w:cs="宋体" w:eastAsia="宋体" w:hint="default"/>
                <w:sz w:val="15"/>
                <w:szCs w:val="15"/>
              </w:rPr>
            </w:pPr>
            <w:r>
              <w:rPr>
                <w:rFonts w:ascii="宋体" w:hAnsi="宋体" w:cs="宋体" w:eastAsia="宋体" w:hint="default"/>
                <w:sz w:val="15"/>
                <w:szCs w:val="15"/>
              </w:rPr>
              <w:t>工程名称</w:t>
            </w:r>
          </w:p>
        </w:tc>
        <w:tc>
          <w:tcPr>
            <w:tcW w:w="23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single" w:sz="8" w:space="0" w:color="000000"/>
              <w:right w:val="nil" w:sz="6" w:space="0" w:color="auto"/>
            </w:tcBorders>
          </w:tcPr>
          <w:p>
            <w:pPr>
              <w:pStyle w:val="TableParagraph"/>
              <w:spacing w:line="151" w:lineRule="exact"/>
              <w:ind w:left="3" w:right="0"/>
              <w:jc w:val="center"/>
              <w:rPr>
                <w:rFonts w:ascii="宋体" w:hAnsi="宋体" w:cs="宋体" w:eastAsia="宋体" w:hint="default"/>
                <w:sz w:val="15"/>
                <w:szCs w:val="15"/>
              </w:rPr>
            </w:pPr>
            <w:r>
              <w:rPr>
                <w:rFonts w:ascii="宋体" w:hAnsi="宋体" w:cs="宋体" w:eastAsia="宋体" w:hint="default"/>
                <w:sz w:val="15"/>
                <w:szCs w:val="15"/>
              </w:rPr>
              <w:t>预算数</w:t>
            </w:r>
            <w:r>
              <w:rPr>
                <w:rFonts w:ascii="宋体" w:hAnsi="宋体" w:cs="宋体" w:eastAsia="宋体" w:hint="default"/>
                <w:sz w:val="15"/>
                <w:szCs w:val="15"/>
              </w:rPr>
              <w:t>(</w:t>
            </w:r>
            <w:r>
              <w:rPr>
                <w:rFonts w:ascii="宋体" w:hAnsi="宋体" w:cs="宋体" w:eastAsia="宋体" w:hint="default"/>
                <w:sz w:val="15"/>
                <w:szCs w:val="15"/>
              </w:rPr>
              <w:t>万元</w:t>
            </w:r>
            <w:r>
              <w:rPr>
                <w:rFonts w:ascii="宋体" w:hAnsi="宋体" w:cs="宋体" w:eastAsia="宋体" w:hint="default"/>
                <w:sz w:val="15"/>
                <w:szCs w:val="15"/>
              </w:rPr>
              <w:t>)</w:t>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8" w:space="0" w:color="000000"/>
              <w:right w:val="nil" w:sz="6" w:space="0" w:color="auto"/>
            </w:tcBorders>
          </w:tcPr>
          <w:p>
            <w:pPr>
              <w:pStyle w:val="TableParagraph"/>
              <w:spacing w:line="151" w:lineRule="exact"/>
              <w:ind w:left="6" w:right="0"/>
              <w:jc w:val="center"/>
              <w:rPr>
                <w:rFonts w:ascii="宋体" w:hAnsi="宋体" w:cs="宋体" w:eastAsia="宋体" w:hint="default"/>
                <w:sz w:val="15"/>
                <w:szCs w:val="15"/>
              </w:rPr>
            </w:pPr>
            <w:r>
              <w:rPr>
                <w:rFonts w:ascii="宋体" w:hAnsi="宋体" w:cs="宋体" w:eastAsia="宋体" w:hint="default"/>
                <w:sz w:val="15"/>
                <w:szCs w:val="15"/>
              </w:rPr>
              <w:t>年初数</w:t>
            </w:r>
          </w:p>
        </w:tc>
        <w:tc>
          <w:tcPr>
            <w:tcW w:w="23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8" w:space="0" w:color="000000"/>
              <w:right w:val="nil" w:sz="6" w:space="0" w:color="auto"/>
            </w:tcBorders>
          </w:tcPr>
          <w:p>
            <w:pPr>
              <w:pStyle w:val="TableParagraph"/>
              <w:spacing w:line="151" w:lineRule="exact"/>
              <w:ind w:left="223" w:right="0"/>
              <w:jc w:val="left"/>
              <w:rPr>
                <w:rFonts w:ascii="宋体" w:hAnsi="宋体" w:cs="宋体" w:eastAsia="宋体" w:hint="default"/>
                <w:sz w:val="15"/>
                <w:szCs w:val="15"/>
              </w:rPr>
            </w:pPr>
            <w:r>
              <w:rPr>
                <w:rFonts w:ascii="宋体" w:hAnsi="宋体" w:cs="宋体" w:eastAsia="宋体" w:hint="default"/>
                <w:sz w:val="15"/>
                <w:szCs w:val="15"/>
              </w:rPr>
              <w:t>本年增加数</w:t>
            </w:r>
          </w:p>
        </w:tc>
        <w:tc>
          <w:tcPr>
            <w:tcW w:w="230"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single" w:sz="8" w:space="0" w:color="000000"/>
              <w:right w:val="nil" w:sz="6" w:space="0" w:color="auto"/>
            </w:tcBorders>
          </w:tcPr>
          <w:p>
            <w:pPr>
              <w:pStyle w:val="TableParagraph"/>
              <w:spacing w:line="151" w:lineRule="exact"/>
              <w:ind w:left="78" w:right="0"/>
              <w:jc w:val="center"/>
              <w:rPr>
                <w:rFonts w:ascii="宋体" w:hAnsi="宋体" w:cs="宋体" w:eastAsia="宋体" w:hint="default"/>
                <w:sz w:val="15"/>
                <w:szCs w:val="15"/>
              </w:rPr>
            </w:pPr>
            <w:r>
              <w:rPr>
                <w:rFonts w:ascii="宋体" w:hAnsi="宋体" w:cs="宋体" w:eastAsia="宋体" w:hint="default"/>
                <w:sz w:val="15"/>
                <w:szCs w:val="15"/>
              </w:rPr>
              <w:t>转入固定资产数</w:t>
            </w:r>
          </w:p>
        </w:tc>
        <w:tc>
          <w:tcPr>
            <w:tcW w:w="228"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8" w:space="0" w:color="000000"/>
              <w:right w:val="nil" w:sz="6" w:space="0" w:color="auto"/>
            </w:tcBorders>
          </w:tcPr>
          <w:p>
            <w:pPr>
              <w:pStyle w:val="TableParagraph"/>
              <w:spacing w:line="151" w:lineRule="exact"/>
              <w:ind w:left="331" w:right="0"/>
              <w:jc w:val="left"/>
              <w:rPr>
                <w:rFonts w:ascii="宋体" w:hAnsi="宋体" w:cs="宋体" w:eastAsia="宋体" w:hint="default"/>
                <w:sz w:val="15"/>
                <w:szCs w:val="15"/>
              </w:rPr>
            </w:pPr>
            <w:r>
              <w:rPr>
                <w:rFonts w:ascii="宋体" w:hAnsi="宋体" w:cs="宋体" w:eastAsia="宋体" w:hint="default"/>
                <w:sz w:val="15"/>
                <w:szCs w:val="15"/>
              </w:rPr>
              <w:t>年末数</w:t>
            </w:r>
          </w:p>
        </w:tc>
      </w:tr>
      <w:tr>
        <w:trPr>
          <w:trHeight w:val="319" w:hRule="exact"/>
        </w:trPr>
        <w:tc>
          <w:tcPr>
            <w:tcW w:w="2523"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right="113"/>
              <w:jc w:val="center"/>
              <w:rPr>
                <w:rFonts w:ascii="宋体" w:hAnsi="宋体" w:cs="宋体" w:eastAsia="宋体" w:hint="default"/>
                <w:sz w:val="15"/>
                <w:szCs w:val="15"/>
              </w:rPr>
            </w:pPr>
            <w:r>
              <w:rPr>
                <w:rFonts w:ascii="宋体" w:hAnsi="宋体" w:cs="宋体" w:eastAsia="宋体" w:hint="default"/>
                <w:spacing w:val="-2"/>
                <w:sz w:val="15"/>
                <w:szCs w:val="15"/>
              </w:rPr>
              <w:t>济南临港生产基地（一期）基建工程</w:t>
            </w:r>
          </w:p>
        </w:tc>
        <w:tc>
          <w:tcPr>
            <w:tcW w:w="238" w:type="dxa"/>
            <w:tcBorders>
              <w:top w:val="nil" w:sz="6" w:space="0" w:color="auto"/>
              <w:left w:val="nil" w:sz="6" w:space="0" w:color="auto"/>
              <w:bottom w:val="nil" w:sz="6" w:space="0" w:color="auto"/>
              <w:right w:val="nil" w:sz="6" w:space="0" w:color="auto"/>
            </w:tcBorders>
          </w:tcPr>
          <w:p>
            <w:pPr/>
          </w:p>
        </w:tc>
        <w:tc>
          <w:tcPr>
            <w:tcW w:w="972"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87" w:right="0"/>
              <w:jc w:val="center"/>
              <w:rPr>
                <w:rFonts w:ascii="宋体" w:hAnsi="宋体" w:cs="宋体" w:eastAsia="宋体" w:hint="default"/>
                <w:sz w:val="15"/>
                <w:szCs w:val="15"/>
              </w:rPr>
            </w:pPr>
            <w:r>
              <w:rPr>
                <w:rFonts w:ascii="宋体"/>
                <w:sz w:val="15"/>
              </w:rPr>
              <w:t>11,395.00</w:t>
            </w: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right="0"/>
              <w:jc w:val="center"/>
              <w:rPr>
                <w:rFonts w:ascii="宋体" w:hAnsi="宋体" w:cs="宋体" w:eastAsia="宋体" w:hint="default"/>
                <w:sz w:val="15"/>
                <w:szCs w:val="15"/>
              </w:rPr>
            </w:pPr>
            <w:r>
              <w:rPr>
                <w:rFonts w:ascii="宋体"/>
                <w:sz w:val="15"/>
              </w:rPr>
              <w:t>72,212,250.84</w:t>
            </w:r>
          </w:p>
        </w:tc>
        <w:tc>
          <w:tcPr>
            <w:tcW w:w="230" w:type="dxa"/>
            <w:tcBorders>
              <w:top w:val="nil" w:sz="6" w:space="0" w:color="auto"/>
              <w:left w:val="nil" w:sz="6" w:space="0" w:color="auto"/>
              <w:bottom w:val="nil" w:sz="6" w:space="0" w:color="auto"/>
              <w:right w:val="nil" w:sz="6" w:space="0" w:color="auto"/>
            </w:tcBorders>
          </w:tcPr>
          <w:p>
            <w:pPr/>
          </w:p>
        </w:tc>
        <w:tc>
          <w:tcPr>
            <w:tcW w:w="118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60" w:right="0"/>
              <w:jc w:val="left"/>
              <w:rPr>
                <w:rFonts w:ascii="宋体" w:hAnsi="宋体" w:cs="宋体" w:eastAsia="宋体" w:hint="default"/>
                <w:sz w:val="15"/>
                <w:szCs w:val="15"/>
              </w:rPr>
            </w:pPr>
            <w:r>
              <w:rPr>
                <w:rFonts w:ascii="宋体"/>
                <w:sz w:val="15"/>
              </w:rPr>
              <w:t>-3,340,278.53</w:t>
            </w:r>
          </w:p>
        </w:tc>
        <w:tc>
          <w:tcPr>
            <w:tcW w:w="230" w:type="dxa"/>
            <w:tcBorders>
              <w:top w:val="nil" w:sz="6" w:space="0" w:color="auto"/>
              <w:left w:val="nil" w:sz="6" w:space="0" w:color="auto"/>
              <w:bottom w:val="nil" w:sz="6" w:space="0" w:color="auto"/>
              <w:right w:val="nil" w:sz="6" w:space="0" w:color="auto"/>
            </w:tcBorders>
          </w:tcPr>
          <w:p>
            <w:pPr/>
          </w:p>
        </w:tc>
        <w:tc>
          <w:tcPr>
            <w:tcW w:w="1191"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5" w:right="0"/>
              <w:jc w:val="center"/>
              <w:rPr>
                <w:rFonts w:ascii="宋体" w:hAnsi="宋体" w:cs="宋体" w:eastAsia="宋体" w:hint="default"/>
                <w:sz w:val="15"/>
                <w:szCs w:val="15"/>
              </w:rPr>
            </w:pPr>
            <w:r>
              <w:rPr>
                <w:rFonts w:ascii="宋体"/>
                <w:sz w:val="15"/>
              </w:rPr>
              <w:t>59,172,242.20</w:t>
            </w:r>
          </w:p>
        </w:tc>
        <w:tc>
          <w:tcPr>
            <w:tcW w:w="228" w:type="dxa"/>
            <w:tcBorders>
              <w:top w:val="nil" w:sz="6" w:space="0" w:color="auto"/>
              <w:left w:val="nil" w:sz="6" w:space="0" w:color="auto"/>
              <w:bottom w:val="nil" w:sz="6" w:space="0" w:color="auto"/>
              <w:right w:val="nil" w:sz="6" w:space="0" w:color="auto"/>
            </w:tcBorders>
          </w:tcPr>
          <w:p>
            <w:pPr/>
          </w:p>
        </w:tc>
        <w:tc>
          <w:tcPr>
            <w:tcW w:w="110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right="52"/>
              <w:jc w:val="right"/>
              <w:rPr>
                <w:rFonts w:ascii="宋体" w:hAnsi="宋体" w:cs="宋体" w:eastAsia="宋体" w:hint="default"/>
                <w:sz w:val="15"/>
                <w:szCs w:val="15"/>
              </w:rPr>
            </w:pPr>
            <w:r>
              <w:rPr>
                <w:rFonts w:ascii="宋体"/>
                <w:spacing w:val="-2"/>
                <w:sz w:val="15"/>
              </w:rPr>
              <w:t>9,699,730.11</w:t>
            </w:r>
          </w:p>
        </w:tc>
      </w:tr>
      <w:tr>
        <w:trPr>
          <w:trHeight w:val="33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23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80" w:type="dxa"/>
            <w:tcBorders>
              <w:top w:val="single" w:sz="8" w:space="0" w:color="000000"/>
              <w:left w:val="nil" w:sz="6" w:space="0" w:color="auto"/>
              <w:bottom w:val="single" w:sz="17" w:space="0" w:color="000000"/>
              <w:right w:val="nil" w:sz="6" w:space="0" w:color="auto"/>
            </w:tcBorders>
          </w:tcPr>
          <w:p>
            <w:pPr>
              <w:pStyle w:val="TableParagraph"/>
              <w:spacing w:line="240" w:lineRule="auto" w:before="84"/>
              <w:ind w:right="0"/>
              <w:jc w:val="center"/>
              <w:rPr>
                <w:rFonts w:ascii="宋体" w:hAnsi="宋体" w:cs="宋体" w:eastAsia="宋体" w:hint="default"/>
                <w:sz w:val="15"/>
                <w:szCs w:val="15"/>
              </w:rPr>
            </w:pPr>
            <w:r>
              <w:rPr>
                <w:rFonts w:ascii="宋体"/>
                <w:sz w:val="15"/>
              </w:rPr>
              <w:t>72,212,250.84</w:t>
            </w:r>
          </w:p>
        </w:tc>
        <w:tc>
          <w:tcPr>
            <w:tcW w:w="230" w:type="dxa"/>
            <w:tcBorders>
              <w:top w:val="nil" w:sz="6" w:space="0" w:color="auto"/>
              <w:left w:val="nil" w:sz="6" w:space="0" w:color="auto"/>
              <w:bottom w:val="nil" w:sz="6" w:space="0" w:color="auto"/>
              <w:right w:val="nil" w:sz="6" w:space="0" w:color="auto"/>
            </w:tcBorders>
          </w:tcPr>
          <w:p>
            <w:pPr/>
          </w:p>
        </w:tc>
        <w:tc>
          <w:tcPr>
            <w:tcW w:w="1188" w:type="dxa"/>
            <w:tcBorders>
              <w:top w:val="single" w:sz="8" w:space="0" w:color="000000"/>
              <w:left w:val="nil" w:sz="6" w:space="0" w:color="auto"/>
              <w:bottom w:val="single" w:sz="17" w:space="0" w:color="000000"/>
              <w:right w:val="nil" w:sz="6" w:space="0" w:color="auto"/>
            </w:tcBorders>
          </w:tcPr>
          <w:p>
            <w:pPr>
              <w:pStyle w:val="TableParagraph"/>
              <w:spacing w:line="240" w:lineRule="auto" w:before="84"/>
              <w:ind w:left="160" w:right="0"/>
              <w:jc w:val="left"/>
              <w:rPr>
                <w:rFonts w:ascii="宋体" w:hAnsi="宋体" w:cs="宋体" w:eastAsia="宋体" w:hint="default"/>
                <w:sz w:val="15"/>
                <w:szCs w:val="15"/>
              </w:rPr>
            </w:pPr>
            <w:r>
              <w:rPr>
                <w:rFonts w:ascii="宋体"/>
                <w:sz w:val="15"/>
              </w:rPr>
              <w:t>-3,340,278.53</w:t>
            </w:r>
          </w:p>
        </w:tc>
        <w:tc>
          <w:tcPr>
            <w:tcW w:w="230" w:type="dxa"/>
            <w:tcBorders>
              <w:top w:val="nil" w:sz="6" w:space="0" w:color="auto"/>
              <w:left w:val="nil" w:sz="6" w:space="0" w:color="auto"/>
              <w:bottom w:val="nil" w:sz="6" w:space="0" w:color="auto"/>
              <w:right w:val="nil" w:sz="6" w:space="0" w:color="auto"/>
            </w:tcBorders>
          </w:tcPr>
          <w:p>
            <w:pPr/>
          </w:p>
        </w:tc>
        <w:tc>
          <w:tcPr>
            <w:tcW w:w="1191" w:type="dxa"/>
            <w:tcBorders>
              <w:top w:val="single" w:sz="8" w:space="0" w:color="000000"/>
              <w:left w:val="nil" w:sz="6" w:space="0" w:color="auto"/>
              <w:bottom w:val="single" w:sz="17" w:space="0" w:color="000000"/>
              <w:right w:val="nil" w:sz="6" w:space="0" w:color="auto"/>
            </w:tcBorders>
          </w:tcPr>
          <w:p>
            <w:pPr>
              <w:pStyle w:val="TableParagraph"/>
              <w:spacing w:line="240" w:lineRule="auto" w:before="84"/>
              <w:ind w:left="105" w:right="0"/>
              <w:jc w:val="center"/>
              <w:rPr>
                <w:rFonts w:ascii="宋体" w:hAnsi="宋体" w:cs="宋体" w:eastAsia="宋体" w:hint="default"/>
                <w:sz w:val="15"/>
                <w:szCs w:val="15"/>
              </w:rPr>
            </w:pPr>
            <w:r>
              <w:rPr>
                <w:rFonts w:ascii="宋体"/>
                <w:sz w:val="15"/>
              </w:rPr>
              <w:t>59,172,242.20</w:t>
            </w:r>
          </w:p>
        </w:tc>
        <w:tc>
          <w:tcPr>
            <w:tcW w:w="228" w:type="dxa"/>
            <w:tcBorders>
              <w:top w:val="nil" w:sz="6" w:space="0" w:color="auto"/>
              <w:left w:val="nil" w:sz="6" w:space="0" w:color="auto"/>
              <w:bottom w:val="nil" w:sz="6" w:space="0" w:color="auto"/>
              <w:right w:val="nil" w:sz="6" w:space="0" w:color="auto"/>
            </w:tcBorders>
          </w:tcPr>
          <w:p>
            <w:pPr/>
          </w:p>
        </w:tc>
        <w:tc>
          <w:tcPr>
            <w:tcW w:w="1109" w:type="dxa"/>
            <w:tcBorders>
              <w:top w:val="single" w:sz="8" w:space="0" w:color="000000"/>
              <w:left w:val="nil" w:sz="6" w:space="0" w:color="auto"/>
              <w:bottom w:val="single" w:sz="17" w:space="0" w:color="000000"/>
              <w:right w:val="nil" w:sz="6" w:space="0" w:color="auto"/>
            </w:tcBorders>
          </w:tcPr>
          <w:p>
            <w:pPr>
              <w:pStyle w:val="TableParagraph"/>
              <w:spacing w:line="240" w:lineRule="auto" w:before="84"/>
              <w:ind w:right="52"/>
              <w:jc w:val="right"/>
              <w:rPr>
                <w:rFonts w:ascii="宋体" w:hAnsi="宋体" w:cs="宋体" w:eastAsia="宋体" w:hint="default"/>
                <w:sz w:val="15"/>
                <w:szCs w:val="15"/>
              </w:rPr>
            </w:pPr>
            <w:r>
              <w:rPr>
                <w:rFonts w:ascii="宋体"/>
                <w:spacing w:val="-2"/>
                <w:sz w:val="15"/>
              </w:rPr>
              <w:t>9,699,730.11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386" w:type="dxa"/>
        <w:tblLayout w:type="fixed"/>
        <w:tblCellMar>
          <w:top w:w="0" w:type="dxa"/>
          <w:left w:w="0" w:type="dxa"/>
          <w:bottom w:w="0" w:type="dxa"/>
          <w:right w:w="0" w:type="dxa"/>
        </w:tblCellMar>
        <w:tblLook w:val="01E0"/>
      </w:tblPr>
      <w:tblGrid>
        <w:gridCol w:w="3867"/>
        <w:gridCol w:w="238"/>
        <w:gridCol w:w="1973"/>
        <w:gridCol w:w="235"/>
        <w:gridCol w:w="1373"/>
        <w:gridCol w:w="238"/>
        <w:gridCol w:w="1306"/>
      </w:tblGrid>
      <w:tr>
        <w:trPr>
          <w:trHeight w:val="217" w:hRule="exact"/>
        </w:trPr>
        <w:tc>
          <w:tcPr>
            <w:tcW w:w="3867"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238"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工程投入占预算比例</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238"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8" w:space="0" w:color="000000"/>
              <w:right w:val="nil" w:sz="6" w:space="0" w:color="auto"/>
            </w:tcBorders>
          </w:tcPr>
          <w:p>
            <w:pPr>
              <w:pStyle w:val="TableParagraph"/>
              <w:spacing w:line="180" w:lineRule="exact"/>
              <w:ind w:right="290"/>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241" w:hRule="exact"/>
        </w:trPr>
        <w:tc>
          <w:tcPr>
            <w:tcW w:w="3867"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5"/>
                <w:szCs w:val="15"/>
              </w:rPr>
            </w:pPr>
            <w:r>
              <w:rPr>
                <w:rFonts w:ascii="宋体" w:hAnsi="宋体" w:cs="宋体" w:eastAsia="宋体" w:hint="default"/>
                <w:sz w:val="15"/>
                <w:szCs w:val="15"/>
              </w:rPr>
              <w:t>济南临港生产基地（一期）基建工程</w:t>
            </w:r>
          </w:p>
        </w:tc>
        <w:tc>
          <w:tcPr>
            <w:tcW w:w="238" w:type="dxa"/>
            <w:tcBorders>
              <w:top w:val="nil" w:sz="6" w:space="0" w:color="auto"/>
              <w:left w:val="nil" w:sz="6" w:space="0" w:color="auto"/>
              <w:bottom w:val="nil" w:sz="6" w:space="0" w:color="auto"/>
              <w:right w:val="nil" w:sz="6" w:space="0" w:color="auto"/>
            </w:tcBorders>
          </w:tcPr>
          <w:p>
            <w:pPr/>
          </w:p>
        </w:tc>
        <w:tc>
          <w:tcPr>
            <w:tcW w:w="1973" w:type="dxa"/>
            <w:tcBorders>
              <w:top w:val="single" w:sz="8" w:space="0" w:color="000000"/>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1373" w:type="dxa"/>
            <w:tcBorders>
              <w:top w:val="single" w:sz="8" w:space="0" w:color="000000"/>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99%</w:t>
            </w:r>
          </w:p>
        </w:tc>
        <w:tc>
          <w:tcPr>
            <w:tcW w:w="238" w:type="dxa"/>
            <w:tcBorders>
              <w:top w:val="nil" w:sz="6" w:space="0" w:color="auto"/>
              <w:left w:val="nil" w:sz="6" w:space="0" w:color="auto"/>
              <w:bottom w:val="nil" w:sz="6" w:space="0" w:color="auto"/>
              <w:right w:val="nil" w:sz="6" w:space="0" w:color="auto"/>
            </w:tcBorders>
          </w:tcPr>
          <w:p>
            <w:pPr/>
          </w:p>
        </w:tc>
        <w:tc>
          <w:tcPr>
            <w:tcW w:w="1306" w:type="dxa"/>
            <w:tcBorders>
              <w:top w:val="single" w:sz="8" w:space="0" w:color="000000"/>
              <w:left w:val="nil" w:sz="6" w:space="0" w:color="auto"/>
              <w:bottom w:val="nil" w:sz="6" w:space="0" w:color="auto"/>
              <w:right w:val="nil" w:sz="6" w:space="0" w:color="auto"/>
            </w:tcBorders>
          </w:tcPr>
          <w:p>
            <w:pPr>
              <w:pStyle w:val="TableParagraph"/>
              <w:spacing w:line="232" w:lineRule="exact"/>
              <w:ind w:right="290"/>
              <w:jc w:val="right"/>
              <w:rPr>
                <w:rFonts w:ascii="宋体" w:hAnsi="宋体" w:cs="宋体" w:eastAsia="宋体" w:hint="default"/>
                <w:sz w:val="18"/>
                <w:szCs w:val="18"/>
              </w:rPr>
            </w:pPr>
            <w:r>
              <w:rPr>
                <w:rFonts w:ascii="宋体" w:hAnsi="宋体" w:cs="宋体" w:eastAsia="宋体" w:hint="default"/>
                <w:sz w:val="18"/>
                <w:szCs w:val="18"/>
              </w:rPr>
              <w:t>募集资金</w:t>
            </w:r>
          </w:p>
        </w:tc>
      </w:tr>
    </w:tbl>
    <w:p>
      <w:pPr>
        <w:spacing w:line="240" w:lineRule="auto" w:before="9"/>
        <w:rPr>
          <w:rFonts w:ascii="宋体" w:hAnsi="宋体" w:cs="宋体" w:eastAsia="宋体" w:hint="default"/>
          <w:sz w:val="7"/>
          <w:szCs w:val="7"/>
        </w:rPr>
      </w:pPr>
    </w:p>
    <w:p>
      <w:pPr>
        <w:pStyle w:val="BodyText"/>
        <w:spacing w:line="240" w:lineRule="auto" w:before="26"/>
        <w:ind w:left="882" w:right="1285"/>
        <w:jc w:val="left"/>
      </w:pPr>
      <w:r>
        <w:rPr/>
        <w:t>本年增加负数为调整多预计的在建工程支出。</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BodyText"/>
        <w:tabs>
          <w:tab w:pos="1362" w:val="left" w:leader="none"/>
        </w:tabs>
        <w:spacing w:line="240" w:lineRule="auto" w:before="0"/>
        <w:ind w:left="882" w:right="1285"/>
        <w:jc w:val="left"/>
      </w:pPr>
      <w:r>
        <w:rPr/>
        <w:t>⑶</w:t>
        <w:tab/>
        <w:t>重大在建工程的工程进度情况</w:t>
      </w:r>
    </w:p>
    <w:p>
      <w:pPr>
        <w:spacing w:line="240" w:lineRule="auto" w:before="1"/>
        <w:rPr>
          <w:rFonts w:ascii="宋体" w:hAnsi="宋体" w:cs="宋体" w:eastAsia="宋体" w:hint="default"/>
          <w:sz w:val="6"/>
          <w:szCs w:val="6"/>
        </w:rPr>
      </w:pPr>
    </w:p>
    <w:tbl>
      <w:tblPr>
        <w:tblW w:w="0" w:type="auto"/>
        <w:jc w:val="left"/>
        <w:tblInd w:w="388" w:type="dxa"/>
        <w:tblLayout w:type="fixed"/>
        <w:tblCellMar>
          <w:top w:w="0" w:type="dxa"/>
          <w:left w:w="0" w:type="dxa"/>
          <w:bottom w:w="0" w:type="dxa"/>
          <w:right w:w="0" w:type="dxa"/>
        </w:tblCellMar>
        <w:tblLook w:val="01E0"/>
      </w:tblPr>
      <w:tblGrid>
        <w:gridCol w:w="2732"/>
        <w:gridCol w:w="435"/>
        <w:gridCol w:w="3214"/>
        <w:gridCol w:w="283"/>
        <w:gridCol w:w="2451"/>
      </w:tblGrid>
      <w:tr>
        <w:trPr>
          <w:trHeight w:val="261" w:hRule="exact"/>
        </w:trPr>
        <w:tc>
          <w:tcPr>
            <w:tcW w:w="2732"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5"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single" w:sz="8"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283"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single" w:sz="8" w:space="0" w:color="000000"/>
              <w:right w:val="nil" w:sz="6" w:space="0" w:color="auto"/>
            </w:tcBorders>
          </w:tcPr>
          <w:p>
            <w:pPr>
              <w:pStyle w:val="TableParagraph"/>
              <w:spacing w:line="211" w:lineRule="exact"/>
              <w:ind w:left="3"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067" w:hRule="exact"/>
        </w:trPr>
        <w:tc>
          <w:tcPr>
            <w:tcW w:w="2732" w:type="dxa"/>
            <w:tcBorders>
              <w:top w:val="single" w:sz="8" w:space="0" w:color="000000"/>
              <w:left w:val="nil" w:sz="6" w:space="0" w:color="auto"/>
              <w:bottom w:val="nil" w:sz="6" w:space="0" w:color="auto"/>
              <w:right w:val="nil" w:sz="6" w:space="0" w:color="auto"/>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济南临港生产基地（一期）</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435" w:type="dxa"/>
            <w:tcBorders>
              <w:top w:val="nil" w:sz="6" w:space="0" w:color="auto"/>
              <w:left w:val="nil" w:sz="6" w:space="0" w:color="auto"/>
              <w:bottom w:val="nil" w:sz="6" w:space="0" w:color="auto"/>
              <w:right w:val="nil" w:sz="6" w:space="0" w:color="auto"/>
            </w:tcBorders>
          </w:tcPr>
          <w:p>
            <w:pPr/>
          </w:p>
        </w:tc>
        <w:tc>
          <w:tcPr>
            <w:tcW w:w="3214" w:type="dxa"/>
            <w:tcBorders>
              <w:top w:val="single" w:sz="8" w:space="0" w:color="000000"/>
              <w:left w:val="nil" w:sz="6" w:space="0" w:color="auto"/>
              <w:bottom w:val="nil" w:sz="6" w:space="0" w:color="auto"/>
              <w:right w:val="nil" w:sz="6" w:space="0" w:color="auto"/>
            </w:tcBorders>
          </w:tcPr>
          <w:p>
            <w:pPr>
              <w:pStyle w:val="TableParagraph"/>
              <w:spacing w:line="239" w:lineRule="exact"/>
              <w:ind w:left="4" w:right="0"/>
              <w:jc w:val="both"/>
              <w:rPr>
                <w:rFonts w:ascii="宋体" w:hAnsi="宋体" w:cs="宋体" w:eastAsia="宋体" w:hint="default"/>
                <w:sz w:val="21"/>
                <w:szCs w:val="21"/>
              </w:rPr>
            </w:pPr>
            <w:r>
              <w:rPr>
                <w:rFonts w:ascii="宋体" w:hAnsi="宋体" w:cs="宋体" w:eastAsia="宋体" w:hint="default"/>
                <w:spacing w:val="-5"/>
                <w:sz w:val="21"/>
                <w:szCs w:val="21"/>
              </w:rPr>
              <w:t>彩印车间、卡车间、仓库及办公楼</w:t>
            </w:r>
          </w:p>
          <w:p>
            <w:pPr>
              <w:pStyle w:val="TableParagraph"/>
              <w:spacing w:line="237" w:lineRule="auto" w:before="1"/>
              <w:ind w:left="4" w:right="101"/>
              <w:jc w:val="both"/>
              <w:rPr>
                <w:rFonts w:ascii="宋体" w:hAnsi="宋体" w:cs="宋体" w:eastAsia="宋体" w:hint="default"/>
                <w:sz w:val="21"/>
                <w:szCs w:val="21"/>
              </w:rPr>
            </w:pPr>
            <w:r>
              <w:rPr>
                <w:rFonts w:ascii="宋体" w:hAnsi="宋体" w:cs="宋体" w:eastAsia="宋体" w:hint="default"/>
                <w:spacing w:val="-5"/>
                <w:sz w:val="21"/>
                <w:szCs w:val="21"/>
              </w:rPr>
              <w:t>已投入使用并转入固定资产，科研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楼主体全部完工，正在进行收尾工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程，尚不能投入使用。</w:t>
            </w:r>
          </w:p>
        </w:tc>
        <w:tc>
          <w:tcPr>
            <w:tcW w:w="283" w:type="dxa"/>
            <w:tcBorders>
              <w:top w:val="nil" w:sz="6" w:space="0" w:color="auto"/>
              <w:left w:val="nil" w:sz="6" w:space="0" w:color="auto"/>
              <w:bottom w:val="nil" w:sz="6" w:space="0" w:color="auto"/>
              <w:right w:val="nil" w:sz="6" w:space="0" w:color="auto"/>
            </w:tcBorders>
          </w:tcPr>
          <w:p>
            <w:pPr/>
          </w:p>
        </w:tc>
        <w:tc>
          <w:tcPr>
            <w:tcW w:w="2451" w:type="dxa"/>
            <w:tcBorders>
              <w:top w:val="single" w:sz="8" w:space="0" w:color="000000"/>
              <w:left w:val="nil" w:sz="6" w:space="0" w:color="auto"/>
              <w:bottom w:val="nil" w:sz="6" w:space="0" w:color="auto"/>
              <w:right w:val="nil" w:sz="6" w:space="0" w:color="auto"/>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工程进度以工程量为基础</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进行估计</w:t>
            </w:r>
          </w:p>
        </w:tc>
      </w:tr>
    </w:tbl>
    <w:p>
      <w:pPr>
        <w:spacing w:after="0" w:line="273" w:lineRule="exact"/>
        <w:jc w:val="left"/>
        <w:rPr>
          <w:rFonts w:ascii="宋体" w:hAnsi="宋体" w:cs="宋体" w:eastAsia="宋体" w:hint="default"/>
          <w:sz w:val="21"/>
          <w:szCs w:val="21"/>
        </w:rPr>
        <w:sectPr>
          <w:headerReference w:type="default" r:id="rId41"/>
          <w:pgSz w:w="11910" w:h="16840"/>
          <w:pgMar w:header="811" w:footer="956" w:top="1120" w:bottom="1140" w:left="980" w:right="0"/>
        </w:sectPr>
      </w:pPr>
    </w:p>
    <w:p>
      <w:pPr>
        <w:spacing w:line="240" w:lineRule="auto" w:before="8"/>
        <w:rPr>
          <w:rFonts w:ascii="宋体" w:hAnsi="宋体" w:cs="宋体" w:eastAsia="宋体" w:hint="default"/>
          <w:sz w:val="27"/>
          <w:szCs w:val="27"/>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12</w:t>
      </w:r>
      <w:r>
        <w:rPr>
          <w:w w:val="90"/>
        </w:rPr>
        <w:t>、</w:t>
        <w:tab/>
      </w:r>
      <w:r>
        <w:rPr/>
        <w:t>无形资产</w:t>
      </w:r>
      <w:r>
        <w:rPr>
          <w:b w:val="0"/>
          <w:bCs w:val="0"/>
        </w:rPr>
      </w:r>
    </w:p>
    <w:p>
      <w:pPr>
        <w:pStyle w:val="BodyText"/>
        <w:tabs>
          <w:tab w:pos="1362" w:val="left" w:leader="none"/>
        </w:tabs>
        <w:spacing w:line="240" w:lineRule="auto" w:before="210"/>
        <w:ind w:left="882" w:right="1285"/>
        <w:jc w:val="left"/>
      </w:pPr>
      <w:r>
        <w:rPr/>
        <w:t>⑴</w:t>
        <w:tab/>
        <w:t>无形资产情况</w:t>
      </w:r>
    </w:p>
    <w:p>
      <w:pPr>
        <w:spacing w:line="240" w:lineRule="auto" w:before="11"/>
        <w:rPr>
          <w:rFonts w:ascii="宋体" w:hAnsi="宋体" w:cs="宋体" w:eastAsia="宋体" w:hint="default"/>
          <w:sz w:val="8"/>
          <w:szCs w:val="8"/>
        </w:rPr>
      </w:pPr>
    </w:p>
    <w:tbl>
      <w:tblPr>
        <w:tblW w:w="0" w:type="auto"/>
        <w:jc w:val="left"/>
        <w:tblInd w:w="388" w:type="dxa"/>
        <w:tblLayout w:type="fixed"/>
        <w:tblCellMar>
          <w:top w:w="0" w:type="dxa"/>
          <w:left w:w="0" w:type="dxa"/>
          <w:bottom w:w="0" w:type="dxa"/>
          <w:right w:w="0" w:type="dxa"/>
        </w:tblCellMar>
        <w:tblLook w:val="01E0"/>
      </w:tblPr>
      <w:tblGrid>
        <w:gridCol w:w="2114"/>
        <w:gridCol w:w="235"/>
        <w:gridCol w:w="1582"/>
        <w:gridCol w:w="235"/>
        <w:gridCol w:w="1476"/>
        <w:gridCol w:w="238"/>
        <w:gridCol w:w="1418"/>
        <w:gridCol w:w="238"/>
        <w:gridCol w:w="1582"/>
      </w:tblGrid>
      <w:tr>
        <w:trPr>
          <w:trHeight w:val="251" w:hRule="exact"/>
        </w:trPr>
        <w:tc>
          <w:tcPr>
            <w:tcW w:w="2114"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11" w:lineRule="exact"/>
              <w:ind w:left="47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8" w:space="0" w:color="000000"/>
              <w:right w:val="nil" w:sz="6" w:space="0" w:color="auto"/>
            </w:tcBorders>
          </w:tcPr>
          <w:p>
            <w:pPr>
              <w:pStyle w:val="TableParagraph"/>
              <w:spacing w:line="211" w:lineRule="exact"/>
              <w:ind w:left="31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Style w:val="TableParagraph"/>
              <w:spacing w:line="211" w:lineRule="exact"/>
              <w:ind w:left="290"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11" w:lineRule="exact"/>
              <w:ind w:left="47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34" w:hRule="exact"/>
        </w:trPr>
        <w:tc>
          <w:tcPr>
            <w:tcW w:w="2114" w:type="dxa"/>
            <w:tcBorders>
              <w:top w:val="single" w:sz="8" w:space="0" w:color="000000"/>
              <w:left w:val="nil" w:sz="6" w:space="0" w:color="auto"/>
              <w:bottom w:val="nil" w:sz="6" w:space="0" w:color="auto"/>
              <w:right w:val="nil" w:sz="6" w:space="0" w:color="auto"/>
            </w:tcBorders>
          </w:tcPr>
          <w:p>
            <w:pPr>
              <w:pStyle w:val="TableParagraph"/>
              <w:spacing w:line="305"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一、账面原值合计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100"/>
              <w:jc w:val="right"/>
              <w:rPr>
                <w:rFonts w:ascii="宋体" w:hAnsi="宋体" w:cs="宋体" w:eastAsia="宋体" w:hint="default"/>
                <w:sz w:val="21"/>
                <w:szCs w:val="21"/>
              </w:rPr>
            </w:pPr>
            <w:r>
              <w:rPr>
                <w:rFonts w:ascii="宋体"/>
                <w:spacing w:val="-1"/>
                <w:sz w:val="21"/>
              </w:rPr>
              <w:t>75,735,621.80</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101"/>
              <w:jc w:val="right"/>
              <w:rPr>
                <w:rFonts w:ascii="宋体" w:hAnsi="宋体" w:cs="宋体" w:eastAsia="宋体" w:hint="default"/>
                <w:sz w:val="21"/>
                <w:szCs w:val="21"/>
              </w:rPr>
            </w:pPr>
            <w:r>
              <w:rPr>
                <w:rFonts w:ascii="宋体"/>
                <w:spacing w:val="-1"/>
                <w:sz w:val="21"/>
              </w:rPr>
              <w:t>795,659.83</w:t>
            </w: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261" w:right="0"/>
              <w:jc w:val="left"/>
              <w:rPr>
                <w:rFonts w:ascii="宋体" w:hAnsi="宋体" w:cs="宋体" w:eastAsia="宋体" w:hint="default"/>
                <w:sz w:val="21"/>
                <w:szCs w:val="21"/>
              </w:rPr>
            </w:pPr>
            <w:r>
              <w:rPr>
                <w:rFonts w:ascii="宋体"/>
                <w:sz w:val="21"/>
              </w:rPr>
              <w:t>147,554.08</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76,383,727.55</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0"/>
              <w:jc w:val="right"/>
              <w:rPr>
                <w:rFonts w:ascii="宋体" w:hAnsi="宋体" w:cs="宋体" w:eastAsia="宋体" w:hint="default"/>
                <w:sz w:val="21"/>
                <w:szCs w:val="21"/>
              </w:rPr>
            </w:pPr>
            <w:r>
              <w:rPr>
                <w:rFonts w:ascii="宋体"/>
                <w:spacing w:val="-1"/>
                <w:sz w:val="21"/>
              </w:rPr>
              <w:t>69,070,188.45</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261" w:right="0"/>
              <w:jc w:val="left"/>
              <w:rPr>
                <w:rFonts w:ascii="宋体" w:hAnsi="宋体" w:cs="宋体" w:eastAsia="宋体" w:hint="default"/>
                <w:sz w:val="21"/>
                <w:szCs w:val="21"/>
              </w:rPr>
            </w:pPr>
            <w:r>
              <w:rPr>
                <w:rFonts w:ascii="宋体"/>
                <w:sz w:val="21"/>
              </w:rPr>
              <w:t>147,554.08</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68,922,634.37</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5,216,545.80</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795,659.83</w:t>
            </w: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6,012,205.63</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800,000.00</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800,000.00</w:t>
            </w:r>
          </w:p>
        </w:tc>
      </w:tr>
      <w:tr>
        <w:trPr>
          <w:trHeight w:val="448"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648,887.55</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648,887.55</w:t>
            </w:r>
          </w:p>
        </w:tc>
      </w:tr>
      <w:tr>
        <w:trPr>
          <w:trHeight w:val="43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二、累计摊销合计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100"/>
              <w:jc w:val="right"/>
              <w:rPr>
                <w:rFonts w:ascii="宋体" w:hAnsi="宋体" w:cs="宋体" w:eastAsia="宋体" w:hint="default"/>
                <w:sz w:val="21"/>
                <w:szCs w:val="21"/>
              </w:rPr>
            </w:pPr>
            <w:r>
              <w:rPr>
                <w:rFonts w:ascii="宋体"/>
                <w:spacing w:val="-1"/>
                <w:sz w:val="21"/>
              </w:rPr>
              <w:t>12,226,510.76</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1,803,689.65</w:t>
            </w: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left="261" w:right="0"/>
              <w:jc w:val="left"/>
              <w:rPr>
                <w:rFonts w:ascii="宋体" w:hAnsi="宋体" w:cs="宋体" w:eastAsia="宋体" w:hint="default"/>
                <w:sz w:val="21"/>
                <w:szCs w:val="21"/>
              </w:rPr>
            </w:pPr>
            <w:r>
              <w:rPr>
                <w:rFonts w:ascii="宋体"/>
                <w:sz w:val="21"/>
              </w:rPr>
              <w:t>147,554.08</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13,882,646.33</w:t>
            </w:r>
          </w:p>
        </w:tc>
      </w:tr>
      <w:tr>
        <w:trPr>
          <w:trHeight w:val="340"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100"/>
              <w:jc w:val="right"/>
              <w:rPr>
                <w:rFonts w:ascii="宋体" w:hAnsi="宋体" w:cs="宋体" w:eastAsia="宋体" w:hint="default"/>
                <w:sz w:val="21"/>
                <w:szCs w:val="21"/>
              </w:rPr>
            </w:pPr>
            <w:r>
              <w:rPr>
                <w:rFonts w:ascii="宋体"/>
                <w:spacing w:val="-1"/>
                <w:sz w:val="21"/>
              </w:rPr>
              <w:t>7,327,040.11</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1,371,145.70</w:t>
            </w: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261" w:right="0"/>
              <w:jc w:val="left"/>
              <w:rPr>
                <w:rFonts w:ascii="宋体" w:hAnsi="宋体" w:cs="宋体" w:eastAsia="宋体" w:hint="default"/>
                <w:sz w:val="21"/>
                <w:szCs w:val="21"/>
              </w:rPr>
            </w:pPr>
            <w:r>
              <w:rPr>
                <w:rFonts w:ascii="宋体"/>
                <w:sz w:val="21"/>
              </w:rPr>
              <w:t>147,554.08</w:t>
            </w: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8,550,631.73</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4,012,320.75</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432,543.95</w:t>
            </w: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4,444,864.70</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800,000.00</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800,000.00</w:t>
            </w:r>
          </w:p>
        </w:tc>
      </w:tr>
      <w:tr>
        <w:trPr>
          <w:trHeight w:val="44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87,149.90</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87,149.90</w:t>
            </w:r>
          </w:p>
        </w:tc>
      </w:tr>
      <w:tr>
        <w:trPr>
          <w:trHeight w:val="438"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三、账面净值合计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123"/>
              <w:ind w:right="100"/>
              <w:jc w:val="right"/>
              <w:rPr>
                <w:rFonts w:ascii="宋体" w:hAnsi="宋体" w:cs="宋体" w:eastAsia="宋体" w:hint="default"/>
                <w:sz w:val="21"/>
                <w:szCs w:val="21"/>
              </w:rPr>
            </w:pPr>
            <w:r>
              <w:rPr>
                <w:rFonts w:ascii="宋体"/>
                <w:spacing w:val="-1"/>
                <w:sz w:val="21"/>
              </w:rPr>
              <w:t>63,509,111.04</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123"/>
              <w:ind w:right="103"/>
              <w:jc w:val="right"/>
              <w:rPr>
                <w:rFonts w:ascii="宋体" w:hAnsi="宋体" w:cs="宋体" w:eastAsia="宋体" w:hint="default"/>
                <w:sz w:val="21"/>
                <w:szCs w:val="21"/>
              </w:rPr>
            </w:pPr>
            <w:r>
              <w:rPr>
                <w:rFonts w:ascii="宋体"/>
                <w:spacing w:val="-1"/>
                <w:sz w:val="21"/>
              </w:rPr>
              <w:t>62,501,081.22</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0"/>
              <w:jc w:val="right"/>
              <w:rPr>
                <w:rFonts w:ascii="宋体" w:hAnsi="宋体" w:cs="宋体" w:eastAsia="宋体" w:hint="default"/>
                <w:sz w:val="21"/>
                <w:szCs w:val="21"/>
              </w:rPr>
            </w:pPr>
            <w:r>
              <w:rPr>
                <w:rFonts w:ascii="宋体"/>
                <w:spacing w:val="-1"/>
                <w:sz w:val="21"/>
              </w:rPr>
              <w:t>61,743,148.34</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60,372,002.64</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1,204,225.05</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1,567,340.93</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1"/>
                <w:szCs w:val="21"/>
              </w:rPr>
            </w:pPr>
            <w:r>
              <w:rPr>
                <w:rFonts w:ascii="宋体"/>
                <w:w w:val="100"/>
                <w:sz w:val="21"/>
              </w:rPr>
              <w:t>-</w:t>
            </w:r>
          </w:p>
        </w:tc>
      </w:tr>
      <w:tr>
        <w:trPr>
          <w:trHeight w:val="44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561,737.65</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561,737.65</w:t>
            </w:r>
          </w:p>
        </w:tc>
      </w:tr>
      <w:tr>
        <w:trPr>
          <w:trHeight w:val="438"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四、减值准备合计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123"/>
              <w:ind w:right="107"/>
              <w:jc w:val="right"/>
              <w:rPr>
                <w:rFonts w:ascii="宋体" w:hAnsi="宋体" w:cs="宋体" w:eastAsia="宋体" w:hint="default"/>
                <w:sz w:val="21"/>
                <w:szCs w:val="21"/>
              </w:rPr>
            </w:pPr>
            <w:r>
              <w:rPr>
                <w:rFonts w:ascii="宋体"/>
                <w:w w:val="100"/>
                <w:sz w:val="21"/>
              </w:rPr>
              <w:t>-</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宋体" w:hAnsi="宋体" w:cs="宋体" w:eastAsia="宋体" w:hint="default"/>
                <w:sz w:val="21"/>
                <w:szCs w:val="21"/>
              </w:rPr>
            </w:pPr>
            <w:r>
              <w:rPr>
                <w:rFonts w:ascii="宋体" w:hAnsi="宋体" w:cs="宋体" w:eastAsia="宋体" w:hint="default"/>
                <w:spacing w:val="-1"/>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44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438"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五、账面价值合计</w:t>
            </w:r>
            <w:r>
              <w:rPr>
                <w:rFonts w:ascii="Microsoft JhengHei" w:hAnsi="Microsoft JhengHei" w:cs="Microsoft JhengHei" w:eastAsia="Microsoft JhengHei"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123"/>
              <w:ind w:right="100"/>
              <w:jc w:val="right"/>
              <w:rPr>
                <w:rFonts w:ascii="宋体" w:hAnsi="宋体" w:cs="宋体" w:eastAsia="宋体" w:hint="default"/>
                <w:sz w:val="21"/>
                <w:szCs w:val="21"/>
              </w:rPr>
            </w:pPr>
            <w:r>
              <w:rPr>
                <w:rFonts w:ascii="宋体"/>
                <w:spacing w:val="-1"/>
                <w:sz w:val="21"/>
              </w:rPr>
              <w:t>63,509,111.04</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123"/>
              <w:ind w:right="103"/>
              <w:jc w:val="right"/>
              <w:rPr>
                <w:rFonts w:ascii="宋体" w:hAnsi="宋体" w:cs="宋体" w:eastAsia="宋体" w:hint="default"/>
                <w:sz w:val="21"/>
                <w:szCs w:val="21"/>
              </w:rPr>
            </w:pPr>
            <w:r>
              <w:rPr>
                <w:rFonts w:ascii="宋体"/>
                <w:spacing w:val="-1"/>
                <w:sz w:val="21"/>
              </w:rPr>
              <w:t>62,501,081.22</w:t>
            </w:r>
          </w:p>
        </w:tc>
      </w:tr>
      <w:tr>
        <w:trPr>
          <w:trHeight w:val="34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22" w:right="0"/>
              <w:jc w:val="left"/>
              <w:rPr>
                <w:rFonts w:ascii="宋体" w:hAnsi="宋体" w:cs="宋体" w:eastAsia="宋体" w:hint="default"/>
                <w:sz w:val="21"/>
                <w:szCs w:val="21"/>
              </w:rPr>
            </w:pPr>
            <w:r>
              <w:rPr>
                <w:rFonts w:ascii="宋体" w:hAnsi="宋体" w:cs="宋体" w:eastAsia="宋体" w:hint="default"/>
                <w:sz w:val="21"/>
                <w:szCs w:val="21"/>
              </w:rPr>
              <w:t>土地房屋使用权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0"/>
              <w:jc w:val="right"/>
              <w:rPr>
                <w:rFonts w:ascii="宋体" w:hAnsi="宋体" w:cs="宋体" w:eastAsia="宋体" w:hint="default"/>
                <w:sz w:val="21"/>
                <w:szCs w:val="21"/>
              </w:rPr>
            </w:pPr>
            <w:r>
              <w:rPr>
                <w:rFonts w:ascii="宋体"/>
                <w:spacing w:val="-1"/>
                <w:sz w:val="21"/>
              </w:rPr>
              <w:t>61,743,148.34</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60,372,002.64</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软件使用费</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1,204,225.05</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1,567,340.93</w:t>
            </w: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1"/>
                <w:szCs w:val="21"/>
              </w:rPr>
            </w:pPr>
            <w:r>
              <w:rPr>
                <w:rFonts w:ascii="宋体"/>
                <w:w w:val="100"/>
                <w:sz w:val="21"/>
              </w:rPr>
              <w:t>-</w:t>
            </w:r>
          </w:p>
        </w:tc>
      </w:tr>
      <w:tr>
        <w:trPr>
          <w:trHeight w:val="26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1" w:lineRule="exact"/>
              <w:ind w:left="42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561,737.65</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561,737.65</w:t>
            </w:r>
          </w:p>
        </w:tc>
      </w:tr>
    </w:tbl>
    <w:p>
      <w:pPr>
        <w:spacing w:before="69"/>
        <w:ind w:left="882" w:right="1285" w:firstLine="0"/>
        <w:jc w:val="left"/>
        <w:rPr>
          <w:rFonts w:ascii="宋体" w:hAnsi="宋体" w:cs="宋体" w:eastAsia="宋体" w:hint="default"/>
          <w:sz w:val="24"/>
          <w:szCs w:val="24"/>
        </w:rPr>
      </w:pPr>
      <w:r>
        <w:rPr>
          <w:rFonts w:ascii="宋体" w:hAnsi="宋体" w:cs="宋体" w:eastAsia="宋体" w:hint="default"/>
          <w:sz w:val="24"/>
          <w:szCs w:val="24"/>
        </w:rPr>
        <w:t>注：本期摊销金额为</w:t>
      </w:r>
      <w:r>
        <w:rPr>
          <w:rFonts w:ascii="宋体" w:hAnsi="宋体" w:cs="宋体" w:eastAsia="宋体" w:hint="default"/>
          <w:spacing w:val="-60"/>
          <w:sz w:val="24"/>
          <w:szCs w:val="24"/>
        </w:rPr>
        <w:t> </w:t>
      </w:r>
      <w:r>
        <w:rPr>
          <w:rFonts w:ascii="宋体" w:hAnsi="宋体" w:cs="宋体" w:eastAsia="宋体" w:hint="default"/>
          <w:sz w:val="21"/>
          <w:szCs w:val="21"/>
        </w:rPr>
        <w:t>1,803,689.65</w:t>
      </w:r>
      <w:r>
        <w:rPr>
          <w:rFonts w:ascii="宋体" w:hAnsi="宋体" w:cs="宋体" w:eastAsia="宋体" w:hint="default"/>
          <w:spacing w:val="-53"/>
          <w:sz w:val="21"/>
          <w:szCs w:val="21"/>
        </w:rPr>
        <w:t> </w:t>
      </w:r>
      <w:r>
        <w:rPr>
          <w:rFonts w:ascii="宋体" w:hAnsi="宋体" w:cs="宋体" w:eastAsia="宋体" w:hint="default"/>
          <w:sz w:val="24"/>
          <w:szCs w:val="24"/>
        </w:rPr>
        <w:t>元。</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11" w:footer="956" w:top="1120" w:bottom="1140" w:left="980" w:right="0"/>
        </w:sectPr>
      </w:pPr>
    </w:p>
    <w:p>
      <w:pPr>
        <w:pStyle w:val="Heading3"/>
        <w:tabs>
          <w:tab w:pos="1782" w:val="left" w:leader="none"/>
        </w:tabs>
        <w:spacing w:line="367" w:lineRule="exact"/>
        <w:ind w:right="-20"/>
        <w:jc w:val="left"/>
        <w:rPr>
          <w:b w:val="0"/>
          <w:bCs w:val="0"/>
        </w:rPr>
      </w:pPr>
      <w:r>
        <w:rPr>
          <w:rFonts w:ascii="Trebuchet MS" w:hAnsi="Trebuchet MS" w:cs="Trebuchet MS" w:eastAsia="Trebuchet MS" w:hint="default"/>
          <w:w w:val="90"/>
        </w:rPr>
        <w:t>13</w:t>
      </w:r>
      <w:r>
        <w:rPr>
          <w:w w:val="90"/>
        </w:rPr>
        <w:t>、</w:t>
        <w:tab/>
      </w:r>
      <w:r>
        <w:rPr/>
        <w:t>开发项目支出</w:t>
      </w:r>
      <w:r>
        <w:rPr>
          <w:b w:val="0"/>
          <w:bCs w:val="0"/>
        </w:rPr>
      </w:r>
    </w:p>
    <w:p>
      <w:pPr>
        <w:spacing w:line="240" w:lineRule="auto" w:before="10"/>
        <w:rPr>
          <w:rFonts w:ascii="Microsoft JhengHei" w:hAnsi="Microsoft JhengHei" w:cs="Microsoft JhengHei" w:eastAsia="Microsoft JhengHei" w:hint="default"/>
          <w:b/>
          <w:bCs/>
          <w:sz w:val="15"/>
          <w:szCs w:val="15"/>
        </w:rPr>
      </w:pPr>
    </w:p>
    <w:p>
      <w:pPr>
        <w:tabs>
          <w:tab w:pos="3314" w:val="left" w:leader="none"/>
          <w:tab w:pos="4677" w:val="left" w:leader="none"/>
        </w:tabs>
        <w:spacing w:before="0"/>
        <w:ind w:left="1372" w:right="-20" w:firstLine="0"/>
        <w:jc w:val="left"/>
        <w:rPr>
          <w:rFonts w:ascii="宋体" w:hAnsi="宋体" w:cs="宋体" w:eastAsia="宋体" w:hint="default"/>
          <w:sz w:val="18"/>
          <w:szCs w:val="18"/>
        </w:rPr>
      </w:pPr>
      <w:r>
        <w:rPr>
          <w:rFonts w:ascii="宋体" w:hAnsi="宋体" w:cs="宋体" w:eastAsia="宋体" w:hint="default"/>
          <w:sz w:val="18"/>
          <w:szCs w:val="18"/>
        </w:rPr>
        <w:t>项  目</w:t>
        <w:tab/>
        <w:t>年初数</w:t>
        <w:tab/>
        <w:t>本年增加</w:t>
      </w:r>
    </w:p>
    <w:p>
      <w:pPr>
        <w:spacing w:line="240" w:lineRule="auto" w:before="2"/>
        <w:rPr>
          <w:rFonts w:ascii="宋体" w:hAnsi="宋体" w:cs="宋体" w:eastAsia="宋体" w:hint="default"/>
          <w:sz w:val="14"/>
          <w:szCs w:val="14"/>
        </w:rPr>
      </w:pPr>
      <w:r>
        <w:rPr/>
        <w:br w:type="column"/>
      </w:r>
      <w:r>
        <w:rPr>
          <w:rFonts w:ascii="宋体"/>
          <w:sz w:val="14"/>
        </w:rPr>
      </w:r>
    </w:p>
    <w:p>
      <w:pPr>
        <w:spacing w:line="480" w:lineRule="atLeast" w:before="0"/>
        <w:ind w:left="481" w:right="-20" w:firstLine="722"/>
        <w:jc w:val="left"/>
        <w:rPr>
          <w:rFonts w:ascii="宋体" w:hAnsi="宋体" w:cs="宋体" w:eastAsia="宋体" w:hint="default"/>
          <w:sz w:val="18"/>
          <w:szCs w:val="18"/>
        </w:rPr>
      </w:pPr>
      <w:r>
        <w:rPr/>
        <w:pict>
          <v:group style="position:absolute;margin-left:340.75pt;margin-top:25.374359pt;width:116.55pt;height:1pt;mso-position-horizontal-relative:page;mso-position-vertical-relative:paragraph;z-index:-746608" coordorigin="6815,507" coordsize="2331,20">
            <v:group style="position:absolute;left:6825;top:517;width:1227;height:2" coordorigin="6825,517" coordsize="1227,2">
              <v:shape style="position:absolute;left:6825;top:517;width:1227;height:2" coordorigin="6825,517" coordsize="1227,0" path="m6825,517l8051,517e" filled="false" stroked="true" strokeweight=".96002pt" strokecolor="#000000">
                <v:path arrowok="t"/>
              </v:shape>
            </v:group>
            <v:group style="position:absolute;left:8051;top:517;width:20;height:2" coordorigin="8051,517" coordsize="20,2">
              <v:shape style="position:absolute;left:8051;top:517;width:20;height:2" coordorigin="8051,517" coordsize="20,0" path="m8051,517l8070,517e" filled="false" stroked="true" strokeweight=".96002pt" strokecolor="#000000">
                <v:path arrowok="t"/>
              </v:shape>
            </v:group>
            <v:group style="position:absolute;left:8070;top:517;width:202;height:2" coordorigin="8070,517" coordsize="202,2">
              <v:shape style="position:absolute;left:8070;top:517;width:202;height:2" coordorigin="8070,517" coordsize="202,0" path="m8070,517l8272,517e" filled="false" stroked="true" strokeweight=".96002pt" strokecolor="#000000">
                <v:path arrowok="t"/>
              </v:shape>
            </v:group>
            <v:group style="position:absolute;left:8272;top:517;width:20;height:2" coordorigin="8272,517" coordsize="20,2">
              <v:shape style="position:absolute;left:8272;top:517;width:20;height:2" coordorigin="8272,517" coordsize="20,0" path="m8272,517l8291,517e" filled="false" stroked="true" strokeweight=".96002pt" strokecolor="#000000">
                <v:path arrowok="t"/>
              </v:shape>
            </v:group>
            <v:group style="position:absolute;left:8291;top:517;width:846;height:2" coordorigin="8291,517" coordsize="846,2">
              <v:shape style="position:absolute;left:8291;top:517;width:846;height:2" coordorigin="8291,517" coordsize="846,0" path="m8291,517l9136,517e" filled="false" stroked="true" strokeweight=".96002pt" strokecolor="#000000">
                <v:path arrowok="t"/>
              </v:shape>
            </v:group>
            <w10:wrap type="none"/>
          </v:group>
        </w:pict>
      </w:r>
      <w:r>
        <w:rPr>
          <w:rFonts w:ascii="宋体" w:hAnsi="宋体" w:cs="宋体" w:eastAsia="宋体" w:hint="default"/>
          <w:sz w:val="18"/>
          <w:szCs w:val="18"/>
        </w:rPr>
        <w:t>本年减少 计入当期损益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spacing w:line="234" w:lineRule="exact" w:before="0"/>
        <w:ind w:left="-38" w:right="0" w:firstLine="0"/>
        <w:jc w:val="left"/>
        <w:rPr>
          <w:rFonts w:ascii="宋体" w:hAnsi="宋体" w:cs="宋体" w:eastAsia="宋体" w:hint="default"/>
          <w:sz w:val="18"/>
          <w:szCs w:val="18"/>
        </w:rPr>
      </w:pPr>
      <w:r>
        <w:rPr>
          <w:rFonts w:ascii="宋体" w:hAnsi="宋体" w:cs="宋体" w:eastAsia="宋体" w:hint="default"/>
          <w:sz w:val="18"/>
          <w:szCs w:val="18"/>
        </w:rPr>
        <w:t>确认为无</w:t>
      </w:r>
    </w:p>
    <w:p>
      <w:pPr>
        <w:tabs>
          <w:tab w:pos="1335" w:val="left" w:leader="none"/>
        </w:tabs>
        <w:spacing w:line="234" w:lineRule="exact" w:before="0"/>
        <w:ind w:left="51" w:right="0" w:firstLine="0"/>
        <w:jc w:val="left"/>
        <w:rPr>
          <w:rFonts w:ascii="宋体" w:hAnsi="宋体" w:cs="宋体" w:eastAsia="宋体" w:hint="default"/>
          <w:sz w:val="18"/>
          <w:szCs w:val="18"/>
        </w:rPr>
      </w:pPr>
      <w:r>
        <w:rPr>
          <w:rFonts w:ascii="宋体" w:hAnsi="宋体" w:cs="宋体" w:eastAsia="宋体" w:hint="default"/>
          <w:sz w:val="18"/>
          <w:szCs w:val="18"/>
        </w:rPr>
        <w:t>形资产</w:t>
        <w:tab/>
        <w:t>年末数</w:t>
      </w:r>
    </w:p>
    <w:p>
      <w:pPr>
        <w:spacing w:after="0" w:line="234" w:lineRule="exact"/>
        <w:jc w:val="left"/>
        <w:rPr>
          <w:rFonts w:ascii="宋体" w:hAnsi="宋体" w:cs="宋体" w:eastAsia="宋体" w:hint="default"/>
          <w:sz w:val="18"/>
          <w:szCs w:val="18"/>
        </w:rPr>
        <w:sectPr>
          <w:type w:val="continuous"/>
          <w:pgSz w:w="11910" w:h="16840"/>
          <w:pgMar w:top="700" w:bottom="0" w:left="980" w:right="0"/>
          <w:cols w:num="3" w:equalWidth="0">
            <w:col w:w="5398" w:space="40"/>
            <w:col w:w="1924" w:space="40"/>
            <w:col w:w="3528"/>
          </w:cols>
        </w:sectPr>
      </w:pPr>
    </w:p>
    <w:p>
      <w:pPr>
        <w:spacing w:line="240" w:lineRule="auto" w:before="1"/>
        <w:rPr>
          <w:rFonts w:ascii="宋体" w:hAnsi="宋体" w:cs="宋体" w:eastAsia="宋体" w:hint="default"/>
          <w:sz w:val="2"/>
          <w:szCs w:val="2"/>
        </w:rPr>
      </w:pPr>
    </w:p>
    <w:p>
      <w:pPr>
        <w:tabs>
          <w:tab w:pos="3033" w:val="left" w:leader="none"/>
          <w:tab w:pos="4337" w:val="left" w:leader="none"/>
          <w:tab w:pos="7282" w:val="left" w:leader="none"/>
          <w:tab w:pos="8370" w:val="left" w:leader="none"/>
        </w:tabs>
        <w:spacing w:line="20" w:lineRule="exact"/>
        <w:ind w:left="455" w:right="0" w:firstLine="0"/>
        <w:rPr>
          <w:rFonts w:ascii="宋体" w:hAnsi="宋体" w:cs="宋体" w:eastAsia="宋体" w:hint="default"/>
          <w:sz w:val="2"/>
          <w:szCs w:val="2"/>
        </w:rPr>
      </w:pPr>
      <w:r>
        <w:rPr>
          <w:rFonts w:ascii="宋体"/>
          <w:sz w:val="2"/>
        </w:rPr>
        <w:pict>
          <v:group style="width:118.85pt;height:1pt;mso-position-horizontal-relative:char;mso-position-vertical-relative:line" coordorigin="0,0" coordsize="2377,20">
            <v:group style="position:absolute;left:10;top:10;width:2358;height:2" coordorigin="10,10" coordsize="2358,2">
              <v:shape style="position:absolute;left:10;top:10;width:2358;height:2" coordorigin="10,10" coordsize="2358,0" path="m10,10l2367,10e" filled="false" stroked="true" strokeweight=".96002pt" strokecolor="#000000">
                <v:path arrowok="t"/>
              </v:shape>
            </v:group>
          </v:group>
        </w:pict>
      </w:r>
      <w:r>
        <w:rPr>
          <w:rFonts w:ascii="宋体"/>
          <w:sz w:val="2"/>
        </w:rPr>
      </w:r>
      <w:r>
        <w:rPr>
          <w:rFonts w:ascii="宋体"/>
          <w:sz w:val="2"/>
        </w:rPr>
        <w:tab/>
      </w:r>
      <w:r>
        <w:rPr>
          <w:rFonts w:ascii="宋体"/>
          <w:sz w:val="2"/>
        </w:rPr>
        <w:pict>
          <v:group style="width:55pt;height:1pt;mso-position-horizontal-relative:char;mso-position-vertical-relative:line" coordorigin="0,0" coordsize="1100,20">
            <v:group style="position:absolute;left:10;top:10;width:1080;height:2" coordorigin="10,10" coordsize="1080,2">
              <v:shape style="position:absolute;left:10;top:10;width:1080;height:2" coordorigin="10,10" coordsize="1080,0" path="m10,10l1090,10e" filled="false" stroked="true" strokeweight=".96002pt" strokecolor="#000000">
                <v:path arrowok="t"/>
              </v:shape>
            </v:group>
          </v:group>
        </w:pict>
      </w:r>
      <w:r>
        <w:rPr>
          <w:rFonts w:ascii="宋体"/>
          <w:sz w:val="2"/>
        </w:rPr>
      </w:r>
      <w:r>
        <w:rPr>
          <w:rFonts w:ascii="宋体"/>
          <w:sz w:val="2"/>
        </w:rPr>
        <w:tab/>
      </w:r>
      <w:r>
        <w:rPr>
          <w:rFonts w:ascii="宋体"/>
          <w:sz w:val="2"/>
        </w:rPr>
        <w:pict>
          <v:group style="width:70.25pt;height:1pt;mso-position-horizontal-relative:char;mso-position-vertical-relative:line" coordorigin="0,0" coordsize="1405,20">
            <v:group style="position:absolute;left:10;top:10;width:1386;height:2" coordorigin="10,10" coordsize="1386,2">
              <v:shape style="position:absolute;left:10;top:10;width:1386;height:2" coordorigin="10,10" coordsize="1386,0" path="m10,10l1395,10e" filled="false" stroked="true" strokeweight=".96002pt" strokecolor="#000000">
                <v:path arrowok="t"/>
              </v:shape>
            </v:group>
          </v:group>
        </w:pict>
      </w:r>
      <w:r>
        <w:rPr>
          <w:rFonts w:ascii="宋体"/>
          <w:sz w:val="2"/>
        </w:rPr>
      </w:r>
      <w:r>
        <w:rPr>
          <w:rFonts w:ascii="Times New Roman"/>
          <w:spacing w:val="90"/>
          <w:sz w:val="2"/>
        </w:rPr>
        <w:t> </w:t>
      </w:r>
      <w:r>
        <w:rPr>
          <w:rFonts w:ascii="宋体"/>
          <w:spacing w:val="90"/>
          <w:sz w:val="2"/>
        </w:rPr>
        <w:pict>
          <v:group style="width:62.3pt;height:1pt;mso-position-horizontal-relative:char;mso-position-vertical-relative:line" coordorigin="0,0" coordsize="1246,20">
            <v:group style="position:absolute;left:10;top:10;width:1227;height:2" coordorigin="10,10" coordsize="1227,2">
              <v:shape style="position:absolute;left:10;top:10;width:1227;height:2" coordorigin="10,10" coordsize="1227,0" path="m10,10l1236,10e" filled="false" stroked="true" strokeweight=".96002pt" strokecolor="#000000">
                <v:path arrowok="t"/>
              </v:shape>
            </v:group>
          </v:group>
        </w:pict>
      </w:r>
      <w:r>
        <w:rPr>
          <w:rFonts w:ascii="宋体"/>
          <w:spacing w:val="90"/>
          <w:sz w:val="2"/>
        </w:rPr>
      </w:r>
      <w:r>
        <w:rPr>
          <w:rFonts w:ascii="宋体"/>
          <w:spacing w:val="90"/>
          <w:sz w:val="2"/>
        </w:rPr>
        <w:tab/>
      </w:r>
      <w:r>
        <w:rPr>
          <w:rFonts w:ascii="宋体"/>
          <w:spacing w:val="90"/>
          <w:sz w:val="2"/>
        </w:rPr>
        <w:pict>
          <v:group style="width:44.2pt;height:1pt;mso-position-horizontal-relative:char;mso-position-vertical-relative:line" coordorigin="0,0" coordsize="884,20">
            <v:group style="position:absolute;left:10;top:10;width:865;height:2" coordorigin="10,10" coordsize="865,2">
              <v:shape style="position:absolute;left:10;top:10;width:865;height:2" coordorigin="10,10" coordsize="865,0" path="m10,10l874,10e" filled="false" stroked="true" strokeweight=".96002pt" strokecolor="#000000">
                <v:path arrowok="t"/>
              </v:shape>
            </v:group>
          </v:group>
        </w:pict>
      </w:r>
      <w:r>
        <w:rPr>
          <w:rFonts w:ascii="宋体"/>
          <w:spacing w:val="90"/>
          <w:sz w:val="2"/>
        </w:rPr>
      </w:r>
      <w:r>
        <w:rPr>
          <w:rFonts w:ascii="宋体"/>
          <w:spacing w:val="90"/>
          <w:sz w:val="2"/>
        </w:rPr>
        <w:tab/>
      </w:r>
      <w:r>
        <w:rPr>
          <w:rFonts w:ascii="宋体"/>
          <w:spacing w:val="90"/>
          <w:sz w:val="2"/>
        </w:rPr>
        <w:pict>
          <v:group style="width:59.3pt;height:1pt;mso-position-horizontal-relative:char;mso-position-vertical-relative:line" coordorigin="0,0" coordsize="1186,20">
            <v:group style="position:absolute;left:10;top:10;width:1167;height:2" coordorigin="10,10" coordsize="1167,2">
              <v:shape style="position:absolute;left:10;top:10;width:1167;height:2" coordorigin="10,10" coordsize="1167,0" path="m10,10l1176,10e" filled="false" stroked="true" strokeweight=".96002pt" strokecolor="#000000">
                <v:path arrowok="t"/>
              </v:shape>
            </v:group>
          </v:group>
        </w:pict>
      </w:r>
      <w:r>
        <w:rPr>
          <w:rFonts w:ascii="宋体"/>
          <w:spacing w:val="90"/>
          <w:sz w:val="2"/>
        </w:rPr>
      </w:r>
    </w:p>
    <w:p>
      <w:pPr>
        <w:tabs>
          <w:tab w:pos="4622" w:val="left" w:leader="none"/>
          <w:tab w:pos="8437" w:val="left" w:leader="none"/>
        </w:tabs>
        <w:spacing w:before="21"/>
        <w:ind w:left="494" w:right="1285" w:firstLine="0"/>
        <w:jc w:val="left"/>
        <w:rPr>
          <w:rFonts w:ascii="宋体" w:hAnsi="宋体" w:cs="宋体" w:eastAsia="宋体" w:hint="default"/>
          <w:sz w:val="18"/>
          <w:szCs w:val="18"/>
        </w:rPr>
      </w:pPr>
      <w:r>
        <w:rPr>
          <w:rFonts w:ascii="宋体" w:hAnsi="宋体" w:cs="宋体" w:eastAsia="宋体" w:hint="default"/>
          <w:sz w:val="18"/>
          <w:szCs w:val="18"/>
        </w:rPr>
        <w:t>拟申请专利技术的研发支出</w:t>
        <w:tab/>
      </w:r>
      <w:r>
        <w:rPr>
          <w:rFonts w:ascii="宋体" w:hAnsi="宋体" w:cs="宋体" w:eastAsia="宋体" w:hint="default"/>
          <w:spacing w:val="-1"/>
          <w:sz w:val="18"/>
          <w:szCs w:val="18"/>
        </w:rPr>
        <w:t>6,220,791.03</w:t>
        <w:tab/>
        <w:t>6,220,791.03</w:t>
      </w:r>
    </w:p>
    <w:p>
      <w:pPr>
        <w:tabs>
          <w:tab w:pos="4531" w:val="left" w:leader="none"/>
        </w:tabs>
        <w:spacing w:before="64"/>
        <w:ind w:left="494" w:right="1285" w:firstLine="0"/>
        <w:jc w:val="left"/>
        <w:rPr>
          <w:rFonts w:ascii="宋体" w:hAnsi="宋体" w:cs="宋体" w:eastAsia="宋体" w:hint="default"/>
          <w:sz w:val="18"/>
          <w:szCs w:val="18"/>
        </w:rPr>
      </w:pPr>
      <w:r>
        <w:rPr>
          <w:rFonts w:ascii="宋体" w:hAnsi="宋体" w:cs="宋体" w:eastAsia="宋体" w:hint="default"/>
          <w:sz w:val="18"/>
          <w:szCs w:val="18"/>
        </w:rPr>
        <w:t>其他研发支出</w:t>
        <w:tab/>
      </w:r>
      <w:r>
        <w:rPr>
          <w:rFonts w:ascii="宋体" w:hAnsi="宋体" w:cs="宋体" w:eastAsia="宋体" w:hint="default"/>
          <w:sz w:val="18"/>
          <w:szCs w:val="18"/>
        </w:rPr>
        <w:t>29,730,609.48</w:t>
      </w:r>
      <w:r>
        <w:rPr>
          <w:rFonts w:ascii="宋体" w:hAnsi="宋体" w:cs="宋体" w:eastAsia="宋体" w:hint="default"/>
          <w:spacing w:val="74"/>
          <w:sz w:val="18"/>
          <w:szCs w:val="18"/>
        </w:rPr>
        <w:t> </w:t>
      </w:r>
      <w:r>
        <w:rPr>
          <w:rFonts w:ascii="宋体" w:hAnsi="宋体" w:cs="宋体" w:eastAsia="宋体" w:hint="default"/>
          <w:sz w:val="18"/>
          <w:szCs w:val="18"/>
        </w:rPr>
        <w:t>29,730,609.48</w:t>
      </w:r>
    </w:p>
    <w:p>
      <w:pPr>
        <w:spacing w:line="240" w:lineRule="auto" w:before="1"/>
        <w:rPr>
          <w:rFonts w:ascii="宋体" w:hAnsi="宋体" w:cs="宋体" w:eastAsia="宋体" w:hint="default"/>
          <w:sz w:val="2"/>
          <w:szCs w:val="2"/>
        </w:rPr>
      </w:pPr>
    </w:p>
    <w:p>
      <w:pPr>
        <w:tabs>
          <w:tab w:pos="4337" w:val="left" w:leader="none"/>
          <w:tab w:pos="7282" w:val="left" w:leader="none"/>
          <w:tab w:pos="8370" w:val="left" w:leader="none"/>
        </w:tabs>
        <w:spacing w:line="20" w:lineRule="exact"/>
        <w:ind w:left="3033" w:right="0" w:firstLine="0"/>
        <w:rPr>
          <w:rFonts w:ascii="宋体" w:hAnsi="宋体" w:cs="宋体" w:eastAsia="宋体" w:hint="default"/>
          <w:sz w:val="2"/>
          <w:szCs w:val="2"/>
        </w:rPr>
      </w:pPr>
      <w:r>
        <w:rPr>
          <w:rFonts w:ascii="宋体"/>
          <w:sz w:val="2"/>
        </w:rPr>
        <w:pict>
          <v:group style="width:55pt;height:1pt;mso-position-horizontal-relative:char;mso-position-vertical-relative:line" coordorigin="0,0" coordsize="1100,20">
            <v:group style="position:absolute;left:10;top:10;width:1080;height:2" coordorigin="10,10" coordsize="1080,2">
              <v:shape style="position:absolute;left:10;top:10;width:1080;height:2" coordorigin="10,10" coordsize="1080,0" path="m10,10l1090,10e" filled="false" stroked="true" strokeweight=".95996pt" strokecolor="#000000">
                <v:path arrowok="t"/>
              </v:shape>
            </v:group>
          </v:group>
        </w:pict>
      </w:r>
      <w:r>
        <w:rPr>
          <w:rFonts w:ascii="宋体"/>
          <w:sz w:val="2"/>
        </w:rPr>
      </w:r>
      <w:r>
        <w:rPr>
          <w:rFonts w:ascii="宋体"/>
          <w:sz w:val="2"/>
        </w:rPr>
        <w:tab/>
      </w:r>
      <w:r>
        <w:rPr>
          <w:rFonts w:ascii="宋体"/>
          <w:sz w:val="2"/>
        </w:rPr>
        <w:pict>
          <v:group style="width:70.25pt;height:1pt;mso-position-horizontal-relative:char;mso-position-vertical-relative:line" coordorigin="0,0" coordsize="1405,20">
            <v:group style="position:absolute;left:10;top:10;width:1386;height:2" coordorigin="10,10" coordsize="1386,2">
              <v:shape style="position:absolute;left:10;top:10;width:1386;height:2" coordorigin="10,10" coordsize="1386,0" path="m10,10l1395,10e" filled="false" stroked="true" strokeweight=".95996pt" strokecolor="#000000">
                <v:path arrowok="t"/>
              </v:shape>
            </v:group>
          </v:group>
        </w:pict>
      </w:r>
      <w:r>
        <w:rPr>
          <w:rFonts w:ascii="宋体"/>
          <w:sz w:val="2"/>
        </w:rPr>
      </w:r>
      <w:r>
        <w:rPr>
          <w:rFonts w:ascii="Times New Roman"/>
          <w:spacing w:val="90"/>
          <w:sz w:val="2"/>
        </w:rPr>
        <w:t> </w:t>
      </w:r>
      <w:r>
        <w:rPr>
          <w:rFonts w:ascii="宋体"/>
          <w:spacing w:val="90"/>
          <w:sz w:val="2"/>
        </w:rPr>
        <w:pict>
          <v:group style="width:62.3pt;height:1pt;mso-position-horizontal-relative:char;mso-position-vertical-relative:line" coordorigin="0,0" coordsize="1246,20">
            <v:group style="position:absolute;left:10;top:10;width:1227;height:2" coordorigin="10,10" coordsize="1227,2">
              <v:shape style="position:absolute;left:10;top:10;width:1227;height:2" coordorigin="10,10" coordsize="1227,0" path="m10,10l1236,10e" filled="false" stroked="true" strokeweight=".95996pt" strokecolor="#000000">
                <v:path arrowok="t"/>
              </v:shape>
            </v:group>
          </v:group>
        </w:pict>
      </w:r>
      <w:r>
        <w:rPr>
          <w:rFonts w:ascii="宋体"/>
          <w:spacing w:val="90"/>
          <w:sz w:val="2"/>
        </w:rPr>
      </w:r>
      <w:r>
        <w:rPr>
          <w:rFonts w:ascii="宋体"/>
          <w:spacing w:val="90"/>
          <w:sz w:val="2"/>
        </w:rPr>
        <w:tab/>
      </w:r>
      <w:r>
        <w:rPr>
          <w:rFonts w:ascii="宋体"/>
          <w:spacing w:val="90"/>
          <w:sz w:val="2"/>
        </w:rPr>
        <w:pict>
          <v:group style="width:44.2pt;height:1pt;mso-position-horizontal-relative:char;mso-position-vertical-relative:line" coordorigin="0,0" coordsize="884,20">
            <v:group style="position:absolute;left:10;top:10;width:865;height:2" coordorigin="10,10" coordsize="865,2">
              <v:shape style="position:absolute;left:10;top:10;width:865;height:2" coordorigin="10,10" coordsize="865,0" path="m10,10l874,10e" filled="false" stroked="true" strokeweight=".95996pt" strokecolor="#000000">
                <v:path arrowok="t"/>
              </v:shape>
            </v:group>
          </v:group>
        </w:pict>
      </w:r>
      <w:r>
        <w:rPr>
          <w:rFonts w:ascii="宋体"/>
          <w:spacing w:val="90"/>
          <w:sz w:val="2"/>
        </w:rPr>
      </w:r>
      <w:r>
        <w:rPr>
          <w:rFonts w:ascii="宋体"/>
          <w:spacing w:val="90"/>
          <w:sz w:val="2"/>
        </w:rPr>
        <w:tab/>
      </w:r>
      <w:r>
        <w:rPr>
          <w:rFonts w:ascii="宋体"/>
          <w:spacing w:val="90"/>
          <w:sz w:val="2"/>
        </w:rPr>
        <w:pict>
          <v:group style="width:59.3pt;height:1pt;mso-position-horizontal-relative:char;mso-position-vertical-relative:line" coordorigin="0,0" coordsize="1186,20">
            <v:group style="position:absolute;left:10;top:10;width:1167;height:2" coordorigin="10,10" coordsize="1167,2">
              <v:shape style="position:absolute;left:10;top:10;width:1167;height:2" coordorigin="10,10" coordsize="1167,0" path="m10,10l1176,10e" filled="false" stroked="true" strokeweight=".95996pt" strokecolor="#000000">
                <v:path arrowok="t"/>
              </v:shape>
            </v:group>
          </v:group>
        </w:pict>
      </w:r>
      <w:r>
        <w:rPr>
          <w:rFonts w:ascii="宋体"/>
          <w:spacing w:val="90"/>
          <w:sz w:val="2"/>
        </w:rPr>
      </w:r>
    </w:p>
    <w:p>
      <w:pPr>
        <w:tabs>
          <w:tab w:pos="4531" w:val="left" w:leader="none"/>
          <w:tab w:pos="8437" w:val="left" w:leader="none"/>
        </w:tabs>
        <w:spacing w:before="36"/>
        <w:ind w:left="1372" w:right="1285"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rPr>
        <w:t>35,951,400.51</w:t>
      </w:r>
      <w:r>
        <w:rPr>
          <w:rFonts w:ascii="宋体" w:hAnsi="宋体" w:cs="宋体" w:eastAsia="宋体" w:hint="default"/>
          <w:spacing w:val="74"/>
          <w:sz w:val="18"/>
          <w:szCs w:val="18"/>
        </w:rPr>
        <w:t> </w:t>
      </w:r>
      <w:r>
        <w:rPr>
          <w:rFonts w:ascii="宋体" w:hAnsi="宋体" w:cs="宋体" w:eastAsia="宋体" w:hint="default"/>
          <w:sz w:val="18"/>
          <w:szCs w:val="18"/>
        </w:rPr>
        <w:t>29,730,609.48</w:t>
        <w:tab/>
        <w:t>6,220,791.03</w:t>
      </w:r>
    </w:p>
    <w:p>
      <w:pPr>
        <w:spacing w:line="240" w:lineRule="auto" w:before="4"/>
        <w:rPr>
          <w:rFonts w:ascii="宋体" w:hAnsi="宋体" w:cs="宋体" w:eastAsia="宋体" w:hint="default"/>
          <w:sz w:val="2"/>
          <w:szCs w:val="2"/>
        </w:rPr>
      </w:pPr>
    </w:p>
    <w:p>
      <w:pPr>
        <w:spacing w:line="43" w:lineRule="exact"/>
        <w:ind w:left="3021" w:right="0" w:firstLine="0"/>
        <w:rPr>
          <w:rFonts w:ascii="宋体" w:hAnsi="宋体" w:cs="宋体" w:eastAsia="宋体" w:hint="default"/>
          <w:sz w:val="4"/>
          <w:szCs w:val="4"/>
        </w:rPr>
      </w:pPr>
      <w:r>
        <w:rPr>
          <w:rFonts w:ascii="宋体"/>
          <w:position w:val="0"/>
          <w:sz w:val="4"/>
        </w:rPr>
        <w:pict>
          <v:group style="width:55.45pt;height:2.2pt;mso-position-horizontal-relative:char;mso-position-vertical-relative:line" coordorigin="0,0" coordsize="1109,44">
            <v:group style="position:absolute;left:7;top:36;width:1095;height:2" coordorigin="7,36" coordsize="1095,2">
              <v:shape style="position:absolute;left:7;top:36;width:1095;height:2" coordorigin="7,36" coordsize="1095,0" path="m7,36l1102,36e" filled="false" stroked="true" strokeweight=".72003pt" strokecolor="#000000">
                <v:path arrowok="t"/>
              </v:shape>
            </v:group>
            <v:group style="position:absolute;left:7;top:7;width:1095;height:2" coordorigin="7,7" coordsize="1095,2">
              <v:shape style="position:absolute;left:7;top:7;width:1095;height:2" coordorigin="7,7" coordsize="1095,0" path="m7,7l1102,7e" filled="false" stroked="true" strokeweight=".72003pt" strokecolor="#000000">
                <v:path arrowok="t"/>
              </v:shape>
            </v:group>
          </v:group>
        </w:pict>
      </w:r>
      <w:r>
        <w:rPr>
          <w:rFonts w:ascii="宋体"/>
          <w:position w:val="0"/>
          <w:sz w:val="4"/>
        </w:rPr>
      </w:r>
      <w:r>
        <w:rPr>
          <w:rFonts w:ascii="Times New Roman"/>
          <w:spacing w:val="179"/>
          <w:position w:val="0"/>
          <w:sz w:val="4"/>
        </w:rPr>
        <w:t> </w:t>
      </w:r>
      <w:r>
        <w:rPr>
          <w:rFonts w:ascii="宋体"/>
          <w:spacing w:val="179"/>
          <w:position w:val="0"/>
          <w:sz w:val="4"/>
        </w:rPr>
        <w:pict>
          <v:group style="width:70.75pt;height:2.2pt;mso-position-horizontal-relative:char;mso-position-vertical-relative:line" coordorigin="0,0" coordsize="1415,44">
            <v:group style="position:absolute;left:7;top:36;width:1400;height:2" coordorigin="7,36" coordsize="1400,2">
              <v:shape style="position:absolute;left:7;top:36;width:1400;height:2" coordorigin="7,36" coordsize="1400,0" path="m7,36l1407,36e" filled="false" stroked="true" strokeweight=".72003pt" strokecolor="#000000">
                <v:path arrowok="t"/>
              </v:shape>
            </v:group>
            <v:group style="position:absolute;left:7;top:7;width:1400;height:2" coordorigin="7,7" coordsize="1400,2">
              <v:shape style="position:absolute;left:7;top:7;width:1400;height:2" coordorigin="7,7" coordsize="1400,0" path="m7,7l1407,7e" filled="false" stroked="true" strokeweight=".72003pt" strokecolor="#000000">
                <v:path arrowok="t"/>
              </v:shape>
            </v:group>
          </v:group>
        </w:pict>
      </w:r>
      <w:r>
        <w:rPr>
          <w:rFonts w:ascii="宋体"/>
          <w:spacing w:val="179"/>
          <w:position w:val="0"/>
          <w:sz w:val="4"/>
        </w:rPr>
      </w:r>
      <w:r>
        <w:rPr>
          <w:rFonts w:ascii="Times New Roman"/>
          <w:spacing w:val="68"/>
          <w:position w:val="0"/>
          <w:sz w:val="4"/>
        </w:rPr>
        <w:t> </w:t>
      </w:r>
      <w:r>
        <w:rPr>
          <w:rFonts w:ascii="宋体"/>
          <w:spacing w:val="68"/>
          <w:position w:val="0"/>
          <w:sz w:val="4"/>
        </w:rPr>
        <w:pict>
          <v:group style="width:62.8pt;height:2.2pt;mso-position-horizontal-relative:char;mso-position-vertical-relative:line" coordorigin="0,0" coordsize="1256,44">
            <v:group style="position:absolute;left:7;top:36;width:1241;height:2" coordorigin="7,36" coordsize="1241,2">
              <v:shape style="position:absolute;left:7;top:36;width:1241;height:2" coordorigin="7,36" coordsize="1241,0" path="m7,36l1248,36e" filled="false" stroked="true" strokeweight=".72003pt" strokecolor="#000000">
                <v:path arrowok="t"/>
              </v:shape>
            </v:group>
            <v:group style="position:absolute;left:7;top:7;width:1241;height:2" coordorigin="7,7" coordsize="1241,2">
              <v:shape style="position:absolute;left:7;top:7;width:1241;height:2" coordorigin="7,7" coordsize="1241,0" path="m7,7l1248,7e" filled="false" stroked="true" strokeweight=".72003pt" strokecolor="#000000">
                <v:path arrowok="t"/>
              </v:shape>
            </v:group>
          </v:group>
        </w:pict>
      </w:r>
      <w:r>
        <w:rPr>
          <w:rFonts w:ascii="宋体"/>
          <w:spacing w:val="68"/>
          <w:position w:val="0"/>
          <w:sz w:val="4"/>
        </w:rPr>
      </w:r>
      <w:r>
        <w:rPr>
          <w:rFonts w:ascii="Times New Roman"/>
          <w:spacing w:val="176"/>
          <w:position w:val="0"/>
          <w:sz w:val="4"/>
        </w:rPr>
        <w:t> </w:t>
      </w:r>
      <w:r>
        <w:rPr>
          <w:rFonts w:ascii="宋体"/>
          <w:spacing w:val="176"/>
          <w:position w:val="0"/>
          <w:sz w:val="4"/>
        </w:rPr>
        <w:pict>
          <v:group style="width:44.7pt;height:2.2pt;mso-position-horizontal-relative:char;mso-position-vertical-relative:line" coordorigin="0,0" coordsize="894,44">
            <v:group style="position:absolute;left:7;top:36;width:879;height:2" coordorigin="7,36" coordsize="879,2">
              <v:shape style="position:absolute;left:7;top:36;width:879;height:2" coordorigin="7,36" coordsize="879,0" path="m7,36l886,36e" filled="false" stroked="true" strokeweight=".72003pt" strokecolor="#000000">
                <v:path arrowok="t"/>
              </v:shape>
            </v:group>
            <v:group style="position:absolute;left:7;top:7;width:879;height:2" coordorigin="7,7" coordsize="879,2">
              <v:shape style="position:absolute;left:7;top:7;width:879;height:2" coordorigin="7,7" coordsize="879,0" path="m7,7l886,7e" filled="false" stroked="true" strokeweight=".72003pt" strokecolor="#000000">
                <v:path arrowok="t"/>
              </v:shape>
            </v:group>
          </v:group>
        </w:pict>
      </w:r>
      <w:r>
        <w:rPr>
          <w:rFonts w:ascii="宋体"/>
          <w:spacing w:val="176"/>
          <w:position w:val="0"/>
          <w:sz w:val="4"/>
        </w:rPr>
      </w:r>
      <w:r>
        <w:rPr>
          <w:rFonts w:ascii="Times New Roman"/>
          <w:spacing w:val="178"/>
          <w:position w:val="0"/>
          <w:sz w:val="4"/>
        </w:rPr>
        <w:t> </w:t>
      </w:r>
      <w:r>
        <w:rPr>
          <w:rFonts w:ascii="宋体"/>
          <w:spacing w:val="178"/>
          <w:position w:val="0"/>
          <w:sz w:val="4"/>
        </w:rPr>
        <w:pict>
          <v:group style="width:59.8pt;height:2.2pt;mso-position-horizontal-relative:char;mso-position-vertical-relative:line" coordorigin="0,0" coordsize="1196,44">
            <v:group style="position:absolute;left:7;top:36;width:1181;height:2" coordorigin="7,36" coordsize="1181,2">
              <v:shape style="position:absolute;left:7;top:36;width:1181;height:2" coordorigin="7,36" coordsize="1181,0" path="m7,36l1188,36e" filled="false" stroked="true" strokeweight=".72003pt" strokecolor="#000000">
                <v:path arrowok="t"/>
              </v:shape>
            </v:group>
            <v:group style="position:absolute;left:7;top:7;width:1181;height:2" coordorigin="7,7" coordsize="1181,2">
              <v:shape style="position:absolute;left:7;top:7;width:1181;height:2" coordorigin="7,7" coordsize="1181,0" path="m7,7l1188,7e" filled="false" stroked="true" strokeweight=".72003pt" strokecolor="#000000">
                <v:path arrowok="t"/>
              </v:shape>
            </v:group>
          </v:group>
        </w:pict>
      </w:r>
      <w:r>
        <w:rPr>
          <w:rFonts w:ascii="宋体"/>
          <w:spacing w:val="178"/>
          <w:position w:val="0"/>
          <w:sz w:val="4"/>
        </w:rPr>
      </w:r>
    </w:p>
    <w:p>
      <w:pPr>
        <w:spacing w:after="0" w:line="43" w:lineRule="exact"/>
        <w:rPr>
          <w:rFonts w:ascii="宋体" w:hAnsi="宋体" w:cs="宋体" w:eastAsia="宋体" w:hint="default"/>
          <w:sz w:val="4"/>
          <w:szCs w:val="4"/>
        </w:rPr>
        <w:sectPr>
          <w:type w:val="continuous"/>
          <w:pgSz w:w="11910" w:h="16840"/>
          <w:pgMar w:top="700" w:bottom="0" w:left="980" w:right="0"/>
        </w:sectPr>
      </w:pPr>
    </w:p>
    <w:p>
      <w:pPr>
        <w:spacing w:line="240" w:lineRule="auto" w:before="8"/>
        <w:rPr>
          <w:rFonts w:ascii="宋体" w:hAnsi="宋体" w:cs="宋体" w:eastAsia="宋体" w:hint="default"/>
          <w:sz w:val="27"/>
          <w:szCs w:val="27"/>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14</w:t>
      </w:r>
      <w:r>
        <w:rPr>
          <w:w w:val="90"/>
        </w:rPr>
        <w:t>、</w:t>
        <w:tab/>
      </w:r>
      <w:r>
        <w:rPr/>
        <w:t>长期待摊费用</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388" w:type="dxa"/>
        <w:tblLayout w:type="fixed"/>
        <w:tblCellMar>
          <w:top w:w="0" w:type="dxa"/>
          <w:left w:w="0" w:type="dxa"/>
          <w:bottom w:w="0" w:type="dxa"/>
          <w:right w:w="0" w:type="dxa"/>
        </w:tblCellMar>
        <w:tblLook w:val="01E0"/>
      </w:tblPr>
      <w:tblGrid>
        <w:gridCol w:w="2436"/>
        <w:gridCol w:w="233"/>
        <w:gridCol w:w="1349"/>
        <w:gridCol w:w="216"/>
        <w:gridCol w:w="1479"/>
        <w:gridCol w:w="216"/>
        <w:gridCol w:w="1478"/>
        <w:gridCol w:w="217"/>
        <w:gridCol w:w="1478"/>
      </w:tblGrid>
      <w:tr>
        <w:trPr>
          <w:trHeight w:val="251" w:hRule="exact"/>
        </w:trPr>
        <w:tc>
          <w:tcPr>
            <w:tcW w:w="2436" w:type="dxa"/>
            <w:tcBorders>
              <w:top w:val="nil" w:sz="6" w:space="0" w:color="auto"/>
              <w:left w:val="nil" w:sz="6" w:space="0" w:color="auto"/>
              <w:bottom w:val="single" w:sz="8" w:space="0" w:color="000000"/>
              <w:right w:val="nil" w:sz="6" w:space="0" w:color="auto"/>
            </w:tcBorders>
          </w:tcPr>
          <w:p>
            <w:pPr>
              <w:pStyle w:val="TableParagraph"/>
              <w:spacing w:line="211" w:lineRule="exact"/>
              <w:ind w:right="1004"/>
              <w:jc w:val="right"/>
              <w:rPr>
                <w:rFonts w:ascii="宋体" w:hAnsi="宋体" w:cs="宋体" w:eastAsia="宋体" w:hint="default"/>
                <w:sz w:val="21"/>
                <w:szCs w:val="21"/>
              </w:rPr>
            </w:pPr>
            <w:r>
              <w:rPr>
                <w:rFonts w:ascii="宋体" w:hAnsi="宋体" w:cs="宋体" w:eastAsia="宋体" w:hint="default"/>
                <w:sz w:val="21"/>
                <w:szCs w:val="21"/>
              </w:rPr>
              <w:t>项目</w:t>
            </w:r>
          </w:p>
        </w:tc>
        <w:tc>
          <w:tcPr>
            <w:tcW w:w="23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8" w:space="0" w:color="000000"/>
              <w:right w:val="nil" w:sz="6" w:space="0" w:color="auto"/>
            </w:tcBorders>
          </w:tcPr>
          <w:p>
            <w:pPr>
              <w:pStyle w:val="TableParagraph"/>
              <w:spacing w:line="211" w:lineRule="exact"/>
              <w:ind w:left="36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16"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8" w:space="0" w:color="000000"/>
              <w:right w:val="nil" w:sz="6" w:space="0" w:color="auto"/>
            </w:tcBorders>
          </w:tcPr>
          <w:p>
            <w:pPr>
              <w:pStyle w:val="TableParagraph"/>
              <w:spacing w:line="211" w:lineRule="exact"/>
              <w:ind w:left="32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8" w:space="0" w:color="000000"/>
              <w:right w:val="nil" w:sz="6" w:space="0" w:color="auto"/>
            </w:tcBorders>
          </w:tcPr>
          <w:p>
            <w:pPr>
              <w:pStyle w:val="TableParagraph"/>
              <w:spacing w:line="211" w:lineRule="exact"/>
              <w:ind w:left="321" w:right="0"/>
              <w:jc w:val="left"/>
              <w:rPr>
                <w:rFonts w:ascii="宋体" w:hAnsi="宋体" w:cs="宋体" w:eastAsia="宋体" w:hint="default"/>
                <w:sz w:val="21"/>
                <w:szCs w:val="21"/>
              </w:rPr>
            </w:pPr>
            <w:r>
              <w:rPr>
                <w:rFonts w:ascii="宋体" w:hAnsi="宋体" w:cs="宋体" w:eastAsia="宋体" w:hint="default"/>
                <w:sz w:val="21"/>
                <w:szCs w:val="21"/>
              </w:rPr>
              <w:t>本年摊销</w:t>
            </w:r>
          </w:p>
        </w:tc>
        <w:tc>
          <w:tcPr>
            <w:tcW w:w="21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8" w:space="0" w:color="000000"/>
              <w:right w:val="nil" w:sz="6" w:space="0" w:color="auto"/>
            </w:tcBorders>
          </w:tcPr>
          <w:p>
            <w:pPr>
              <w:pStyle w:val="TableParagraph"/>
              <w:spacing w:line="211" w:lineRule="exact"/>
              <w:ind w:left="427"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84" w:hRule="exact"/>
        </w:trPr>
        <w:tc>
          <w:tcPr>
            <w:tcW w:w="243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设备租赁费</w:t>
            </w:r>
          </w:p>
        </w:tc>
        <w:tc>
          <w:tcPr>
            <w:tcW w:w="233" w:type="dxa"/>
            <w:tcBorders>
              <w:top w:val="nil" w:sz="6" w:space="0" w:color="auto"/>
              <w:left w:val="nil" w:sz="6" w:space="0" w:color="auto"/>
              <w:bottom w:val="nil" w:sz="6" w:space="0" w:color="auto"/>
              <w:right w:val="nil" w:sz="6" w:space="0" w:color="auto"/>
            </w:tcBorders>
          </w:tcPr>
          <w:p>
            <w:pPr/>
          </w:p>
        </w:tc>
        <w:tc>
          <w:tcPr>
            <w:tcW w:w="134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319" w:right="0"/>
              <w:jc w:val="left"/>
              <w:rPr>
                <w:rFonts w:ascii="宋体" w:hAnsi="宋体" w:cs="宋体" w:eastAsia="宋体" w:hint="default"/>
                <w:sz w:val="21"/>
                <w:szCs w:val="21"/>
              </w:rPr>
            </w:pPr>
            <w:r>
              <w:rPr>
                <w:rFonts w:ascii="宋体"/>
                <w:sz w:val="21"/>
              </w:rPr>
              <w:t>300,000.00</w:t>
            </w:r>
          </w:p>
        </w:tc>
        <w:tc>
          <w:tcPr>
            <w:tcW w:w="216" w:type="dxa"/>
            <w:tcBorders>
              <w:top w:val="nil" w:sz="6" w:space="0" w:color="auto"/>
              <w:left w:val="nil" w:sz="6" w:space="0" w:color="auto"/>
              <w:bottom w:val="nil" w:sz="6" w:space="0" w:color="auto"/>
              <w:right w:val="nil" w:sz="6" w:space="0" w:color="auto"/>
            </w:tcBorders>
          </w:tcPr>
          <w:p>
            <w:pPr/>
          </w:p>
        </w:tc>
        <w:tc>
          <w:tcPr>
            <w:tcW w:w="147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66,666.66</w:t>
            </w:r>
          </w:p>
        </w:tc>
        <w:tc>
          <w:tcPr>
            <w:tcW w:w="217" w:type="dxa"/>
            <w:tcBorders>
              <w:top w:val="nil" w:sz="6" w:space="0" w:color="auto"/>
              <w:left w:val="nil" w:sz="6" w:space="0" w:color="auto"/>
              <w:bottom w:val="nil" w:sz="6" w:space="0" w:color="auto"/>
              <w:right w:val="nil" w:sz="6" w:space="0" w:color="auto"/>
            </w:tcBorders>
          </w:tcPr>
          <w:p>
            <w:pPr/>
          </w:p>
        </w:tc>
        <w:tc>
          <w:tcPr>
            <w:tcW w:w="147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233,333.34</w:t>
            </w:r>
          </w:p>
        </w:tc>
      </w:tr>
      <w:tr>
        <w:trPr>
          <w:trHeight w:val="317"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认证费</w:t>
            </w:r>
          </w:p>
        </w:tc>
        <w:tc>
          <w:tcPr>
            <w:tcW w:w="23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8" w:space="0" w:color="000000"/>
              <w:right w:val="nil" w:sz="6" w:space="0" w:color="auto"/>
            </w:tcBorders>
          </w:tcPr>
          <w:p>
            <w:pPr>
              <w:pStyle w:val="TableParagraph"/>
              <w:spacing w:line="240" w:lineRule="auto"/>
              <w:ind w:left="319" w:right="0"/>
              <w:jc w:val="left"/>
              <w:rPr>
                <w:rFonts w:ascii="宋体" w:hAnsi="宋体" w:cs="宋体" w:eastAsia="宋体" w:hint="default"/>
                <w:sz w:val="21"/>
                <w:szCs w:val="21"/>
              </w:rPr>
            </w:pPr>
            <w:r>
              <w:rPr>
                <w:rFonts w:ascii="宋体"/>
                <w:sz w:val="21"/>
              </w:rPr>
              <w:t>660,090.00</w:t>
            </w:r>
          </w:p>
        </w:tc>
        <w:tc>
          <w:tcPr>
            <w:tcW w:w="21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110,015.00</w:t>
            </w:r>
          </w:p>
        </w:tc>
        <w:tc>
          <w:tcPr>
            <w:tcW w:w="21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550,075.00</w:t>
            </w:r>
          </w:p>
        </w:tc>
      </w:tr>
      <w:tr>
        <w:trPr>
          <w:trHeight w:val="372"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4"/>
              <w:jc w:val="right"/>
              <w:rPr>
                <w:rFonts w:ascii="宋体" w:hAnsi="宋体" w:cs="宋体" w:eastAsia="宋体" w:hint="default"/>
                <w:sz w:val="21"/>
                <w:szCs w:val="21"/>
              </w:rPr>
            </w:pPr>
            <w:r>
              <w:rPr>
                <w:rFonts w:ascii="宋体" w:hAnsi="宋体" w:cs="宋体" w:eastAsia="宋体" w:hint="default"/>
                <w:sz w:val="21"/>
                <w:szCs w:val="21"/>
              </w:rPr>
              <w:t>合计</w:t>
            </w:r>
          </w:p>
        </w:tc>
        <w:tc>
          <w:tcPr>
            <w:tcW w:w="233" w:type="dxa"/>
            <w:tcBorders>
              <w:top w:val="nil" w:sz="6" w:space="0" w:color="auto"/>
              <w:left w:val="nil" w:sz="6" w:space="0" w:color="auto"/>
              <w:bottom w:val="nil" w:sz="6" w:space="0" w:color="auto"/>
              <w:right w:val="nil" w:sz="6" w:space="0" w:color="auto"/>
            </w:tcBorders>
          </w:tcPr>
          <w:p>
            <w:pPr/>
          </w:p>
        </w:tc>
        <w:tc>
          <w:tcPr>
            <w:tcW w:w="1349"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79"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left="319" w:right="0"/>
              <w:jc w:val="left"/>
              <w:rPr>
                <w:rFonts w:ascii="宋体" w:hAnsi="宋体" w:cs="宋体" w:eastAsia="宋体" w:hint="default"/>
                <w:sz w:val="21"/>
                <w:szCs w:val="21"/>
              </w:rPr>
            </w:pPr>
            <w:r>
              <w:rPr>
                <w:rFonts w:ascii="宋体"/>
                <w:sz w:val="21"/>
              </w:rPr>
              <w:t>960,090.00</w:t>
            </w:r>
          </w:p>
        </w:tc>
        <w:tc>
          <w:tcPr>
            <w:tcW w:w="216" w:type="dxa"/>
            <w:tcBorders>
              <w:top w:val="nil" w:sz="6" w:space="0" w:color="auto"/>
              <w:left w:val="nil" w:sz="6" w:space="0" w:color="auto"/>
              <w:bottom w:val="nil" w:sz="6" w:space="0" w:color="auto"/>
              <w:right w:val="nil" w:sz="6" w:space="0" w:color="auto"/>
            </w:tcBorders>
          </w:tcPr>
          <w:p>
            <w:pPr/>
          </w:p>
        </w:tc>
        <w:tc>
          <w:tcPr>
            <w:tcW w:w="1478"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176,681.66</w:t>
            </w:r>
          </w:p>
        </w:tc>
        <w:tc>
          <w:tcPr>
            <w:tcW w:w="217" w:type="dxa"/>
            <w:tcBorders>
              <w:top w:val="nil" w:sz="6" w:space="0" w:color="auto"/>
              <w:left w:val="nil" w:sz="6" w:space="0" w:color="auto"/>
              <w:bottom w:val="nil" w:sz="6" w:space="0" w:color="auto"/>
              <w:right w:val="nil" w:sz="6" w:space="0" w:color="auto"/>
            </w:tcBorders>
          </w:tcPr>
          <w:p>
            <w:pPr/>
          </w:p>
        </w:tc>
        <w:tc>
          <w:tcPr>
            <w:tcW w:w="1478"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783,408.34</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15</w:t>
      </w:r>
      <w:r>
        <w:rPr>
          <w:w w:val="90"/>
        </w:rPr>
        <w:t>、</w:t>
        <w:tab/>
      </w:r>
      <w:r>
        <w:rPr/>
        <w:t>递延所得税资产</w:t>
      </w:r>
      <w:r>
        <w:rPr>
          <w:b w:val="0"/>
          <w:bCs w:val="0"/>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388" w:type="dxa"/>
        <w:tblLayout w:type="fixed"/>
        <w:tblCellMar>
          <w:top w:w="0" w:type="dxa"/>
          <w:left w:w="0" w:type="dxa"/>
          <w:bottom w:w="0" w:type="dxa"/>
          <w:right w:w="0" w:type="dxa"/>
        </w:tblCellMar>
        <w:tblLook w:val="01E0"/>
      </w:tblPr>
      <w:tblGrid>
        <w:gridCol w:w="2184"/>
        <w:gridCol w:w="238"/>
        <w:gridCol w:w="1562"/>
        <w:gridCol w:w="230"/>
        <w:gridCol w:w="1596"/>
        <w:gridCol w:w="228"/>
        <w:gridCol w:w="1414"/>
        <w:gridCol w:w="247"/>
        <w:gridCol w:w="1498"/>
      </w:tblGrid>
      <w:tr>
        <w:trPr>
          <w:trHeight w:val="217" w:hRule="exact"/>
        </w:trPr>
        <w:tc>
          <w:tcPr>
            <w:tcW w:w="581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384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3387"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39"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60" w:hRule="exact"/>
        </w:trPr>
        <w:tc>
          <w:tcPr>
            <w:tcW w:w="218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49"/>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30" w:type="dxa"/>
            <w:tcBorders>
              <w:top w:val="single" w:sz="8" w:space="0" w:color="000000"/>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72"/>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70"/>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 w:type="dxa"/>
            <w:tcBorders>
              <w:top w:val="single" w:sz="8" w:space="0" w:color="000000"/>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24"/>
              <w:jc w:val="right"/>
              <w:rPr>
                <w:rFonts w:ascii="宋体" w:hAnsi="宋体" w:cs="宋体" w:eastAsia="宋体" w:hint="default"/>
                <w:sz w:val="18"/>
                <w:szCs w:val="18"/>
              </w:rPr>
            </w:pPr>
            <w:r>
              <w:rPr>
                <w:rFonts w:ascii="宋体" w:hAnsi="宋体" w:cs="宋体" w:eastAsia="宋体" w:hint="default"/>
                <w:sz w:val="18"/>
                <w:szCs w:val="18"/>
              </w:rPr>
              <w:t>可抵扣暂时性差异</w:t>
            </w:r>
          </w:p>
        </w:tc>
      </w:tr>
      <w:tr>
        <w:trPr>
          <w:trHeight w:val="404" w:hRule="exact"/>
        </w:trPr>
        <w:tc>
          <w:tcPr>
            <w:tcW w:w="218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1,104,895.67</w:t>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7,280,311.81</w:t>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742,426.91</w:t>
            </w:r>
          </w:p>
        </w:tc>
        <w:tc>
          <w:tcPr>
            <w:tcW w:w="247"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309" w:right="0"/>
              <w:jc w:val="left"/>
              <w:rPr>
                <w:rFonts w:ascii="宋体" w:hAnsi="宋体" w:cs="宋体" w:eastAsia="宋体" w:hint="default"/>
                <w:sz w:val="18"/>
                <w:szCs w:val="18"/>
              </w:rPr>
            </w:pPr>
            <w:r>
              <w:rPr>
                <w:rFonts w:ascii="宋体"/>
                <w:sz w:val="18"/>
              </w:rPr>
              <w:t>5,043,578.24</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7,556.69</w:t>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53,577.91</w:t>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8,036.69</w:t>
            </w:r>
          </w:p>
        </w:tc>
        <w:tc>
          <w:tcPr>
            <w:tcW w:w="24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53,577.91</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开办费及无形资产摊销</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36,031.38</w:t>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277,266.16</w:t>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66,685.49</w:t>
            </w:r>
          </w:p>
        </w:tc>
        <w:tc>
          <w:tcPr>
            <w:tcW w:w="24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520,654.57</w:t>
            </w:r>
          </w:p>
        </w:tc>
      </w:tr>
      <w:tr>
        <w:trPr>
          <w:trHeight w:val="29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已计提未发放的工资</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239,926.35</w:t>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1,599,509.00</w:t>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26,615.09</w:t>
            </w:r>
          </w:p>
        </w:tc>
        <w:tc>
          <w:tcPr>
            <w:tcW w:w="24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209,934.85</w:t>
            </w:r>
          </w:p>
        </w:tc>
      </w:tr>
      <w:tr>
        <w:trPr>
          <w:trHeight w:val="374"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1,388,410.09</w:t>
            </w:r>
          </w:p>
        </w:tc>
        <w:tc>
          <w:tcPr>
            <w:tcW w:w="230"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9,210,664.88</w:t>
            </w:r>
          </w:p>
        </w:tc>
        <w:tc>
          <w:tcPr>
            <w:tcW w:w="228"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843,764.18</w:t>
            </w:r>
          </w:p>
        </w:tc>
        <w:tc>
          <w:tcPr>
            <w:tcW w:w="247"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309" w:right="0"/>
              <w:jc w:val="left"/>
              <w:rPr>
                <w:rFonts w:ascii="宋体" w:hAnsi="宋体" w:cs="宋体" w:eastAsia="宋体" w:hint="default"/>
                <w:sz w:val="18"/>
                <w:szCs w:val="18"/>
              </w:rPr>
            </w:pPr>
            <w:r>
              <w:rPr>
                <w:rFonts w:ascii="宋体"/>
                <w:sz w:val="18"/>
              </w:rPr>
              <w:t>5,827,745.57</w:t>
            </w:r>
          </w:p>
        </w:tc>
      </w:tr>
    </w:tbl>
    <w:p>
      <w:pPr>
        <w:spacing w:line="240" w:lineRule="auto" w:before="16"/>
        <w:rPr>
          <w:rFonts w:ascii="Microsoft JhengHei" w:hAnsi="Microsoft JhengHei" w:cs="Microsoft JhengHei" w:eastAsia="Microsoft JhengHei" w:hint="default"/>
          <w:b/>
          <w:bCs/>
          <w:sz w:val="10"/>
          <w:szCs w:val="10"/>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16</w:t>
      </w:r>
      <w:r>
        <w:rPr>
          <w:w w:val="90"/>
        </w:rPr>
        <w:t>、</w:t>
        <w:tab/>
      </w:r>
      <w:r>
        <w:rPr/>
        <w:t>资产减值准备明细</w:t>
      </w:r>
      <w:r>
        <w:rPr>
          <w:b w:val="0"/>
          <w:bCs w:val="0"/>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388" w:type="dxa"/>
        <w:tblLayout w:type="fixed"/>
        <w:tblCellMar>
          <w:top w:w="0" w:type="dxa"/>
          <w:left w:w="0" w:type="dxa"/>
          <w:bottom w:w="0" w:type="dxa"/>
          <w:right w:w="0" w:type="dxa"/>
        </w:tblCellMar>
        <w:tblLook w:val="01E0"/>
      </w:tblPr>
      <w:tblGrid>
        <w:gridCol w:w="2184"/>
        <w:gridCol w:w="279"/>
        <w:gridCol w:w="1318"/>
        <w:gridCol w:w="230"/>
        <w:gridCol w:w="1304"/>
        <w:gridCol w:w="235"/>
        <w:gridCol w:w="850"/>
        <w:gridCol w:w="230"/>
        <w:gridCol w:w="1006"/>
        <w:gridCol w:w="240"/>
        <w:gridCol w:w="1375"/>
      </w:tblGrid>
      <w:tr>
        <w:trPr>
          <w:trHeight w:val="217" w:hRule="exact"/>
        </w:trPr>
        <w:tc>
          <w:tcPr>
            <w:tcW w:w="9251" w:type="dxa"/>
            <w:gridSpan w:val="11"/>
            <w:tcBorders>
              <w:top w:val="nil" w:sz="6" w:space="0" w:color="auto"/>
              <w:left w:val="nil" w:sz="6" w:space="0" w:color="auto"/>
              <w:bottom w:val="nil" w:sz="6" w:space="0" w:color="auto"/>
              <w:right w:val="nil" w:sz="6" w:space="0" w:color="auto"/>
            </w:tcBorders>
          </w:tcPr>
          <w:p>
            <w:pPr>
              <w:pStyle w:val="TableParagraph"/>
              <w:spacing w:line="180" w:lineRule="exact"/>
              <w:ind w:right="2297"/>
              <w:jc w:val="right"/>
              <w:rPr>
                <w:rFonts w:ascii="宋体" w:hAnsi="宋体" w:cs="宋体" w:eastAsia="宋体" w:hint="default"/>
                <w:sz w:val="18"/>
                <w:szCs w:val="18"/>
              </w:rPr>
            </w:pPr>
            <w:r>
              <w:rPr>
                <w:rFonts w:ascii="宋体" w:hAnsi="宋体" w:cs="宋体" w:eastAsia="宋体" w:hint="default"/>
                <w:sz w:val="18"/>
                <w:szCs w:val="18"/>
              </w:rPr>
              <w:t>本年减少</w:t>
            </w:r>
          </w:p>
        </w:tc>
      </w:tr>
      <w:tr>
        <w:trPr>
          <w:trHeight w:val="360" w:hRule="exact"/>
        </w:trPr>
        <w:tc>
          <w:tcPr>
            <w:tcW w:w="218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79"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235" w:type="dxa"/>
            <w:tcBorders>
              <w:top w:val="nil" w:sz="6" w:space="0" w:color="auto"/>
              <w:left w:val="nil" w:sz="6" w:space="0" w:color="auto"/>
              <w:bottom w:val="nil" w:sz="6" w:space="0" w:color="auto"/>
              <w:right w:val="nil" w:sz="6" w:space="0" w:color="auto"/>
            </w:tcBorders>
          </w:tcPr>
          <w:p>
            <w:pPr/>
          </w:p>
        </w:tc>
        <w:tc>
          <w:tcPr>
            <w:tcW w:w="85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51"/>
              <w:jc w:val="right"/>
              <w:rPr>
                <w:rFonts w:ascii="宋体" w:hAnsi="宋体" w:cs="宋体" w:eastAsia="宋体" w:hint="default"/>
                <w:sz w:val="18"/>
                <w:szCs w:val="18"/>
              </w:rPr>
            </w:pPr>
            <w:r>
              <w:rPr>
                <w:rFonts w:ascii="宋体" w:hAnsi="宋体" w:cs="宋体" w:eastAsia="宋体" w:hint="default"/>
                <w:sz w:val="18"/>
                <w:szCs w:val="18"/>
              </w:rPr>
              <w:t>转回数</w:t>
            </w:r>
          </w:p>
        </w:tc>
        <w:tc>
          <w:tcPr>
            <w:tcW w:w="230" w:type="dxa"/>
            <w:tcBorders>
              <w:top w:val="single" w:sz="8" w:space="0" w:color="000000"/>
              <w:left w:val="nil" w:sz="6" w:space="0" w:color="auto"/>
              <w:bottom w:val="nil" w:sz="6" w:space="0" w:color="auto"/>
              <w:right w:val="nil" w:sz="6" w:space="0" w:color="auto"/>
            </w:tcBorders>
          </w:tcPr>
          <w:p>
            <w:pPr/>
          </w:p>
        </w:tc>
        <w:tc>
          <w:tcPr>
            <w:tcW w:w="1006"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40" w:right="0"/>
              <w:jc w:val="left"/>
              <w:rPr>
                <w:rFonts w:ascii="宋体" w:hAnsi="宋体" w:cs="宋体" w:eastAsia="宋体" w:hint="default"/>
                <w:sz w:val="18"/>
                <w:szCs w:val="18"/>
              </w:rPr>
            </w:pPr>
            <w:r>
              <w:rPr>
                <w:rFonts w:ascii="宋体" w:hAnsi="宋体" w:cs="宋体" w:eastAsia="宋体" w:hint="default"/>
                <w:sz w:val="18"/>
                <w:szCs w:val="18"/>
              </w:rPr>
              <w:t>转销数</w:t>
            </w:r>
          </w:p>
        </w:tc>
        <w:tc>
          <w:tcPr>
            <w:tcW w:w="240"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03" w:hRule="exact"/>
        </w:trPr>
        <w:tc>
          <w:tcPr>
            <w:tcW w:w="218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 w:type="dxa"/>
            <w:tcBorders>
              <w:top w:val="nil" w:sz="6" w:space="0" w:color="auto"/>
              <w:left w:val="nil" w:sz="6" w:space="0" w:color="auto"/>
              <w:bottom w:val="nil" w:sz="6" w:space="0" w:color="auto"/>
              <w:right w:val="nil" w:sz="6" w:space="0" w:color="auto"/>
            </w:tcBorders>
          </w:tcPr>
          <w:p>
            <w:pPr/>
          </w:p>
        </w:tc>
        <w:tc>
          <w:tcPr>
            <w:tcW w:w="131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5,043,578.24</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2,236,733.57</w:t>
            </w:r>
          </w:p>
        </w:tc>
        <w:tc>
          <w:tcPr>
            <w:tcW w:w="235" w:type="dxa"/>
            <w:tcBorders>
              <w:top w:val="nil" w:sz="6" w:space="0" w:color="auto"/>
              <w:left w:val="nil" w:sz="6" w:space="0" w:color="auto"/>
              <w:bottom w:val="nil" w:sz="6" w:space="0" w:color="auto"/>
              <w:right w:val="nil" w:sz="6" w:space="0" w:color="auto"/>
            </w:tcBorders>
          </w:tcPr>
          <w:p>
            <w:pPr/>
          </w:p>
        </w:tc>
        <w:tc>
          <w:tcPr>
            <w:tcW w:w="85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w:t>
            </w:r>
          </w:p>
        </w:tc>
        <w:tc>
          <w:tcPr>
            <w:tcW w:w="230" w:type="dxa"/>
            <w:tcBorders>
              <w:top w:val="nil" w:sz="6" w:space="0" w:color="auto"/>
              <w:left w:val="nil" w:sz="6" w:space="0" w:color="auto"/>
              <w:bottom w:val="nil" w:sz="6" w:space="0" w:color="auto"/>
              <w:right w:val="nil" w:sz="6" w:space="0" w:color="auto"/>
            </w:tcBorders>
          </w:tcPr>
          <w:p>
            <w:pPr/>
          </w:p>
        </w:tc>
        <w:tc>
          <w:tcPr>
            <w:tcW w:w="1006" w:type="dxa"/>
            <w:tcBorders>
              <w:top w:val="single" w:sz="8"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7,280,311.81</w:t>
            </w:r>
          </w:p>
        </w:tc>
      </w:tr>
      <w:tr>
        <w:trPr>
          <w:trHeight w:val="29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79"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53,577.91</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8"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8"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53,577.91</w:t>
            </w:r>
          </w:p>
        </w:tc>
      </w:tr>
      <w:tr>
        <w:trPr>
          <w:trHeight w:val="37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79" w:type="dxa"/>
            <w:tcBorders>
              <w:top w:val="nil" w:sz="6" w:space="0" w:color="auto"/>
              <w:left w:val="nil" w:sz="6" w:space="0" w:color="auto"/>
              <w:bottom w:val="nil" w:sz="6" w:space="0" w:color="auto"/>
              <w:right w:val="nil" w:sz="6" w:space="0" w:color="auto"/>
            </w:tcBorders>
          </w:tcPr>
          <w:p>
            <w:pPr/>
          </w:p>
        </w:tc>
        <w:tc>
          <w:tcPr>
            <w:tcW w:w="1318"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5,097,156.15</w:t>
            </w:r>
          </w:p>
        </w:tc>
        <w:tc>
          <w:tcPr>
            <w:tcW w:w="230"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2,236,733.57</w:t>
            </w:r>
          </w:p>
        </w:tc>
        <w:tc>
          <w:tcPr>
            <w:tcW w:w="235" w:type="dxa"/>
            <w:tcBorders>
              <w:top w:val="nil" w:sz="6" w:space="0" w:color="auto"/>
              <w:left w:val="nil" w:sz="6" w:space="0" w:color="auto"/>
              <w:bottom w:val="nil" w:sz="6" w:space="0" w:color="auto"/>
              <w:right w:val="nil" w:sz="6" w:space="0" w:color="auto"/>
            </w:tcBorders>
          </w:tcPr>
          <w:p>
            <w:pPr/>
          </w:p>
        </w:tc>
        <w:tc>
          <w:tcPr>
            <w:tcW w:w="850"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w:t>
            </w:r>
          </w:p>
        </w:tc>
        <w:tc>
          <w:tcPr>
            <w:tcW w:w="230" w:type="dxa"/>
            <w:tcBorders>
              <w:top w:val="nil" w:sz="6" w:space="0" w:color="auto"/>
              <w:left w:val="nil" w:sz="6" w:space="0" w:color="auto"/>
              <w:bottom w:val="nil" w:sz="6" w:space="0" w:color="auto"/>
              <w:right w:val="nil" w:sz="6" w:space="0" w:color="auto"/>
            </w:tcBorders>
          </w:tcPr>
          <w:p>
            <w:pPr/>
          </w:p>
        </w:tc>
        <w:tc>
          <w:tcPr>
            <w:tcW w:w="1006"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w:t>
            </w:r>
          </w:p>
        </w:tc>
        <w:tc>
          <w:tcPr>
            <w:tcW w:w="240" w:type="dxa"/>
            <w:tcBorders>
              <w:top w:val="nil" w:sz="6" w:space="0" w:color="auto"/>
              <w:left w:val="nil" w:sz="6" w:space="0" w:color="auto"/>
              <w:bottom w:val="nil" w:sz="6" w:space="0" w:color="auto"/>
              <w:right w:val="nil" w:sz="6" w:space="0" w:color="auto"/>
            </w:tcBorders>
          </w:tcPr>
          <w:p>
            <w:pPr/>
          </w:p>
        </w:tc>
        <w:tc>
          <w:tcPr>
            <w:tcW w:w="1375"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7,333,889.72</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17</w:t>
      </w:r>
      <w:r>
        <w:rPr>
          <w:w w:val="90"/>
        </w:rPr>
        <w:t>、</w:t>
        <w:tab/>
      </w:r>
      <w:r>
        <w:rPr/>
        <w:t>短期借款</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388" w:type="dxa"/>
        <w:tblLayout w:type="fixed"/>
        <w:tblCellMar>
          <w:top w:w="0" w:type="dxa"/>
          <w:left w:w="0" w:type="dxa"/>
          <w:bottom w:w="0" w:type="dxa"/>
          <w:right w:w="0" w:type="dxa"/>
        </w:tblCellMar>
        <w:tblLook w:val="01E0"/>
      </w:tblPr>
      <w:tblGrid>
        <w:gridCol w:w="2549"/>
        <w:gridCol w:w="1644"/>
        <w:gridCol w:w="2302"/>
        <w:gridCol w:w="662"/>
        <w:gridCol w:w="1971"/>
      </w:tblGrid>
      <w:tr>
        <w:trPr>
          <w:trHeight w:val="254" w:hRule="exact"/>
        </w:trPr>
        <w:tc>
          <w:tcPr>
            <w:tcW w:w="2549" w:type="dxa"/>
            <w:tcBorders>
              <w:top w:val="nil" w:sz="6" w:space="0" w:color="auto"/>
              <w:left w:val="nil" w:sz="6" w:space="0" w:color="auto"/>
              <w:bottom w:val="single" w:sz="8" w:space="0" w:color="000000"/>
              <w:right w:val="nil" w:sz="6" w:space="0" w:color="auto"/>
            </w:tcBorders>
          </w:tcPr>
          <w:p>
            <w:pPr>
              <w:pStyle w:val="TableParagraph"/>
              <w:spacing w:line="211" w:lineRule="exact"/>
              <w:ind w:right="1008"/>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644"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8"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662"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single" w:sz="8"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0" w:hRule="exact"/>
        </w:trPr>
        <w:tc>
          <w:tcPr>
            <w:tcW w:w="2549"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644" w:type="dxa"/>
            <w:tcBorders>
              <w:top w:val="nil" w:sz="6" w:space="0" w:color="auto"/>
              <w:left w:val="nil" w:sz="6" w:space="0" w:color="auto"/>
              <w:bottom w:val="nil" w:sz="6" w:space="0" w:color="auto"/>
              <w:right w:val="nil" w:sz="6" w:space="0" w:color="auto"/>
            </w:tcBorders>
          </w:tcPr>
          <w:p>
            <w:pPr/>
          </w:p>
        </w:tc>
        <w:tc>
          <w:tcPr>
            <w:tcW w:w="2302" w:type="dxa"/>
            <w:tcBorders>
              <w:top w:val="single" w:sz="8" w:space="0" w:color="000000"/>
              <w:left w:val="nil" w:sz="6" w:space="0" w:color="auto"/>
              <w:bottom w:val="single" w:sz="8" w:space="0" w:color="000000"/>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971"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100,000,000.00</w:t>
            </w:r>
          </w:p>
        </w:tc>
      </w:tr>
      <w:tr>
        <w:trPr>
          <w:trHeight w:val="372"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08"/>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44" w:type="dxa"/>
            <w:tcBorders>
              <w:top w:val="nil" w:sz="6" w:space="0" w:color="auto"/>
              <w:left w:val="nil" w:sz="6" w:space="0" w:color="auto"/>
              <w:bottom w:val="nil" w:sz="6" w:space="0" w:color="auto"/>
              <w:right w:val="nil" w:sz="6" w:space="0" w:color="auto"/>
            </w:tcBorders>
          </w:tcPr>
          <w:p>
            <w:pPr/>
          </w:p>
        </w:tc>
        <w:tc>
          <w:tcPr>
            <w:tcW w:w="2302" w:type="dxa"/>
            <w:tcBorders>
              <w:top w:val="single" w:sz="8" w:space="0" w:color="000000"/>
              <w:left w:val="nil" w:sz="6" w:space="0" w:color="auto"/>
              <w:bottom w:val="single" w:sz="17" w:space="0" w:color="000000"/>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971"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100,000,000.00</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18</w:t>
      </w:r>
      <w:r>
        <w:rPr>
          <w:w w:val="90"/>
        </w:rPr>
        <w:t>、</w:t>
        <w:tab/>
      </w:r>
      <w:r>
        <w:rPr/>
        <w:t>应付票据</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388" w:type="dxa"/>
        <w:tblLayout w:type="fixed"/>
        <w:tblCellMar>
          <w:top w:w="0" w:type="dxa"/>
          <w:left w:w="0" w:type="dxa"/>
          <w:bottom w:w="0" w:type="dxa"/>
          <w:right w:w="0" w:type="dxa"/>
        </w:tblCellMar>
        <w:tblLook w:val="01E0"/>
      </w:tblPr>
      <w:tblGrid>
        <w:gridCol w:w="2576"/>
        <w:gridCol w:w="1618"/>
        <w:gridCol w:w="2261"/>
        <w:gridCol w:w="674"/>
        <w:gridCol w:w="1985"/>
      </w:tblGrid>
      <w:tr>
        <w:trPr>
          <w:trHeight w:val="251" w:hRule="exact"/>
        </w:trPr>
        <w:tc>
          <w:tcPr>
            <w:tcW w:w="2576" w:type="dxa"/>
            <w:tcBorders>
              <w:top w:val="nil" w:sz="6" w:space="0" w:color="auto"/>
              <w:left w:val="nil" w:sz="6" w:space="0" w:color="auto"/>
              <w:bottom w:val="single" w:sz="8" w:space="0" w:color="000000"/>
              <w:right w:val="nil" w:sz="6" w:space="0" w:color="auto"/>
            </w:tcBorders>
          </w:tcPr>
          <w:p>
            <w:pPr>
              <w:pStyle w:val="TableParagraph"/>
              <w:spacing w:line="211" w:lineRule="exact"/>
              <w:ind w:right="1020"/>
              <w:jc w:val="right"/>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spacing w:val="2"/>
                <w:sz w:val="21"/>
                <w:szCs w:val="21"/>
              </w:rPr>
              <w:t> </w:t>
            </w:r>
            <w:r>
              <w:rPr>
                <w:rFonts w:ascii="宋体" w:hAnsi="宋体" w:cs="宋体" w:eastAsia="宋体" w:hint="default"/>
                <w:sz w:val="21"/>
                <w:szCs w:val="21"/>
              </w:rPr>
              <w:t>类</w:t>
            </w:r>
          </w:p>
        </w:tc>
        <w:tc>
          <w:tcPr>
            <w:tcW w:w="1618"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8" w:space="0" w:color="000000"/>
              <w:right w:val="nil" w:sz="6" w:space="0" w:color="auto"/>
            </w:tcBorders>
          </w:tcPr>
          <w:p>
            <w:pPr>
              <w:pStyle w:val="TableParagraph"/>
              <w:spacing w:line="211" w:lineRule="exact"/>
              <w:ind w:left="818"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67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8"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0" w:hRule="exact"/>
        </w:trPr>
        <w:tc>
          <w:tcPr>
            <w:tcW w:w="257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618" w:type="dxa"/>
            <w:tcBorders>
              <w:top w:val="nil" w:sz="6" w:space="0" w:color="auto"/>
              <w:left w:val="nil" w:sz="6" w:space="0" w:color="auto"/>
              <w:bottom w:val="nil" w:sz="6" w:space="0" w:color="auto"/>
              <w:right w:val="nil" w:sz="6" w:space="0" w:color="auto"/>
            </w:tcBorders>
          </w:tcPr>
          <w:p>
            <w:pP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787" w:right="0"/>
              <w:jc w:val="left"/>
              <w:rPr>
                <w:rFonts w:ascii="宋体" w:hAnsi="宋体" w:cs="宋体" w:eastAsia="宋体" w:hint="default"/>
                <w:sz w:val="21"/>
                <w:szCs w:val="21"/>
              </w:rPr>
            </w:pPr>
            <w:r>
              <w:rPr>
                <w:rFonts w:ascii="宋体"/>
                <w:sz w:val="21"/>
              </w:rPr>
              <w:t>71,894,750.28</w:t>
            </w:r>
          </w:p>
        </w:tc>
        <w:tc>
          <w:tcPr>
            <w:tcW w:w="674" w:type="dxa"/>
            <w:tcBorders>
              <w:top w:val="nil" w:sz="6" w:space="0" w:color="auto"/>
              <w:left w:val="nil" w:sz="6" w:space="0" w:color="auto"/>
              <w:bottom w:val="nil" w:sz="6" w:space="0" w:color="auto"/>
              <w:right w:val="nil" w:sz="6" w:space="0" w:color="auto"/>
            </w:tcBorders>
          </w:tcPr>
          <w:p>
            <w:pPr/>
          </w:p>
        </w:tc>
        <w:tc>
          <w:tcPr>
            <w:tcW w:w="198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56,712,529.91</w:t>
            </w:r>
          </w:p>
        </w:tc>
      </w:tr>
      <w:tr>
        <w:trPr>
          <w:trHeight w:val="375"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20"/>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618" w:type="dxa"/>
            <w:tcBorders>
              <w:top w:val="nil" w:sz="6" w:space="0" w:color="auto"/>
              <w:left w:val="nil" w:sz="6" w:space="0" w:color="auto"/>
              <w:bottom w:val="nil" w:sz="6" w:space="0" w:color="auto"/>
              <w:right w:val="nil" w:sz="6" w:space="0" w:color="auto"/>
            </w:tcBorders>
          </w:tcPr>
          <w:p>
            <w:pPr/>
          </w:p>
        </w:tc>
        <w:tc>
          <w:tcPr>
            <w:tcW w:w="2261"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left="787" w:right="0"/>
              <w:jc w:val="left"/>
              <w:rPr>
                <w:rFonts w:ascii="宋体" w:hAnsi="宋体" w:cs="宋体" w:eastAsia="宋体" w:hint="default"/>
                <w:sz w:val="21"/>
                <w:szCs w:val="21"/>
              </w:rPr>
            </w:pPr>
            <w:r>
              <w:rPr>
                <w:rFonts w:ascii="宋体"/>
                <w:sz w:val="21"/>
              </w:rPr>
              <w:t>71,894,750.28</w:t>
            </w:r>
          </w:p>
        </w:tc>
        <w:tc>
          <w:tcPr>
            <w:tcW w:w="674" w:type="dxa"/>
            <w:tcBorders>
              <w:top w:val="nil" w:sz="6" w:space="0" w:color="auto"/>
              <w:left w:val="nil" w:sz="6" w:space="0" w:color="auto"/>
              <w:bottom w:val="nil" w:sz="6" w:space="0" w:color="auto"/>
              <w:right w:val="nil" w:sz="6" w:space="0" w:color="auto"/>
            </w:tcBorders>
          </w:tcPr>
          <w:p>
            <w:pPr/>
          </w:p>
        </w:tc>
        <w:tc>
          <w:tcPr>
            <w:tcW w:w="1985"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spacing w:val="-1"/>
                <w:sz w:val="21"/>
              </w:rPr>
              <w:t>56,712,529.91</w:t>
            </w:r>
          </w:p>
        </w:tc>
      </w:tr>
    </w:tbl>
    <w:p>
      <w:pPr>
        <w:spacing w:line="240" w:lineRule="auto" w:before="3"/>
        <w:rPr>
          <w:rFonts w:ascii="Microsoft JhengHei" w:hAnsi="Microsoft JhengHei" w:cs="Microsoft JhengHei" w:eastAsia="Microsoft JhengHei" w:hint="default"/>
          <w:b/>
          <w:bCs/>
          <w:sz w:val="9"/>
          <w:szCs w:val="9"/>
        </w:rPr>
      </w:pPr>
    </w:p>
    <w:p>
      <w:pPr>
        <w:pStyle w:val="BodyText"/>
        <w:spacing w:line="240" w:lineRule="auto" w:before="26"/>
        <w:ind w:left="882" w:right="1285"/>
        <w:jc w:val="left"/>
      </w:pPr>
      <w:r>
        <w:rPr/>
        <w:t>下一会计期间将到期的金额为</w:t>
      </w:r>
      <w:r>
        <w:rPr>
          <w:spacing w:val="-60"/>
        </w:rPr>
        <w:t> </w:t>
      </w:r>
      <w:r>
        <w:rPr>
          <w:rFonts w:ascii="宋体" w:hAnsi="宋体" w:cs="宋体" w:eastAsia="宋体" w:hint="default"/>
        </w:rPr>
        <w:t>71,894,750.28</w:t>
      </w:r>
      <w:r>
        <w:rPr>
          <w:rFonts w:ascii="宋体" w:hAnsi="宋体" w:cs="宋体" w:eastAsia="宋体" w:hint="default"/>
          <w:spacing w:val="-60"/>
        </w:rPr>
        <w:t> </w:t>
      </w:r>
      <w:r>
        <w:rPr/>
        <w:t>元。</w:t>
      </w:r>
    </w:p>
    <w:p>
      <w:pPr>
        <w:spacing w:after="0" w:line="240" w:lineRule="auto"/>
        <w:jc w:val="left"/>
        <w:sectPr>
          <w:footerReference w:type="default" r:id="rId42"/>
          <w:pgSz w:w="11910" w:h="16840"/>
          <w:pgMar w:footer="956" w:header="811" w:top="1120" w:bottom="1140" w:left="980" w:right="0"/>
        </w:sectPr>
      </w:pPr>
    </w:p>
    <w:p>
      <w:pPr>
        <w:spacing w:line="240" w:lineRule="auto" w:before="8"/>
        <w:rPr>
          <w:rFonts w:ascii="宋体" w:hAnsi="宋体" w:cs="宋体" w:eastAsia="宋体" w:hint="default"/>
          <w:sz w:val="27"/>
          <w:szCs w:val="27"/>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19</w:t>
      </w:r>
      <w:r>
        <w:rPr>
          <w:w w:val="90"/>
        </w:rPr>
        <w:t>、</w:t>
        <w:tab/>
      </w:r>
      <w:r>
        <w:rPr/>
        <w:t>应付账款</w:t>
      </w:r>
      <w:r>
        <w:rPr>
          <w:b w:val="0"/>
          <w:bCs w:val="0"/>
        </w:rPr>
      </w:r>
    </w:p>
    <w:p>
      <w:pPr>
        <w:spacing w:line="240" w:lineRule="auto" w:before="7"/>
        <w:rPr>
          <w:rFonts w:ascii="Microsoft JhengHei" w:hAnsi="Microsoft JhengHei" w:cs="Microsoft JhengHei" w:eastAsia="Microsoft JhengHei" w:hint="default"/>
          <w:b/>
          <w:bCs/>
          <w:sz w:val="20"/>
          <w:szCs w:val="20"/>
        </w:rPr>
      </w:pPr>
    </w:p>
    <w:p>
      <w:pPr>
        <w:pStyle w:val="BodyText"/>
        <w:tabs>
          <w:tab w:pos="1362" w:val="left" w:leader="none"/>
        </w:tabs>
        <w:spacing w:line="240" w:lineRule="auto" w:before="0"/>
        <w:ind w:left="882" w:right="1285"/>
        <w:jc w:val="left"/>
      </w:pPr>
      <w:r>
        <w:rPr/>
        <w:t>⑴</w:t>
        <w:tab/>
        <w:t>应付账款明细情况</w:t>
      </w:r>
    </w:p>
    <w:p>
      <w:pPr>
        <w:spacing w:line="240" w:lineRule="auto" w:before="6"/>
        <w:rPr>
          <w:rFonts w:ascii="宋体" w:hAnsi="宋体" w:cs="宋体" w:eastAsia="宋体" w:hint="default"/>
          <w:sz w:val="8"/>
          <w:szCs w:val="8"/>
        </w:rPr>
      </w:pPr>
    </w:p>
    <w:tbl>
      <w:tblPr>
        <w:tblW w:w="0" w:type="auto"/>
        <w:jc w:val="left"/>
        <w:tblInd w:w="388" w:type="dxa"/>
        <w:tblLayout w:type="fixed"/>
        <w:tblCellMar>
          <w:top w:w="0" w:type="dxa"/>
          <w:left w:w="0" w:type="dxa"/>
          <w:bottom w:w="0" w:type="dxa"/>
          <w:right w:w="0" w:type="dxa"/>
        </w:tblCellMar>
        <w:tblLook w:val="01E0"/>
      </w:tblPr>
      <w:tblGrid>
        <w:gridCol w:w="2604"/>
        <w:gridCol w:w="1575"/>
        <w:gridCol w:w="2122"/>
        <w:gridCol w:w="758"/>
        <w:gridCol w:w="1928"/>
      </w:tblGrid>
      <w:tr>
        <w:trPr>
          <w:trHeight w:val="287" w:hRule="exact"/>
        </w:trPr>
        <w:tc>
          <w:tcPr>
            <w:tcW w:w="2604" w:type="dxa"/>
            <w:tcBorders>
              <w:top w:val="nil" w:sz="6" w:space="0" w:color="auto"/>
              <w:left w:val="nil" w:sz="6" w:space="0" w:color="auto"/>
              <w:bottom w:val="single" w:sz="8" w:space="0" w:color="000000"/>
              <w:right w:val="nil" w:sz="6" w:space="0" w:color="auto"/>
            </w:tcBorders>
          </w:tcPr>
          <w:p>
            <w:pPr>
              <w:pStyle w:val="TableParagraph"/>
              <w:spacing w:line="211" w:lineRule="exact"/>
              <w:ind w:right="1035"/>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575"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8" w:space="0" w:color="000000"/>
              <w:right w:val="nil" w:sz="6" w:space="0" w:color="auto"/>
            </w:tcBorders>
          </w:tcPr>
          <w:p>
            <w:pPr>
              <w:pStyle w:val="TableParagraph"/>
              <w:spacing w:line="245" w:lineRule="exact"/>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58"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8" w:space="0" w:color="000000"/>
              <w:right w:val="nil" w:sz="6" w:space="0" w:color="auto"/>
            </w:tcBorders>
          </w:tcPr>
          <w:p>
            <w:pPr>
              <w:pStyle w:val="TableParagraph"/>
              <w:spacing w:line="245" w:lineRule="exact"/>
              <w:ind w:left="653"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60" w:hRule="exact"/>
        </w:trPr>
        <w:tc>
          <w:tcPr>
            <w:tcW w:w="2604" w:type="dxa"/>
            <w:tcBorders>
              <w:top w:val="single" w:sz="8" w:space="0" w:color="000000"/>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应付购货款</w:t>
            </w:r>
          </w:p>
        </w:tc>
        <w:tc>
          <w:tcPr>
            <w:tcW w:w="1575" w:type="dxa"/>
            <w:tcBorders>
              <w:top w:val="nil" w:sz="6" w:space="0" w:color="auto"/>
              <w:left w:val="nil" w:sz="6" w:space="0" w:color="auto"/>
              <w:bottom w:val="nil" w:sz="6" w:space="0" w:color="auto"/>
              <w:right w:val="nil" w:sz="6" w:space="0" w:color="auto"/>
            </w:tcBorders>
          </w:tcPr>
          <w:p>
            <w:pPr/>
          </w:p>
        </w:tc>
        <w:tc>
          <w:tcPr>
            <w:tcW w:w="2122"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pacing w:val="-1"/>
                <w:sz w:val="21"/>
              </w:rPr>
              <w:t>113,845,351.02</w:t>
            </w:r>
          </w:p>
        </w:tc>
        <w:tc>
          <w:tcPr>
            <w:tcW w:w="758" w:type="dxa"/>
            <w:tcBorders>
              <w:top w:val="nil" w:sz="6" w:space="0" w:color="auto"/>
              <w:left w:val="nil" w:sz="6" w:space="0" w:color="auto"/>
              <w:bottom w:val="nil" w:sz="6" w:space="0" w:color="auto"/>
              <w:right w:val="nil" w:sz="6" w:space="0" w:color="auto"/>
            </w:tcBorders>
          </w:tcPr>
          <w:p>
            <w:pPr/>
          </w:p>
        </w:tc>
        <w:tc>
          <w:tcPr>
            <w:tcW w:w="1928"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91,178,002.45</w:t>
            </w:r>
          </w:p>
        </w:tc>
      </w:tr>
      <w:tr>
        <w:trPr>
          <w:trHeight w:val="372" w:hRule="exact"/>
        </w:trPr>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5"/>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575" w:type="dxa"/>
            <w:tcBorders>
              <w:top w:val="nil" w:sz="6" w:space="0" w:color="auto"/>
              <w:left w:val="nil" w:sz="6" w:space="0" w:color="auto"/>
              <w:bottom w:val="nil" w:sz="6" w:space="0" w:color="auto"/>
              <w:right w:val="nil" w:sz="6" w:space="0" w:color="auto"/>
            </w:tcBorders>
          </w:tcPr>
          <w:p>
            <w:pPr/>
          </w:p>
        </w:tc>
        <w:tc>
          <w:tcPr>
            <w:tcW w:w="2122"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pacing w:val="-1"/>
                <w:sz w:val="21"/>
              </w:rPr>
              <w:t>113,845,351.02</w:t>
            </w:r>
          </w:p>
        </w:tc>
        <w:tc>
          <w:tcPr>
            <w:tcW w:w="758" w:type="dxa"/>
            <w:tcBorders>
              <w:top w:val="nil" w:sz="6" w:space="0" w:color="auto"/>
              <w:left w:val="nil" w:sz="6" w:space="0" w:color="auto"/>
              <w:bottom w:val="nil" w:sz="6" w:space="0" w:color="auto"/>
              <w:right w:val="nil" w:sz="6" w:space="0" w:color="auto"/>
            </w:tcBorders>
          </w:tcPr>
          <w:p>
            <w:pPr/>
          </w:p>
        </w:tc>
        <w:tc>
          <w:tcPr>
            <w:tcW w:w="1928" w:type="dxa"/>
            <w:tcBorders>
              <w:top w:val="single" w:sz="8" w:space="0" w:color="000000"/>
              <w:left w:val="nil" w:sz="6" w:space="0" w:color="auto"/>
              <w:bottom w:val="single" w:sz="17"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91,178,002.45</w:t>
            </w:r>
          </w:p>
        </w:tc>
      </w:tr>
    </w:tbl>
    <w:p>
      <w:pPr>
        <w:spacing w:line="240" w:lineRule="auto" w:before="2"/>
        <w:rPr>
          <w:rFonts w:ascii="宋体" w:hAnsi="宋体" w:cs="宋体" w:eastAsia="宋体" w:hint="default"/>
          <w:sz w:val="23"/>
          <w:szCs w:val="23"/>
        </w:rPr>
      </w:pPr>
    </w:p>
    <w:p>
      <w:pPr>
        <w:pStyle w:val="BodyText"/>
        <w:tabs>
          <w:tab w:pos="1362" w:val="left" w:leader="none"/>
        </w:tabs>
        <w:spacing w:line="307" w:lineRule="auto" w:before="26"/>
        <w:ind w:left="402" w:right="1285" w:firstLine="448"/>
        <w:jc w:val="left"/>
      </w:pPr>
      <w:r>
        <w:rPr/>
        <w:t>⑵</w:t>
        <w:tab/>
        <w:t>应付账款中无应付持有公司</w:t>
      </w:r>
      <w:r>
        <w:rPr>
          <w:spacing w:val="-63"/>
        </w:rPr>
        <w:t> </w:t>
      </w:r>
      <w:r>
        <w:rPr>
          <w:rFonts w:ascii="宋体" w:hAnsi="宋体" w:cs="宋体" w:eastAsia="宋体" w:hint="default"/>
        </w:rPr>
        <w:t>5%</w:t>
      </w:r>
      <w:r>
        <w:rPr/>
        <w:t>（含</w:t>
      </w:r>
      <w:r>
        <w:rPr>
          <w:spacing w:val="-63"/>
        </w:rPr>
        <w:t> </w:t>
      </w:r>
      <w:r>
        <w:rPr>
          <w:rFonts w:ascii="宋体" w:hAnsi="宋体" w:cs="宋体" w:eastAsia="宋体" w:hint="default"/>
        </w:rPr>
        <w:t>5%</w:t>
      </w:r>
      <w:r>
        <w:rPr/>
        <w:t>）以上表决权股份的股东单位或关联方的 款项。</w:t>
      </w:r>
    </w:p>
    <w:p>
      <w:pPr>
        <w:spacing w:line="240" w:lineRule="auto" w:before="4"/>
        <w:rPr>
          <w:rFonts w:ascii="宋体" w:hAnsi="宋体" w:cs="宋体" w:eastAsia="宋体" w:hint="default"/>
          <w:sz w:val="20"/>
          <w:szCs w:val="20"/>
        </w:rPr>
      </w:pPr>
    </w:p>
    <w:p>
      <w:pPr>
        <w:pStyle w:val="Heading3"/>
        <w:tabs>
          <w:tab w:pos="1662" w:val="left" w:leader="none"/>
        </w:tabs>
        <w:spacing w:line="240" w:lineRule="auto"/>
        <w:ind w:right="1285"/>
        <w:jc w:val="left"/>
        <w:rPr>
          <w:b w:val="0"/>
          <w:bCs w:val="0"/>
        </w:rPr>
      </w:pPr>
      <w:r>
        <w:rPr>
          <w:rFonts w:ascii="Trebuchet MS" w:hAnsi="Trebuchet MS" w:cs="Trebuchet MS" w:eastAsia="Trebuchet MS" w:hint="default"/>
          <w:w w:val="90"/>
        </w:rPr>
        <w:t>20</w:t>
      </w:r>
      <w:r>
        <w:rPr>
          <w:w w:val="90"/>
        </w:rPr>
        <w:t>、</w:t>
        <w:tab/>
      </w:r>
      <w:r>
        <w:rPr/>
        <w:t>预收款项</w:t>
      </w:r>
      <w:r>
        <w:rPr>
          <w:b w:val="0"/>
          <w:bCs w:val="0"/>
        </w:rPr>
      </w:r>
    </w:p>
    <w:p>
      <w:pPr>
        <w:pStyle w:val="BodyText"/>
        <w:tabs>
          <w:tab w:pos="1362" w:val="left" w:leader="none"/>
        </w:tabs>
        <w:spacing w:line="240" w:lineRule="auto" w:before="213"/>
        <w:ind w:left="882" w:right="1285"/>
        <w:jc w:val="left"/>
      </w:pPr>
      <w:r>
        <w:rPr/>
        <w:t>⑴</w:t>
        <w:tab/>
        <w:t>预收款项明细情况</w:t>
      </w:r>
    </w:p>
    <w:p>
      <w:pPr>
        <w:spacing w:line="240" w:lineRule="auto" w:before="11"/>
        <w:rPr>
          <w:rFonts w:ascii="宋体" w:hAnsi="宋体" w:cs="宋体" w:eastAsia="宋体" w:hint="default"/>
          <w:sz w:val="10"/>
          <w:szCs w:val="10"/>
        </w:rPr>
      </w:pPr>
    </w:p>
    <w:tbl>
      <w:tblPr>
        <w:tblW w:w="0" w:type="auto"/>
        <w:jc w:val="left"/>
        <w:tblInd w:w="388" w:type="dxa"/>
        <w:tblLayout w:type="fixed"/>
        <w:tblCellMar>
          <w:top w:w="0" w:type="dxa"/>
          <w:left w:w="0" w:type="dxa"/>
          <w:bottom w:w="0" w:type="dxa"/>
          <w:right w:w="0" w:type="dxa"/>
        </w:tblCellMar>
        <w:tblLook w:val="01E0"/>
      </w:tblPr>
      <w:tblGrid>
        <w:gridCol w:w="2619"/>
        <w:gridCol w:w="1716"/>
        <w:gridCol w:w="2050"/>
        <w:gridCol w:w="734"/>
        <w:gridCol w:w="2024"/>
      </w:tblGrid>
      <w:tr>
        <w:trPr>
          <w:trHeight w:val="251" w:hRule="exact"/>
        </w:trPr>
        <w:tc>
          <w:tcPr>
            <w:tcW w:w="2619" w:type="dxa"/>
            <w:tcBorders>
              <w:top w:val="nil" w:sz="6" w:space="0" w:color="auto"/>
              <w:left w:val="nil" w:sz="6" w:space="0" w:color="auto"/>
              <w:bottom w:val="single" w:sz="8" w:space="0" w:color="000000"/>
              <w:right w:val="nil" w:sz="6" w:space="0" w:color="auto"/>
            </w:tcBorders>
          </w:tcPr>
          <w:p>
            <w:pPr>
              <w:pStyle w:val="TableParagraph"/>
              <w:spacing w:line="211" w:lineRule="exact"/>
              <w:ind w:right="1042"/>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7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11" w:lineRule="exact"/>
              <w:ind w:left="10"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34"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8" w:space="0" w:color="000000"/>
              <w:right w:val="nil" w:sz="6" w:space="0" w:color="auto"/>
            </w:tcBorders>
          </w:tcPr>
          <w:p>
            <w:pPr>
              <w:pStyle w:val="TableParagraph"/>
              <w:spacing w:line="211" w:lineRule="exact"/>
              <w:ind w:left="698"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60" w:hRule="exact"/>
        </w:trPr>
        <w:tc>
          <w:tcPr>
            <w:tcW w:w="261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17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22,315,644.85</w:t>
            </w:r>
          </w:p>
        </w:tc>
        <w:tc>
          <w:tcPr>
            <w:tcW w:w="734" w:type="dxa"/>
            <w:tcBorders>
              <w:top w:val="nil" w:sz="6" w:space="0" w:color="auto"/>
              <w:left w:val="nil" w:sz="6" w:space="0" w:color="auto"/>
              <w:bottom w:val="nil" w:sz="6" w:space="0" w:color="auto"/>
              <w:right w:val="nil" w:sz="6" w:space="0" w:color="auto"/>
            </w:tcBorders>
          </w:tcPr>
          <w:p>
            <w:pPr/>
          </w:p>
        </w:tc>
        <w:tc>
          <w:tcPr>
            <w:tcW w:w="202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655" w:right="0"/>
              <w:jc w:val="left"/>
              <w:rPr>
                <w:rFonts w:ascii="宋体" w:hAnsi="宋体" w:cs="宋体" w:eastAsia="宋体" w:hint="default"/>
                <w:sz w:val="21"/>
                <w:szCs w:val="21"/>
              </w:rPr>
            </w:pPr>
            <w:r>
              <w:rPr>
                <w:rFonts w:ascii="宋体"/>
                <w:spacing w:val="-1"/>
                <w:sz w:val="21"/>
              </w:rPr>
              <w:t>13,489,623.02</w:t>
            </w:r>
          </w:p>
        </w:tc>
      </w:tr>
      <w:tr>
        <w:trPr>
          <w:trHeight w:val="374"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42"/>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7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22,315,644.85</w:t>
            </w:r>
          </w:p>
        </w:tc>
        <w:tc>
          <w:tcPr>
            <w:tcW w:w="734" w:type="dxa"/>
            <w:tcBorders>
              <w:top w:val="nil" w:sz="6" w:space="0" w:color="auto"/>
              <w:left w:val="nil" w:sz="6" w:space="0" w:color="auto"/>
              <w:bottom w:val="nil" w:sz="6" w:space="0" w:color="auto"/>
              <w:right w:val="nil" w:sz="6" w:space="0" w:color="auto"/>
            </w:tcBorders>
          </w:tcPr>
          <w:p>
            <w:pPr/>
          </w:p>
        </w:tc>
        <w:tc>
          <w:tcPr>
            <w:tcW w:w="202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655" w:right="0"/>
              <w:jc w:val="left"/>
              <w:rPr>
                <w:rFonts w:ascii="宋体" w:hAnsi="宋体" w:cs="宋体" w:eastAsia="宋体" w:hint="default"/>
                <w:sz w:val="21"/>
                <w:szCs w:val="21"/>
              </w:rPr>
            </w:pPr>
            <w:r>
              <w:rPr>
                <w:rFonts w:ascii="宋体"/>
                <w:spacing w:val="-1"/>
                <w:sz w:val="21"/>
              </w:rPr>
              <w:t>13,489,623.02</w:t>
            </w:r>
          </w:p>
        </w:tc>
      </w:tr>
    </w:tbl>
    <w:p>
      <w:pPr>
        <w:spacing w:line="240" w:lineRule="auto" w:before="2"/>
        <w:rPr>
          <w:rFonts w:ascii="宋体" w:hAnsi="宋体" w:cs="宋体" w:eastAsia="宋体" w:hint="default"/>
          <w:sz w:val="23"/>
          <w:szCs w:val="23"/>
        </w:rPr>
      </w:pPr>
    </w:p>
    <w:p>
      <w:pPr>
        <w:pStyle w:val="BodyText"/>
        <w:tabs>
          <w:tab w:pos="1362" w:val="left" w:leader="none"/>
        </w:tabs>
        <w:spacing w:line="307" w:lineRule="auto" w:before="26"/>
        <w:ind w:left="402" w:right="1285" w:firstLine="463"/>
        <w:jc w:val="left"/>
      </w:pPr>
      <w:r>
        <w:rPr/>
        <w:t>⑵</w:t>
        <w:tab/>
        <w:t>报告期预收款项中无预收持有公司</w:t>
      </w:r>
      <w:r>
        <w:rPr>
          <w:spacing w:val="-63"/>
        </w:rPr>
        <w:t> </w:t>
      </w:r>
      <w:r>
        <w:rPr>
          <w:rFonts w:ascii="宋体" w:hAnsi="宋体" w:cs="宋体" w:eastAsia="宋体" w:hint="default"/>
        </w:rPr>
        <w:t>5%</w:t>
      </w:r>
      <w:r>
        <w:rPr/>
        <w:t>（含</w:t>
      </w:r>
      <w:r>
        <w:rPr>
          <w:spacing w:val="-63"/>
        </w:rPr>
        <w:t> </w:t>
      </w:r>
      <w:r>
        <w:rPr>
          <w:rFonts w:ascii="宋体" w:hAnsi="宋体" w:cs="宋体" w:eastAsia="宋体" w:hint="default"/>
        </w:rPr>
        <w:t>5%</w:t>
      </w:r>
      <w:r>
        <w:rPr/>
        <w:t>）以上表决权股份的股东单位或关 联方的款项。</w:t>
      </w:r>
    </w:p>
    <w:p>
      <w:pPr>
        <w:spacing w:line="240" w:lineRule="auto" w:before="3"/>
        <w:rPr>
          <w:rFonts w:ascii="宋体" w:hAnsi="宋体" w:cs="宋体" w:eastAsia="宋体" w:hint="default"/>
          <w:sz w:val="20"/>
          <w:szCs w:val="20"/>
        </w:rPr>
      </w:pPr>
    </w:p>
    <w:p>
      <w:pPr>
        <w:pStyle w:val="Heading3"/>
        <w:tabs>
          <w:tab w:pos="1662" w:val="left" w:leader="none"/>
        </w:tabs>
        <w:spacing w:line="240" w:lineRule="auto"/>
        <w:ind w:right="1285"/>
        <w:jc w:val="left"/>
        <w:rPr>
          <w:b w:val="0"/>
          <w:bCs w:val="0"/>
        </w:rPr>
      </w:pPr>
      <w:r>
        <w:rPr>
          <w:rFonts w:ascii="Trebuchet MS" w:hAnsi="Trebuchet MS" w:cs="Trebuchet MS" w:eastAsia="Trebuchet MS" w:hint="default"/>
          <w:w w:val="90"/>
        </w:rPr>
        <w:t>21</w:t>
      </w:r>
      <w:r>
        <w:rPr>
          <w:w w:val="90"/>
        </w:rPr>
        <w:t>、</w:t>
        <w:tab/>
      </w:r>
      <w:r>
        <w:rPr/>
        <w:t>应付职工薪酬</w:t>
      </w:r>
      <w:r>
        <w:rPr>
          <w:b w:val="0"/>
          <w:bCs w:val="0"/>
        </w:rPr>
      </w:r>
    </w:p>
    <w:p>
      <w:pPr>
        <w:spacing w:line="240" w:lineRule="auto" w:before="14"/>
        <w:rPr>
          <w:rFonts w:ascii="Microsoft JhengHei" w:hAnsi="Microsoft JhengHei" w:cs="Microsoft JhengHei" w:eastAsia="Microsoft JhengHei" w:hint="default"/>
          <w:b/>
          <w:bCs/>
          <w:sz w:val="6"/>
          <w:szCs w:val="6"/>
        </w:rPr>
      </w:pPr>
    </w:p>
    <w:tbl>
      <w:tblPr>
        <w:tblW w:w="0" w:type="auto"/>
        <w:jc w:val="left"/>
        <w:tblInd w:w="386" w:type="dxa"/>
        <w:tblLayout w:type="fixed"/>
        <w:tblCellMar>
          <w:top w:w="0" w:type="dxa"/>
          <w:left w:w="0" w:type="dxa"/>
          <w:bottom w:w="0" w:type="dxa"/>
          <w:right w:w="0" w:type="dxa"/>
        </w:tblCellMar>
        <w:tblLook w:val="01E0"/>
      </w:tblPr>
      <w:tblGrid>
        <w:gridCol w:w="2760"/>
        <w:gridCol w:w="214"/>
        <w:gridCol w:w="1394"/>
        <w:gridCol w:w="214"/>
        <w:gridCol w:w="1409"/>
        <w:gridCol w:w="216"/>
        <w:gridCol w:w="1392"/>
        <w:gridCol w:w="216"/>
        <w:gridCol w:w="1380"/>
      </w:tblGrid>
      <w:tr>
        <w:trPr>
          <w:trHeight w:val="217" w:hRule="exact"/>
        </w:trPr>
        <w:tc>
          <w:tcPr>
            <w:tcW w:w="2760"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8" w:space="0" w:color="000000"/>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8"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8" w:space="0" w:color="000000"/>
              <w:right w:val="nil" w:sz="6" w:space="0" w:color="auto"/>
            </w:tcBorders>
          </w:tcPr>
          <w:p>
            <w:pPr>
              <w:pStyle w:val="TableParagraph"/>
              <w:spacing w:line="180" w:lineRule="exact"/>
              <w:ind w:left="38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8" w:space="0" w:color="000000"/>
              <w:right w:val="nil" w:sz="6" w:space="0" w:color="auto"/>
            </w:tcBorders>
          </w:tcPr>
          <w:p>
            <w:pPr>
              <w:pStyle w:val="TableParagraph"/>
              <w:spacing w:line="180" w:lineRule="exact"/>
              <w:ind w:left="467"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42" w:hRule="exact"/>
        </w:trPr>
        <w:tc>
          <w:tcPr>
            <w:tcW w:w="2760"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3,773,304.21</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60,524,826.49</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62,698,621.70</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pacing w:val="-1"/>
                <w:sz w:val="18"/>
              </w:rPr>
              <w:t>1,599,509.00</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2,632,945.27</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2,632,945.27</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1,799,878.68</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16,038,019.68</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17,837,898.36</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410,039.22</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4,373,319.71</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4,783,358.93</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1,214,111.78</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10,236,999.68</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pacing w:val="-1"/>
                <w:sz w:val="18"/>
              </w:rPr>
              <w:t>11,451,111.46</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工伤保险费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40,939.76</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323,319.42</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364,259.18</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失业保险费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95,321.47</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719,136.33</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814,457.80</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生育保险费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39,466.45</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385,244.54</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424,710.99</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年金缴费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z w:val="18"/>
              </w:rPr>
              <w:t>-</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5"/>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67,176.00</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4,130,397.50</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4,197,573.50</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0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4,382,286.18</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2,675,595.51</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18"/>
                <w:szCs w:val="18"/>
              </w:rPr>
            </w:pPr>
            <w:r>
              <w:rPr>
                <w:rFonts w:ascii="宋体"/>
                <w:spacing w:val="-1"/>
                <w:sz w:val="18"/>
              </w:rPr>
              <w:t>498,004.83</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5"/>
              <w:jc w:val="right"/>
              <w:rPr>
                <w:rFonts w:ascii="宋体" w:hAnsi="宋体" w:cs="宋体" w:eastAsia="宋体" w:hint="default"/>
                <w:sz w:val="18"/>
                <w:szCs w:val="18"/>
              </w:rPr>
            </w:pPr>
            <w:r>
              <w:rPr>
                <w:rFonts w:ascii="宋体"/>
                <w:spacing w:val="-1"/>
                <w:sz w:val="18"/>
              </w:rPr>
              <w:t>6,559,876.86</w:t>
            </w:r>
          </w:p>
        </w:tc>
      </w:tr>
      <w:tr>
        <w:trPr>
          <w:trHeight w:val="27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4"/>
              <w:jc w:val="right"/>
              <w:rPr>
                <w:rFonts w:ascii="宋体" w:hAnsi="宋体" w:cs="宋体" w:eastAsia="宋体" w:hint="default"/>
                <w:sz w:val="18"/>
                <w:szCs w:val="18"/>
              </w:rPr>
            </w:pPr>
            <w:r>
              <w:rPr>
                <w:rFonts w:ascii="宋体"/>
                <w:sz w:val="18"/>
              </w:rPr>
              <w:t>-</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w:t>
            </w:r>
          </w:p>
        </w:tc>
      </w:tr>
      <w:tr>
        <w:trPr>
          <w:trHeight w:val="33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4"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single" w:sz="17" w:space="0" w:color="000000"/>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10,022,645.07</w:t>
            </w:r>
          </w:p>
        </w:tc>
        <w:tc>
          <w:tcPr>
            <w:tcW w:w="214" w:type="dxa"/>
            <w:tcBorders>
              <w:top w:val="nil" w:sz="6" w:space="0" w:color="auto"/>
              <w:left w:val="nil" w:sz="6" w:space="0" w:color="auto"/>
              <w:bottom w:val="nil" w:sz="6" w:space="0" w:color="auto"/>
              <w:right w:val="nil" w:sz="6" w:space="0" w:color="auto"/>
            </w:tcBorders>
          </w:tcPr>
          <w:p>
            <w:pPr/>
          </w:p>
        </w:tc>
        <w:tc>
          <w:tcPr>
            <w:tcW w:w="1409" w:type="dxa"/>
            <w:tcBorders>
              <w:top w:val="single" w:sz="8" w:space="0" w:color="000000"/>
              <w:left w:val="nil" w:sz="6" w:space="0" w:color="auto"/>
              <w:bottom w:val="single" w:sz="17"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86,001,784.45</w:t>
            </w:r>
          </w:p>
        </w:tc>
        <w:tc>
          <w:tcPr>
            <w:tcW w:w="216" w:type="dxa"/>
            <w:tcBorders>
              <w:top w:val="nil" w:sz="6" w:space="0" w:color="auto"/>
              <w:left w:val="nil" w:sz="6" w:space="0" w:color="auto"/>
              <w:bottom w:val="nil" w:sz="6" w:space="0" w:color="auto"/>
              <w:right w:val="nil" w:sz="6" w:space="0" w:color="auto"/>
            </w:tcBorders>
          </w:tcPr>
          <w:p>
            <w:pPr/>
          </w:p>
        </w:tc>
        <w:tc>
          <w:tcPr>
            <w:tcW w:w="1392" w:type="dxa"/>
            <w:tcBorders>
              <w:top w:val="single" w:sz="8" w:space="0" w:color="000000"/>
              <w:left w:val="nil" w:sz="6" w:space="0" w:color="auto"/>
              <w:bottom w:val="single" w:sz="17"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spacing w:val="-1"/>
                <w:sz w:val="18"/>
              </w:rPr>
              <w:t>87,865,043.66</w:t>
            </w:r>
          </w:p>
        </w:tc>
        <w:tc>
          <w:tcPr>
            <w:tcW w:w="216" w:type="dxa"/>
            <w:tcBorders>
              <w:top w:val="nil" w:sz="6" w:space="0" w:color="auto"/>
              <w:left w:val="nil" w:sz="6" w:space="0" w:color="auto"/>
              <w:bottom w:val="nil" w:sz="6" w:space="0" w:color="auto"/>
              <w:right w:val="nil" w:sz="6" w:space="0" w:color="auto"/>
            </w:tcBorders>
          </w:tcPr>
          <w:p>
            <w:pPr/>
          </w:p>
        </w:tc>
        <w:tc>
          <w:tcPr>
            <w:tcW w:w="1380" w:type="dxa"/>
            <w:tcBorders>
              <w:top w:val="single" w:sz="8" w:space="0" w:color="000000"/>
              <w:left w:val="nil" w:sz="6" w:space="0" w:color="auto"/>
              <w:bottom w:val="single" w:sz="17"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pacing w:val="-1"/>
                <w:sz w:val="18"/>
              </w:rPr>
              <w:t>8,159,385.86</w:t>
            </w:r>
          </w:p>
        </w:tc>
      </w:tr>
    </w:tbl>
    <w:p>
      <w:pPr>
        <w:spacing w:line="240" w:lineRule="auto" w:before="13"/>
        <w:rPr>
          <w:rFonts w:ascii="Microsoft JhengHei" w:hAnsi="Microsoft JhengHei" w:cs="Microsoft JhengHei" w:eastAsia="Microsoft JhengHei" w:hint="default"/>
          <w:b/>
          <w:bCs/>
          <w:sz w:val="23"/>
          <w:szCs w:val="23"/>
        </w:rPr>
      </w:pPr>
    </w:p>
    <w:p>
      <w:pPr>
        <w:pStyle w:val="BodyText"/>
        <w:spacing w:line="240" w:lineRule="auto" w:before="26"/>
        <w:ind w:left="882" w:right="1285"/>
        <w:jc w:val="left"/>
      </w:pPr>
      <w:r>
        <w:rPr/>
        <w:t>注：</w:t>
      </w:r>
      <w:r>
        <w:rPr>
          <w:spacing w:val="-1"/>
        </w:rPr>
        <w:t> </w:t>
      </w:r>
      <w:r>
        <w:rPr/>
        <w:t>应付职工薪酬中无属于拖欠性质的款项；</w:t>
      </w:r>
    </w:p>
    <w:p>
      <w:pPr>
        <w:spacing w:after="0" w:line="240" w:lineRule="auto"/>
        <w:jc w:val="left"/>
        <w:sectPr>
          <w:footerReference w:type="default" r:id="rId43"/>
          <w:pgSz w:w="11910" w:h="16840"/>
          <w:pgMar w:footer="956" w:header="811" w:top="1120" w:bottom="1140" w:left="980" w:right="0"/>
          <w:pgNumType w:start="101"/>
        </w:sectPr>
      </w:pPr>
    </w:p>
    <w:p>
      <w:pPr>
        <w:spacing w:line="240" w:lineRule="auto" w:before="8"/>
        <w:rPr>
          <w:rFonts w:ascii="宋体" w:hAnsi="宋体" w:cs="宋体" w:eastAsia="宋体" w:hint="default"/>
          <w:sz w:val="27"/>
          <w:szCs w:val="27"/>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22</w:t>
      </w:r>
      <w:r>
        <w:rPr>
          <w:w w:val="90"/>
        </w:rPr>
        <w:t>、</w:t>
        <w:tab/>
      </w:r>
      <w:r>
        <w:rPr/>
        <w:t>应交税费</w:t>
      </w:r>
      <w:r>
        <w:rPr>
          <w:b w:val="0"/>
          <w:bCs w:val="0"/>
        </w:rPr>
      </w:r>
    </w:p>
    <w:p>
      <w:pPr>
        <w:spacing w:line="240" w:lineRule="auto" w:before="9"/>
        <w:rPr>
          <w:rFonts w:ascii="Microsoft JhengHei" w:hAnsi="Microsoft JhengHei" w:cs="Microsoft JhengHei" w:eastAsia="Microsoft JhengHei" w:hint="default"/>
          <w:b/>
          <w:bCs/>
          <w:sz w:val="5"/>
          <w:szCs w:val="5"/>
        </w:rPr>
      </w:pPr>
    </w:p>
    <w:tbl>
      <w:tblPr>
        <w:tblW w:w="0" w:type="auto"/>
        <w:jc w:val="left"/>
        <w:tblInd w:w="402" w:type="dxa"/>
        <w:tblLayout w:type="fixed"/>
        <w:tblCellMar>
          <w:top w:w="0" w:type="dxa"/>
          <w:left w:w="0" w:type="dxa"/>
          <w:bottom w:w="0" w:type="dxa"/>
          <w:right w:w="0" w:type="dxa"/>
        </w:tblCellMar>
        <w:tblLook w:val="01E0"/>
      </w:tblPr>
      <w:tblGrid>
        <w:gridCol w:w="3221"/>
        <w:gridCol w:w="679"/>
        <w:gridCol w:w="2232"/>
        <w:gridCol w:w="818"/>
        <w:gridCol w:w="2163"/>
      </w:tblGrid>
      <w:tr>
        <w:trPr>
          <w:trHeight w:val="251" w:hRule="exact"/>
        </w:trPr>
        <w:tc>
          <w:tcPr>
            <w:tcW w:w="3221"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129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single" w:sz="8" w:space="0" w:color="000000"/>
              <w:right w:val="nil" w:sz="6" w:space="0" w:color="auto"/>
            </w:tcBorders>
          </w:tcPr>
          <w:p>
            <w:pPr>
              <w:pStyle w:val="TableParagraph"/>
              <w:spacing w:line="211" w:lineRule="exact"/>
              <w:ind w:left="110"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8" w:space="0" w:color="000000"/>
              <w:right w:val="nil" w:sz="6" w:space="0" w:color="auto"/>
            </w:tcBorders>
          </w:tcPr>
          <w:p>
            <w:pPr>
              <w:pStyle w:val="TableParagraph"/>
              <w:spacing w:line="211" w:lineRule="exact"/>
              <w:ind w:left="821"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42" w:hRule="exact"/>
        </w:trPr>
        <w:tc>
          <w:tcPr>
            <w:tcW w:w="3221"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4,149,777.78</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-3,413,384.95</w:t>
            </w:r>
          </w:p>
        </w:tc>
      </w:tr>
      <w:tr>
        <w:trPr>
          <w:trHeight w:val="31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61,945.53</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17,567.21</w:t>
            </w:r>
          </w:p>
        </w:tc>
      </w:tr>
      <w:tr>
        <w:trPr>
          <w:trHeight w:val="31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804,930.28</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1,190,614.61</w:t>
            </w:r>
          </w:p>
        </w:tc>
      </w:tr>
      <w:tr>
        <w:trPr>
          <w:trHeight w:val="31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71,019.92</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260,734.23</w:t>
            </w:r>
          </w:p>
        </w:tc>
      </w:tr>
      <w:tr>
        <w:trPr>
          <w:trHeight w:val="31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418,591.15</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57,339.60</w:t>
            </w:r>
          </w:p>
        </w:tc>
      </w:tr>
      <w:tr>
        <w:trPr>
          <w:trHeight w:val="31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107,458.24</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25,165.16</w:t>
            </w:r>
          </w:p>
        </w:tc>
      </w:tr>
      <w:tr>
        <w:trPr>
          <w:trHeight w:val="31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715,907.25</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212,575.37</w:t>
            </w:r>
          </w:p>
        </w:tc>
      </w:tr>
      <w:tr>
        <w:trPr>
          <w:trHeight w:val="31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332,722.10</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325,823.40</w:t>
            </w:r>
          </w:p>
        </w:tc>
      </w:tr>
      <w:tr>
        <w:trPr>
          <w:trHeight w:val="304"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堤防维护费</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single" w:sz="8"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45,851.46</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8"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41,464.94</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70" w:lineRule="exact"/>
              <w:ind w:right="129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679" w:type="dxa"/>
            <w:tcBorders>
              <w:top w:val="nil" w:sz="6" w:space="0" w:color="auto"/>
              <w:left w:val="nil" w:sz="6" w:space="0" w:color="auto"/>
              <w:bottom w:val="nil" w:sz="6" w:space="0" w:color="auto"/>
              <w:right w:val="nil" w:sz="6" w:space="0" w:color="auto"/>
            </w:tcBorders>
          </w:tcPr>
          <w:p>
            <w:pPr/>
          </w:p>
        </w:tc>
        <w:tc>
          <w:tcPr>
            <w:tcW w:w="2232"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6,708,203.71</w:t>
            </w:r>
          </w:p>
        </w:tc>
        <w:tc>
          <w:tcPr>
            <w:tcW w:w="818" w:type="dxa"/>
            <w:tcBorders>
              <w:top w:val="nil" w:sz="6" w:space="0" w:color="auto"/>
              <w:left w:val="nil" w:sz="6" w:space="0" w:color="auto"/>
              <w:bottom w:val="nil" w:sz="6" w:space="0" w:color="auto"/>
              <w:right w:val="nil" w:sz="6" w:space="0" w:color="auto"/>
            </w:tcBorders>
          </w:tcPr>
          <w:p>
            <w:pPr/>
          </w:p>
        </w:tc>
        <w:tc>
          <w:tcPr>
            <w:tcW w:w="2163"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105"/>
              <w:jc w:val="right"/>
              <w:rPr>
                <w:rFonts w:ascii="宋体" w:hAnsi="宋体" w:cs="宋体" w:eastAsia="宋体" w:hint="default"/>
                <w:sz w:val="21"/>
                <w:szCs w:val="21"/>
              </w:rPr>
            </w:pPr>
            <w:r>
              <w:rPr>
                <w:rFonts w:ascii="宋体"/>
                <w:spacing w:val="-1"/>
                <w:sz w:val="21"/>
              </w:rPr>
              <w:t>-1,282,100.43</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23</w:t>
      </w:r>
      <w:r>
        <w:rPr>
          <w:w w:val="90"/>
        </w:rPr>
        <w:t>、</w:t>
        <w:tab/>
      </w:r>
      <w:r>
        <w:rPr/>
        <w:t>应付利息</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388" w:type="dxa"/>
        <w:tblLayout w:type="fixed"/>
        <w:tblCellMar>
          <w:top w:w="0" w:type="dxa"/>
          <w:left w:w="0" w:type="dxa"/>
          <w:bottom w:w="0" w:type="dxa"/>
          <w:right w:w="0" w:type="dxa"/>
        </w:tblCellMar>
        <w:tblLook w:val="01E0"/>
      </w:tblPr>
      <w:tblGrid>
        <w:gridCol w:w="3207"/>
        <w:gridCol w:w="694"/>
        <w:gridCol w:w="2247"/>
        <w:gridCol w:w="790"/>
        <w:gridCol w:w="2163"/>
      </w:tblGrid>
      <w:tr>
        <w:trPr>
          <w:trHeight w:val="254" w:hRule="exact"/>
        </w:trPr>
        <w:tc>
          <w:tcPr>
            <w:tcW w:w="3207"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1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694"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8" w:space="0" w:color="000000"/>
              <w:right w:val="nil" w:sz="6" w:space="0" w:color="auto"/>
            </w:tcBorders>
          </w:tcPr>
          <w:p>
            <w:pPr>
              <w:pStyle w:val="TableParagraph"/>
              <w:spacing w:line="211" w:lineRule="exact"/>
              <w:ind w:left="110"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90"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8" w:space="0" w:color="000000"/>
              <w:right w:val="nil" w:sz="6" w:space="0" w:color="auto"/>
            </w:tcBorders>
          </w:tcPr>
          <w:p>
            <w:pPr>
              <w:pStyle w:val="TableParagraph"/>
              <w:spacing w:line="211" w:lineRule="exact"/>
              <w:ind w:left="821"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60" w:hRule="exact"/>
        </w:trPr>
        <w:tc>
          <w:tcPr>
            <w:tcW w:w="3207"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694"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single" w:sz="8" w:space="0" w:color="000000"/>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216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153,977.78</w:t>
            </w:r>
          </w:p>
        </w:tc>
      </w:tr>
      <w:tr>
        <w:trPr>
          <w:trHeight w:val="372" w:hRule="exact"/>
        </w:trPr>
        <w:tc>
          <w:tcPr>
            <w:tcW w:w="3207"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42"/>
              <w:ind w:right="128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694"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single" w:sz="17" w:space="0" w:color="000000"/>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2163"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153,977.78</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24</w:t>
      </w:r>
      <w:r>
        <w:rPr>
          <w:w w:val="90"/>
        </w:rPr>
        <w:t>、</w:t>
        <w:tab/>
      </w:r>
      <w:r>
        <w:rPr/>
        <w:t>应付股利</w:t>
      </w:r>
      <w:r>
        <w:rPr>
          <w:b w:val="0"/>
          <w:bCs w:val="0"/>
        </w:rPr>
      </w:r>
    </w:p>
    <w:p>
      <w:pPr>
        <w:spacing w:line="240" w:lineRule="auto" w:before="9"/>
        <w:rPr>
          <w:rFonts w:ascii="Microsoft JhengHei" w:hAnsi="Microsoft JhengHei" w:cs="Microsoft JhengHei" w:eastAsia="Microsoft JhengHei" w:hint="default"/>
          <w:b/>
          <w:bCs/>
          <w:sz w:val="5"/>
          <w:szCs w:val="5"/>
        </w:rPr>
      </w:pPr>
    </w:p>
    <w:tbl>
      <w:tblPr>
        <w:tblW w:w="0" w:type="auto"/>
        <w:jc w:val="left"/>
        <w:tblInd w:w="388" w:type="dxa"/>
        <w:tblLayout w:type="fixed"/>
        <w:tblCellMar>
          <w:top w:w="0" w:type="dxa"/>
          <w:left w:w="0" w:type="dxa"/>
          <w:bottom w:w="0" w:type="dxa"/>
          <w:right w:w="0" w:type="dxa"/>
        </w:tblCellMar>
        <w:tblLook w:val="01E0"/>
      </w:tblPr>
      <w:tblGrid>
        <w:gridCol w:w="3236"/>
        <w:gridCol w:w="735"/>
        <w:gridCol w:w="2247"/>
        <w:gridCol w:w="790"/>
        <w:gridCol w:w="2165"/>
      </w:tblGrid>
      <w:tr>
        <w:trPr>
          <w:trHeight w:val="254" w:hRule="exact"/>
        </w:trPr>
        <w:tc>
          <w:tcPr>
            <w:tcW w:w="3236"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8" w:space="0" w:color="000000"/>
              <w:right w:val="nil" w:sz="6" w:space="0" w:color="auto"/>
            </w:tcBorders>
          </w:tcPr>
          <w:p>
            <w:pPr>
              <w:pStyle w:val="TableParagraph"/>
              <w:spacing w:line="211" w:lineRule="exact"/>
              <w:ind w:left="863"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790"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8" w:space="0" w:color="000000"/>
              <w:right w:val="nil" w:sz="6" w:space="0" w:color="auto"/>
            </w:tcBorders>
          </w:tcPr>
          <w:p>
            <w:pPr>
              <w:pStyle w:val="TableParagraph"/>
              <w:spacing w:line="211" w:lineRule="exact"/>
              <w:ind w:left="821"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31" w:hRule="exact"/>
        </w:trPr>
        <w:tc>
          <w:tcPr>
            <w:tcW w:w="3236" w:type="dxa"/>
            <w:tcBorders>
              <w:top w:val="single" w:sz="8"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英属维尔京群岛欣泉有限公司</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878" w:right="0"/>
              <w:jc w:val="left"/>
              <w:rPr>
                <w:rFonts w:ascii="宋体" w:hAnsi="宋体" w:cs="宋体" w:eastAsia="宋体" w:hint="default"/>
                <w:sz w:val="21"/>
                <w:szCs w:val="21"/>
              </w:rPr>
            </w:pPr>
            <w:r>
              <w:rPr>
                <w:rFonts w:ascii="宋体"/>
                <w:sz w:val="21"/>
              </w:rPr>
              <w:t>1,514,468.36</w:t>
            </w:r>
          </w:p>
        </w:tc>
        <w:tc>
          <w:tcPr>
            <w:tcW w:w="790" w:type="dxa"/>
            <w:tcBorders>
              <w:top w:val="nil" w:sz="6" w:space="0" w:color="auto"/>
              <w:left w:val="nil" w:sz="6" w:space="0" w:color="auto"/>
              <w:bottom w:val="nil" w:sz="6" w:space="0" w:color="auto"/>
              <w:right w:val="nil" w:sz="6" w:space="0" w:color="auto"/>
            </w:tcBorders>
          </w:tcPr>
          <w:p>
            <w:pPr/>
          </w:p>
        </w:tc>
        <w:tc>
          <w:tcPr>
            <w:tcW w:w="2165" w:type="dxa"/>
            <w:tcBorders>
              <w:top w:val="single" w:sz="8" w:space="0" w:color="000000"/>
              <w:left w:val="nil" w:sz="6" w:space="0" w:color="auto"/>
              <w:bottom w:val="single" w:sz="8"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1,128,127.71</w:t>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single" w:sz="17" w:space="0" w:color="000000"/>
              <w:right w:val="nil" w:sz="6" w:space="0" w:color="auto"/>
            </w:tcBorders>
          </w:tcPr>
          <w:p>
            <w:pPr>
              <w:pStyle w:val="TableParagraph"/>
              <w:spacing w:line="260" w:lineRule="exact"/>
              <w:ind w:left="878" w:right="0"/>
              <w:jc w:val="left"/>
              <w:rPr>
                <w:rFonts w:ascii="宋体" w:hAnsi="宋体" w:cs="宋体" w:eastAsia="宋体" w:hint="default"/>
                <w:sz w:val="21"/>
                <w:szCs w:val="21"/>
              </w:rPr>
            </w:pPr>
            <w:r>
              <w:rPr>
                <w:rFonts w:ascii="宋体"/>
                <w:sz w:val="21"/>
              </w:rPr>
              <w:t>1,514,468.36</w:t>
            </w:r>
          </w:p>
        </w:tc>
        <w:tc>
          <w:tcPr>
            <w:tcW w:w="790" w:type="dxa"/>
            <w:tcBorders>
              <w:top w:val="nil" w:sz="6" w:space="0" w:color="auto"/>
              <w:left w:val="nil" w:sz="6" w:space="0" w:color="auto"/>
              <w:bottom w:val="nil" w:sz="6" w:space="0" w:color="auto"/>
              <w:right w:val="nil" w:sz="6" w:space="0" w:color="auto"/>
            </w:tcBorders>
          </w:tcPr>
          <w:p>
            <w:pPr/>
          </w:p>
        </w:tc>
        <w:tc>
          <w:tcPr>
            <w:tcW w:w="2165" w:type="dxa"/>
            <w:tcBorders>
              <w:top w:val="single" w:sz="8" w:space="0" w:color="000000"/>
              <w:left w:val="nil" w:sz="6" w:space="0" w:color="auto"/>
              <w:bottom w:val="single" w:sz="17"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1,128,127.71</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662" w:val="left" w:leader="none"/>
        </w:tabs>
        <w:spacing w:line="367" w:lineRule="exact"/>
        <w:ind w:right="1285"/>
        <w:jc w:val="left"/>
        <w:rPr>
          <w:b w:val="0"/>
          <w:bCs w:val="0"/>
        </w:rPr>
      </w:pPr>
      <w:r>
        <w:rPr>
          <w:rFonts w:ascii="Trebuchet MS" w:hAnsi="Trebuchet MS" w:cs="Trebuchet MS" w:eastAsia="Trebuchet MS" w:hint="default"/>
          <w:w w:val="90"/>
        </w:rPr>
        <w:t>25</w:t>
      </w:r>
      <w:r>
        <w:rPr>
          <w:w w:val="90"/>
        </w:rPr>
        <w:t>、</w:t>
        <w:tab/>
      </w:r>
      <w:r>
        <w:rPr/>
        <w:t>其他应付款</w:t>
      </w:r>
      <w:r>
        <w:rPr>
          <w:b w:val="0"/>
          <w:bCs w:val="0"/>
        </w:rPr>
      </w:r>
    </w:p>
    <w:p>
      <w:pPr>
        <w:pStyle w:val="BodyText"/>
        <w:tabs>
          <w:tab w:pos="1362" w:val="left" w:leader="none"/>
        </w:tabs>
        <w:spacing w:line="240" w:lineRule="auto" w:before="210"/>
        <w:ind w:left="882" w:right="1285"/>
        <w:jc w:val="left"/>
      </w:pPr>
      <w:r>
        <w:rPr/>
        <w:t>⑴</w:t>
        <w:tab/>
        <w:t>其他应付款明细情况</w:t>
      </w:r>
    </w:p>
    <w:p>
      <w:pPr>
        <w:spacing w:line="240" w:lineRule="auto" w:before="11"/>
        <w:rPr>
          <w:rFonts w:ascii="宋体" w:hAnsi="宋体" w:cs="宋体" w:eastAsia="宋体" w:hint="default"/>
          <w:sz w:val="8"/>
          <w:szCs w:val="8"/>
        </w:rPr>
      </w:pPr>
    </w:p>
    <w:tbl>
      <w:tblPr>
        <w:tblW w:w="0" w:type="auto"/>
        <w:jc w:val="left"/>
        <w:tblInd w:w="388" w:type="dxa"/>
        <w:tblLayout w:type="fixed"/>
        <w:tblCellMar>
          <w:top w:w="0" w:type="dxa"/>
          <w:left w:w="0" w:type="dxa"/>
          <w:bottom w:w="0" w:type="dxa"/>
          <w:right w:w="0" w:type="dxa"/>
        </w:tblCellMar>
        <w:tblLook w:val="01E0"/>
      </w:tblPr>
      <w:tblGrid>
        <w:gridCol w:w="3236"/>
        <w:gridCol w:w="735"/>
        <w:gridCol w:w="2247"/>
        <w:gridCol w:w="790"/>
        <w:gridCol w:w="2151"/>
      </w:tblGrid>
      <w:tr>
        <w:trPr>
          <w:trHeight w:val="251" w:hRule="exact"/>
        </w:trPr>
        <w:tc>
          <w:tcPr>
            <w:tcW w:w="3236" w:type="dxa"/>
            <w:tcBorders>
              <w:top w:val="nil" w:sz="6" w:space="0" w:color="auto"/>
              <w:left w:val="nil" w:sz="6" w:space="0" w:color="auto"/>
              <w:bottom w:val="single" w:sz="8" w:space="0" w:color="000000"/>
              <w:right w:val="nil" w:sz="6" w:space="0" w:color="auto"/>
            </w:tcBorders>
          </w:tcPr>
          <w:p>
            <w:pPr>
              <w:pStyle w:val="TableParagraph"/>
              <w:spacing w:line="211" w:lineRule="exact"/>
              <w:ind w:right="1352"/>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8" w:space="0" w:color="000000"/>
              <w:right w:val="nil" w:sz="6" w:space="0" w:color="auto"/>
            </w:tcBorders>
          </w:tcPr>
          <w:p>
            <w:pPr>
              <w:pStyle w:val="TableParagraph"/>
              <w:spacing w:line="211" w:lineRule="exact"/>
              <w:ind w:left="110"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90" w:type="dxa"/>
            <w:tcBorders>
              <w:top w:val="nil" w:sz="6" w:space="0" w:color="auto"/>
              <w:left w:val="nil" w:sz="6" w:space="0" w:color="auto"/>
              <w:bottom w:val="nil" w:sz="6" w:space="0" w:color="auto"/>
              <w:right w:val="nil" w:sz="6" w:space="0" w:color="auto"/>
            </w:tcBorders>
          </w:tcPr>
          <w:p>
            <w:pPr/>
          </w:p>
        </w:tc>
        <w:tc>
          <w:tcPr>
            <w:tcW w:w="2151" w:type="dxa"/>
            <w:tcBorders>
              <w:top w:val="nil" w:sz="6" w:space="0" w:color="auto"/>
              <w:left w:val="nil" w:sz="6" w:space="0" w:color="auto"/>
              <w:bottom w:val="single" w:sz="8" w:space="0" w:color="000000"/>
              <w:right w:val="nil" w:sz="6" w:space="0" w:color="auto"/>
            </w:tcBorders>
          </w:tcPr>
          <w:p>
            <w:pPr>
              <w:pStyle w:val="TableParagraph"/>
              <w:spacing w:line="211" w:lineRule="exact"/>
              <w:ind w:left="816"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32" w:hRule="exact"/>
        </w:trPr>
        <w:tc>
          <w:tcPr>
            <w:tcW w:w="323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18,393,780.83</w:t>
            </w:r>
          </w:p>
        </w:tc>
        <w:tc>
          <w:tcPr>
            <w:tcW w:w="790" w:type="dxa"/>
            <w:tcBorders>
              <w:top w:val="nil" w:sz="6" w:space="0" w:color="auto"/>
              <w:left w:val="nil" w:sz="6" w:space="0" w:color="auto"/>
              <w:bottom w:val="nil" w:sz="6" w:space="0" w:color="auto"/>
              <w:right w:val="nil" w:sz="6" w:space="0" w:color="auto"/>
            </w:tcBorders>
          </w:tcPr>
          <w:p>
            <w:pPr/>
          </w:p>
        </w:tc>
        <w:tc>
          <w:tcPr>
            <w:tcW w:w="2151"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pacing w:val="-1"/>
                <w:sz w:val="21"/>
              </w:rPr>
              <w:t>47,683,161.32</w:t>
            </w:r>
          </w:p>
        </w:tc>
      </w:tr>
      <w:tr>
        <w:trPr>
          <w:trHeight w:val="31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8" w:space="0" w:color="000000"/>
              <w:right w:val="nil" w:sz="6" w:space="0" w:color="auto"/>
            </w:tcBorders>
          </w:tcPr>
          <w:p>
            <w:pPr>
              <w:pStyle w:val="TableParagraph"/>
              <w:spacing w:line="252" w:lineRule="exact"/>
              <w:ind w:right="103"/>
              <w:jc w:val="right"/>
              <w:rPr>
                <w:rFonts w:ascii="宋体" w:hAnsi="宋体" w:cs="宋体" w:eastAsia="宋体" w:hint="default"/>
                <w:sz w:val="21"/>
                <w:szCs w:val="21"/>
              </w:rPr>
            </w:pPr>
            <w:r>
              <w:rPr>
                <w:rFonts w:ascii="宋体"/>
                <w:spacing w:val="-1"/>
                <w:sz w:val="21"/>
              </w:rPr>
              <w:t>7,352,255.30</w:t>
            </w:r>
          </w:p>
        </w:tc>
        <w:tc>
          <w:tcPr>
            <w:tcW w:w="790" w:type="dxa"/>
            <w:tcBorders>
              <w:top w:val="nil" w:sz="6" w:space="0" w:color="auto"/>
              <w:left w:val="nil" w:sz="6" w:space="0" w:color="auto"/>
              <w:bottom w:val="nil" w:sz="6" w:space="0" w:color="auto"/>
              <w:right w:val="nil" w:sz="6" w:space="0" w:color="auto"/>
            </w:tcBorders>
          </w:tcPr>
          <w:p>
            <w:pPr/>
          </w:p>
        </w:tc>
        <w:tc>
          <w:tcPr>
            <w:tcW w:w="2151" w:type="dxa"/>
            <w:tcBorders>
              <w:top w:val="nil" w:sz="6" w:space="0" w:color="auto"/>
              <w:left w:val="nil" w:sz="6" w:space="0" w:color="auto"/>
              <w:bottom w:val="single" w:sz="8" w:space="0" w:color="000000"/>
              <w:right w:val="nil" w:sz="6" w:space="0" w:color="auto"/>
            </w:tcBorders>
          </w:tcPr>
          <w:p>
            <w:pPr>
              <w:pStyle w:val="TableParagraph"/>
              <w:spacing w:line="271" w:lineRule="exact"/>
              <w:ind w:right="103"/>
              <w:jc w:val="right"/>
              <w:rPr>
                <w:rFonts w:ascii="宋体" w:hAnsi="宋体" w:cs="宋体" w:eastAsia="宋体" w:hint="default"/>
                <w:sz w:val="21"/>
                <w:szCs w:val="21"/>
              </w:rPr>
            </w:pPr>
            <w:r>
              <w:rPr>
                <w:rFonts w:ascii="宋体"/>
                <w:spacing w:val="-1"/>
                <w:sz w:val="21"/>
              </w:rPr>
              <w:t>7,619,220.56</w:t>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52"/>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735" w:type="dxa"/>
            <w:tcBorders>
              <w:top w:val="nil" w:sz="6" w:space="0" w:color="auto"/>
              <w:left w:val="nil" w:sz="6" w:space="0" w:color="auto"/>
              <w:bottom w:val="nil" w:sz="6" w:space="0" w:color="auto"/>
              <w:right w:val="nil" w:sz="6" w:space="0" w:color="auto"/>
            </w:tcBorders>
          </w:tcPr>
          <w:p>
            <w:pPr/>
          </w:p>
        </w:tc>
        <w:tc>
          <w:tcPr>
            <w:tcW w:w="2247" w:type="dxa"/>
            <w:tcBorders>
              <w:top w:val="single" w:sz="8" w:space="0" w:color="000000"/>
              <w:left w:val="nil" w:sz="6" w:space="0" w:color="auto"/>
              <w:bottom w:val="single" w:sz="17"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25,746,036.13</w:t>
            </w:r>
          </w:p>
        </w:tc>
        <w:tc>
          <w:tcPr>
            <w:tcW w:w="790" w:type="dxa"/>
            <w:tcBorders>
              <w:top w:val="nil" w:sz="6" w:space="0" w:color="auto"/>
              <w:left w:val="nil" w:sz="6" w:space="0" w:color="auto"/>
              <w:bottom w:val="nil" w:sz="6" w:space="0" w:color="auto"/>
              <w:right w:val="nil" w:sz="6" w:space="0" w:color="auto"/>
            </w:tcBorders>
          </w:tcPr>
          <w:p>
            <w:pPr/>
          </w:p>
        </w:tc>
        <w:tc>
          <w:tcPr>
            <w:tcW w:w="2151" w:type="dxa"/>
            <w:tcBorders>
              <w:top w:val="single" w:sz="8" w:space="0" w:color="000000"/>
              <w:left w:val="nil" w:sz="6" w:space="0" w:color="auto"/>
              <w:bottom w:val="single" w:sz="17"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pacing w:val="-1"/>
                <w:sz w:val="21"/>
              </w:rPr>
              <w:t>55,302,381.88</w:t>
            </w:r>
          </w:p>
        </w:tc>
      </w:tr>
    </w:tbl>
    <w:p>
      <w:pPr>
        <w:spacing w:line="240" w:lineRule="auto" w:before="2"/>
        <w:rPr>
          <w:rFonts w:ascii="宋体" w:hAnsi="宋体" w:cs="宋体" w:eastAsia="宋体" w:hint="default"/>
          <w:sz w:val="23"/>
          <w:szCs w:val="23"/>
        </w:rPr>
      </w:pPr>
    </w:p>
    <w:p>
      <w:pPr>
        <w:pStyle w:val="BodyText"/>
        <w:tabs>
          <w:tab w:pos="1362" w:val="left" w:leader="none"/>
        </w:tabs>
        <w:spacing w:line="304" w:lineRule="auto" w:before="26"/>
        <w:ind w:left="402" w:right="1285" w:firstLine="480"/>
        <w:jc w:val="left"/>
      </w:pPr>
      <w:r>
        <w:rPr/>
        <w:t>⑵</w:t>
        <w:tab/>
        <w:t>报告期其他应付款中无应付持有公司</w:t>
      </w:r>
      <w:r>
        <w:rPr>
          <w:spacing w:val="-63"/>
        </w:rPr>
        <w:t> </w:t>
      </w:r>
      <w:r>
        <w:rPr>
          <w:rFonts w:ascii="宋体" w:hAnsi="宋体" w:cs="宋体" w:eastAsia="宋体" w:hint="default"/>
        </w:rPr>
        <w:t>5%</w:t>
      </w:r>
      <w:r>
        <w:rPr/>
        <w:t>（含</w:t>
      </w:r>
      <w:r>
        <w:rPr>
          <w:spacing w:val="-63"/>
        </w:rPr>
        <w:t> </w:t>
      </w:r>
      <w:r>
        <w:rPr>
          <w:rFonts w:ascii="宋体" w:hAnsi="宋体" w:cs="宋体" w:eastAsia="宋体" w:hint="default"/>
        </w:rPr>
        <w:t>5%</w:t>
      </w:r>
      <w:r>
        <w:rPr/>
        <w:t>）以上表决权股份的股东单位或 关联方的款项。</w:t>
      </w:r>
    </w:p>
    <w:p>
      <w:pPr>
        <w:pStyle w:val="BodyText"/>
        <w:spacing w:line="240" w:lineRule="auto" w:before="168"/>
        <w:ind w:left="882" w:right="1285"/>
        <w:jc w:val="left"/>
      </w:pPr>
      <w:r>
        <w:rPr/>
        <w:t>⑶</w:t>
      </w:r>
      <w:r>
        <w:rPr>
          <w:spacing w:val="-1"/>
        </w:rPr>
        <w:t> </w:t>
      </w: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年的大额其他应付款情况的说明</w:t>
      </w:r>
    </w:p>
    <w:p>
      <w:pPr>
        <w:spacing w:line="240" w:lineRule="auto" w:before="11"/>
        <w:rPr>
          <w:rFonts w:ascii="宋体" w:hAnsi="宋体" w:cs="宋体" w:eastAsia="宋体" w:hint="default"/>
          <w:sz w:val="10"/>
          <w:szCs w:val="10"/>
        </w:rPr>
      </w:pPr>
    </w:p>
    <w:tbl>
      <w:tblPr>
        <w:tblW w:w="0" w:type="auto"/>
        <w:jc w:val="left"/>
        <w:tblInd w:w="388" w:type="dxa"/>
        <w:tblLayout w:type="fixed"/>
        <w:tblCellMar>
          <w:top w:w="0" w:type="dxa"/>
          <w:left w:w="0" w:type="dxa"/>
          <w:bottom w:w="0" w:type="dxa"/>
          <w:right w:w="0" w:type="dxa"/>
        </w:tblCellMar>
        <w:tblLook w:val="01E0"/>
      </w:tblPr>
      <w:tblGrid>
        <w:gridCol w:w="3262"/>
        <w:gridCol w:w="228"/>
        <w:gridCol w:w="1589"/>
        <w:gridCol w:w="278"/>
        <w:gridCol w:w="1601"/>
        <w:gridCol w:w="281"/>
        <w:gridCol w:w="1800"/>
      </w:tblGrid>
      <w:tr>
        <w:trPr>
          <w:trHeight w:val="253" w:hRule="exact"/>
        </w:trPr>
        <w:tc>
          <w:tcPr>
            <w:tcW w:w="3262"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228"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8" w:space="0" w:color="000000"/>
              <w:right w:val="nil" w:sz="6" w:space="0" w:color="auto"/>
            </w:tcBorders>
          </w:tcPr>
          <w:p>
            <w:pPr>
              <w:pStyle w:val="TableParagraph"/>
              <w:spacing w:line="211" w:lineRule="exact"/>
              <w:ind w:left="167" w:right="0"/>
              <w:jc w:val="left"/>
              <w:rPr>
                <w:rFonts w:ascii="宋体" w:hAnsi="宋体" w:cs="宋体" w:eastAsia="宋体" w:hint="default"/>
                <w:sz w:val="21"/>
                <w:szCs w:val="21"/>
              </w:rPr>
            </w:pPr>
            <w:r>
              <w:rPr>
                <w:rFonts w:ascii="宋体" w:hAnsi="宋体" w:cs="宋体" w:eastAsia="宋体" w:hint="default"/>
                <w:sz w:val="21"/>
                <w:szCs w:val="21"/>
              </w:rPr>
              <w:t>未偿还的原因</w:t>
            </w:r>
          </w:p>
        </w:tc>
        <w:tc>
          <w:tcPr>
            <w:tcW w:w="28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报表日后是否归还</w:t>
            </w:r>
          </w:p>
        </w:tc>
      </w:tr>
      <w:tr>
        <w:trPr>
          <w:trHeight w:val="350" w:hRule="exact"/>
        </w:trPr>
        <w:tc>
          <w:tcPr>
            <w:tcW w:w="3262" w:type="dxa"/>
            <w:tcBorders>
              <w:top w:val="single" w:sz="8" w:space="0" w:color="000000"/>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山东三箭建筑工程股份有限公司</w:t>
            </w:r>
          </w:p>
        </w:tc>
        <w:tc>
          <w:tcPr>
            <w:tcW w:w="228"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3,826,799.57</w:t>
            </w:r>
            <w:r>
              <w:rPr>
                <w:rFonts w:ascii="宋体"/>
                <w:sz w:val="20"/>
              </w:rPr>
            </w:r>
          </w:p>
        </w:tc>
        <w:tc>
          <w:tcPr>
            <w:tcW w:w="278" w:type="dxa"/>
            <w:tcBorders>
              <w:top w:val="nil" w:sz="6" w:space="0" w:color="auto"/>
              <w:left w:val="nil" w:sz="6" w:space="0" w:color="auto"/>
              <w:bottom w:val="nil" w:sz="6" w:space="0" w:color="auto"/>
              <w:right w:val="nil" w:sz="6" w:space="0" w:color="auto"/>
            </w:tcBorders>
          </w:tcPr>
          <w:p>
            <w:pPr/>
          </w:p>
        </w:tc>
        <w:tc>
          <w:tcPr>
            <w:tcW w:w="1601" w:type="dxa"/>
            <w:tcBorders>
              <w:top w:val="single" w:sz="8" w:space="0" w:color="000000"/>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工程尾款</w:t>
            </w:r>
          </w:p>
        </w:tc>
        <w:tc>
          <w:tcPr>
            <w:tcW w:w="281" w:type="dxa"/>
            <w:tcBorders>
              <w:top w:val="nil" w:sz="6" w:space="0" w:color="auto"/>
              <w:left w:val="nil" w:sz="6" w:space="0" w:color="auto"/>
              <w:bottom w:val="nil" w:sz="6" w:space="0" w:color="auto"/>
              <w:right w:val="nil" w:sz="6" w:space="0" w:color="auto"/>
            </w:tcBorders>
          </w:tcPr>
          <w:p>
            <w:pPr/>
          </w:p>
        </w:tc>
        <w:tc>
          <w:tcPr>
            <w:tcW w:w="1800"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4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上海东江建筑装饰工程有限公司</w:t>
            </w:r>
          </w:p>
        </w:tc>
        <w:tc>
          <w:tcPr>
            <w:tcW w:w="228"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2,800,000.00</w:t>
            </w:r>
            <w:r>
              <w:rPr>
                <w:rFonts w:ascii="宋体"/>
                <w:sz w:val="20"/>
              </w:rPr>
            </w:r>
          </w:p>
        </w:tc>
        <w:tc>
          <w:tcPr>
            <w:tcW w:w="27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工程尾款</w:t>
            </w:r>
          </w:p>
        </w:tc>
        <w:tc>
          <w:tcPr>
            <w:tcW w:w="28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41"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山东杭萧钢构有限公司</w:t>
            </w:r>
          </w:p>
        </w:tc>
        <w:tc>
          <w:tcPr>
            <w:tcW w:w="228"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770,695.92</w:t>
            </w:r>
            <w:r>
              <w:rPr>
                <w:rFonts w:ascii="宋体"/>
                <w:sz w:val="20"/>
              </w:rPr>
            </w:r>
          </w:p>
        </w:tc>
        <w:tc>
          <w:tcPr>
            <w:tcW w:w="27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工程尾款</w:t>
            </w:r>
          </w:p>
        </w:tc>
        <w:tc>
          <w:tcPr>
            <w:tcW w:w="28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0"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山东安泰智能工程有限公司</w:t>
            </w:r>
          </w:p>
        </w:tc>
        <w:tc>
          <w:tcPr>
            <w:tcW w:w="228"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2,690,158.55</w:t>
            </w:r>
            <w:r>
              <w:rPr>
                <w:rFonts w:ascii="宋体"/>
                <w:sz w:val="20"/>
              </w:rPr>
            </w:r>
          </w:p>
        </w:tc>
        <w:tc>
          <w:tcPr>
            <w:tcW w:w="27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工程尾款</w:t>
            </w:r>
          </w:p>
        </w:tc>
        <w:tc>
          <w:tcPr>
            <w:tcW w:w="28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2" w:hRule="exact"/>
        </w:trPr>
        <w:tc>
          <w:tcPr>
            <w:tcW w:w="3262"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18"/>
              <w:ind w:left="10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17"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10,087,654.04</w:t>
            </w:r>
            <w:r>
              <w:rPr>
                <w:rFonts w:ascii="宋体"/>
                <w:sz w:val="20"/>
              </w:rPr>
            </w:r>
          </w:p>
        </w:tc>
        <w:tc>
          <w:tcPr>
            <w:tcW w:w="27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11" w:footer="956" w:top="1120" w:bottom="1140" w:left="980" w:right="0"/>
        </w:sectPr>
      </w:pPr>
    </w:p>
    <w:p>
      <w:pPr>
        <w:spacing w:line="240" w:lineRule="auto" w:before="2"/>
        <w:rPr>
          <w:rFonts w:ascii="宋体" w:hAnsi="宋体" w:cs="宋体" w:eastAsia="宋体" w:hint="default"/>
          <w:sz w:val="25"/>
          <w:szCs w:val="25"/>
        </w:rPr>
      </w:pPr>
    </w:p>
    <w:p>
      <w:pPr>
        <w:pStyle w:val="BodyText"/>
        <w:tabs>
          <w:tab w:pos="1362" w:val="left" w:leader="none"/>
        </w:tabs>
        <w:spacing w:line="240" w:lineRule="auto" w:before="26"/>
        <w:ind w:left="882" w:right="1285"/>
        <w:jc w:val="left"/>
      </w:pPr>
      <w:r>
        <w:rPr/>
        <w:t>⑷</w:t>
        <w:tab/>
        <w:t>对于金额较大的其他应付款的说明</w:t>
      </w:r>
    </w:p>
    <w:p>
      <w:pPr>
        <w:spacing w:line="240" w:lineRule="auto" w:before="4"/>
        <w:rPr>
          <w:rFonts w:ascii="宋体" w:hAnsi="宋体" w:cs="宋体" w:eastAsia="宋体" w:hint="default"/>
          <w:sz w:val="15"/>
          <w:szCs w:val="15"/>
        </w:rPr>
      </w:pPr>
    </w:p>
    <w:tbl>
      <w:tblPr>
        <w:tblW w:w="0" w:type="auto"/>
        <w:jc w:val="left"/>
        <w:tblInd w:w="386" w:type="dxa"/>
        <w:tblLayout w:type="fixed"/>
        <w:tblCellMar>
          <w:top w:w="0" w:type="dxa"/>
          <w:left w:w="0" w:type="dxa"/>
          <w:bottom w:w="0" w:type="dxa"/>
          <w:right w:w="0" w:type="dxa"/>
        </w:tblCellMar>
        <w:tblLook w:val="01E0"/>
      </w:tblPr>
      <w:tblGrid>
        <w:gridCol w:w="3562"/>
        <w:gridCol w:w="353"/>
        <w:gridCol w:w="2340"/>
        <w:gridCol w:w="300"/>
        <w:gridCol w:w="2492"/>
      </w:tblGrid>
      <w:tr>
        <w:trPr>
          <w:trHeight w:val="251" w:hRule="exact"/>
        </w:trPr>
        <w:tc>
          <w:tcPr>
            <w:tcW w:w="3562"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353"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8"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single" w:sz="8" w:space="0" w:color="000000"/>
              <w:right w:val="nil" w:sz="6" w:space="0" w:color="auto"/>
            </w:tcBorders>
          </w:tcPr>
          <w:p>
            <w:pPr>
              <w:pStyle w:val="TableParagraph"/>
              <w:spacing w:line="211" w:lineRule="exact"/>
              <w:ind w:left="720"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438" w:hRule="exact"/>
        </w:trPr>
        <w:tc>
          <w:tcPr>
            <w:tcW w:w="3562"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山东三箭建筑工程股份有限公司</w:t>
            </w:r>
          </w:p>
        </w:tc>
        <w:tc>
          <w:tcPr>
            <w:tcW w:w="353" w:type="dxa"/>
            <w:tcBorders>
              <w:top w:val="nil" w:sz="6" w:space="0" w:color="auto"/>
              <w:left w:val="nil" w:sz="6" w:space="0" w:color="auto"/>
              <w:bottom w:val="nil" w:sz="6" w:space="0" w:color="auto"/>
              <w:right w:val="nil" w:sz="6" w:space="0" w:color="auto"/>
            </w:tcBorders>
          </w:tcPr>
          <w:p>
            <w:pPr/>
          </w:p>
        </w:tc>
        <w:tc>
          <w:tcPr>
            <w:tcW w:w="2340"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3,826,799.57</w:t>
            </w:r>
          </w:p>
        </w:tc>
        <w:tc>
          <w:tcPr>
            <w:tcW w:w="300" w:type="dxa"/>
            <w:tcBorders>
              <w:top w:val="nil" w:sz="6" w:space="0" w:color="auto"/>
              <w:left w:val="nil" w:sz="6" w:space="0" w:color="auto"/>
              <w:bottom w:val="nil" w:sz="6" w:space="0" w:color="auto"/>
              <w:right w:val="nil" w:sz="6" w:space="0" w:color="auto"/>
            </w:tcBorders>
          </w:tcPr>
          <w:p>
            <w:pPr/>
          </w:p>
        </w:tc>
        <w:tc>
          <w:tcPr>
            <w:tcW w:w="2492"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397"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上海东江建筑装饰工程有限公司</w:t>
            </w:r>
          </w:p>
        </w:tc>
        <w:tc>
          <w:tcPr>
            <w:tcW w:w="353"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2,800,000.00</w:t>
            </w:r>
          </w:p>
        </w:tc>
        <w:tc>
          <w:tcPr>
            <w:tcW w:w="30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397"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山东杭萧钢构有限公司</w:t>
            </w:r>
          </w:p>
        </w:tc>
        <w:tc>
          <w:tcPr>
            <w:tcW w:w="353"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72" w:lineRule="exact"/>
              <w:ind w:right="103"/>
              <w:jc w:val="right"/>
              <w:rPr>
                <w:rFonts w:ascii="宋体" w:hAnsi="宋体" w:cs="宋体" w:eastAsia="宋体" w:hint="default"/>
                <w:sz w:val="21"/>
                <w:szCs w:val="21"/>
              </w:rPr>
            </w:pPr>
            <w:r>
              <w:rPr>
                <w:rFonts w:ascii="宋体"/>
                <w:spacing w:val="-1"/>
                <w:sz w:val="21"/>
              </w:rPr>
              <w:t>770,695.92</w:t>
            </w:r>
          </w:p>
        </w:tc>
        <w:tc>
          <w:tcPr>
            <w:tcW w:w="30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8"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371"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山东安泰智能工程有限公司</w:t>
            </w:r>
          </w:p>
        </w:tc>
        <w:tc>
          <w:tcPr>
            <w:tcW w:w="353"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2,690,158.55</w:t>
            </w:r>
          </w:p>
        </w:tc>
        <w:tc>
          <w:tcPr>
            <w:tcW w:w="30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425" w:hRule="exact"/>
        </w:trPr>
        <w:tc>
          <w:tcPr>
            <w:tcW w:w="3562" w:type="dxa"/>
            <w:tcBorders>
              <w:top w:val="nil" w:sz="6" w:space="0" w:color="auto"/>
              <w:left w:val="nil" w:sz="6" w:space="0" w:color="auto"/>
              <w:bottom w:val="nil" w:sz="6" w:space="0" w:color="auto"/>
              <w:right w:val="nil" w:sz="6" w:space="0" w:color="auto"/>
            </w:tcBorders>
          </w:tcPr>
          <w:p>
            <w:pPr>
              <w:pStyle w:val="TableParagraph"/>
              <w:tabs>
                <w:tab w:pos="738" w:val="left" w:leader="none"/>
              </w:tabs>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53"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10,087,654.04</w:t>
            </w:r>
          </w:p>
        </w:tc>
        <w:tc>
          <w:tcPr>
            <w:tcW w:w="30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11" w:footer="956" w:top="1120" w:bottom="1140" w:left="980" w:right="0"/>
        </w:sectPr>
      </w:pPr>
    </w:p>
    <w:p>
      <w:pPr>
        <w:tabs>
          <w:tab w:pos="12684" w:val="left" w:leader="none"/>
        </w:tabs>
        <w:spacing w:before="14"/>
        <w:ind w:left="140" w:right="0" w:firstLine="0"/>
        <w:jc w:val="left"/>
        <w:rPr>
          <w:rFonts w:ascii="隶书" w:hAnsi="隶书" w:cs="隶书" w:eastAsia="隶书" w:hint="default"/>
          <w:sz w:val="21"/>
          <w:szCs w:val="21"/>
        </w:rPr>
      </w:pPr>
      <w:r>
        <w:rPr>
          <w:rFonts w:ascii="隶书" w:hAnsi="隶书" w:cs="隶书" w:eastAsia="隶书" w:hint="default"/>
          <w:b/>
          <w:bCs/>
          <w:spacing w:val="-1"/>
          <w:sz w:val="21"/>
          <w:szCs w:val="21"/>
        </w:rPr>
        <w:t>东港安全印刷股份有限公司</w:t>
        <w:tab/>
      </w:r>
      <w:r>
        <w:rPr>
          <w:rFonts w:ascii="隶书" w:hAnsi="隶书" w:cs="隶书" w:eastAsia="隶书" w:hint="default"/>
          <w:b/>
          <w:bCs/>
          <w:sz w:val="21"/>
          <w:szCs w:val="21"/>
        </w:rPr>
        <w:t>财务报表附注</w:t>
      </w:r>
      <w:r>
        <w:rPr>
          <w:rFonts w:ascii="隶书" w:hAnsi="隶书" w:cs="隶书" w:eastAsia="隶书" w:hint="default"/>
          <w:sz w:val="21"/>
          <w:szCs w:val="21"/>
        </w:rPr>
      </w:r>
    </w:p>
    <w:p>
      <w:pPr>
        <w:spacing w:line="240" w:lineRule="auto" w:before="10"/>
        <w:rPr>
          <w:rFonts w:ascii="隶书" w:hAnsi="隶书" w:cs="隶书" w:eastAsia="隶书" w:hint="default"/>
          <w:b/>
          <w:bCs/>
          <w:sz w:val="3"/>
          <w:szCs w:val="3"/>
        </w:rPr>
      </w:pPr>
    </w:p>
    <w:p>
      <w:pPr>
        <w:spacing w:line="20" w:lineRule="exact"/>
        <w:ind w:left="104" w:right="0" w:firstLine="0"/>
        <w:rPr>
          <w:rFonts w:ascii="隶书" w:hAnsi="隶书" w:cs="隶书" w:eastAsia="隶书" w:hint="default"/>
          <w:sz w:val="2"/>
          <w:szCs w:val="2"/>
        </w:rPr>
      </w:pPr>
      <w:r>
        <w:rPr>
          <w:rFonts w:ascii="隶书" w:hAnsi="隶书" w:cs="隶书" w:eastAsia="隶书"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隶书" w:hAnsi="隶书" w:cs="隶书" w:eastAsia="隶书" w:hint="default"/>
          <w:sz w:val="2"/>
          <w:szCs w:val="2"/>
        </w:rPr>
      </w:r>
    </w:p>
    <w:p>
      <w:pPr>
        <w:spacing w:line="240" w:lineRule="auto" w:before="5"/>
        <w:rPr>
          <w:rFonts w:ascii="隶书" w:hAnsi="隶书" w:cs="隶书" w:eastAsia="隶书" w:hint="default"/>
          <w:b/>
          <w:bCs/>
          <w:sz w:val="20"/>
          <w:szCs w:val="20"/>
        </w:rPr>
      </w:pPr>
    </w:p>
    <w:p>
      <w:pPr>
        <w:pStyle w:val="Heading3"/>
        <w:tabs>
          <w:tab w:pos="1400" w:val="left" w:leader="none"/>
        </w:tabs>
        <w:spacing w:line="367" w:lineRule="exact"/>
        <w:ind w:left="620" w:right="0"/>
        <w:jc w:val="left"/>
        <w:rPr>
          <w:b w:val="0"/>
          <w:bCs w:val="0"/>
        </w:rPr>
      </w:pPr>
      <w:r>
        <w:rPr>
          <w:rFonts w:ascii="Trebuchet MS" w:hAnsi="Trebuchet MS" w:cs="Trebuchet MS" w:eastAsia="Trebuchet MS" w:hint="default"/>
          <w:w w:val="90"/>
        </w:rPr>
        <w:t>26</w:t>
      </w:r>
      <w:r>
        <w:rPr>
          <w:w w:val="90"/>
        </w:rPr>
        <w:t>、</w:t>
        <w:tab/>
      </w:r>
      <w:r>
        <w:rPr/>
        <w:t>股本</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2588"/>
        <w:gridCol w:w="1419"/>
        <w:gridCol w:w="771"/>
        <w:gridCol w:w="1356"/>
        <w:gridCol w:w="811"/>
        <w:gridCol w:w="1596"/>
        <w:gridCol w:w="1054"/>
        <w:gridCol w:w="324"/>
        <w:gridCol w:w="1433"/>
        <w:gridCol w:w="1390"/>
        <w:gridCol w:w="1106"/>
      </w:tblGrid>
      <w:tr>
        <w:trPr>
          <w:trHeight w:val="249" w:hRule="exact"/>
        </w:trPr>
        <w:tc>
          <w:tcPr>
            <w:tcW w:w="2588"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Style w:val="TableParagraph"/>
              <w:spacing w:line="211" w:lineRule="exact"/>
              <w:ind w:left="77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771" w:type="dxa"/>
            <w:tcBorders>
              <w:top w:val="nil" w:sz="6" w:space="0" w:color="auto"/>
              <w:left w:val="nil" w:sz="6" w:space="0" w:color="auto"/>
              <w:bottom w:val="single" w:sz="4" w:space="0" w:color="000000"/>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
        </w:tc>
        <w:tc>
          <w:tcPr>
            <w:tcW w:w="811" w:type="dxa"/>
            <w:tcBorders>
              <w:top w:val="nil" w:sz="6" w:space="0" w:color="auto"/>
              <w:left w:val="nil" w:sz="6" w:space="0" w:color="auto"/>
              <w:bottom w:val="single" w:sz="4" w:space="0" w:color="000000"/>
              <w:right w:val="nil" w:sz="6" w:space="0" w:color="auto"/>
            </w:tcBorders>
          </w:tcPr>
          <w:p>
            <w:pPr/>
          </w:p>
        </w:tc>
        <w:tc>
          <w:tcPr>
            <w:tcW w:w="2650"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本年增减变动（</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24" w:type="dxa"/>
            <w:tcBorders>
              <w:top w:val="nil" w:sz="6" w:space="0" w:color="auto"/>
              <w:left w:val="nil" w:sz="6" w:space="0" w:color="auto"/>
              <w:bottom w:val="single" w:sz="4" w:space="0" w:color="000000"/>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11" w:lineRule="exact"/>
              <w:ind w:right="2"/>
              <w:jc w:val="right"/>
              <w:rPr>
                <w:rFonts w:ascii="宋体" w:hAnsi="宋体" w:cs="宋体" w:eastAsia="宋体" w:hint="default"/>
                <w:sz w:val="21"/>
                <w:szCs w:val="21"/>
              </w:rPr>
            </w:pPr>
            <w:r>
              <w:rPr>
                <w:rFonts w:ascii="宋体" w:hAnsi="宋体" w:cs="宋体" w:eastAsia="宋体" w:hint="default"/>
                <w:sz w:val="21"/>
                <w:szCs w:val="21"/>
              </w:rPr>
              <w:t>年末</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11" w:lineRule="exact"/>
              <w:ind w:left="-5" w:right="0"/>
              <w:jc w:val="left"/>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348" w:hRule="exact"/>
        </w:trPr>
        <w:tc>
          <w:tcPr>
            <w:tcW w:w="258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74"/>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4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3"/>
              <w:jc w:val="center"/>
              <w:rPr>
                <w:rFonts w:ascii="宋体" w:hAnsi="宋体" w:cs="宋体" w:eastAsia="宋体" w:hint="default"/>
                <w:sz w:val="21"/>
                <w:szCs w:val="21"/>
              </w:rPr>
            </w:pPr>
            <w:r>
              <w:rPr>
                <w:rFonts w:ascii="宋体" w:hAnsi="宋体" w:cs="宋体" w:eastAsia="宋体" w:hint="default"/>
                <w:sz w:val="21"/>
                <w:szCs w:val="21"/>
              </w:rPr>
              <w:t>比例</w:t>
            </w:r>
          </w:p>
        </w:tc>
        <w:tc>
          <w:tcPr>
            <w:tcW w:w="135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29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81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23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312"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05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 w:type="dxa"/>
            <w:tcBorders>
              <w:top w:val="single" w:sz="4" w:space="0" w:color="000000"/>
              <w:left w:val="nil" w:sz="6" w:space="0" w:color="auto"/>
              <w:bottom w:val="single" w:sz="4" w:space="0" w:color="000000"/>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6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5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0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38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80" w:hRule="exact"/>
        </w:trPr>
        <w:tc>
          <w:tcPr>
            <w:tcW w:w="2588"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419"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7"/>
              <w:ind w:right="0"/>
              <w:jc w:val="left"/>
              <w:rPr>
                <w:rFonts w:ascii="Microsoft JhengHei" w:hAnsi="Microsoft JhengHei" w:cs="Microsoft JhengHei" w:eastAsia="Microsoft JhengHei" w:hint="default"/>
                <w:b/>
                <w:bCs/>
                <w:sz w:val="20"/>
                <w:szCs w:val="20"/>
              </w:rPr>
            </w:pPr>
          </w:p>
        </w:tc>
        <w:tc>
          <w:tcPr>
            <w:tcW w:w="771" w:type="dxa"/>
            <w:tcBorders>
              <w:top w:val="single" w:sz="4" w:space="0" w:color="000000"/>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
        </w:tc>
        <w:tc>
          <w:tcPr>
            <w:tcW w:w="811"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
        </w:tc>
        <w:tc>
          <w:tcPr>
            <w:tcW w:w="324" w:type="dxa"/>
            <w:tcBorders>
              <w:top w:val="single" w:sz="4" w:space="0" w:color="000000"/>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4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9"/>
              <w:jc w:val="right"/>
              <w:rPr>
                <w:rFonts w:ascii="宋体" w:hAnsi="宋体" w:cs="宋体" w:eastAsia="宋体" w:hint="default"/>
                <w:sz w:val="21"/>
                <w:szCs w:val="21"/>
              </w:rPr>
            </w:pPr>
            <w:r>
              <w:rPr>
                <w:rFonts w:ascii="宋体"/>
                <w:w w:val="100"/>
                <w:sz w:val="21"/>
              </w:rPr>
              <w:t>-</w:t>
            </w: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2,290,000</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2"/>
              <w:jc w:val="right"/>
              <w:rPr>
                <w:rFonts w:ascii="宋体" w:hAnsi="宋体" w:cs="宋体" w:eastAsia="宋体" w:hint="default"/>
                <w:sz w:val="21"/>
                <w:szCs w:val="21"/>
              </w:rPr>
            </w:pPr>
            <w:r>
              <w:rPr>
                <w:rFonts w:ascii="宋体"/>
                <w:spacing w:val="-1"/>
                <w:sz w:val="21"/>
              </w:rPr>
              <w:t>2,290,000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2,290,000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z w:val="21"/>
              </w:rPr>
              <w:t>1.81%</w:t>
            </w: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right="216"/>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2,290,000</w:t>
            </w: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22"/>
              <w:jc w:val="right"/>
              <w:rPr>
                <w:rFonts w:ascii="宋体" w:hAnsi="宋体" w:cs="宋体" w:eastAsia="宋体" w:hint="default"/>
                <w:sz w:val="21"/>
                <w:szCs w:val="21"/>
              </w:rPr>
            </w:pPr>
            <w:r>
              <w:rPr>
                <w:rFonts w:ascii="宋体"/>
                <w:spacing w:val="-1"/>
                <w:sz w:val="21"/>
              </w:rPr>
              <w:t>2,290,000</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2,290,000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z w:val="21"/>
              </w:rPr>
              <w:t>1.81%</w:t>
            </w:r>
          </w:p>
        </w:tc>
      </w:tr>
      <w:tr>
        <w:trPr>
          <w:trHeight w:val="34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1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9"/>
              <w:jc w:val="right"/>
              <w:rPr>
                <w:rFonts w:ascii="宋体" w:hAnsi="宋体" w:cs="宋体" w:eastAsia="宋体" w:hint="default"/>
                <w:sz w:val="21"/>
                <w:szCs w:val="21"/>
              </w:rPr>
            </w:pPr>
            <w:r>
              <w:rPr>
                <w:rFonts w:ascii="宋体"/>
                <w:w w:val="100"/>
                <w:sz w:val="21"/>
              </w:rPr>
              <w:t>-</w:t>
            </w:r>
          </w:p>
        </w:tc>
        <w:tc>
          <w:tcPr>
            <w:tcW w:w="771" w:type="dxa"/>
            <w:tcBorders>
              <w:top w:val="nil" w:sz="6" w:space="0" w:color="auto"/>
              <w:left w:val="nil" w:sz="6" w:space="0" w:color="auto"/>
              <w:bottom w:val="single" w:sz="4" w:space="0" w:color="000000"/>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2,290,000</w:t>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054" w:type="dxa"/>
            <w:tcBorders>
              <w:top w:val="nil" w:sz="6" w:space="0" w:color="auto"/>
              <w:left w:val="nil" w:sz="6" w:space="0" w:color="auto"/>
              <w:bottom w:val="single" w:sz="4" w:space="0" w:color="000000"/>
              <w:right w:val="nil" w:sz="6" w:space="0" w:color="auto"/>
            </w:tcBorders>
          </w:tcPr>
          <w:p>
            <w:pPr/>
          </w:p>
        </w:tc>
        <w:tc>
          <w:tcPr>
            <w:tcW w:w="32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2"/>
              <w:jc w:val="right"/>
              <w:rPr>
                <w:rFonts w:ascii="宋体" w:hAnsi="宋体" w:cs="宋体" w:eastAsia="宋体" w:hint="default"/>
                <w:sz w:val="21"/>
                <w:szCs w:val="21"/>
              </w:rPr>
            </w:pPr>
            <w:r>
              <w:rPr>
                <w:rFonts w:ascii="宋体"/>
                <w:spacing w:val="-1"/>
                <w:sz w:val="21"/>
              </w:rPr>
              <w:t>2,290,000</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2,290,000</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z w:val="21"/>
              </w:rPr>
              <w:t>1.81%</w:t>
            </w:r>
          </w:p>
        </w:tc>
      </w:tr>
      <w:tr>
        <w:trPr>
          <w:trHeight w:val="379"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419"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tc>
        <w:tc>
          <w:tcPr>
            <w:tcW w:w="771" w:type="dxa"/>
            <w:tcBorders>
              <w:top w:val="single" w:sz="4" w:space="0" w:color="000000"/>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
        </w:tc>
        <w:tc>
          <w:tcPr>
            <w:tcW w:w="811"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
        </w:tc>
        <w:tc>
          <w:tcPr>
            <w:tcW w:w="324" w:type="dxa"/>
            <w:tcBorders>
              <w:top w:val="single" w:sz="4" w:space="0" w:color="000000"/>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21"/>
                <w:szCs w:val="21"/>
              </w:rPr>
            </w:pPr>
            <w:r>
              <w:rPr>
                <w:rFonts w:ascii="宋体"/>
                <w:sz w:val="21"/>
              </w:rPr>
              <w:t>124,124,172</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16"/>
              <w:jc w:val="center"/>
              <w:rPr>
                <w:rFonts w:ascii="宋体" w:hAnsi="宋体" w:cs="宋体" w:eastAsia="宋体" w:hint="default"/>
                <w:sz w:val="21"/>
                <w:szCs w:val="21"/>
              </w:rPr>
            </w:pPr>
            <w:r>
              <w:rPr>
                <w:rFonts w:ascii="宋体"/>
                <w:sz w:val="21"/>
              </w:rPr>
              <w:t>100.00%</w:t>
            </w: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124,124,172</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z w:val="21"/>
              </w:rPr>
              <w:t>98.19%</w:t>
            </w:r>
          </w:p>
        </w:tc>
      </w:tr>
      <w:tr>
        <w:trPr>
          <w:trHeight w:val="34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40"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19" w:type="dxa"/>
            <w:tcBorders>
              <w:top w:val="nil" w:sz="6" w:space="0" w:color="auto"/>
              <w:left w:val="nil" w:sz="6" w:space="0" w:color="auto"/>
              <w:bottom w:val="nil" w:sz="6" w:space="0" w:color="auto"/>
              <w:right w:val="nil" w:sz="6" w:space="0" w:color="auto"/>
            </w:tcBorders>
          </w:tcPr>
          <w:p>
            <w:pPr/>
          </w:p>
        </w:tc>
        <w:tc>
          <w:tcPr>
            <w:tcW w:w="77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c>
          <w:tcPr>
            <w:tcW w:w="1106" w:type="dxa"/>
            <w:tcBorders>
              <w:top w:val="nil" w:sz="6" w:space="0" w:color="auto"/>
              <w:left w:val="nil" w:sz="6" w:space="0" w:color="auto"/>
              <w:bottom w:val="nil" w:sz="6" w:space="0" w:color="auto"/>
              <w:right w:val="nil" w:sz="6" w:space="0" w:color="auto"/>
            </w:tcBorders>
          </w:tcPr>
          <w:p>
            <w:pPr/>
          </w:p>
        </w:tc>
      </w:tr>
      <w:tr>
        <w:trPr>
          <w:trHeight w:val="311"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1"/>
                <w:szCs w:val="21"/>
              </w:rPr>
            </w:pPr>
            <w:r>
              <w:rPr>
                <w:rFonts w:ascii="宋体"/>
                <w:sz w:val="21"/>
              </w:rPr>
              <w:t>124,124,172</w:t>
            </w:r>
          </w:p>
        </w:tc>
        <w:tc>
          <w:tcPr>
            <w:tcW w:w="77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6"/>
              <w:jc w:val="center"/>
              <w:rPr>
                <w:rFonts w:ascii="宋体" w:hAnsi="宋体" w:cs="宋体" w:eastAsia="宋体" w:hint="default"/>
                <w:sz w:val="21"/>
                <w:szCs w:val="21"/>
              </w:rPr>
            </w:pPr>
            <w:r>
              <w:rPr>
                <w:rFonts w:ascii="宋体"/>
                <w:sz w:val="21"/>
              </w:rPr>
              <w:t>100.00%</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6"/>
              <w:jc w:val="right"/>
              <w:rPr>
                <w:rFonts w:ascii="宋体" w:hAnsi="宋体" w:cs="宋体" w:eastAsia="宋体" w:hint="default"/>
                <w:sz w:val="21"/>
                <w:szCs w:val="21"/>
              </w:rPr>
            </w:pPr>
            <w:r>
              <w:rPr>
                <w:rFonts w:ascii="宋体"/>
                <w:w w:val="100"/>
                <w:sz w:val="21"/>
              </w:rPr>
              <w:t>-</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054" w:type="dxa"/>
            <w:tcBorders>
              <w:top w:val="nil" w:sz="6" w:space="0" w:color="auto"/>
              <w:left w:val="nil" w:sz="6" w:space="0" w:color="auto"/>
              <w:bottom w:val="single" w:sz="4" w:space="0" w:color="000000"/>
              <w:right w:val="nil" w:sz="6" w:space="0" w:color="auto"/>
            </w:tcBorders>
          </w:tcPr>
          <w:p>
            <w:pPr/>
          </w:p>
        </w:tc>
        <w:tc>
          <w:tcPr>
            <w:tcW w:w="32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w w:val="100"/>
                <w:sz w:val="21"/>
              </w:rPr>
              <w:t>-</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124,124,172</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z w:val="21"/>
              </w:rPr>
              <w:t>98.19%</w:t>
            </w:r>
          </w:p>
        </w:tc>
      </w:tr>
      <w:tr>
        <w:trPr>
          <w:trHeight w:val="362" w:hRule="exact"/>
        </w:trPr>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419" w:type="dxa"/>
            <w:tcBorders>
              <w:top w:val="nil" w:sz="6" w:space="0" w:color="auto"/>
              <w:left w:val="nil" w:sz="6" w:space="0" w:color="auto"/>
              <w:bottom w:val="single" w:sz="12" w:space="0" w:color="000000"/>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25"/>
              <w:ind w:left="122" w:right="0"/>
              <w:jc w:val="left"/>
              <w:rPr>
                <w:rFonts w:ascii="宋体" w:hAnsi="宋体" w:cs="宋体" w:eastAsia="宋体" w:hint="default"/>
                <w:sz w:val="21"/>
                <w:szCs w:val="21"/>
              </w:rPr>
            </w:pPr>
            <w:r>
              <w:rPr>
                <w:rFonts w:ascii="宋体"/>
                <w:sz w:val="21"/>
              </w:rPr>
              <w:t>124,124,172</w:t>
            </w:r>
          </w:p>
        </w:tc>
        <w:tc>
          <w:tcPr>
            <w:tcW w:w="7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16"/>
              <w:jc w:val="center"/>
              <w:rPr>
                <w:rFonts w:ascii="宋体" w:hAnsi="宋体" w:cs="宋体" w:eastAsia="宋体" w:hint="default"/>
                <w:sz w:val="21"/>
                <w:szCs w:val="21"/>
              </w:rPr>
            </w:pPr>
            <w:r>
              <w:rPr>
                <w:rFonts w:ascii="宋体"/>
                <w:sz w:val="21"/>
              </w:rPr>
              <w:t>100.00%</w:t>
            </w: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2,290,000</w:t>
            </w:r>
          </w:p>
        </w:tc>
        <w:tc>
          <w:tcPr>
            <w:tcW w:w="8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6"/>
              <w:jc w:val="right"/>
              <w:rPr>
                <w:rFonts w:ascii="宋体" w:hAnsi="宋体" w:cs="宋体" w:eastAsia="宋体" w:hint="default"/>
                <w:sz w:val="21"/>
                <w:szCs w:val="21"/>
              </w:rPr>
            </w:pPr>
            <w:r>
              <w:rPr>
                <w:rFonts w:ascii="宋体"/>
                <w:w w:val="100"/>
                <w:sz w:val="21"/>
              </w:rPr>
              <w:t>-</w:t>
            </w:r>
          </w:p>
        </w:tc>
        <w:tc>
          <w:tcPr>
            <w:tcW w:w="159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w w:val="100"/>
                <w:sz w:val="21"/>
              </w:rPr>
              <w:t>-</w:t>
            </w:r>
          </w:p>
        </w:tc>
        <w:tc>
          <w:tcPr>
            <w:tcW w:w="1054" w:type="dxa"/>
            <w:tcBorders>
              <w:top w:val="single" w:sz="4" w:space="0" w:color="000000"/>
              <w:left w:val="nil" w:sz="6" w:space="0" w:color="auto"/>
              <w:bottom w:val="single" w:sz="12" w:space="0" w:color="000000"/>
              <w:right w:val="nil" w:sz="6" w:space="0" w:color="auto"/>
            </w:tcBorders>
          </w:tcPr>
          <w:p>
            <w:pPr/>
          </w:p>
        </w:tc>
        <w:tc>
          <w:tcPr>
            <w:tcW w:w="3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w w:val="100"/>
                <w:sz w:val="21"/>
              </w:rPr>
              <w:t>-</w:t>
            </w:r>
          </w:p>
        </w:tc>
        <w:tc>
          <w:tcPr>
            <w:tcW w:w="14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2"/>
              <w:jc w:val="right"/>
              <w:rPr>
                <w:rFonts w:ascii="宋体" w:hAnsi="宋体" w:cs="宋体" w:eastAsia="宋体" w:hint="default"/>
                <w:sz w:val="21"/>
                <w:szCs w:val="21"/>
              </w:rPr>
            </w:pPr>
            <w:r>
              <w:rPr>
                <w:rFonts w:ascii="宋体"/>
                <w:spacing w:val="-1"/>
                <w:sz w:val="21"/>
              </w:rPr>
              <w:t>2,290,000</w:t>
            </w: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126,414,172</w:t>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72"/>
        <w:ind w:left="740" w:right="0"/>
        <w:jc w:val="left"/>
      </w:pPr>
      <w:r>
        <w:rPr>
          <w:spacing w:val="-18"/>
        </w:rPr>
        <w:t>注：本公司</w:t>
      </w:r>
      <w:r>
        <w:rPr>
          <w:spacing w:val="-75"/>
        </w:rPr>
        <w:t> </w:t>
      </w:r>
      <w:r>
        <w:rPr>
          <w:rFonts w:ascii="宋体" w:hAnsi="宋体" w:cs="宋体" w:eastAsia="宋体" w:hint="default"/>
        </w:rPr>
        <w:t>2011</w:t>
      </w:r>
      <w:r>
        <w:rPr>
          <w:rFonts w:ascii="宋体" w:hAnsi="宋体" w:cs="宋体" w:eastAsia="宋体" w:hint="default"/>
          <w:spacing w:val="-75"/>
        </w:rPr>
        <w:t> </w:t>
      </w:r>
      <w:r>
        <w:rPr/>
        <w:t>年</w:t>
      </w:r>
      <w:r>
        <w:rPr>
          <w:spacing w:val="-75"/>
        </w:rPr>
        <w:t> </w:t>
      </w:r>
      <w:r>
        <w:rPr>
          <w:rFonts w:ascii="宋体" w:hAnsi="宋体" w:cs="宋体" w:eastAsia="宋体" w:hint="default"/>
        </w:rPr>
        <w:t>9</w:t>
      </w:r>
      <w:r>
        <w:rPr>
          <w:rFonts w:ascii="宋体" w:hAnsi="宋体" w:cs="宋体" w:eastAsia="宋体" w:hint="default"/>
          <w:spacing w:val="-75"/>
        </w:rPr>
        <w:t> </w:t>
      </w:r>
      <w:r>
        <w:rPr/>
        <w:t>月</w:t>
      </w:r>
      <w:r>
        <w:rPr>
          <w:spacing w:val="-75"/>
        </w:rPr>
        <w:t> </w:t>
      </w:r>
      <w:r>
        <w:rPr>
          <w:rFonts w:ascii="宋体" w:hAnsi="宋体" w:cs="宋体" w:eastAsia="宋体" w:hint="default"/>
        </w:rPr>
        <w:t>9</w:t>
      </w:r>
      <w:r>
        <w:rPr>
          <w:rFonts w:ascii="宋体" w:hAnsi="宋体" w:cs="宋体" w:eastAsia="宋体" w:hint="default"/>
          <w:spacing w:val="-75"/>
        </w:rPr>
        <w:t> </w:t>
      </w:r>
      <w:r>
        <w:rPr/>
        <w:t>日召开的第三届董事会第二十一次会议审议通了《东港安全印刷股份有限公司限制性股票激励计划</w:t>
      </w:r>
      <w:r>
        <w:rPr>
          <w:rFonts w:ascii="宋体" w:hAnsi="宋体" w:cs="宋体" w:eastAsia="宋体" w:hint="default"/>
        </w:rPr>
        <w:t>(</w:t>
      </w:r>
      <w:r>
        <w:rPr/>
        <w:t>修</w:t>
      </w:r>
    </w:p>
    <w:p>
      <w:pPr>
        <w:pStyle w:val="BodyText"/>
        <w:spacing w:line="336" w:lineRule="auto" w:before="125"/>
        <w:ind w:left="140" w:right="1522"/>
        <w:jc w:val="left"/>
      </w:pPr>
      <w:r>
        <w:rPr/>
        <w:t>订稿</w:t>
      </w:r>
      <w:r>
        <w:rPr>
          <w:rFonts w:ascii="宋体" w:hAnsi="宋体" w:cs="宋体" w:eastAsia="宋体" w:hint="default"/>
        </w:rPr>
        <w:t>)</w:t>
      </w:r>
      <w:r>
        <w:rPr/>
        <w:t>》，并获得公司</w:t>
      </w:r>
      <w:r>
        <w:rPr>
          <w:spacing w:val="-53"/>
        </w:rPr>
        <w:t> </w:t>
      </w:r>
      <w:r>
        <w:rPr>
          <w:rFonts w:ascii="宋体" w:hAnsi="宋体" w:cs="宋体" w:eastAsia="宋体" w:hint="default"/>
        </w:rPr>
        <w:t>2011</w:t>
      </w:r>
      <w:r>
        <w:rPr>
          <w:rFonts w:ascii="宋体" w:hAnsi="宋体" w:cs="宋体" w:eastAsia="宋体" w:hint="default"/>
          <w:spacing w:val="-53"/>
        </w:rPr>
        <w:t> </w:t>
      </w:r>
      <w:r>
        <w:rPr/>
        <w:t>年第二次临时股东大会批准。截至</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日止，公司已收到股权激励对象缴纳的新增股本人民 币</w:t>
      </w:r>
      <w:r>
        <w:rPr>
          <w:spacing w:val="27"/>
        </w:rPr>
        <w:t> </w:t>
      </w:r>
      <w:r>
        <w:rPr>
          <w:rFonts w:ascii="宋体" w:hAnsi="宋体" w:cs="宋体" w:eastAsia="宋体" w:hint="default"/>
        </w:rPr>
        <w:t>2,290,000.00</w:t>
      </w:r>
      <w:r>
        <w:rPr>
          <w:rFonts w:ascii="宋体" w:hAnsi="宋体" w:cs="宋体" w:eastAsia="宋体" w:hint="default"/>
          <w:spacing w:val="26"/>
        </w:rPr>
        <w:t> </w:t>
      </w:r>
      <w:r>
        <w:rPr>
          <w:spacing w:val="12"/>
        </w:rPr>
        <w:t>元，</w:t>
      </w:r>
      <w:r>
        <w:rPr>
          <w:spacing w:val="-99"/>
        </w:rPr>
        <w:t> </w:t>
      </w:r>
      <w:r>
        <w:rPr>
          <w:spacing w:val="14"/>
        </w:rPr>
        <w:t>另外的</w:t>
      </w:r>
      <w:r>
        <w:rPr>
          <w:spacing w:val="26"/>
        </w:rPr>
        <w:t> </w:t>
      </w:r>
      <w:r>
        <w:rPr>
          <w:rFonts w:ascii="宋体" w:hAnsi="宋体" w:cs="宋体" w:eastAsia="宋体" w:hint="default"/>
        </w:rPr>
        <w:t>19,991,700.00</w:t>
      </w:r>
      <w:r>
        <w:rPr>
          <w:rFonts w:ascii="宋体" w:hAnsi="宋体" w:cs="宋体" w:eastAsia="宋体" w:hint="default"/>
          <w:spacing w:val="27"/>
        </w:rPr>
        <w:t> </w:t>
      </w:r>
      <w:r>
        <w:rPr>
          <w:spacing w:val="18"/>
        </w:rPr>
        <w:t>元计入资本公积</w:t>
      </w:r>
      <w:r>
        <w:rPr>
          <w:rFonts w:ascii="宋体" w:hAnsi="宋体" w:cs="宋体" w:eastAsia="宋体" w:hint="default"/>
          <w:spacing w:val="18"/>
        </w:rPr>
        <w:t>-</w:t>
      </w:r>
      <w:r>
        <w:rPr>
          <w:rFonts w:ascii="宋体" w:hAnsi="宋体" w:cs="宋体" w:eastAsia="宋体" w:hint="default"/>
          <w:spacing w:val="-99"/>
        </w:rPr>
        <w:t> </w:t>
      </w:r>
      <w:r>
        <w:rPr>
          <w:spacing w:val="16"/>
        </w:rPr>
        <w:t>资本溢价。</w:t>
      </w:r>
      <w:r>
        <w:rPr>
          <w:spacing w:val="-98"/>
        </w:rPr>
        <w:t> </w:t>
      </w:r>
      <w:r>
        <w:rPr>
          <w:spacing w:val="19"/>
        </w:rPr>
        <w:t>本次股权激励计划实施后，</w:t>
      </w:r>
      <w:r>
        <w:rPr>
          <w:spacing w:val="-97"/>
        </w:rPr>
        <w:t> </w:t>
      </w:r>
      <w:r>
        <w:rPr>
          <w:spacing w:val="18"/>
        </w:rPr>
        <w:t>本公司总股本变更为</w:t>
      </w:r>
    </w:p>
    <w:p>
      <w:pPr>
        <w:pStyle w:val="BodyText"/>
        <w:spacing w:line="240" w:lineRule="auto" w:before="31"/>
        <w:ind w:left="140" w:right="0"/>
        <w:jc w:val="left"/>
      </w:pPr>
      <w:r>
        <w:rPr>
          <w:rFonts w:ascii="宋体" w:hAnsi="宋体" w:cs="宋体" w:eastAsia="宋体" w:hint="default"/>
        </w:rPr>
        <w:t>126,414,172.00</w:t>
      </w:r>
      <w:r>
        <w:rPr>
          <w:rFonts w:ascii="宋体" w:hAnsi="宋体" w:cs="宋体" w:eastAsia="宋体" w:hint="default"/>
          <w:spacing w:val="-6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1"/>
        <w:ind w:left="6943" w:right="8240" w:firstLine="0"/>
        <w:jc w:val="center"/>
        <w:rPr>
          <w:rFonts w:ascii="Times New Roman" w:hAnsi="Times New Roman" w:cs="Times New Roman" w:eastAsia="Times New Roman" w:hint="default"/>
          <w:sz w:val="21"/>
          <w:szCs w:val="21"/>
        </w:rPr>
      </w:pPr>
      <w:r>
        <w:rPr/>
        <w:pict>
          <v:shape style="position:absolute;margin-left:740.650024pt;margin-top:8.156484pt;width:101.25pt;height:57.75pt;mso-position-horizontal-relative:page;mso-position-vertical-relative:paragraph;z-index:2704" type="#_x0000_t75" stroked="false">
            <v:imagedata r:id="rId6" o:title=""/>
          </v:shape>
        </w:pict>
      </w:r>
      <w:r>
        <w:rPr>
          <w:rFonts w:ascii="Times New Roman"/>
          <w:sz w:val="21"/>
        </w:rPr>
        <w:t>104</w:t>
      </w:r>
    </w:p>
    <w:p>
      <w:pPr>
        <w:spacing w:after="0"/>
        <w:jc w:val="center"/>
        <w:rPr>
          <w:rFonts w:ascii="Times New Roman" w:hAnsi="Times New Roman" w:cs="Times New Roman" w:eastAsia="Times New Roman" w:hint="default"/>
          <w:sz w:val="21"/>
          <w:szCs w:val="21"/>
        </w:rPr>
        <w:sectPr>
          <w:headerReference w:type="default" r:id="rId44"/>
          <w:footerReference w:type="default" r:id="rId45"/>
          <w:pgSz w:w="16840" w:h="11910" w:orient="landscape"/>
          <w:pgMar w:header="0" w:footer="0" w:top="800" w:bottom="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78.400002pt;margin-top:36.549984pt;width:454.5pt;height:19.4pt;mso-position-horizontal-relative:page;mso-position-vertical-relative:page;z-index:-746464" coordorigin="1568,731" coordsize="9090,388">
            <v:group style="position:absolute;left:1592;top:1111;width:9059;height:2" coordorigin="1592,1111" coordsize="9059,2">
              <v:shape style="position:absolute;left:1592;top:1111;width:9059;height:2" coordorigin="1592,1111" coordsize="9059,0" path="m1592,1111l10651,1111e" filled="false" stroked="true" strokeweight=".72pt" strokecolor="#000000">
                <v:path arrowok="t"/>
              </v:shape>
              <v:shape style="position:absolute;left:1568;top:731;width:360;height:315" type="#_x0000_t75" stroked="false">
                <v:imagedata r:id="rId5" o:title=""/>
              </v:shape>
            </v:group>
            <w10:wrap type="none"/>
          </v:group>
        </w:pict>
      </w:r>
    </w:p>
    <w:p>
      <w:pPr>
        <w:spacing w:line="240" w:lineRule="auto" w:before="0"/>
        <w:rPr>
          <w:rFonts w:ascii="Times New Roman" w:hAnsi="Times New Roman" w:cs="Times New Roman" w:eastAsia="Times New Roman" w:hint="default"/>
          <w:sz w:val="29"/>
          <w:szCs w:val="29"/>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27</w:t>
      </w:r>
      <w:r>
        <w:rPr>
          <w:w w:val="90"/>
        </w:rPr>
        <w:t>、</w:t>
        <w:tab/>
      </w:r>
      <w:r>
        <w:rPr/>
        <w:t>资本公积</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210" w:type="dxa"/>
        <w:tblLayout w:type="fixed"/>
        <w:tblCellMar>
          <w:top w:w="0" w:type="dxa"/>
          <w:left w:w="0" w:type="dxa"/>
          <w:bottom w:w="0" w:type="dxa"/>
          <w:right w:w="0" w:type="dxa"/>
        </w:tblCellMar>
        <w:tblLook w:val="01E0"/>
      </w:tblPr>
      <w:tblGrid>
        <w:gridCol w:w="1750"/>
        <w:gridCol w:w="250"/>
        <w:gridCol w:w="1592"/>
        <w:gridCol w:w="166"/>
        <w:gridCol w:w="1594"/>
        <w:gridCol w:w="228"/>
        <w:gridCol w:w="1423"/>
        <w:gridCol w:w="157"/>
        <w:gridCol w:w="1718"/>
      </w:tblGrid>
      <w:tr>
        <w:trPr>
          <w:trHeight w:val="251" w:hRule="exact"/>
        </w:trPr>
        <w:tc>
          <w:tcPr>
            <w:tcW w:w="1750"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5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8" w:space="0" w:color="000000"/>
              <w:right w:val="nil" w:sz="6" w:space="0" w:color="auto"/>
            </w:tcBorders>
          </w:tcPr>
          <w:p>
            <w:pPr>
              <w:pStyle w:val="TableParagraph"/>
              <w:spacing w:line="211" w:lineRule="exact"/>
              <w:ind w:left="48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8" w:space="0" w:color="000000"/>
              <w:right w:val="nil" w:sz="6" w:space="0" w:color="auto"/>
            </w:tcBorders>
          </w:tcPr>
          <w:p>
            <w:pPr>
              <w:pStyle w:val="TableParagraph"/>
              <w:spacing w:line="211" w:lineRule="exact"/>
              <w:ind w:left="37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8" w:space="0" w:color="000000"/>
              <w:right w:val="nil" w:sz="6" w:space="0" w:color="auto"/>
            </w:tcBorders>
          </w:tcPr>
          <w:p>
            <w:pPr>
              <w:pStyle w:val="TableParagraph"/>
              <w:spacing w:line="211" w:lineRule="exact"/>
              <w:ind w:left="29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8" w:space="0" w:color="000000"/>
              <w:right w:val="nil" w:sz="6" w:space="0" w:color="auto"/>
            </w:tcBorders>
          </w:tcPr>
          <w:p>
            <w:pPr>
              <w:pStyle w:val="TableParagraph"/>
              <w:spacing w:line="211" w:lineRule="exact"/>
              <w:ind w:left="547"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85" w:hRule="exact"/>
        </w:trPr>
        <w:tc>
          <w:tcPr>
            <w:tcW w:w="175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57"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250" w:type="dxa"/>
            <w:tcBorders>
              <w:top w:val="nil" w:sz="6" w:space="0" w:color="auto"/>
              <w:left w:val="nil" w:sz="6" w:space="0" w:color="auto"/>
              <w:bottom w:val="nil" w:sz="6" w:space="0" w:color="auto"/>
              <w:right w:val="nil" w:sz="6" w:space="0" w:color="auto"/>
            </w:tcBorders>
          </w:tcPr>
          <w:p>
            <w:pPr/>
          </w:p>
        </w:tc>
        <w:tc>
          <w:tcPr>
            <w:tcW w:w="159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51"/>
              <w:jc w:val="right"/>
              <w:rPr>
                <w:rFonts w:ascii="宋体" w:hAnsi="宋体" w:cs="宋体" w:eastAsia="宋体" w:hint="default"/>
                <w:sz w:val="21"/>
                <w:szCs w:val="21"/>
              </w:rPr>
            </w:pPr>
            <w:r>
              <w:rPr>
                <w:rFonts w:ascii="宋体"/>
                <w:spacing w:val="-1"/>
                <w:sz w:val="21"/>
              </w:rPr>
              <w:t>577,465,298.08</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53"/>
              <w:jc w:val="right"/>
              <w:rPr>
                <w:rFonts w:ascii="宋体" w:hAnsi="宋体" w:cs="宋体" w:eastAsia="宋体" w:hint="default"/>
                <w:sz w:val="21"/>
                <w:szCs w:val="21"/>
              </w:rPr>
            </w:pPr>
            <w:r>
              <w:rPr>
                <w:rFonts w:ascii="宋体"/>
                <w:spacing w:val="-1"/>
                <w:sz w:val="21"/>
              </w:rPr>
              <w:t>19,991,700.00</w:t>
            </w: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single" w:sz="8" w:space="0" w:color="000000"/>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71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53"/>
              <w:jc w:val="right"/>
              <w:rPr>
                <w:rFonts w:ascii="宋体" w:hAnsi="宋体" w:cs="宋体" w:eastAsia="宋体" w:hint="default"/>
                <w:sz w:val="21"/>
                <w:szCs w:val="21"/>
              </w:rPr>
            </w:pPr>
            <w:r>
              <w:rPr>
                <w:rFonts w:ascii="宋体"/>
                <w:spacing w:val="-1"/>
                <w:sz w:val="21"/>
              </w:rPr>
              <w:t>597,456,998.08</w:t>
            </w:r>
          </w:p>
        </w:tc>
      </w:tr>
      <w:tr>
        <w:trPr>
          <w:trHeight w:val="340"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5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5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0"/>
              <w:jc w:val="right"/>
              <w:rPr>
                <w:rFonts w:ascii="宋体" w:hAnsi="宋体" w:cs="宋体" w:eastAsia="宋体" w:hint="default"/>
                <w:sz w:val="21"/>
                <w:szCs w:val="21"/>
              </w:rPr>
            </w:pPr>
            <w:r>
              <w:rPr>
                <w:rFonts w:ascii="宋体"/>
                <w:spacing w:val="-1"/>
                <w:sz w:val="21"/>
              </w:rPr>
              <w:t>2,050,905.62</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
              <w:ind w:left="314" w:right="0"/>
              <w:jc w:val="left"/>
              <w:rPr>
                <w:rFonts w:ascii="宋体" w:hAnsi="宋体" w:cs="宋体" w:eastAsia="宋体" w:hint="default"/>
                <w:sz w:val="21"/>
                <w:szCs w:val="21"/>
              </w:rPr>
            </w:pPr>
            <w:r>
              <w:rPr>
                <w:rFonts w:ascii="宋体"/>
                <w:sz w:val="21"/>
              </w:rPr>
              <w:t>164,125.01</w:t>
            </w:r>
          </w:p>
        </w:tc>
        <w:tc>
          <w:tcPr>
            <w:tcW w:w="15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3"/>
              <w:jc w:val="right"/>
              <w:rPr>
                <w:rFonts w:ascii="宋体" w:hAnsi="宋体" w:cs="宋体" w:eastAsia="宋体" w:hint="default"/>
                <w:sz w:val="21"/>
                <w:szCs w:val="21"/>
              </w:rPr>
            </w:pPr>
            <w:r>
              <w:rPr>
                <w:rFonts w:ascii="宋体"/>
                <w:spacing w:val="-1"/>
                <w:sz w:val="21"/>
              </w:rPr>
              <w:t>1,886,780.61</w:t>
            </w:r>
          </w:p>
        </w:tc>
      </w:tr>
      <w:tr>
        <w:trPr>
          <w:trHeight w:val="317"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left"/>
              <w:rPr>
                <w:rFonts w:ascii="宋体" w:hAnsi="宋体" w:cs="宋体" w:eastAsia="宋体" w:hint="default"/>
                <w:sz w:val="20"/>
                <w:szCs w:val="20"/>
              </w:rPr>
            </w:pPr>
            <w:r>
              <w:rPr>
                <w:rFonts w:ascii="宋体" w:hAnsi="宋体" w:cs="宋体" w:eastAsia="宋体" w:hint="default"/>
                <w:sz w:val="20"/>
                <w:szCs w:val="20"/>
              </w:rPr>
              <w:t>股权激励费用</w:t>
            </w:r>
          </w:p>
        </w:tc>
        <w:tc>
          <w:tcPr>
            <w:tcW w:w="25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8" w:space="0" w:color="000000"/>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8" w:space="0" w:color="000000"/>
              <w:right w:val="nil" w:sz="6" w:space="0" w:color="auto"/>
            </w:tcBorders>
          </w:tcPr>
          <w:p>
            <w:pPr>
              <w:pStyle w:val="TableParagraph"/>
              <w:spacing w:line="240" w:lineRule="auto"/>
              <w:ind w:right="53"/>
              <w:jc w:val="right"/>
              <w:rPr>
                <w:rFonts w:ascii="宋体" w:hAnsi="宋体" w:cs="宋体" w:eastAsia="宋体" w:hint="default"/>
                <w:sz w:val="21"/>
                <w:szCs w:val="21"/>
              </w:rPr>
            </w:pPr>
            <w:r>
              <w:rPr>
                <w:rFonts w:ascii="宋体"/>
                <w:spacing w:val="-1"/>
                <w:sz w:val="21"/>
              </w:rPr>
              <w:t>781,500.00</w:t>
            </w: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8" w:space="0" w:color="000000"/>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8" w:space="0" w:color="000000"/>
              <w:right w:val="nil" w:sz="6" w:space="0" w:color="auto"/>
            </w:tcBorders>
          </w:tcPr>
          <w:p>
            <w:pPr>
              <w:pStyle w:val="TableParagraph"/>
              <w:spacing w:line="240" w:lineRule="auto"/>
              <w:ind w:right="53"/>
              <w:jc w:val="right"/>
              <w:rPr>
                <w:rFonts w:ascii="宋体" w:hAnsi="宋体" w:cs="宋体" w:eastAsia="宋体" w:hint="default"/>
                <w:sz w:val="21"/>
                <w:szCs w:val="21"/>
              </w:rPr>
            </w:pPr>
            <w:r>
              <w:rPr>
                <w:rFonts w:ascii="宋体"/>
                <w:spacing w:val="-1"/>
                <w:sz w:val="21"/>
              </w:rPr>
              <w:t>781,500.00</w:t>
            </w:r>
          </w:p>
        </w:tc>
      </w:tr>
      <w:tr>
        <w:trPr>
          <w:trHeight w:val="374" w:hRule="exact"/>
        </w:trPr>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50" w:type="dxa"/>
            <w:tcBorders>
              <w:top w:val="nil" w:sz="6" w:space="0" w:color="auto"/>
              <w:left w:val="nil" w:sz="6" w:space="0" w:color="auto"/>
              <w:bottom w:val="nil" w:sz="6" w:space="0" w:color="auto"/>
              <w:right w:val="nil" w:sz="6" w:space="0" w:color="auto"/>
            </w:tcBorders>
          </w:tcPr>
          <w:p>
            <w:pPr/>
          </w:p>
        </w:tc>
        <w:tc>
          <w:tcPr>
            <w:tcW w:w="1592"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51"/>
              <w:jc w:val="right"/>
              <w:rPr>
                <w:rFonts w:ascii="宋体" w:hAnsi="宋体" w:cs="宋体" w:eastAsia="宋体" w:hint="default"/>
                <w:sz w:val="21"/>
                <w:szCs w:val="21"/>
              </w:rPr>
            </w:pPr>
            <w:r>
              <w:rPr>
                <w:rFonts w:ascii="宋体"/>
                <w:spacing w:val="-1"/>
                <w:sz w:val="21"/>
              </w:rPr>
              <w:t>579,516,203.70</w:t>
            </w:r>
          </w:p>
        </w:tc>
        <w:tc>
          <w:tcPr>
            <w:tcW w:w="166" w:type="dxa"/>
            <w:tcBorders>
              <w:top w:val="nil" w:sz="6" w:space="0" w:color="auto"/>
              <w:left w:val="nil" w:sz="6" w:space="0" w:color="auto"/>
              <w:bottom w:val="nil" w:sz="6" w:space="0" w:color="auto"/>
              <w:right w:val="nil" w:sz="6" w:space="0" w:color="auto"/>
            </w:tcBorders>
          </w:tcPr>
          <w:p>
            <w:pPr/>
          </w:p>
        </w:tc>
        <w:tc>
          <w:tcPr>
            <w:tcW w:w="1594"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53"/>
              <w:jc w:val="right"/>
              <w:rPr>
                <w:rFonts w:ascii="宋体" w:hAnsi="宋体" w:cs="宋体" w:eastAsia="宋体" w:hint="default"/>
                <w:sz w:val="21"/>
                <w:szCs w:val="21"/>
              </w:rPr>
            </w:pPr>
            <w:r>
              <w:rPr>
                <w:rFonts w:ascii="宋体"/>
                <w:spacing w:val="-1"/>
                <w:sz w:val="21"/>
              </w:rPr>
              <w:t>20,773,200.00</w:t>
            </w:r>
          </w:p>
        </w:tc>
        <w:tc>
          <w:tcPr>
            <w:tcW w:w="228" w:type="dxa"/>
            <w:tcBorders>
              <w:top w:val="nil" w:sz="6" w:space="0" w:color="auto"/>
              <w:left w:val="nil" w:sz="6" w:space="0" w:color="auto"/>
              <w:bottom w:val="nil" w:sz="6" w:space="0" w:color="auto"/>
              <w:right w:val="nil" w:sz="6" w:space="0" w:color="auto"/>
            </w:tcBorders>
          </w:tcPr>
          <w:p>
            <w:pPr/>
          </w:p>
        </w:tc>
        <w:tc>
          <w:tcPr>
            <w:tcW w:w="1423"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left="314" w:right="0"/>
              <w:jc w:val="left"/>
              <w:rPr>
                <w:rFonts w:ascii="宋体" w:hAnsi="宋体" w:cs="宋体" w:eastAsia="宋体" w:hint="default"/>
                <w:sz w:val="21"/>
                <w:szCs w:val="21"/>
              </w:rPr>
            </w:pPr>
            <w:r>
              <w:rPr>
                <w:rFonts w:ascii="宋体"/>
                <w:sz w:val="21"/>
              </w:rPr>
              <w:t>164,125.01</w:t>
            </w:r>
          </w:p>
        </w:tc>
        <w:tc>
          <w:tcPr>
            <w:tcW w:w="157" w:type="dxa"/>
            <w:tcBorders>
              <w:top w:val="nil" w:sz="6" w:space="0" w:color="auto"/>
              <w:left w:val="nil" w:sz="6" w:space="0" w:color="auto"/>
              <w:bottom w:val="nil" w:sz="6" w:space="0" w:color="auto"/>
              <w:right w:val="nil" w:sz="6" w:space="0" w:color="auto"/>
            </w:tcBorders>
          </w:tcPr>
          <w:p>
            <w:pPr/>
          </w:p>
        </w:tc>
        <w:tc>
          <w:tcPr>
            <w:tcW w:w="1718"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53"/>
              <w:jc w:val="right"/>
              <w:rPr>
                <w:rFonts w:ascii="宋体" w:hAnsi="宋体" w:cs="宋体" w:eastAsia="宋体" w:hint="default"/>
                <w:sz w:val="21"/>
                <w:szCs w:val="21"/>
              </w:rPr>
            </w:pPr>
            <w:r>
              <w:rPr>
                <w:rFonts w:ascii="宋体"/>
                <w:spacing w:val="-1"/>
                <w:sz w:val="21"/>
              </w:rPr>
              <w:t>600,125,278.69</w:t>
            </w:r>
          </w:p>
        </w:tc>
      </w:tr>
    </w:tbl>
    <w:p>
      <w:pPr>
        <w:spacing w:line="240" w:lineRule="auto" w:before="16"/>
        <w:rPr>
          <w:rFonts w:ascii="Microsoft JhengHei" w:hAnsi="Microsoft JhengHei" w:cs="Microsoft JhengHei" w:eastAsia="Microsoft JhengHei" w:hint="default"/>
          <w:b/>
          <w:bCs/>
          <w:sz w:val="10"/>
          <w:szCs w:val="10"/>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28</w:t>
      </w:r>
      <w:r>
        <w:rPr>
          <w:w w:val="90"/>
        </w:rPr>
        <w:t>、</w:t>
        <w:tab/>
      </w:r>
      <w:r>
        <w:rPr/>
        <w:t>盈余公积</w:t>
      </w:r>
      <w:r>
        <w:rPr>
          <w:b w:val="0"/>
          <w:bCs w:val="0"/>
        </w:rPr>
      </w:r>
    </w:p>
    <w:p>
      <w:pPr>
        <w:spacing w:line="240" w:lineRule="auto" w:before="6"/>
        <w:rPr>
          <w:rFonts w:ascii="Microsoft JhengHei" w:hAnsi="Microsoft JhengHei" w:cs="Microsoft JhengHei" w:eastAsia="Microsoft JhengHei" w:hint="default"/>
          <w:b/>
          <w:bCs/>
          <w:sz w:val="10"/>
          <w:szCs w:val="10"/>
        </w:rPr>
      </w:pPr>
    </w:p>
    <w:tbl>
      <w:tblPr>
        <w:tblW w:w="0" w:type="auto"/>
        <w:jc w:val="left"/>
        <w:tblInd w:w="210" w:type="dxa"/>
        <w:tblLayout w:type="fixed"/>
        <w:tblCellMar>
          <w:top w:w="0" w:type="dxa"/>
          <w:left w:w="0" w:type="dxa"/>
          <w:bottom w:w="0" w:type="dxa"/>
          <w:right w:w="0" w:type="dxa"/>
        </w:tblCellMar>
        <w:tblLook w:val="01E0"/>
      </w:tblPr>
      <w:tblGrid>
        <w:gridCol w:w="1764"/>
        <w:gridCol w:w="266"/>
        <w:gridCol w:w="1546"/>
        <w:gridCol w:w="233"/>
        <w:gridCol w:w="1546"/>
        <w:gridCol w:w="230"/>
        <w:gridCol w:w="1392"/>
        <w:gridCol w:w="265"/>
        <w:gridCol w:w="1589"/>
      </w:tblGrid>
      <w:tr>
        <w:trPr>
          <w:trHeight w:val="253" w:hRule="exact"/>
        </w:trPr>
        <w:tc>
          <w:tcPr>
            <w:tcW w:w="1764" w:type="dxa"/>
            <w:tcBorders>
              <w:top w:val="nil" w:sz="6" w:space="0" w:color="auto"/>
              <w:left w:val="nil" w:sz="6" w:space="0" w:color="auto"/>
              <w:bottom w:val="single" w:sz="8" w:space="0" w:color="000000"/>
              <w:right w:val="nil" w:sz="6" w:space="0" w:color="auto"/>
            </w:tcBorders>
          </w:tcPr>
          <w:p>
            <w:pPr>
              <w:pStyle w:val="TableParagraph"/>
              <w:spacing w:line="214"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211" w:lineRule="exact"/>
              <w:ind w:left="35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8" w:space="0" w:color="000000"/>
              <w:right w:val="nil" w:sz="6" w:space="0" w:color="auto"/>
            </w:tcBorders>
          </w:tcPr>
          <w:p>
            <w:pPr>
              <w:pStyle w:val="TableParagraph"/>
              <w:spacing w:line="211" w:lineRule="exact"/>
              <w:ind w:left="280"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11" w:lineRule="exact"/>
              <w:ind w:left="482"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68" w:hRule="exact"/>
        </w:trPr>
        <w:tc>
          <w:tcPr>
            <w:tcW w:w="1764" w:type="dxa"/>
            <w:tcBorders>
              <w:top w:val="single" w:sz="8" w:space="0" w:color="000000"/>
              <w:left w:val="nil" w:sz="6" w:space="0" w:color="auto"/>
              <w:bottom w:val="nil" w:sz="6" w:space="0" w:color="auto"/>
              <w:right w:val="nil" w:sz="6" w:space="0" w:color="auto"/>
            </w:tcBorders>
          </w:tcPr>
          <w:p>
            <w:pPr>
              <w:pStyle w:val="TableParagraph"/>
              <w:spacing w:line="240" w:lineRule="auto" w:before="105"/>
              <w:ind w:right="48"/>
              <w:jc w:val="center"/>
              <w:rPr>
                <w:rFonts w:ascii="宋体" w:hAnsi="宋体" w:cs="宋体" w:eastAsia="宋体" w:hint="default"/>
                <w:sz w:val="20"/>
                <w:szCs w:val="20"/>
              </w:rPr>
            </w:pPr>
            <w:r>
              <w:rPr>
                <w:rFonts w:ascii="宋体" w:hAnsi="宋体" w:cs="宋体" w:eastAsia="宋体" w:hint="default"/>
                <w:sz w:val="20"/>
                <w:szCs w:val="20"/>
              </w:rPr>
              <w:t>法定盈余公积</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left="68" w:right="0"/>
              <w:jc w:val="center"/>
              <w:rPr>
                <w:rFonts w:ascii="宋体" w:hAnsi="宋体" w:cs="宋体" w:eastAsia="宋体" w:hint="default"/>
                <w:sz w:val="21"/>
                <w:szCs w:val="21"/>
              </w:rPr>
            </w:pPr>
            <w:r>
              <w:rPr>
                <w:rFonts w:ascii="宋体"/>
                <w:sz w:val="21"/>
              </w:rPr>
              <w:t>42,137,886.62</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53"/>
              <w:jc w:val="right"/>
              <w:rPr>
                <w:rFonts w:ascii="宋体" w:hAnsi="宋体" w:cs="宋体" w:eastAsia="宋体" w:hint="default"/>
                <w:sz w:val="21"/>
                <w:szCs w:val="21"/>
              </w:rPr>
            </w:pPr>
            <w:r>
              <w:rPr>
                <w:rFonts w:ascii="宋体"/>
                <w:spacing w:val="-1"/>
                <w:sz w:val="21"/>
              </w:rPr>
              <w:t>8,027,315.04</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single" w:sz="8" w:space="0" w:color="000000"/>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53"/>
              <w:jc w:val="right"/>
              <w:rPr>
                <w:rFonts w:ascii="宋体" w:hAnsi="宋体" w:cs="宋体" w:eastAsia="宋体" w:hint="default"/>
                <w:sz w:val="21"/>
                <w:szCs w:val="21"/>
              </w:rPr>
            </w:pPr>
            <w:r>
              <w:rPr>
                <w:rFonts w:ascii="宋体"/>
                <w:spacing w:val="-1"/>
                <w:sz w:val="21"/>
              </w:rPr>
              <w:t>50,165,201.66</w:t>
            </w:r>
          </w:p>
        </w:tc>
      </w:tr>
      <w:tr>
        <w:trPr>
          <w:trHeight w:val="346"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
              <w:jc w:val="center"/>
              <w:rPr>
                <w:rFonts w:ascii="宋体" w:hAnsi="宋体" w:cs="宋体" w:eastAsia="宋体" w:hint="default"/>
                <w:sz w:val="20"/>
                <w:szCs w:val="20"/>
              </w:rPr>
            </w:pPr>
            <w:r>
              <w:rPr>
                <w:rFonts w:ascii="宋体" w:hAnsi="宋体" w:cs="宋体" w:eastAsia="宋体" w:hint="default"/>
                <w:sz w:val="20"/>
                <w:szCs w:val="20"/>
              </w:rPr>
              <w:t>任意盈余公积</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68" w:right="0"/>
              <w:jc w:val="center"/>
              <w:rPr>
                <w:rFonts w:ascii="宋体" w:hAnsi="宋体" w:cs="宋体" w:eastAsia="宋体" w:hint="default"/>
                <w:sz w:val="21"/>
                <w:szCs w:val="21"/>
              </w:rPr>
            </w:pPr>
            <w:r>
              <w:rPr>
                <w:rFonts w:ascii="宋体"/>
                <w:sz w:val="21"/>
              </w:rPr>
              <w:t>21,068,943.30</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spacing w:val="-1"/>
                <w:sz w:val="21"/>
              </w:rPr>
              <w:t>4,013,657.52</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8" w:space="0" w:color="000000"/>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spacing w:val="-1"/>
                <w:sz w:val="21"/>
              </w:rPr>
              <w:t>25,082,600.82</w:t>
            </w:r>
          </w:p>
        </w:tc>
      </w:tr>
      <w:tr>
        <w:trPr>
          <w:trHeight w:val="43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66"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left="68" w:right="0"/>
              <w:jc w:val="center"/>
              <w:rPr>
                <w:rFonts w:ascii="宋体" w:hAnsi="宋体" w:cs="宋体" w:eastAsia="宋体" w:hint="default"/>
                <w:sz w:val="21"/>
                <w:szCs w:val="21"/>
              </w:rPr>
            </w:pPr>
            <w:r>
              <w:rPr>
                <w:rFonts w:ascii="宋体"/>
                <w:sz w:val="21"/>
              </w:rPr>
              <w:t>63,206,829.92</w:t>
            </w:r>
          </w:p>
        </w:tc>
        <w:tc>
          <w:tcPr>
            <w:tcW w:w="233" w:type="dxa"/>
            <w:tcBorders>
              <w:top w:val="nil" w:sz="6" w:space="0" w:color="auto"/>
              <w:left w:val="nil" w:sz="6" w:space="0" w:color="auto"/>
              <w:bottom w:val="nil" w:sz="6" w:space="0" w:color="auto"/>
              <w:right w:val="nil" w:sz="6" w:space="0" w:color="auto"/>
            </w:tcBorders>
          </w:tcPr>
          <w:p>
            <w:pPr/>
          </w:p>
        </w:tc>
        <w:tc>
          <w:tcPr>
            <w:tcW w:w="1546"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right="53"/>
              <w:jc w:val="right"/>
              <w:rPr>
                <w:rFonts w:ascii="宋体" w:hAnsi="宋体" w:cs="宋体" w:eastAsia="宋体" w:hint="default"/>
                <w:sz w:val="21"/>
                <w:szCs w:val="21"/>
              </w:rPr>
            </w:pPr>
            <w:r>
              <w:rPr>
                <w:rFonts w:ascii="宋体"/>
                <w:spacing w:val="-1"/>
                <w:sz w:val="21"/>
              </w:rPr>
              <w:t>12,040,972.56</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right="53"/>
              <w:jc w:val="right"/>
              <w:rPr>
                <w:rFonts w:ascii="宋体" w:hAnsi="宋体" w:cs="宋体" w:eastAsia="宋体" w:hint="default"/>
                <w:sz w:val="21"/>
                <w:szCs w:val="21"/>
              </w:rPr>
            </w:pPr>
            <w:r>
              <w:rPr>
                <w:rFonts w:ascii="宋体"/>
                <w:w w:val="100"/>
                <w:sz w:val="21"/>
              </w:rPr>
              <w:t>-</w:t>
            </w:r>
          </w:p>
        </w:tc>
        <w:tc>
          <w:tcPr>
            <w:tcW w:w="26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right="53"/>
              <w:jc w:val="right"/>
              <w:rPr>
                <w:rFonts w:ascii="宋体" w:hAnsi="宋体" w:cs="宋体" w:eastAsia="宋体" w:hint="default"/>
                <w:sz w:val="21"/>
                <w:szCs w:val="21"/>
              </w:rPr>
            </w:pPr>
            <w:r>
              <w:rPr>
                <w:rFonts w:ascii="宋体"/>
                <w:spacing w:val="-1"/>
                <w:sz w:val="21"/>
              </w:rPr>
              <w:t>75,247,802.48</w:t>
            </w:r>
          </w:p>
        </w:tc>
      </w:tr>
    </w:tbl>
    <w:p>
      <w:pPr>
        <w:spacing w:line="240" w:lineRule="auto" w:before="3"/>
        <w:rPr>
          <w:rFonts w:ascii="Microsoft JhengHei" w:hAnsi="Microsoft JhengHei" w:cs="Microsoft JhengHei" w:eastAsia="Microsoft JhengHei" w:hint="default"/>
          <w:b/>
          <w:bCs/>
          <w:sz w:val="9"/>
          <w:szCs w:val="9"/>
        </w:rPr>
      </w:pPr>
    </w:p>
    <w:p>
      <w:pPr>
        <w:pStyle w:val="BodyText"/>
        <w:spacing w:line="304" w:lineRule="auto" w:before="26"/>
        <w:ind w:left="160" w:right="1206" w:firstLine="479"/>
        <w:jc w:val="left"/>
      </w:pPr>
      <w:r>
        <w:rPr/>
        <w:t>注：根据公司法、公司章程的规定，本公司按净利润的</w:t>
      </w:r>
      <w:r>
        <w:rPr>
          <w:spacing w:val="-59"/>
        </w:rPr>
        <w:t> </w:t>
      </w:r>
      <w:r>
        <w:rPr>
          <w:rFonts w:ascii="宋体" w:hAnsi="宋体" w:cs="宋体" w:eastAsia="宋体" w:hint="default"/>
        </w:rPr>
        <w:t>10%</w:t>
      </w:r>
      <w:r>
        <w:rPr/>
        <w:t>提取法定盈余公积金， 按净利润的</w:t>
      </w:r>
      <w:r>
        <w:rPr>
          <w:spacing w:val="-61"/>
        </w:rPr>
        <w:t> </w:t>
      </w:r>
      <w:r>
        <w:rPr>
          <w:rFonts w:ascii="宋体" w:hAnsi="宋体" w:cs="宋体" w:eastAsia="宋体" w:hint="default"/>
        </w:rPr>
        <w:t>5%</w:t>
      </w:r>
      <w:r>
        <w:rPr/>
        <w:t>提取任意盈余公积。</w:t>
      </w:r>
    </w:p>
    <w:p>
      <w:pPr>
        <w:tabs>
          <w:tab w:pos="1420" w:val="left" w:leader="none"/>
        </w:tabs>
        <w:spacing w:line="362" w:lineRule="auto" w:before="123"/>
        <w:ind w:left="640" w:right="7644" w:firstLine="0"/>
        <w:jc w:val="left"/>
        <w:rPr>
          <w:rFonts w:ascii="宋体" w:hAnsi="宋体" w:cs="宋体" w:eastAsia="宋体" w:hint="default"/>
          <w:sz w:val="24"/>
          <w:szCs w:val="24"/>
        </w:rPr>
      </w:pPr>
      <w:r>
        <w:rPr>
          <w:rFonts w:ascii="Trebuchet MS" w:hAnsi="Trebuchet MS" w:cs="Trebuchet MS" w:eastAsia="Trebuchet MS" w:hint="default"/>
          <w:b/>
          <w:bCs/>
          <w:w w:val="90"/>
          <w:sz w:val="24"/>
          <w:szCs w:val="24"/>
        </w:rPr>
        <w:t>29</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未分配利润</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未分配利润变动情况</w:t>
      </w:r>
    </w:p>
    <w:tbl>
      <w:tblPr>
        <w:tblW w:w="0" w:type="auto"/>
        <w:jc w:val="left"/>
        <w:tblInd w:w="160" w:type="dxa"/>
        <w:tblLayout w:type="fixed"/>
        <w:tblCellMar>
          <w:top w:w="0" w:type="dxa"/>
          <w:left w:w="0" w:type="dxa"/>
          <w:bottom w:w="0" w:type="dxa"/>
          <w:right w:w="0" w:type="dxa"/>
        </w:tblCellMar>
        <w:tblLook w:val="01E0"/>
      </w:tblPr>
      <w:tblGrid>
        <w:gridCol w:w="4313"/>
        <w:gridCol w:w="233"/>
        <w:gridCol w:w="1976"/>
        <w:gridCol w:w="216"/>
        <w:gridCol w:w="2069"/>
      </w:tblGrid>
      <w:tr>
        <w:trPr>
          <w:trHeight w:val="254" w:hRule="exact"/>
        </w:trPr>
        <w:tc>
          <w:tcPr>
            <w:tcW w:w="4313" w:type="dxa"/>
            <w:tcBorders>
              <w:top w:val="nil" w:sz="6" w:space="0" w:color="auto"/>
              <w:left w:val="nil" w:sz="6" w:space="0" w:color="auto"/>
              <w:bottom w:val="single" w:sz="8" w:space="0" w:color="000000"/>
              <w:right w:val="nil" w:sz="6" w:space="0" w:color="auto"/>
            </w:tcBorders>
          </w:tcPr>
          <w:p>
            <w:pPr>
              <w:pStyle w:val="TableParagraph"/>
              <w:tabs>
                <w:tab w:pos="631" w:val="left" w:leader="none"/>
              </w:tabs>
              <w:spacing w:line="202"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single" w:sz="8" w:space="0" w:color="000000"/>
              <w:right w:val="nil" w:sz="6" w:space="0" w:color="auto"/>
            </w:tcBorders>
          </w:tcPr>
          <w:p>
            <w:pPr>
              <w:pStyle w:val="TableParagraph"/>
              <w:spacing w:line="202" w:lineRule="exact"/>
              <w:ind w:left="7"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8" w:space="0" w:color="000000"/>
              <w:right w:val="nil" w:sz="6" w:space="0" w:color="auto"/>
            </w:tcBorders>
          </w:tcPr>
          <w:p>
            <w:pPr>
              <w:pStyle w:val="TableParagraph"/>
              <w:spacing w:line="202" w:lineRule="exact"/>
              <w:ind w:left="10"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42" w:hRule="exact"/>
        </w:trPr>
        <w:tc>
          <w:tcPr>
            <w:tcW w:w="4313" w:type="dxa"/>
            <w:tcBorders>
              <w:top w:val="single" w:sz="8" w:space="0" w:color="000000"/>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调整前上期未分配利润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single" w:sz="8" w:space="0" w:color="000000"/>
              <w:left w:val="nil" w:sz="6" w:space="0" w:color="auto"/>
              <w:bottom w:val="nil" w:sz="6" w:space="0" w:color="auto"/>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197,437,212.68</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single" w:sz="8" w:space="0" w:color="000000"/>
              <w:left w:val="nil" w:sz="6" w:space="0" w:color="auto"/>
              <w:bottom w:val="nil" w:sz="6" w:space="0" w:color="auto"/>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159,985,330.98</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期初未分配利润调整合计数</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197,437,212.68</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159,985,330.98</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86,964,360.30</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79,194,442.06</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3" w:lineRule="exact"/>
              <w:ind w:left="587"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218,833.35</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8,027,315.04</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5,828,373.57</w:t>
            </w:r>
          </w:p>
        </w:tc>
      </w:tr>
      <w:tr>
        <w:trPr>
          <w:trHeight w:val="31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3" w:lineRule="exact"/>
              <w:ind w:left="559"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4,013,657.52</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2,914,186.79</w:t>
            </w:r>
          </w:p>
        </w:tc>
      </w:tr>
      <w:tr>
        <w:trPr>
          <w:trHeight w:val="301"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53" w:lineRule="exact"/>
              <w:ind w:left="559"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single" w:sz="8"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24,824,834.40</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8"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33,000,000.00</w:t>
            </w:r>
          </w:p>
        </w:tc>
      </w:tr>
      <w:tr>
        <w:trPr>
          <w:trHeight w:val="346"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3" w:type="dxa"/>
            <w:tcBorders>
              <w:top w:val="nil" w:sz="6" w:space="0" w:color="auto"/>
              <w:left w:val="nil" w:sz="6" w:space="0" w:color="auto"/>
              <w:bottom w:val="nil" w:sz="6" w:space="0" w:color="auto"/>
              <w:right w:val="nil" w:sz="6" w:space="0" w:color="auto"/>
            </w:tcBorders>
          </w:tcPr>
          <w:p>
            <w:pPr/>
          </w:p>
        </w:tc>
        <w:tc>
          <w:tcPr>
            <w:tcW w:w="1976" w:type="dxa"/>
            <w:tcBorders>
              <w:top w:val="single" w:sz="8" w:space="0" w:color="000000"/>
              <w:left w:val="nil" w:sz="6" w:space="0" w:color="auto"/>
              <w:bottom w:val="single" w:sz="17"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247,754,599.37</w:t>
            </w:r>
          </w:p>
        </w:tc>
        <w:tc>
          <w:tcPr>
            <w:tcW w:w="216" w:type="dxa"/>
            <w:tcBorders>
              <w:top w:val="nil" w:sz="6" w:space="0" w:color="auto"/>
              <w:left w:val="nil" w:sz="6" w:space="0" w:color="auto"/>
              <w:bottom w:val="nil" w:sz="6" w:space="0" w:color="auto"/>
              <w:right w:val="nil" w:sz="6" w:space="0" w:color="auto"/>
            </w:tcBorders>
          </w:tcPr>
          <w:p>
            <w:pPr/>
          </w:p>
        </w:tc>
        <w:tc>
          <w:tcPr>
            <w:tcW w:w="2069" w:type="dxa"/>
            <w:tcBorders>
              <w:top w:val="single" w:sz="8" w:space="0" w:color="000000"/>
              <w:left w:val="nil" w:sz="6" w:space="0" w:color="auto"/>
              <w:bottom w:val="single" w:sz="17"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spacing w:val="-1"/>
                <w:sz w:val="21"/>
              </w:rPr>
              <w:t>197,437,212.68</w:t>
            </w:r>
          </w:p>
        </w:tc>
      </w:tr>
    </w:tbl>
    <w:p>
      <w:pPr>
        <w:spacing w:line="240" w:lineRule="auto" w:before="1"/>
        <w:rPr>
          <w:rFonts w:ascii="宋体" w:hAnsi="宋体" w:cs="宋体" w:eastAsia="宋体" w:hint="default"/>
          <w:sz w:val="25"/>
          <w:szCs w:val="25"/>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30</w:t>
      </w:r>
      <w:r>
        <w:rPr>
          <w:w w:val="90"/>
        </w:rPr>
        <w:t>、</w:t>
        <w:tab/>
      </w:r>
      <w:r>
        <w:rPr/>
        <w:t>营业收入和营业成本</w:t>
      </w:r>
      <w:r>
        <w:rPr>
          <w:b w:val="0"/>
          <w:bCs w:val="0"/>
        </w:rPr>
      </w:r>
    </w:p>
    <w:p>
      <w:pPr>
        <w:pStyle w:val="BodyText"/>
        <w:tabs>
          <w:tab w:pos="1120" w:val="left" w:leader="none"/>
        </w:tabs>
        <w:spacing w:line="240" w:lineRule="auto" w:before="213"/>
        <w:ind w:left="640" w:right="1206"/>
        <w:jc w:val="left"/>
      </w:pPr>
      <w:r>
        <w:rPr/>
        <w:t>⑴</w:t>
        <w:tab/>
        <w:t>营业收入及营业成本</w:t>
      </w:r>
    </w:p>
    <w:p>
      <w:pPr>
        <w:spacing w:line="240" w:lineRule="auto" w:before="11"/>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4313"/>
        <w:gridCol w:w="245"/>
        <w:gridCol w:w="1980"/>
        <w:gridCol w:w="230"/>
        <w:gridCol w:w="2052"/>
      </w:tblGrid>
      <w:tr>
        <w:trPr>
          <w:trHeight w:val="251" w:hRule="exact"/>
        </w:trPr>
        <w:tc>
          <w:tcPr>
            <w:tcW w:w="4313"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45"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8" w:space="0" w:color="000000"/>
              <w:right w:val="nil" w:sz="6" w:space="0" w:color="auto"/>
            </w:tcBorders>
          </w:tcPr>
          <w:p>
            <w:pPr>
              <w:pStyle w:val="TableParagraph"/>
              <w:spacing w:line="211" w:lineRule="exact"/>
              <w:ind w:left="46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0"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8" w:space="0" w:color="000000"/>
              <w:right w:val="nil" w:sz="6" w:space="0" w:color="auto"/>
            </w:tcBorders>
          </w:tcPr>
          <w:p>
            <w:pPr>
              <w:pStyle w:val="TableParagraph"/>
              <w:spacing w:line="211" w:lineRule="exact"/>
              <w:ind w:left="504"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4" w:hRule="exact"/>
        </w:trPr>
        <w:tc>
          <w:tcPr>
            <w:tcW w:w="4313"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5" w:type="dxa"/>
            <w:tcBorders>
              <w:top w:val="nil" w:sz="6" w:space="0" w:color="auto"/>
              <w:left w:val="nil" w:sz="6" w:space="0" w:color="auto"/>
              <w:bottom w:val="nil" w:sz="6" w:space="0" w:color="auto"/>
              <w:right w:val="nil" w:sz="6" w:space="0" w:color="auto"/>
            </w:tcBorders>
          </w:tcPr>
          <w:p>
            <w:pPr/>
          </w:p>
        </w:tc>
        <w:tc>
          <w:tcPr>
            <w:tcW w:w="198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766,419,650.85</w:t>
            </w:r>
          </w:p>
        </w:tc>
        <w:tc>
          <w:tcPr>
            <w:tcW w:w="230" w:type="dxa"/>
            <w:tcBorders>
              <w:top w:val="nil" w:sz="6" w:space="0" w:color="auto"/>
              <w:left w:val="nil" w:sz="6" w:space="0" w:color="auto"/>
              <w:bottom w:val="nil" w:sz="6" w:space="0" w:color="auto"/>
              <w:right w:val="nil" w:sz="6" w:space="0" w:color="auto"/>
            </w:tcBorders>
          </w:tcPr>
          <w:p>
            <w:pPr/>
          </w:p>
        </w:tc>
        <w:tc>
          <w:tcPr>
            <w:tcW w:w="205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691,457,924.70</w:t>
            </w:r>
          </w:p>
        </w:tc>
      </w:tr>
      <w:tr>
        <w:trPr>
          <w:trHeight w:val="317"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45"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15,345,990.32</w:t>
            </w:r>
          </w:p>
        </w:tc>
        <w:tc>
          <w:tcPr>
            <w:tcW w:w="230"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20,775,170.22</w:t>
            </w:r>
          </w:p>
        </w:tc>
      </w:tr>
      <w:tr>
        <w:trPr>
          <w:trHeight w:val="372"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75"/>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245" w:type="dxa"/>
            <w:tcBorders>
              <w:top w:val="nil" w:sz="6" w:space="0" w:color="auto"/>
              <w:left w:val="nil" w:sz="6" w:space="0" w:color="auto"/>
              <w:bottom w:val="nil" w:sz="6" w:space="0" w:color="auto"/>
              <w:right w:val="nil" w:sz="6" w:space="0" w:color="auto"/>
            </w:tcBorders>
          </w:tcPr>
          <w:p>
            <w:pPr/>
          </w:p>
        </w:tc>
        <w:tc>
          <w:tcPr>
            <w:tcW w:w="1980"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781,765,641.17</w:t>
            </w:r>
          </w:p>
        </w:tc>
        <w:tc>
          <w:tcPr>
            <w:tcW w:w="230" w:type="dxa"/>
            <w:tcBorders>
              <w:top w:val="nil" w:sz="6" w:space="0" w:color="auto"/>
              <w:left w:val="nil" w:sz="6" w:space="0" w:color="auto"/>
              <w:bottom w:val="nil" w:sz="6" w:space="0" w:color="auto"/>
              <w:right w:val="nil" w:sz="6" w:space="0" w:color="auto"/>
            </w:tcBorders>
          </w:tcPr>
          <w:p>
            <w:pPr/>
          </w:p>
        </w:tc>
        <w:tc>
          <w:tcPr>
            <w:tcW w:w="2052"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712,233,094.92</w:t>
            </w:r>
          </w:p>
        </w:tc>
      </w:tr>
      <w:tr>
        <w:trPr>
          <w:trHeight w:val="397"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5" w:type="dxa"/>
            <w:tcBorders>
              <w:top w:val="nil" w:sz="6" w:space="0" w:color="auto"/>
              <w:left w:val="nil" w:sz="6" w:space="0" w:color="auto"/>
              <w:bottom w:val="nil" w:sz="6" w:space="0" w:color="auto"/>
              <w:right w:val="nil" w:sz="6" w:space="0" w:color="auto"/>
            </w:tcBorders>
          </w:tcPr>
          <w:p>
            <w:pPr/>
          </w:p>
        </w:tc>
        <w:tc>
          <w:tcPr>
            <w:tcW w:w="1980" w:type="dxa"/>
            <w:tcBorders>
              <w:top w:val="single" w:sz="17"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497,429,422.39</w:t>
            </w:r>
          </w:p>
        </w:tc>
        <w:tc>
          <w:tcPr>
            <w:tcW w:w="230" w:type="dxa"/>
            <w:tcBorders>
              <w:top w:val="nil" w:sz="6" w:space="0" w:color="auto"/>
              <w:left w:val="nil" w:sz="6" w:space="0" w:color="auto"/>
              <w:bottom w:val="nil" w:sz="6" w:space="0" w:color="auto"/>
              <w:right w:val="nil" w:sz="6" w:space="0" w:color="auto"/>
            </w:tcBorders>
          </w:tcPr>
          <w:p>
            <w:pPr/>
          </w:p>
        </w:tc>
        <w:tc>
          <w:tcPr>
            <w:tcW w:w="2052" w:type="dxa"/>
            <w:tcBorders>
              <w:top w:val="single" w:sz="17"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439,939,827.70</w:t>
            </w:r>
          </w:p>
        </w:tc>
      </w:tr>
      <w:tr>
        <w:trPr>
          <w:trHeight w:val="316"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45"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13,143,193.69</w:t>
            </w:r>
          </w:p>
        </w:tc>
        <w:tc>
          <w:tcPr>
            <w:tcW w:w="230"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18,261,163.63</w:t>
            </w:r>
          </w:p>
        </w:tc>
      </w:tr>
      <w:tr>
        <w:trPr>
          <w:trHeight w:val="374" w:hRule="exact"/>
        </w:trPr>
        <w:tc>
          <w:tcPr>
            <w:tcW w:w="431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75"/>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245" w:type="dxa"/>
            <w:tcBorders>
              <w:top w:val="nil" w:sz="6" w:space="0" w:color="auto"/>
              <w:left w:val="nil" w:sz="6" w:space="0" w:color="auto"/>
              <w:bottom w:val="nil" w:sz="6" w:space="0" w:color="auto"/>
              <w:right w:val="nil" w:sz="6" w:space="0" w:color="auto"/>
            </w:tcBorders>
          </w:tcPr>
          <w:p>
            <w:pPr/>
          </w:p>
        </w:tc>
        <w:tc>
          <w:tcPr>
            <w:tcW w:w="1980"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510,572,616.08</w:t>
            </w:r>
          </w:p>
        </w:tc>
        <w:tc>
          <w:tcPr>
            <w:tcW w:w="230" w:type="dxa"/>
            <w:tcBorders>
              <w:top w:val="nil" w:sz="6" w:space="0" w:color="auto"/>
              <w:left w:val="nil" w:sz="6" w:space="0" w:color="auto"/>
              <w:bottom w:val="nil" w:sz="6" w:space="0" w:color="auto"/>
              <w:right w:val="nil" w:sz="6" w:space="0" w:color="auto"/>
            </w:tcBorders>
          </w:tcPr>
          <w:p>
            <w:pPr/>
          </w:p>
        </w:tc>
        <w:tc>
          <w:tcPr>
            <w:tcW w:w="205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458,200,991.33</w:t>
            </w:r>
          </w:p>
        </w:tc>
      </w:tr>
    </w:tbl>
    <w:p>
      <w:pPr>
        <w:spacing w:after="0" w:line="240" w:lineRule="auto"/>
        <w:jc w:val="right"/>
        <w:rPr>
          <w:rFonts w:ascii="宋体" w:hAnsi="宋体" w:cs="宋体" w:eastAsia="宋体" w:hint="default"/>
          <w:sz w:val="21"/>
          <w:szCs w:val="21"/>
        </w:rPr>
        <w:sectPr>
          <w:headerReference w:type="default" r:id="rId46"/>
          <w:footerReference w:type="default" r:id="rId47"/>
          <w:pgSz w:w="11910" w:h="16840"/>
          <w:pgMar w:header="867" w:footer="956" w:top="1060" w:bottom="1140" w:left="1460" w:right="0"/>
          <w:pgNumType w:start="105"/>
        </w:sectPr>
      </w:pPr>
    </w:p>
    <w:p>
      <w:pPr>
        <w:spacing w:line="240" w:lineRule="auto" w:before="10"/>
        <w:rPr>
          <w:rFonts w:ascii="宋体" w:hAnsi="宋体" w:cs="宋体" w:eastAsia="宋体" w:hint="default"/>
          <w:sz w:val="25"/>
          <w:szCs w:val="25"/>
        </w:rPr>
      </w:pPr>
    </w:p>
    <w:p>
      <w:pPr>
        <w:pStyle w:val="BodyText"/>
        <w:spacing w:line="240" w:lineRule="auto" w:before="26"/>
        <w:ind w:left="640" w:right="1206"/>
        <w:jc w:val="left"/>
      </w:pPr>
      <w:r>
        <w:rPr/>
        <w:pict>
          <v:group style="position:absolute;margin-left:167.899994pt;margin-top:36.215652pt;width:181.5pt;height:1pt;mso-position-horizontal-relative:page;mso-position-vertical-relative:paragraph;z-index:-746440" coordorigin="3358,724" coordsize="3630,20">
            <v:group style="position:absolute;left:3368;top:734;width:1688;height:2" coordorigin="3368,734" coordsize="1688,2">
              <v:shape style="position:absolute;left:3368;top:734;width:1688;height:2" coordorigin="3368,734" coordsize="1688,0" path="m3368,734l5055,734e" filled="false" stroked="true" strokeweight=".96pt" strokecolor="#000000">
                <v:path arrowok="t"/>
              </v:shape>
            </v:group>
            <v:group style="position:absolute;left:5055;top:734;width:20;height:2" coordorigin="5055,734" coordsize="20,2">
              <v:shape style="position:absolute;left:5055;top:734;width:20;height:2" coordorigin="5055,734" coordsize="20,0" path="m5055,734l5075,734e" filled="false" stroked="true" strokeweight=".96pt" strokecolor="#000000">
                <v:path arrowok="t"/>
              </v:shape>
            </v:group>
            <v:group style="position:absolute;left:5075;top:734;width:202;height:2" coordorigin="5075,734" coordsize="202,2">
              <v:shape style="position:absolute;left:5075;top:734;width:202;height:2" coordorigin="5075,734" coordsize="202,0" path="m5075,734l5276,734e" filled="false" stroked="true" strokeweight=".96pt" strokecolor="#000000">
                <v:path arrowok="t"/>
              </v:shape>
            </v:group>
            <v:group style="position:absolute;left:5276;top:734;width:20;height:2" coordorigin="5276,734" coordsize="20,2">
              <v:shape style="position:absolute;left:5276;top:734;width:20;height:2" coordorigin="5276,734" coordsize="20,0" path="m5276,734l5295,734e" filled="false" stroked="true" strokeweight=".96pt" strokecolor="#000000">
                <v:path arrowok="t"/>
              </v:shape>
            </v:group>
            <v:group style="position:absolute;left:5295;top:734;width:1683;height:2" coordorigin="5295,734" coordsize="1683,2">
              <v:shape style="position:absolute;left:5295;top:734;width:1683;height:2" coordorigin="5295,734" coordsize="1683,0" path="m5295,734l6978,734e" filled="false" stroked="true" strokeweight=".96pt" strokecolor="#000000">
                <v:path arrowok="t"/>
              </v:shape>
            </v:group>
            <w10:wrap type="none"/>
          </v:group>
        </w:pict>
      </w:r>
      <w:r>
        <w:rPr/>
        <w:pict>
          <v:group style="position:absolute;margin-left:360.190002pt;margin-top:36.215652pt;width:180.65pt;height:1pt;mso-position-horizontal-relative:page;mso-position-vertical-relative:paragraph;z-index:-746416" coordorigin="7204,724" coordsize="3613,20">
            <v:group style="position:absolute;left:7213;top:734;width:1688;height:2" coordorigin="7213,734" coordsize="1688,2">
              <v:shape style="position:absolute;left:7213;top:734;width:1688;height:2" coordorigin="7213,734" coordsize="1688,0" path="m7213,734l8901,734e" filled="false" stroked="true" strokeweight=".96pt" strokecolor="#000000">
                <v:path arrowok="t"/>
              </v:shape>
            </v:group>
            <v:group style="position:absolute;left:8901;top:734;width:20;height:2" coordorigin="8901,734" coordsize="20,2">
              <v:shape style="position:absolute;left:8901;top:734;width:20;height:2" coordorigin="8901,734" coordsize="20,0" path="m8901,734l8920,734e" filled="false" stroked="true" strokeweight=".96pt" strokecolor="#000000">
                <v:path arrowok="t"/>
              </v:shape>
            </v:group>
            <v:group style="position:absolute;left:8920;top:734;width:216;height:2" coordorigin="8920,734" coordsize="216,2">
              <v:shape style="position:absolute;left:8920;top:734;width:216;height:2" coordorigin="8920,734" coordsize="216,0" path="m8920,734l9136,734e" filled="false" stroked="true" strokeweight=".96pt" strokecolor="#000000">
                <v:path arrowok="t"/>
              </v:shape>
            </v:group>
            <v:group style="position:absolute;left:9136;top:734;width:20;height:2" coordorigin="9136,734" coordsize="20,2">
              <v:shape style="position:absolute;left:9136;top:734;width:20;height:2" coordorigin="9136,734" coordsize="20,0" path="m9136,734l9156,734e" filled="false" stroked="true" strokeweight=".96pt" strokecolor="#000000">
                <v:path arrowok="t"/>
              </v:shape>
            </v:group>
            <v:group style="position:absolute;left:9156;top:734;width:1652;height:2" coordorigin="9156,734" coordsize="1652,2">
              <v:shape style="position:absolute;left:9156;top:734;width:1652;height:2" coordorigin="9156,734" coordsize="1652,0" path="m9156,734l10807,734e" filled="false" stroked="true" strokeweight=".96pt" strokecolor="#000000">
                <v:path arrowok="t"/>
              </v:shape>
            </v:group>
            <w10:wrap type="none"/>
          </v:group>
        </w:pict>
      </w:r>
      <w:r>
        <w:rPr/>
        <w:t>⑵ 主营业务（分行业）</w:t>
      </w:r>
    </w:p>
    <w:p>
      <w:pPr>
        <w:spacing w:line="240" w:lineRule="auto" w:before="12"/>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1541"/>
        <w:gridCol w:w="214"/>
        <w:gridCol w:w="1695"/>
        <w:gridCol w:w="228"/>
        <w:gridCol w:w="1695"/>
        <w:gridCol w:w="228"/>
        <w:gridCol w:w="1695"/>
        <w:gridCol w:w="228"/>
        <w:gridCol w:w="1692"/>
      </w:tblGrid>
      <w:tr>
        <w:trPr>
          <w:trHeight w:val="359"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31"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218"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843"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220"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252" w:hRule="exact"/>
        </w:trPr>
        <w:tc>
          <w:tcPr>
            <w:tcW w:w="1541" w:type="dxa"/>
            <w:tcBorders>
              <w:top w:val="nil" w:sz="6" w:space="0" w:color="auto"/>
              <w:left w:val="nil" w:sz="6" w:space="0" w:color="auto"/>
              <w:bottom w:val="single" w:sz="8" w:space="0" w:color="000000"/>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12"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12" w:lineRule="exact"/>
              <w:ind w:right="5"/>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12"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2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Style w:val="TableParagraph"/>
              <w:spacing w:line="212" w:lineRule="exact"/>
              <w:ind w:left="9"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0" w:hRule="exact"/>
        </w:trPr>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2" w:right="0"/>
              <w:jc w:val="left"/>
              <w:rPr>
                <w:rFonts w:ascii="宋体" w:hAnsi="宋体" w:cs="宋体" w:eastAsia="宋体" w:hint="default"/>
                <w:sz w:val="21"/>
                <w:szCs w:val="21"/>
              </w:rPr>
            </w:pPr>
            <w:r>
              <w:rPr>
                <w:rFonts w:ascii="宋体" w:hAnsi="宋体" w:cs="宋体" w:eastAsia="宋体" w:hint="default"/>
                <w:sz w:val="21"/>
                <w:szCs w:val="21"/>
              </w:rPr>
              <w:t>票证印刷业</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sz w:val="21"/>
              </w:rPr>
              <w:t>766,419,650.85</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sz w:val="21"/>
              </w:rPr>
              <w:t>497,429,422.39</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sz w:val="21"/>
              </w:rPr>
              <w:t>691,457,924.70</w:t>
            </w:r>
          </w:p>
        </w:tc>
        <w:tc>
          <w:tcPr>
            <w:tcW w:w="228"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宋体"/>
                <w:sz w:val="21"/>
              </w:rPr>
              <w:t>439,939,827.70</w:t>
            </w:r>
          </w:p>
        </w:tc>
      </w:tr>
      <w:tr>
        <w:trPr>
          <w:trHeight w:val="374"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3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sz w:val="21"/>
              </w:rPr>
              <w:t>766,419,650.85</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sz w:val="21"/>
              </w:rPr>
              <w:t>497,429,422.39</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sz w:val="21"/>
              </w:rPr>
              <w:t>691,457,924.70</w:t>
            </w:r>
          </w:p>
        </w:tc>
        <w:tc>
          <w:tcPr>
            <w:tcW w:w="228"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宋体"/>
                <w:sz w:val="21"/>
              </w:rPr>
              <w:t>439,939,827.70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tabs>
          <w:tab w:pos="1120" w:val="left" w:leader="none"/>
        </w:tabs>
        <w:spacing w:line="240" w:lineRule="auto" w:before="26"/>
        <w:ind w:left="640" w:right="1206"/>
        <w:jc w:val="left"/>
      </w:pPr>
      <w:r>
        <w:rPr/>
        <w:pict>
          <v:group style="position:absolute;margin-left:168.020004pt;margin-top:36.315609pt;width:180.8pt;height:1pt;mso-position-horizontal-relative:page;mso-position-vertical-relative:paragraph;z-index:-746392" coordorigin="3360,726" coordsize="3616,20">
            <v:group style="position:absolute;left:3370;top:736;width:1688;height:2" coordorigin="3370,736" coordsize="1688,2">
              <v:shape style="position:absolute;left:3370;top:736;width:1688;height:2" coordorigin="3370,736" coordsize="1688,0" path="m3370,736l5058,736e" filled="false" stroked="true" strokeweight=".95999pt" strokecolor="#000000">
                <v:path arrowok="t"/>
              </v:shape>
            </v:group>
            <v:group style="position:absolute;left:5058;top:736;width:20;height:2" coordorigin="5058,736" coordsize="20,2">
              <v:shape style="position:absolute;left:5058;top:736;width:20;height:2" coordorigin="5058,736" coordsize="20,0" path="m5058,736l5077,736e" filled="false" stroked="true" strokeweight=".95999pt" strokecolor="#000000">
                <v:path arrowok="t"/>
              </v:shape>
            </v:group>
            <v:group style="position:absolute;left:5077;top:736;width:216;height:2" coordorigin="5077,736" coordsize="216,2">
              <v:shape style="position:absolute;left:5077;top:736;width:216;height:2" coordorigin="5077,736" coordsize="216,0" path="m5077,736l5293,736e" filled="false" stroked="true" strokeweight=".95999pt" strokecolor="#000000">
                <v:path arrowok="t"/>
              </v:shape>
            </v:group>
            <v:group style="position:absolute;left:5293;top:736;width:20;height:2" coordorigin="5293,736" coordsize="20,2">
              <v:shape style="position:absolute;left:5293;top:736;width:20;height:2" coordorigin="5293,736" coordsize="20,0" path="m5293,736l5312,736e" filled="false" stroked="true" strokeweight=".95999pt" strokecolor="#000000">
                <v:path arrowok="t"/>
              </v:shape>
            </v:group>
            <v:group style="position:absolute;left:5312;top:736;width:1655;height:2" coordorigin="5312,736" coordsize="1655,2">
              <v:shape style="position:absolute;left:5312;top:736;width:1655;height:2" coordorigin="5312,736" coordsize="1655,0" path="m5312,736l6966,736e" filled="false" stroked="true" strokeweight=".95999pt" strokecolor="#000000">
                <v:path arrowok="t"/>
              </v:shape>
            </v:group>
            <w10:wrap type="none"/>
          </v:group>
        </w:pict>
      </w:r>
      <w:r>
        <w:rPr/>
        <w:pict>
          <v:group style="position:absolute;margin-left:360.550018pt;margin-top:36.315609pt;width:180.65pt;height:1pt;mso-position-horizontal-relative:page;mso-position-vertical-relative:paragraph;z-index:-746368" coordorigin="7211,726" coordsize="3613,20">
            <v:group style="position:absolute;left:7221;top:736;width:1686;height:2" coordorigin="7221,736" coordsize="1686,2">
              <v:shape style="position:absolute;left:7221;top:736;width:1686;height:2" coordorigin="7221,736" coordsize="1686,0" path="m7221,736l8906,736e" filled="false" stroked="true" strokeweight=".95999pt" strokecolor="#000000">
                <v:path arrowok="t"/>
              </v:shape>
            </v:group>
            <v:group style="position:absolute;left:8906;top:736;width:20;height:2" coordorigin="8906,736" coordsize="20,2">
              <v:shape style="position:absolute;left:8906;top:736;width:20;height:2" coordorigin="8906,736" coordsize="20,0" path="m8906,736l8925,736e" filled="false" stroked="true" strokeweight=".95999pt" strokecolor="#000000">
                <v:path arrowok="t"/>
              </v:shape>
            </v:group>
            <v:group style="position:absolute;left:8925;top:736;width:204;height:2" coordorigin="8925,736" coordsize="204,2">
              <v:shape style="position:absolute;left:8925;top:736;width:204;height:2" coordorigin="8925,736" coordsize="204,0" path="m8925,736l9129,736e" filled="false" stroked="true" strokeweight=".95999pt" strokecolor="#000000">
                <v:path arrowok="t"/>
              </v:shape>
            </v:group>
            <v:group style="position:absolute;left:9129;top:736;width:20;height:2" coordorigin="9129,736" coordsize="20,2">
              <v:shape style="position:absolute;left:9129;top:736;width:20;height:2" coordorigin="9129,736" coordsize="20,0" path="m9129,736l9148,736e" filled="false" stroked="true" strokeweight=".95999pt" strokecolor="#000000">
                <v:path arrowok="t"/>
              </v:shape>
            </v:group>
            <v:group style="position:absolute;left:9148;top:736;width:1666;height:2" coordorigin="9148,736" coordsize="1666,2">
              <v:shape style="position:absolute;left:9148;top:736;width:1666;height:2" coordorigin="9148,736" coordsize="1666,0" path="m9148,736l10814,736e" filled="false" stroked="true" strokeweight=".95999pt" strokecolor="#000000">
                <v:path arrowok="t"/>
              </v:shape>
            </v:group>
            <w10:wrap type="none"/>
          </v:group>
        </w:pict>
      </w:r>
      <w:r>
        <w:rPr/>
        <w:t>⑶</w:t>
        <w:tab/>
        <w:t>主营业务（分产品）</w:t>
      </w:r>
    </w:p>
    <w:p>
      <w:pPr>
        <w:spacing w:line="240" w:lineRule="auto" w:before="11"/>
        <w:rPr>
          <w:rFonts w:ascii="宋体" w:hAnsi="宋体" w:cs="宋体" w:eastAsia="宋体"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1529"/>
        <w:gridCol w:w="230"/>
        <w:gridCol w:w="1695"/>
        <w:gridCol w:w="228"/>
        <w:gridCol w:w="1695"/>
        <w:gridCol w:w="233"/>
        <w:gridCol w:w="1692"/>
        <w:gridCol w:w="216"/>
        <w:gridCol w:w="1692"/>
      </w:tblGrid>
      <w:tr>
        <w:trPr>
          <w:trHeight w:val="359"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4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48"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220"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833"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50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255" w:hRule="exact"/>
        </w:trPr>
        <w:tc>
          <w:tcPr>
            <w:tcW w:w="1529" w:type="dxa"/>
            <w:tcBorders>
              <w:top w:val="nil" w:sz="6" w:space="0" w:color="auto"/>
              <w:left w:val="nil" w:sz="6" w:space="0" w:color="auto"/>
              <w:bottom w:val="single" w:sz="8"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12" w:lineRule="exact"/>
              <w:ind w:left="43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12" w:lineRule="exact"/>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Style w:val="TableParagraph"/>
              <w:spacing w:line="212" w:lineRule="exact"/>
              <w:ind w:left="4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Style w:val="TableParagraph"/>
              <w:spacing w:line="212" w:lineRule="exact"/>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3" w:hRule="exact"/>
        </w:trPr>
        <w:tc>
          <w:tcPr>
            <w:tcW w:w="1529"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商业票证</w:t>
            </w:r>
          </w:p>
        </w:tc>
        <w:tc>
          <w:tcPr>
            <w:tcW w:w="230"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20"/>
                <w:szCs w:val="20"/>
              </w:rPr>
            </w:pPr>
            <w:r>
              <w:rPr>
                <w:rFonts w:ascii="宋体"/>
                <w:w w:val="95"/>
                <w:sz w:val="20"/>
              </w:rPr>
              <w:t>634,737,939.62</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20"/>
                <w:szCs w:val="20"/>
              </w:rPr>
            </w:pPr>
            <w:r>
              <w:rPr>
                <w:rFonts w:ascii="宋体"/>
                <w:w w:val="95"/>
                <w:sz w:val="20"/>
              </w:rPr>
              <w:t>394,909,698.54</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right="104"/>
              <w:jc w:val="right"/>
              <w:rPr>
                <w:rFonts w:ascii="宋体" w:hAnsi="宋体" w:cs="宋体" w:eastAsia="宋体" w:hint="default"/>
                <w:sz w:val="20"/>
                <w:szCs w:val="20"/>
              </w:rPr>
            </w:pPr>
            <w:r>
              <w:rPr>
                <w:rFonts w:ascii="宋体"/>
                <w:w w:val="95"/>
                <w:sz w:val="20"/>
              </w:rPr>
              <w:t>620,880,116.24</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nil" w:sz="6" w:space="0" w:color="auto"/>
              <w:right w:val="nil" w:sz="6" w:space="0" w:color="auto"/>
            </w:tcBorders>
          </w:tcPr>
          <w:p>
            <w:pPr>
              <w:pStyle w:val="TableParagraph"/>
              <w:spacing w:line="240" w:lineRule="auto" w:before="47"/>
              <w:ind w:right="104"/>
              <w:jc w:val="right"/>
              <w:rPr>
                <w:rFonts w:ascii="宋体" w:hAnsi="宋体" w:cs="宋体" w:eastAsia="宋体" w:hint="default"/>
                <w:sz w:val="20"/>
                <w:szCs w:val="20"/>
              </w:rPr>
            </w:pPr>
            <w:r>
              <w:rPr>
                <w:rFonts w:ascii="宋体"/>
                <w:w w:val="95"/>
                <w:sz w:val="20"/>
              </w:rPr>
              <w:t>390,709,415.07</w:t>
            </w:r>
            <w:r>
              <w:rPr>
                <w:rFonts w:ascii="宋体"/>
                <w:sz w:val="20"/>
              </w:rPr>
            </w:r>
          </w:p>
        </w:tc>
      </w:tr>
      <w:tr>
        <w:trPr>
          <w:trHeight w:val="340"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标签</w:t>
            </w:r>
          </w:p>
        </w:tc>
        <w:tc>
          <w:tcPr>
            <w:tcW w:w="230"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宋体" w:hAnsi="宋体" w:cs="宋体" w:eastAsia="宋体" w:hint="default"/>
                <w:sz w:val="20"/>
                <w:szCs w:val="20"/>
              </w:rPr>
            </w:pPr>
            <w:r>
              <w:rPr>
                <w:rFonts w:ascii="宋体"/>
                <w:w w:val="95"/>
                <w:sz w:val="20"/>
              </w:rPr>
              <w:t>40,548,133.88</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宋体" w:hAnsi="宋体" w:cs="宋体" w:eastAsia="宋体" w:hint="default"/>
                <w:sz w:val="20"/>
                <w:szCs w:val="20"/>
              </w:rPr>
            </w:pPr>
            <w:r>
              <w:rPr>
                <w:rFonts w:ascii="宋体"/>
                <w:w w:val="95"/>
                <w:sz w:val="20"/>
              </w:rPr>
              <w:t>31,802,822.99</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宋体" w:hAnsi="宋体" w:cs="宋体" w:eastAsia="宋体" w:hint="default"/>
                <w:sz w:val="20"/>
                <w:szCs w:val="20"/>
              </w:rPr>
            </w:pPr>
            <w:r>
              <w:rPr>
                <w:rFonts w:ascii="宋体"/>
                <w:w w:val="95"/>
                <w:sz w:val="20"/>
              </w:rPr>
              <w:t>30,436,987.58</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宋体" w:hAnsi="宋体" w:cs="宋体" w:eastAsia="宋体" w:hint="default"/>
                <w:sz w:val="20"/>
                <w:szCs w:val="20"/>
              </w:rPr>
            </w:pPr>
            <w:r>
              <w:rPr>
                <w:rFonts w:ascii="宋体"/>
                <w:w w:val="95"/>
                <w:sz w:val="20"/>
              </w:rPr>
              <w:t>20,350,674.51</w:t>
            </w:r>
            <w:r>
              <w:rPr>
                <w:rFonts w:ascii="宋体"/>
                <w:sz w:val="20"/>
              </w:rPr>
            </w:r>
          </w:p>
        </w:tc>
      </w:tr>
      <w:tr>
        <w:trPr>
          <w:trHeight w:val="341"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数据产品</w:t>
            </w:r>
          </w:p>
        </w:tc>
        <w:tc>
          <w:tcPr>
            <w:tcW w:w="230"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宋体" w:hAnsi="宋体" w:cs="宋体" w:eastAsia="宋体" w:hint="default"/>
                <w:sz w:val="20"/>
                <w:szCs w:val="20"/>
              </w:rPr>
            </w:pPr>
            <w:r>
              <w:rPr>
                <w:rFonts w:ascii="宋体"/>
                <w:sz w:val="20"/>
              </w:rPr>
              <w:t>45,269,620.46</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20"/>
                <w:szCs w:val="20"/>
              </w:rPr>
            </w:pPr>
            <w:r>
              <w:rPr>
                <w:rFonts w:ascii="宋体"/>
                <w:w w:val="95"/>
                <w:sz w:val="20"/>
              </w:rPr>
              <w:t>30,865,469.17</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宋体" w:hAnsi="宋体" w:cs="宋体" w:eastAsia="宋体" w:hint="default"/>
                <w:sz w:val="20"/>
                <w:szCs w:val="20"/>
              </w:rPr>
            </w:pPr>
            <w:r>
              <w:rPr>
                <w:rFonts w:ascii="宋体"/>
                <w:w w:val="95"/>
                <w:sz w:val="20"/>
              </w:rPr>
              <w:t>33,975,338.67</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宋体" w:hAnsi="宋体" w:cs="宋体" w:eastAsia="宋体" w:hint="default"/>
                <w:sz w:val="20"/>
                <w:szCs w:val="20"/>
              </w:rPr>
            </w:pPr>
            <w:r>
              <w:rPr>
                <w:rFonts w:ascii="宋体"/>
                <w:w w:val="95"/>
                <w:sz w:val="20"/>
              </w:rPr>
              <w:t>23,421,546.76</w:t>
            </w:r>
            <w:r>
              <w:rPr>
                <w:rFonts w:ascii="宋体"/>
                <w:sz w:val="20"/>
              </w:rPr>
            </w:r>
          </w:p>
        </w:tc>
      </w:tr>
      <w:tr>
        <w:trPr>
          <w:trHeight w:val="340"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彩印</w:t>
            </w:r>
          </w:p>
        </w:tc>
        <w:tc>
          <w:tcPr>
            <w:tcW w:w="230"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宋体" w:hAnsi="宋体" w:cs="宋体" w:eastAsia="宋体" w:hint="default"/>
                <w:sz w:val="20"/>
                <w:szCs w:val="20"/>
              </w:rPr>
            </w:pPr>
            <w:r>
              <w:rPr>
                <w:rFonts w:ascii="宋体"/>
                <w:w w:val="95"/>
                <w:sz w:val="20"/>
              </w:rPr>
              <w:t>40,643,869.77</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宋体" w:hAnsi="宋体" w:cs="宋体" w:eastAsia="宋体" w:hint="default"/>
                <w:sz w:val="20"/>
                <w:szCs w:val="20"/>
              </w:rPr>
            </w:pPr>
            <w:r>
              <w:rPr>
                <w:rFonts w:ascii="宋体"/>
                <w:w w:val="95"/>
                <w:sz w:val="20"/>
              </w:rPr>
              <w:t>31,678,846.81</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20"/>
                <w:szCs w:val="20"/>
              </w:rPr>
            </w:pPr>
            <w:r>
              <w:rPr>
                <w:rFonts w:ascii="宋体"/>
                <w:w w:val="95"/>
                <w:sz w:val="20"/>
              </w:rPr>
              <w:t>6,165,482.21</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20"/>
                <w:szCs w:val="20"/>
              </w:rPr>
            </w:pPr>
            <w:r>
              <w:rPr>
                <w:rFonts w:ascii="宋体"/>
                <w:w w:val="95"/>
                <w:sz w:val="20"/>
              </w:rPr>
              <w:t>5,458,191.36</w:t>
            </w:r>
            <w:r>
              <w:rPr>
                <w:rFonts w:ascii="宋体"/>
                <w:sz w:val="20"/>
              </w:rPr>
            </w:r>
          </w:p>
        </w:tc>
      </w:tr>
      <w:tr>
        <w:trPr>
          <w:trHeight w:val="316"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卡类产品</w:t>
            </w:r>
          </w:p>
        </w:tc>
        <w:tc>
          <w:tcPr>
            <w:tcW w:w="230"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106"/>
              <w:jc w:val="right"/>
              <w:rPr>
                <w:rFonts w:ascii="宋体" w:hAnsi="宋体" w:cs="宋体" w:eastAsia="宋体" w:hint="default"/>
                <w:sz w:val="20"/>
                <w:szCs w:val="20"/>
              </w:rPr>
            </w:pPr>
            <w:r>
              <w:rPr>
                <w:rFonts w:ascii="宋体"/>
                <w:w w:val="95"/>
                <w:sz w:val="20"/>
              </w:rPr>
              <w:t>5,220,087.12</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106"/>
              <w:jc w:val="right"/>
              <w:rPr>
                <w:rFonts w:ascii="宋体" w:hAnsi="宋体" w:cs="宋体" w:eastAsia="宋体" w:hint="default"/>
                <w:sz w:val="20"/>
                <w:szCs w:val="20"/>
              </w:rPr>
            </w:pPr>
            <w:r>
              <w:rPr>
                <w:rFonts w:ascii="宋体"/>
                <w:w w:val="95"/>
                <w:sz w:val="20"/>
              </w:rPr>
              <w:t>8,172,584.88</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
        </w:tc>
      </w:tr>
      <w:tr>
        <w:trPr>
          <w:trHeight w:val="37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01"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30"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w w:val="95"/>
                <w:sz w:val="20"/>
              </w:rPr>
              <w:t>766,419,650.85</w:t>
            </w:r>
            <w:r>
              <w:rPr>
                <w:rFonts w:ascii="宋体"/>
                <w:sz w:val="20"/>
              </w:rPr>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w w:val="95"/>
                <w:sz w:val="20"/>
              </w:rPr>
              <w:t>497,429,422.39</w:t>
            </w:r>
            <w:r>
              <w:rPr>
                <w:rFonts w:ascii="宋体"/>
                <w:sz w:val="20"/>
              </w:rPr>
            </w:r>
          </w:p>
        </w:tc>
        <w:tc>
          <w:tcPr>
            <w:tcW w:w="233"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4"/>
              <w:jc w:val="right"/>
              <w:rPr>
                <w:rFonts w:ascii="宋体" w:hAnsi="宋体" w:cs="宋体" w:eastAsia="宋体" w:hint="default"/>
                <w:sz w:val="20"/>
                <w:szCs w:val="20"/>
              </w:rPr>
            </w:pPr>
            <w:r>
              <w:rPr>
                <w:rFonts w:ascii="宋体"/>
                <w:w w:val="95"/>
                <w:sz w:val="20"/>
              </w:rPr>
              <w:t>691,457,924.70</w:t>
            </w:r>
            <w:r>
              <w:rPr>
                <w:rFonts w:ascii="宋体"/>
                <w:sz w:val="20"/>
              </w:rPr>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4"/>
              <w:jc w:val="right"/>
              <w:rPr>
                <w:rFonts w:ascii="宋体" w:hAnsi="宋体" w:cs="宋体" w:eastAsia="宋体" w:hint="default"/>
                <w:sz w:val="20"/>
                <w:szCs w:val="20"/>
              </w:rPr>
            </w:pPr>
            <w:r>
              <w:rPr>
                <w:rFonts w:ascii="宋体"/>
                <w:w w:val="95"/>
                <w:sz w:val="20"/>
              </w:rPr>
              <w:t>439,939,827.70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tabs>
          <w:tab w:pos="1120" w:val="left" w:leader="none"/>
        </w:tabs>
        <w:spacing w:line="240" w:lineRule="auto" w:before="26"/>
        <w:ind w:left="640" w:right="1206"/>
        <w:jc w:val="left"/>
      </w:pPr>
      <w:r>
        <w:rPr/>
        <w:t>⑷</w:t>
        <w:tab/>
        <w:t>主营业务（分地区）</w:t>
      </w:r>
    </w:p>
    <w:p>
      <w:pPr>
        <w:spacing w:line="240" w:lineRule="auto" w:before="11"/>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1498"/>
        <w:gridCol w:w="223"/>
        <w:gridCol w:w="1685"/>
        <w:gridCol w:w="216"/>
        <w:gridCol w:w="1692"/>
        <w:gridCol w:w="283"/>
        <w:gridCol w:w="1695"/>
        <w:gridCol w:w="214"/>
        <w:gridCol w:w="1694"/>
      </w:tblGrid>
      <w:tr>
        <w:trPr>
          <w:trHeight w:val="251" w:hRule="exact"/>
        </w:trPr>
        <w:tc>
          <w:tcPr>
            <w:tcW w:w="5315"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299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886"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55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0" w:hRule="exact"/>
        </w:trPr>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328"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 w:type="dxa"/>
            <w:tcBorders>
              <w:top w:val="single" w:sz="8" w:space="0" w:color="000000"/>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3"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 w:type="dxa"/>
            <w:tcBorders>
              <w:top w:val="single" w:sz="8" w:space="0" w:color="000000"/>
              <w:left w:val="nil" w:sz="6" w:space="0" w:color="auto"/>
              <w:bottom w:val="nil" w:sz="6" w:space="0" w:color="auto"/>
              <w:right w:val="nil" w:sz="6" w:space="0" w:color="auto"/>
            </w:tcBorders>
          </w:tcPr>
          <w:p>
            <w:pPr/>
          </w:p>
        </w:tc>
        <w:tc>
          <w:tcPr>
            <w:tcW w:w="1694"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5" w:hRule="exact"/>
        </w:trPr>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764,674,275.85</w:t>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495,870,164.24</w:t>
            </w:r>
          </w:p>
        </w:tc>
        <w:tc>
          <w:tcPr>
            <w:tcW w:w="283"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690,124,119.09</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w w:val="95"/>
                <w:sz w:val="20"/>
              </w:rPr>
              <w:t>438,979,195.81</w:t>
            </w:r>
            <w:r>
              <w:rPr>
                <w:rFonts w:ascii="宋体"/>
                <w:sz w:val="20"/>
              </w:rPr>
            </w:r>
          </w:p>
        </w:tc>
      </w:tr>
      <w:tr>
        <w:trPr>
          <w:trHeight w:val="316"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1"/>
              <w:jc w:val="right"/>
              <w:rPr>
                <w:rFonts w:ascii="宋体" w:hAnsi="宋体" w:cs="宋体" w:eastAsia="宋体" w:hint="default"/>
                <w:sz w:val="21"/>
                <w:szCs w:val="21"/>
              </w:rPr>
            </w:pPr>
            <w:r>
              <w:rPr>
                <w:rFonts w:ascii="宋体"/>
                <w:spacing w:val="-1"/>
                <w:sz w:val="21"/>
              </w:rPr>
              <w:t>1,745,375.00</w:t>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1"/>
              <w:jc w:val="right"/>
              <w:rPr>
                <w:rFonts w:ascii="宋体" w:hAnsi="宋体" w:cs="宋体" w:eastAsia="宋体" w:hint="default"/>
                <w:sz w:val="21"/>
                <w:szCs w:val="21"/>
              </w:rPr>
            </w:pPr>
            <w:r>
              <w:rPr>
                <w:rFonts w:ascii="宋体"/>
                <w:spacing w:val="-1"/>
                <w:sz w:val="21"/>
              </w:rPr>
              <w:t>1,559,258.15</w:t>
            </w:r>
          </w:p>
        </w:tc>
        <w:tc>
          <w:tcPr>
            <w:tcW w:w="28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1,333,805.61</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8" w:space="0" w:color="000000"/>
              <w:right w:val="nil" w:sz="6" w:space="0" w:color="auto"/>
            </w:tcBorders>
          </w:tcPr>
          <w:p>
            <w:pPr>
              <w:pStyle w:val="TableParagraph"/>
              <w:spacing w:line="240" w:lineRule="auto" w:before="15"/>
              <w:ind w:right="106"/>
              <w:jc w:val="right"/>
              <w:rPr>
                <w:rFonts w:ascii="宋体" w:hAnsi="宋体" w:cs="宋体" w:eastAsia="宋体" w:hint="default"/>
                <w:sz w:val="20"/>
                <w:szCs w:val="20"/>
              </w:rPr>
            </w:pPr>
            <w:r>
              <w:rPr>
                <w:rFonts w:ascii="宋体"/>
                <w:w w:val="95"/>
                <w:sz w:val="20"/>
              </w:rPr>
              <w:t>960,631.89</w:t>
            </w:r>
            <w:r>
              <w:rPr>
                <w:rFonts w:ascii="宋体"/>
                <w:sz w:val="20"/>
              </w:rPr>
            </w:r>
          </w:p>
        </w:tc>
      </w:tr>
      <w:tr>
        <w:trPr>
          <w:trHeight w:val="374"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8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3" w:type="dxa"/>
            <w:tcBorders>
              <w:top w:val="nil" w:sz="6" w:space="0" w:color="auto"/>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766,419,650.85</w:t>
            </w:r>
          </w:p>
        </w:tc>
        <w:tc>
          <w:tcPr>
            <w:tcW w:w="216" w:type="dxa"/>
            <w:tcBorders>
              <w:top w:val="nil" w:sz="6" w:space="0" w:color="auto"/>
              <w:left w:val="nil" w:sz="6" w:space="0" w:color="auto"/>
              <w:bottom w:val="nil" w:sz="6" w:space="0" w:color="auto"/>
              <w:right w:val="nil" w:sz="6" w:space="0" w:color="auto"/>
            </w:tcBorders>
          </w:tcPr>
          <w:p>
            <w:pPr/>
          </w:p>
        </w:tc>
        <w:tc>
          <w:tcPr>
            <w:tcW w:w="169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497,429,422.39</w:t>
            </w:r>
          </w:p>
        </w:tc>
        <w:tc>
          <w:tcPr>
            <w:tcW w:w="283"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691,457,924.70</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439,939,827.70</w:t>
            </w:r>
          </w:p>
        </w:tc>
      </w:tr>
    </w:tbl>
    <w:p>
      <w:pPr>
        <w:spacing w:line="240" w:lineRule="auto" w:before="2"/>
        <w:rPr>
          <w:rFonts w:ascii="宋体" w:hAnsi="宋体" w:cs="宋体" w:eastAsia="宋体" w:hint="default"/>
          <w:sz w:val="12"/>
          <w:szCs w:val="12"/>
        </w:rPr>
      </w:pPr>
    </w:p>
    <w:p>
      <w:pPr>
        <w:pStyle w:val="BodyText"/>
        <w:tabs>
          <w:tab w:pos="1120" w:val="left" w:leader="none"/>
        </w:tabs>
        <w:spacing w:line="240" w:lineRule="auto" w:before="26"/>
        <w:ind w:left="640" w:right="1206"/>
        <w:jc w:val="left"/>
      </w:pPr>
      <w:r>
        <w:rPr/>
        <w:t>⑸</w:t>
        <w:tab/>
        <w:t>前五名客户的主营业务收入情况</w:t>
      </w:r>
    </w:p>
    <w:p>
      <w:pPr>
        <w:spacing w:line="240" w:lineRule="auto" w:before="7"/>
        <w:rPr>
          <w:rFonts w:ascii="宋体" w:hAnsi="宋体" w:cs="宋体" w:eastAsia="宋体"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1980"/>
        <w:gridCol w:w="241"/>
        <w:gridCol w:w="3140"/>
        <w:gridCol w:w="221"/>
        <w:gridCol w:w="3466"/>
      </w:tblGrid>
      <w:tr>
        <w:trPr>
          <w:trHeight w:val="313" w:hRule="exact"/>
        </w:trPr>
        <w:tc>
          <w:tcPr>
            <w:tcW w:w="1980" w:type="dxa"/>
            <w:tcBorders>
              <w:top w:val="nil" w:sz="6" w:space="0" w:color="auto"/>
              <w:left w:val="nil" w:sz="6" w:space="0" w:color="auto"/>
              <w:bottom w:val="single" w:sz="8"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2"/>
                <w:sz w:val="21"/>
                <w:szCs w:val="21"/>
              </w:rPr>
              <w:t> </w:t>
            </w:r>
            <w:r>
              <w:rPr>
                <w:rFonts w:ascii="宋体" w:hAnsi="宋体" w:cs="宋体" w:eastAsia="宋体" w:hint="default"/>
                <w:sz w:val="21"/>
                <w:szCs w:val="21"/>
              </w:rPr>
              <w:t>间</w:t>
            </w:r>
          </w:p>
        </w:tc>
        <w:tc>
          <w:tcPr>
            <w:tcW w:w="241" w:type="dxa"/>
            <w:tcBorders>
              <w:top w:val="nil" w:sz="6" w:space="0" w:color="auto"/>
              <w:left w:val="nil" w:sz="6" w:space="0" w:color="auto"/>
              <w:bottom w:val="nil" w:sz="6" w:space="0" w:color="auto"/>
              <w:right w:val="nil" w:sz="6" w:space="0" w:color="auto"/>
            </w:tcBorders>
          </w:tcPr>
          <w:p>
            <w:pPr/>
          </w:p>
        </w:tc>
        <w:tc>
          <w:tcPr>
            <w:tcW w:w="3140" w:type="dxa"/>
            <w:tcBorders>
              <w:top w:val="nil" w:sz="6" w:space="0" w:color="auto"/>
              <w:left w:val="nil" w:sz="6" w:space="0" w:color="auto"/>
              <w:bottom w:val="single" w:sz="8" w:space="0" w:color="000000"/>
              <w:right w:val="nil" w:sz="6" w:space="0" w:color="auto"/>
            </w:tcBorders>
          </w:tcPr>
          <w:p>
            <w:pPr>
              <w:pStyle w:val="TableParagraph"/>
              <w:spacing w:line="211" w:lineRule="exact"/>
              <w:ind w:left="203" w:right="0"/>
              <w:jc w:val="left"/>
              <w:rPr>
                <w:rFonts w:ascii="宋体" w:hAnsi="宋体" w:cs="宋体" w:eastAsia="宋体" w:hint="default"/>
                <w:sz w:val="21"/>
                <w:szCs w:val="21"/>
              </w:rPr>
            </w:pPr>
            <w:r>
              <w:rPr>
                <w:rFonts w:ascii="宋体" w:hAnsi="宋体" w:cs="宋体" w:eastAsia="宋体" w:hint="default"/>
                <w:sz w:val="21"/>
                <w:szCs w:val="21"/>
              </w:rPr>
              <w:t>前五名客户主营业务收入合计</w:t>
            </w:r>
          </w:p>
        </w:tc>
        <w:tc>
          <w:tcPr>
            <w:tcW w:w="221" w:type="dxa"/>
            <w:tcBorders>
              <w:top w:val="nil" w:sz="6" w:space="0" w:color="auto"/>
              <w:left w:val="nil" w:sz="6" w:space="0" w:color="auto"/>
              <w:bottom w:val="nil" w:sz="6" w:space="0" w:color="auto"/>
              <w:right w:val="nil" w:sz="6" w:space="0" w:color="auto"/>
            </w:tcBorders>
          </w:tcPr>
          <w:p>
            <w:pPr/>
          </w:p>
        </w:tc>
        <w:tc>
          <w:tcPr>
            <w:tcW w:w="3466"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占主营业务收入的比例</w:t>
            </w:r>
          </w:p>
        </w:tc>
      </w:tr>
      <w:tr>
        <w:trPr>
          <w:trHeight w:val="408" w:hRule="exact"/>
        </w:trPr>
        <w:tc>
          <w:tcPr>
            <w:tcW w:w="1980"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 w:type="dxa"/>
            <w:tcBorders>
              <w:top w:val="nil" w:sz="6" w:space="0" w:color="auto"/>
              <w:left w:val="nil" w:sz="6" w:space="0" w:color="auto"/>
              <w:bottom w:val="nil" w:sz="6" w:space="0" w:color="auto"/>
              <w:right w:val="nil" w:sz="6" w:space="0" w:color="auto"/>
            </w:tcBorders>
          </w:tcPr>
          <w:p>
            <w:pPr/>
          </w:p>
        </w:tc>
        <w:tc>
          <w:tcPr>
            <w:tcW w:w="3140"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87,678,320.14</w:t>
            </w:r>
          </w:p>
        </w:tc>
        <w:tc>
          <w:tcPr>
            <w:tcW w:w="221" w:type="dxa"/>
            <w:tcBorders>
              <w:top w:val="nil" w:sz="6" w:space="0" w:color="auto"/>
              <w:left w:val="nil" w:sz="6" w:space="0" w:color="auto"/>
              <w:bottom w:val="nil" w:sz="6" w:space="0" w:color="auto"/>
              <w:right w:val="nil" w:sz="6" w:space="0" w:color="auto"/>
            </w:tcBorders>
          </w:tcPr>
          <w:p>
            <w:pPr/>
          </w:p>
        </w:tc>
        <w:tc>
          <w:tcPr>
            <w:tcW w:w="3466"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11.44%</w:t>
            </w:r>
          </w:p>
        </w:tc>
      </w:tr>
      <w:tr>
        <w:trPr>
          <w:trHeight w:val="30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1" w:type="dxa"/>
            <w:tcBorders>
              <w:top w:val="nil" w:sz="6" w:space="0" w:color="auto"/>
              <w:left w:val="nil" w:sz="6" w:space="0" w:color="auto"/>
              <w:bottom w:val="nil" w:sz="6" w:space="0" w:color="auto"/>
              <w:right w:val="nil" w:sz="6" w:space="0" w:color="auto"/>
            </w:tcBorders>
          </w:tcPr>
          <w:p>
            <w:pP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93,166,888.40</w:t>
            </w:r>
          </w:p>
        </w:tc>
        <w:tc>
          <w:tcPr>
            <w:tcW w:w="221" w:type="dxa"/>
            <w:tcBorders>
              <w:top w:val="nil" w:sz="6" w:space="0" w:color="auto"/>
              <w:left w:val="nil" w:sz="6" w:space="0" w:color="auto"/>
              <w:bottom w:val="nil" w:sz="6" w:space="0" w:color="auto"/>
              <w:right w:val="nil" w:sz="6" w:space="0" w:color="auto"/>
            </w:tcBorders>
          </w:tcPr>
          <w:p>
            <w:pPr/>
          </w:p>
        </w:tc>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13.47%</w:t>
            </w:r>
          </w:p>
        </w:tc>
      </w:tr>
    </w:tbl>
    <w:p>
      <w:pPr>
        <w:spacing w:line="240" w:lineRule="auto" w:before="0"/>
        <w:rPr>
          <w:rFonts w:ascii="宋体" w:hAnsi="宋体" w:cs="宋体" w:eastAsia="宋体" w:hint="default"/>
          <w:sz w:val="20"/>
          <w:szCs w:val="20"/>
        </w:rPr>
      </w:pPr>
    </w:p>
    <w:p>
      <w:pPr>
        <w:pStyle w:val="Heading3"/>
        <w:tabs>
          <w:tab w:pos="1420" w:val="left" w:leader="none"/>
        </w:tabs>
        <w:spacing w:line="240" w:lineRule="auto" w:before="120"/>
        <w:ind w:left="640" w:right="1206"/>
        <w:jc w:val="left"/>
        <w:rPr>
          <w:b w:val="0"/>
          <w:bCs w:val="0"/>
        </w:rPr>
      </w:pPr>
      <w:r>
        <w:rPr>
          <w:rFonts w:ascii="Trebuchet MS" w:hAnsi="Trebuchet MS" w:cs="Trebuchet MS" w:eastAsia="Trebuchet MS" w:hint="default"/>
          <w:w w:val="90"/>
        </w:rPr>
        <w:t>31</w:t>
      </w:r>
      <w:r>
        <w:rPr>
          <w:w w:val="90"/>
        </w:rPr>
        <w:t>、</w:t>
        <w:tab/>
      </w:r>
      <w:r>
        <w:rPr/>
        <w:t>营业税金及附加</w:t>
      </w:r>
      <w:r>
        <w:rPr>
          <w:b w:val="0"/>
          <w:bCs w:val="0"/>
        </w:rPr>
      </w:r>
    </w:p>
    <w:p>
      <w:pPr>
        <w:spacing w:line="240" w:lineRule="auto" w:before="1"/>
        <w:rPr>
          <w:rFonts w:ascii="Microsoft JhengHei" w:hAnsi="Microsoft JhengHei" w:cs="Microsoft JhengHei" w:eastAsia="Microsoft JhengHei" w:hint="default"/>
          <w:b/>
          <w:bCs/>
          <w:sz w:val="7"/>
          <w:szCs w:val="7"/>
        </w:rPr>
      </w:pPr>
    </w:p>
    <w:tbl>
      <w:tblPr>
        <w:tblW w:w="0" w:type="auto"/>
        <w:jc w:val="left"/>
        <w:tblInd w:w="143" w:type="dxa"/>
        <w:tblLayout w:type="fixed"/>
        <w:tblCellMar>
          <w:top w:w="0" w:type="dxa"/>
          <w:left w:w="0" w:type="dxa"/>
          <w:bottom w:w="0" w:type="dxa"/>
          <w:right w:w="0" w:type="dxa"/>
        </w:tblCellMar>
        <w:tblLook w:val="01E0"/>
      </w:tblPr>
      <w:tblGrid>
        <w:gridCol w:w="2566"/>
        <w:gridCol w:w="972"/>
        <w:gridCol w:w="2288"/>
        <w:gridCol w:w="1157"/>
        <w:gridCol w:w="2086"/>
      </w:tblGrid>
      <w:tr>
        <w:trPr>
          <w:trHeight w:val="251" w:hRule="exact"/>
        </w:trPr>
        <w:tc>
          <w:tcPr>
            <w:tcW w:w="2566" w:type="dxa"/>
            <w:tcBorders>
              <w:top w:val="nil" w:sz="6" w:space="0" w:color="auto"/>
              <w:left w:val="nil" w:sz="6" w:space="0" w:color="auto"/>
              <w:bottom w:val="single" w:sz="8" w:space="0" w:color="000000"/>
              <w:right w:val="nil" w:sz="6" w:space="0" w:color="auto"/>
            </w:tcBorders>
          </w:tcPr>
          <w:p>
            <w:pPr>
              <w:pStyle w:val="TableParagraph"/>
              <w:tabs>
                <w:tab w:pos="525" w:val="left" w:leader="none"/>
              </w:tabs>
              <w:spacing w:line="211" w:lineRule="exact"/>
              <w:ind w:right="91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11" w:lineRule="exact"/>
              <w:ind w:left="62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8" w:space="0" w:color="000000"/>
              <w:right w:val="nil" w:sz="6" w:space="0" w:color="auto"/>
            </w:tcBorders>
          </w:tcPr>
          <w:p>
            <w:pPr>
              <w:pStyle w:val="TableParagraph"/>
              <w:spacing w:line="211" w:lineRule="exact"/>
              <w:ind w:left="52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5" w:hRule="exact"/>
        </w:trPr>
        <w:tc>
          <w:tcPr>
            <w:tcW w:w="256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545,037.86</w:t>
            </w:r>
          </w:p>
        </w:tc>
        <w:tc>
          <w:tcPr>
            <w:tcW w:w="1157" w:type="dxa"/>
            <w:tcBorders>
              <w:top w:val="nil" w:sz="6" w:space="0" w:color="auto"/>
              <w:left w:val="nil" w:sz="6" w:space="0" w:color="auto"/>
              <w:bottom w:val="nil" w:sz="6" w:space="0" w:color="auto"/>
              <w:right w:val="nil" w:sz="6" w:space="0" w:color="auto"/>
            </w:tcBorders>
          </w:tcPr>
          <w:p>
            <w:pPr/>
          </w:p>
        </w:tc>
        <w:tc>
          <w:tcPr>
            <w:tcW w:w="208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568,354.93</w:t>
            </w:r>
          </w:p>
        </w:tc>
      </w:tr>
      <w:tr>
        <w:trPr>
          <w:trHeight w:val="340"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3,427,027.02</w:t>
            </w:r>
          </w:p>
        </w:tc>
        <w:tc>
          <w:tcPr>
            <w:tcW w:w="115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0"/>
              <w:jc w:val="right"/>
              <w:rPr>
                <w:rFonts w:ascii="宋体" w:hAnsi="宋体" w:cs="宋体" w:eastAsia="宋体" w:hint="default"/>
                <w:sz w:val="21"/>
                <w:szCs w:val="21"/>
              </w:rPr>
            </w:pPr>
            <w:r>
              <w:rPr>
                <w:rFonts w:ascii="宋体"/>
                <w:spacing w:val="-1"/>
                <w:sz w:val="21"/>
              </w:rPr>
              <w:t>112,586.36</w:t>
            </w:r>
          </w:p>
        </w:tc>
      </w:tr>
      <w:tr>
        <w:trPr>
          <w:trHeight w:val="340"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2,510,358.94</w:t>
            </w:r>
          </w:p>
        </w:tc>
        <w:tc>
          <w:tcPr>
            <w:tcW w:w="115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1"/>
                <w:szCs w:val="21"/>
              </w:rPr>
            </w:pPr>
            <w:r>
              <w:rPr>
                <w:rFonts w:ascii="宋体"/>
                <w:spacing w:val="-1"/>
                <w:sz w:val="21"/>
              </w:rPr>
              <w:t>65,651.43</w:t>
            </w:r>
          </w:p>
        </w:tc>
      </w:tr>
      <w:tr>
        <w:trPr>
          <w:trHeight w:val="316"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202,368.00</w:t>
            </w:r>
          </w:p>
        </w:tc>
        <w:tc>
          <w:tcPr>
            <w:tcW w:w="115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0"/>
              <w:jc w:val="right"/>
              <w:rPr>
                <w:rFonts w:ascii="宋体" w:hAnsi="宋体" w:cs="宋体" w:eastAsia="宋体" w:hint="default"/>
                <w:sz w:val="21"/>
                <w:szCs w:val="21"/>
              </w:rPr>
            </w:pPr>
            <w:r>
              <w:rPr>
                <w:rFonts w:ascii="宋体"/>
                <w:spacing w:val="-1"/>
                <w:sz w:val="21"/>
              </w:rPr>
              <w:t>114,240.00</w:t>
            </w:r>
          </w:p>
        </w:tc>
      </w:tr>
      <w:tr>
        <w:trPr>
          <w:trHeight w:val="374" w:hRule="exact"/>
        </w:trPr>
        <w:tc>
          <w:tcPr>
            <w:tcW w:w="256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1"/>
              <w:ind w:right="96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6,684,791.82</w:t>
            </w:r>
          </w:p>
        </w:tc>
        <w:tc>
          <w:tcPr>
            <w:tcW w:w="1157" w:type="dxa"/>
            <w:tcBorders>
              <w:top w:val="nil" w:sz="6" w:space="0" w:color="auto"/>
              <w:left w:val="nil" w:sz="6" w:space="0" w:color="auto"/>
              <w:bottom w:val="nil" w:sz="6" w:space="0" w:color="auto"/>
              <w:right w:val="nil" w:sz="6" w:space="0" w:color="auto"/>
            </w:tcBorders>
          </w:tcPr>
          <w:p>
            <w:pPr/>
          </w:p>
        </w:tc>
        <w:tc>
          <w:tcPr>
            <w:tcW w:w="2086"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860,832.72</w:t>
            </w:r>
          </w:p>
        </w:tc>
      </w:tr>
    </w:tbl>
    <w:p>
      <w:pPr>
        <w:pStyle w:val="BodyText"/>
        <w:spacing w:line="240" w:lineRule="auto" w:before="39"/>
        <w:ind w:left="640" w:right="1206"/>
        <w:jc w:val="left"/>
      </w:pPr>
      <w:r>
        <w:rPr/>
        <w:t>注：各项营业税金及附加的计缴标准详见附注五、税项。</w:t>
      </w:r>
    </w:p>
    <w:p>
      <w:pPr>
        <w:spacing w:after="0" w:line="240" w:lineRule="auto"/>
        <w:jc w:val="left"/>
        <w:sectPr>
          <w:headerReference w:type="default" r:id="rId48"/>
          <w:pgSz w:w="11910" w:h="16840"/>
          <w:pgMar w:header="731" w:footer="956" w:top="1100" w:bottom="1140" w:left="1460" w:right="0"/>
        </w:sectPr>
      </w:pPr>
    </w:p>
    <w:p>
      <w:pPr>
        <w:spacing w:line="240" w:lineRule="auto" w:before="2"/>
        <w:rPr>
          <w:rFonts w:ascii="宋体" w:hAnsi="宋体" w:cs="宋体" w:eastAsia="宋体" w:hint="default"/>
          <w:sz w:val="28"/>
          <w:szCs w:val="28"/>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32</w:t>
      </w:r>
      <w:r>
        <w:rPr>
          <w:w w:val="90"/>
        </w:rPr>
        <w:t>、</w:t>
        <w:tab/>
      </w:r>
      <w:r>
        <w:rPr/>
        <w:t>销售费用</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46" w:type="dxa"/>
        <w:tblLayout w:type="fixed"/>
        <w:tblCellMar>
          <w:top w:w="0" w:type="dxa"/>
          <w:left w:w="0" w:type="dxa"/>
          <w:bottom w:w="0" w:type="dxa"/>
          <w:right w:w="0" w:type="dxa"/>
        </w:tblCellMar>
        <w:tblLook w:val="01E0"/>
      </w:tblPr>
      <w:tblGrid>
        <w:gridCol w:w="2549"/>
        <w:gridCol w:w="987"/>
        <w:gridCol w:w="2268"/>
        <w:gridCol w:w="1162"/>
        <w:gridCol w:w="2093"/>
      </w:tblGrid>
      <w:tr>
        <w:trPr>
          <w:trHeight w:val="251" w:hRule="exact"/>
        </w:trPr>
        <w:tc>
          <w:tcPr>
            <w:tcW w:w="2549"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95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8" w:space="0" w:color="000000"/>
              <w:right w:val="nil" w:sz="6" w:space="0" w:color="auto"/>
            </w:tcBorders>
          </w:tcPr>
          <w:p>
            <w:pPr>
              <w:pStyle w:val="TableParagraph"/>
              <w:spacing w:line="211" w:lineRule="exact"/>
              <w:ind w:left="61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8" w:space="0" w:color="000000"/>
              <w:right w:val="nil" w:sz="6" w:space="0" w:color="auto"/>
            </w:tcBorders>
          </w:tcPr>
          <w:p>
            <w:pPr>
              <w:pStyle w:val="TableParagraph"/>
              <w:spacing w:line="211" w:lineRule="exact"/>
              <w:ind w:left="52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4" w:hRule="exact"/>
        </w:trPr>
        <w:tc>
          <w:tcPr>
            <w:tcW w:w="254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19,813,171.91</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18,994,341.72</w:t>
            </w:r>
          </w:p>
        </w:tc>
      </w:tr>
      <w:tr>
        <w:trPr>
          <w:trHeight w:val="340"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10,639,040.04</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9,166,429.53</w:t>
            </w:r>
          </w:p>
        </w:tc>
      </w:tr>
      <w:tr>
        <w:trPr>
          <w:trHeight w:val="341"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13,785,851.77</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11,084,383.10</w:t>
            </w:r>
          </w:p>
        </w:tc>
      </w:tr>
      <w:tr>
        <w:trPr>
          <w:trHeight w:val="340"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工资及福利费</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5,369,314.49</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5,650,831.21</w:t>
            </w:r>
          </w:p>
        </w:tc>
      </w:tr>
      <w:tr>
        <w:trPr>
          <w:trHeight w:val="340"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7,883,942.98</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7,005,230.60</w:t>
            </w:r>
          </w:p>
        </w:tc>
      </w:tr>
      <w:tr>
        <w:trPr>
          <w:trHeight w:val="341"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物耗</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1,709,232.24</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1,700,351.54</w:t>
            </w:r>
          </w:p>
        </w:tc>
      </w:tr>
      <w:tr>
        <w:trPr>
          <w:trHeight w:val="340"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942,288.64</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1,365,936.36</w:t>
            </w:r>
          </w:p>
        </w:tc>
      </w:tr>
      <w:tr>
        <w:trPr>
          <w:trHeight w:val="340"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电话邮政</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797,670.73</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1,117,004.88</w:t>
            </w:r>
          </w:p>
        </w:tc>
      </w:tr>
      <w:tr>
        <w:trPr>
          <w:trHeight w:val="341"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住宿费</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1,449,571.86</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1,094,331.92</w:t>
            </w:r>
          </w:p>
        </w:tc>
      </w:tr>
      <w:tr>
        <w:trPr>
          <w:trHeight w:val="316"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4,102,981.94</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4,653,314.34</w:t>
            </w:r>
          </w:p>
        </w:tc>
      </w:tr>
      <w:tr>
        <w:trPr>
          <w:trHeight w:val="374" w:hRule="exact"/>
        </w:trPr>
        <w:tc>
          <w:tcPr>
            <w:tcW w:w="254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45"/>
              <w:ind w:right="95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987" w:type="dxa"/>
            <w:tcBorders>
              <w:top w:val="nil" w:sz="6" w:space="0" w:color="auto"/>
              <w:left w:val="nil" w:sz="6" w:space="0" w:color="auto"/>
              <w:bottom w:val="nil" w:sz="6" w:space="0" w:color="auto"/>
              <w:right w:val="nil" w:sz="6" w:space="0" w:color="auto"/>
            </w:tcBorders>
          </w:tcPr>
          <w:p>
            <w:pPr/>
          </w:p>
        </w:tc>
        <w:tc>
          <w:tcPr>
            <w:tcW w:w="226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66,493,066.60</w:t>
            </w:r>
          </w:p>
        </w:tc>
        <w:tc>
          <w:tcPr>
            <w:tcW w:w="1162" w:type="dxa"/>
            <w:tcBorders>
              <w:top w:val="nil" w:sz="6" w:space="0" w:color="auto"/>
              <w:left w:val="nil" w:sz="6" w:space="0" w:color="auto"/>
              <w:bottom w:val="nil" w:sz="6" w:space="0" w:color="auto"/>
              <w:right w:val="nil" w:sz="6" w:space="0" w:color="auto"/>
            </w:tcBorders>
          </w:tcPr>
          <w:p>
            <w:pPr/>
          </w:p>
        </w:tc>
        <w:tc>
          <w:tcPr>
            <w:tcW w:w="2093"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61,832,155.20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33</w:t>
      </w:r>
      <w:r>
        <w:rPr>
          <w:w w:val="90"/>
        </w:rPr>
        <w:t>、</w:t>
        <w:tab/>
      </w:r>
      <w:r>
        <w:rPr/>
        <w:t>管理费用</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46" w:type="dxa"/>
        <w:tblLayout w:type="fixed"/>
        <w:tblCellMar>
          <w:top w:w="0" w:type="dxa"/>
          <w:left w:w="0" w:type="dxa"/>
          <w:bottom w:w="0" w:type="dxa"/>
          <w:right w:w="0" w:type="dxa"/>
        </w:tblCellMar>
        <w:tblLook w:val="01E0"/>
      </w:tblPr>
      <w:tblGrid>
        <w:gridCol w:w="2564"/>
        <w:gridCol w:w="972"/>
        <w:gridCol w:w="2288"/>
        <w:gridCol w:w="1128"/>
        <w:gridCol w:w="2122"/>
      </w:tblGrid>
      <w:tr>
        <w:trPr>
          <w:trHeight w:val="251" w:hRule="exact"/>
        </w:trPr>
        <w:tc>
          <w:tcPr>
            <w:tcW w:w="2564"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96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11" w:lineRule="exact"/>
              <w:ind w:left="62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8" w:space="0" w:color="000000"/>
              <w:right w:val="nil" w:sz="6" w:space="0" w:color="auto"/>
            </w:tcBorders>
          </w:tcPr>
          <w:p>
            <w:pPr>
              <w:pStyle w:val="TableParagraph"/>
              <w:spacing w:line="211" w:lineRule="exact"/>
              <w:ind w:left="538"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4" w:hRule="exact"/>
        </w:trPr>
        <w:tc>
          <w:tcPr>
            <w:tcW w:w="256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35,951,400.51</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38,137,691.10</w:t>
            </w:r>
          </w:p>
        </w:tc>
      </w:tr>
      <w:tr>
        <w:trPr>
          <w:trHeight w:val="34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9,755,028.87</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7,788,114.75</w:t>
            </w:r>
          </w:p>
        </w:tc>
      </w:tr>
      <w:tr>
        <w:trPr>
          <w:trHeight w:val="34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4,932,912.78</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5,051,635.73</w:t>
            </w:r>
          </w:p>
        </w:tc>
      </w:tr>
      <w:tr>
        <w:trPr>
          <w:trHeight w:val="34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6,883,720.93</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5,827,320.14</w:t>
            </w:r>
          </w:p>
        </w:tc>
      </w:tr>
      <w:tr>
        <w:trPr>
          <w:trHeight w:val="34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5,206,918.99</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3,097,784.50</w:t>
            </w:r>
          </w:p>
        </w:tc>
      </w:tr>
      <w:tr>
        <w:trPr>
          <w:trHeight w:val="34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1,689,113.54</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1,912,001.91</w:t>
            </w:r>
          </w:p>
        </w:tc>
      </w:tr>
      <w:tr>
        <w:trPr>
          <w:trHeight w:val="34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4,124,915.95</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2,816,648.32</w:t>
            </w:r>
          </w:p>
        </w:tc>
      </w:tr>
      <w:tr>
        <w:trPr>
          <w:trHeight w:val="34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1,509,714.86</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1,421,756.02</w:t>
            </w:r>
          </w:p>
        </w:tc>
      </w:tr>
      <w:tr>
        <w:trPr>
          <w:trHeight w:val="342"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宋体" w:hAnsi="宋体" w:cs="宋体" w:eastAsia="宋体" w:hint="default"/>
                <w:sz w:val="20"/>
                <w:szCs w:val="20"/>
              </w:rPr>
            </w:pPr>
            <w:r>
              <w:rPr>
                <w:rFonts w:ascii="宋体"/>
                <w:w w:val="95"/>
                <w:sz w:val="20"/>
              </w:rPr>
              <w:t>1,845,347.39</w:t>
            </w:r>
            <w:r>
              <w:rPr>
                <w:rFonts w:ascii="宋体"/>
                <w:sz w:val="20"/>
              </w:rPr>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宋体" w:hAnsi="宋体" w:cs="宋体" w:eastAsia="宋体" w:hint="default"/>
                <w:sz w:val="20"/>
                <w:szCs w:val="20"/>
              </w:rPr>
            </w:pPr>
            <w:r>
              <w:rPr>
                <w:rFonts w:ascii="宋体"/>
                <w:w w:val="95"/>
                <w:sz w:val="20"/>
              </w:rPr>
              <w:t>1,087,849.44</w:t>
            </w:r>
            <w:r>
              <w:rPr>
                <w:rFonts w:ascii="宋体"/>
                <w:sz w:val="20"/>
              </w:rPr>
            </w:r>
          </w:p>
        </w:tc>
      </w:tr>
      <w:tr>
        <w:trPr>
          <w:trHeight w:val="314"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7"/>
              <w:jc w:val="right"/>
              <w:rPr>
                <w:rFonts w:ascii="宋体" w:hAnsi="宋体" w:cs="宋体" w:eastAsia="宋体" w:hint="default"/>
                <w:sz w:val="20"/>
                <w:szCs w:val="20"/>
              </w:rPr>
            </w:pPr>
            <w:r>
              <w:rPr>
                <w:rFonts w:ascii="宋体"/>
                <w:w w:val="95"/>
                <w:sz w:val="20"/>
              </w:rPr>
              <w:t>16,208,699.23</w:t>
            </w:r>
            <w:r>
              <w:rPr>
                <w:rFonts w:ascii="宋体"/>
                <w:sz w:val="20"/>
              </w:rPr>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5"/>
              <w:jc w:val="right"/>
              <w:rPr>
                <w:rFonts w:ascii="宋体" w:hAnsi="宋体" w:cs="宋体" w:eastAsia="宋体" w:hint="default"/>
                <w:sz w:val="20"/>
                <w:szCs w:val="20"/>
              </w:rPr>
            </w:pPr>
            <w:r>
              <w:rPr>
                <w:rFonts w:ascii="宋体"/>
                <w:w w:val="95"/>
                <w:sz w:val="20"/>
              </w:rPr>
              <w:t>12,562,232.23</w:t>
            </w:r>
            <w:r>
              <w:rPr>
                <w:rFonts w:ascii="宋体"/>
                <w:sz w:val="20"/>
              </w:rPr>
            </w:r>
          </w:p>
        </w:tc>
      </w:tr>
      <w:tr>
        <w:trPr>
          <w:trHeight w:val="374" w:hRule="exact"/>
        </w:trPr>
        <w:tc>
          <w:tcPr>
            <w:tcW w:w="2564"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45"/>
              <w:ind w:right="96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972"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88,107,773.05</w:t>
            </w:r>
          </w:p>
        </w:tc>
        <w:tc>
          <w:tcPr>
            <w:tcW w:w="1128" w:type="dxa"/>
            <w:tcBorders>
              <w:top w:val="nil" w:sz="6" w:space="0" w:color="auto"/>
              <w:left w:val="nil" w:sz="6" w:space="0" w:color="auto"/>
              <w:bottom w:val="nil" w:sz="6" w:space="0" w:color="auto"/>
              <w:right w:val="nil" w:sz="6" w:space="0" w:color="auto"/>
            </w:tcBorders>
          </w:tcPr>
          <w:p>
            <w:pPr/>
          </w:p>
        </w:tc>
        <w:tc>
          <w:tcPr>
            <w:tcW w:w="212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79,703,034.14</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34</w:t>
      </w:r>
      <w:r>
        <w:rPr>
          <w:w w:val="90"/>
        </w:rPr>
        <w:t>、</w:t>
        <w:tab/>
      </w:r>
      <w:r>
        <w:rPr/>
        <w:t>财务费用</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46" w:type="dxa"/>
        <w:tblLayout w:type="fixed"/>
        <w:tblCellMar>
          <w:top w:w="0" w:type="dxa"/>
          <w:left w:w="0" w:type="dxa"/>
          <w:bottom w:w="0" w:type="dxa"/>
          <w:right w:w="0" w:type="dxa"/>
        </w:tblCellMar>
        <w:tblLook w:val="01E0"/>
      </w:tblPr>
      <w:tblGrid>
        <w:gridCol w:w="2885"/>
        <w:gridCol w:w="651"/>
        <w:gridCol w:w="2288"/>
        <w:gridCol w:w="1116"/>
        <w:gridCol w:w="2050"/>
      </w:tblGrid>
      <w:tr>
        <w:trPr>
          <w:trHeight w:val="253" w:hRule="exact"/>
        </w:trPr>
        <w:tc>
          <w:tcPr>
            <w:tcW w:w="2885"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11" w:lineRule="exact"/>
              <w:ind w:left="62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11" w:lineRule="exact"/>
              <w:ind w:left="502"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3" w:hRule="exact"/>
        </w:trPr>
        <w:tc>
          <w:tcPr>
            <w:tcW w:w="2885"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376,441.66</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7,769,576.18</w:t>
            </w:r>
          </w:p>
        </w:tc>
      </w:tr>
      <w:tr>
        <w:trPr>
          <w:trHeight w:val="341"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3,817,754.50</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宋体" w:hAnsi="宋体" w:cs="宋体" w:eastAsia="宋体" w:hint="default"/>
                <w:sz w:val="21"/>
                <w:szCs w:val="21"/>
              </w:rPr>
            </w:pPr>
            <w:r>
              <w:rPr>
                <w:rFonts w:ascii="宋体"/>
                <w:spacing w:val="-1"/>
                <w:sz w:val="21"/>
              </w:rPr>
              <w:t>1,172,712.22</w:t>
            </w:r>
          </w:p>
        </w:tc>
      </w:tr>
      <w:tr>
        <w:trPr>
          <w:trHeight w:val="340"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
        </w:tc>
      </w:tr>
      <w:tr>
        <w:trPr>
          <w:trHeight w:val="340"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-157,155.82</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pacing w:val="-1"/>
                <w:sz w:val="21"/>
              </w:rPr>
              <w:t>229,679.17</w:t>
            </w:r>
          </w:p>
        </w:tc>
      </w:tr>
      <w:tr>
        <w:trPr>
          <w:trHeight w:val="318"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279,917.53</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5"/>
              <w:jc w:val="right"/>
              <w:rPr>
                <w:rFonts w:ascii="宋体" w:hAnsi="宋体" w:cs="宋体" w:eastAsia="宋体" w:hint="default"/>
                <w:sz w:val="21"/>
                <w:szCs w:val="21"/>
              </w:rPr>
            </w:pPr>
            <w:r>
              <w:rPr>
                <w:rFonts w:ascii="宋体"/>
                <w:spacing w:val="-1"/>
                <w:sz w:val="21"/>
              </w:rPr>
              <w:t>258,758.36</w:t>
            </w:r>
          </w:p>
        </w:tc>
      </w:tr>
      <w:tr>
        <w:trPr>
          <w:trHeight w:val="372" w:hRule="exact"/>
        </w:trPr>
        <w:tc>
          <w:tcPr>
            <w:tcW w:w="2885"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51" w:type="dxa"/>
            <w:tcBorders>
              <w:top w:val="nil" w:sz="6" w:space="0" w:color="auto"/>
              <w:left w:val="nil" w:sz="6" w:space="0" w:color="auto"/>
              <w:bottom w:val="nil" w:sz="6" w:space="0" w:color="auto"/>
              <w:right w:val="nil" w:sz="6" w:space="0" w:color="auto"/>
            </w:tcBorders>
          </w:tcPr>
          <w:p>
            <w:pPr/>
          </w:p>
        </w:tc>
        <w:tc>
          <w:tcPr>
            <w:tcW w:w="2288"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-3,318,551.13</w:t>
            </w:r>
          </w:p>
        </w:tc>
        <w:tc>
          <w:tcPr>
            <w:tcW w:w="1116" w:type="dxa"/>
            <w:tcBorders>
              <w:top w:val="nil" w:sz="6" w:space="0" w:color="auto"/>
              <w:left w:val="nil" w:sz="6" w:space="0" w:color="auto"/>
              <w:bottom w:val="nil" w:sz="6" w:space="0" w:color="auto"/>
              <w:right w:val="nil" w:sz="6" w:space="0" w:color="auto"/>
            </w:tcBorders>
          </w:tcPr>
          <w:p>
            <w:pPr/>
          </w:p>
        </w:tc>
        <w:tc>
          <w:tcPr>
            <w:tcW w:w="2050"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7,085,301.49</w:t>
            </w:r>
          </w:p>
        </w:tc>
      </w:tr>
    </w:tbl>
    <w:p>
      <w:pPr>
        <w:spacing w:after="0" w:line="240" w:lineRule="auto"/>
        <w:jc w:val="right"/>
        <w:rPr>
          <w:rFonts w:ascii="宋体" w:hAnsi="宋体" w:cs="宋体" w:eastAsia="宋体" w:hint="default"/>
          <w:sz w:val="21"/>
          <w:szCs w:val="21"/>
        </w:rPr>
        <w:sectPr>
          <w:pgSz w:w="11910" w:h="16840"/>
          <w:pgMar w:header="731" w:footer="956" w:top="1100" w:bottom="1140" w:left="1460" w:right="0"/>
        </w:sectPr>
      </w:pPr>
    </w:p>
    <w:p>
      <w:pPr>
        <w:spacing w:line="240" w:lineRule="auto" w:before="3"/>
        <w:rPr>
          <w:rFonts w:ascii="Microsoft JhengHei" w:hAnsi="Microsoft JhengHei" w:cs="Microsoft JhengHei" w:eastAsia="Microsoft JhengHei" w:hint="default"/>
          <w:b/>
          <w:bCs/>
          <w:sz w:val="21"/>
          <w:szCs w:val="21"/>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35</w:t>
      </w:r>
      <w:r>
        <w:rPr>
          <w:w w:val="90"/>
        </w:rPr>
        <w:t>、</w:t>
        <w:tab/>
      </w:r>
      <w:r>
        <w:rPr/>
        <w:t>资产减值损失</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46" w:type="dxa"/>
        <w:tblLayout w:type="fixed"/>
        <w:tblCellMar>
          <w:top w:w="0" w:type="dxa"/>
          <w:left w:w="0" w:type="dxa"/>
          <w:bottom w:w="0" w:type="dxa"/>
          <w:right w:w="0" w:type="dxa"/>
        </w:tblCellMar>
        <w:tblLook w:val="01E0"/>
      </w:tblPr>
      <w:tblGrid>
        <w:gridCol w:w="3444"/>
        <w:gridCol w:w="651"/>
        <w:gridCol w:w="2079"/>
        <w:gridCol w:w="922"/>
        <w:gridCol w:w="1865"/>
      </w:tblGrid>
      <w:tr>
        <w:trPr>
          <w:trHeight w:val="251" w:hRule="exact"/>
        </w:trPr>
        <w:tc>
          <w:tcPr>
            <w:tcW w:w="3444"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140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651"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single" w:sz="8" w:space="0" w:color="000000"/>
              <w:right w:val="nil" w:sz="6" w:space="0" w:color="auto"/>
            </w:tcBorders>
          </w:tcPr>
          <w:p>
            <w:pPr>
              <w:pStyle w:val="TableParagraph"/>
              <w:spacing w:line="211" w:lineRule="exact"/>
              <w:ind w:left="51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922"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8" w:space="0" w:color="000000"/>
              <w:right w:val="nil" w:sz="6" w:space="0" w:color="auto"/>
            </w:tcBorders>
          </w:tcPr>
          <w:p>
            <w:pPr>
              <w:pStyle w:val="TableParagraph"/>
              <w:spacing w:line="211" w:lineRule="exact"/>
              <w:ind w:left="41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0" w:hRule="exact"/>
        </w:trPr>
        <w:tc>
          <w:tcPr>
            <w:tcW w:w="344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651" w:type="dxa"/>
            <w:tcBorders>
              <w:top w:val="nil" w:sz="6" w:space="0" w:color="auto"/>
              <w:left w:val="nil" w:sz="6" w:space="0" w:color="auto"/>
              <w:bottom w:val="nil" w:sz="6" w:space="0" w:color="auto"/>
              <w:right w:val="nil" w:sz="6" w:space="0" w:color="auto"/>
            </w:tcBorders>
          </w:tcPr>
          <w:p>
            <w:pPr/>
          </w:p>
        </w:tc>
        <w:tc>
          <w:tcPr>
            <w:tcW w:w="207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2,236,733.57</w:t>
            </w:r>
          </w:p>
        </w:tc>
        <w:tc>
          <w:tcPr>
            <w:tcW w:w="922" w:type="dxa"/>
            <w:tcBorders>
              <w:top w:val="nil" w:sz="6" w:space="0" w:color="auto"/>
              <w:left w:val="nil" w:sz="6" w:space="0" w:color="auto"/>
              <w:bottom w:val="nil" w:sz="6" w:space="0" w:color="auto"/>
              <w:right w:val="nil" w:sz="6" w:space="0" w:color="auto"/>
            </w:tcBorders>
          </w:tcPr>
          <w:p>
            <w:pPr/>
          </w:p>
        </w:tc>
        <w:tc>
          <w:tcPr>
            <w:tcW w:w="1865"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2,035,981.94</w:t>
            </w:r>
          </w:p>
        </w:tc>
      </w:tr>
      <w:tr>
        <w:trPr>
          <w:trHeight w:val="374" w:hRule="exact"/>
        </w:trPr>
        <w:tc>
          <w:tcPr>
            <w:tcW w:w="3444"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
              <w:ind w:right="140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651" w:type="dxa"/>
            <w:tcBorders>
              <w:top w:val="nil" w:sz="6" w:space="0" w:color="auto"/>
              <w:left w:val="nil" w:sz="6" w:space="0" w:color="auto"/>
              <w:bottom w:val="nil" w:sz="6" w:space="0" w:color="auto"/>
              <w:right w:val="nil" w:sz="6" w:space="0" w:color="auto"/>
            </w:tcBorders>
          </w:tcPr>
          <w:p>
            <w:pPr/>
          </w:p>
        </w:tc>
        <w:tc>
          <w:tcPr>
            <w:tcW w:w="2079"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2,236,733.57</w:t>
            </w:r>
          </w:p>
        </w:tc>
        <w:tc>
          <w:tcPr>
            <w:tcW w:w="922" w:type="dxa"/>
            <w:tcBorders>
              <w:top w:val="nil" w:sz="6" w:space="0" w:color="auto"/>
              <w:left w:val="nil" w:sz="6" w:space="0" w:color="auto"/>
              <w:bottom w:val="nil" w:sz="6" w:space="0" w:color="auto"/>
              <w:right w:val="nil" w:sz="6" w:space="0" w:color="auto"/>
            </w:tcBorders>
          </w:tcPr>
          <w:p>
            <w:pPr/>
          </w:p>
        </w:tc>
        <w:tc>
          <w:tcPr>
            <w:tcW w:w="186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2,035,981.94</w:t>
            </w:r>
          </w:p>
        </w:tc>
      </w:tr>
    </w:tbl>
    <w:p>
      <w:pPr>
        <w:spacing w:line="240" w:lineRule="auto" w:before="16"/>
        <w:rPr>
          <w:rFonts w:ascii="Microsoft JhengHei" w:hAnsi="Microsoft JhengHei" w:cs="Microsoft JhengHei" w:eastAsia="Microsoft JhengHei" w:hint="default"/>
          <w:b/>
          <w:bCs/>
          <w:sz w:val="10"/>
          <w:szCs w:val="10"/>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36</w:t>
      </w:r>
      <w:r>
        <w:rPr>
          <w:w w:val="90"/>
        </w:rPr>
        <w:t>、</w:t>
        <w:tab/>
      </w:r>
      <w:r>
        <w:rPr/>
        <w:t>营业外收入</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46" w:type="dxa"/>
        <w:tblLayout w:type="fixed"/>
        <w:tblCellMar>
          <w:top w:w="0" w:type="dxa"/>
          <w:left w:w="0" w:type="dxa"/>
          <w:bottom w:w="0" w:type="dxa"/>
          <w:right w:w="0" w:type="dxa"/>
        </w:tblCellMar>
        <w:tblLook w:val="01E0"/>
      </w:tblPr>
      <w:tblGrid>
        <w:gridCol w:w="3444"/>
        <w:gridCol w:w="639"/>
        <w:gridCol w:w="2091"/>
        <w:gridCol w:w="931"/>
        <w:gridCol w:w="1856"/>
      </w:tblGrid>
      <w:tr>
        <w:trPr>
          <w:trHeight w:val="251" w:hRule="exact"/>
        </w:trPr>
        <w:tc>
          <w:tcPr>
            <w:tcW w:w="3444" w:type="dxa"/>
            <w:tcBorders>
              <w:top w:val="nil" w:sz="6" w:space="0" w:color="auto"/>
              <w:left w:val="nil" w:sz="6" w:space="0" w:color="auto"/>
              <w:bottom w:val="single" w:sz="8" w:space="0" w:color="000000"/>
              <w:right w:val="nil" w:sz="6" w:space="0" w:color="auto"/>
            </w:tcBorders>
          </w:tcPr>
          <w:p>
            <w:pPr>
              <w:pStyle w:val="TableParagraph"/>
              <w:tabs>
                <w:tab w:pos="424" w:val="left" w:leader="none"/>
              </w:tabs>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39"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single" w:sz="8" w:space="0" w:color="000000"/>
              <w:right w:val="nil" w:sz="6" w:space="0" w:color="auto"/>
            </w:tcBorders>
          </w:tcPr>
          <w:p>
            <w:pPr>
              <w:pStyle w:val="TableParagraph"/>
              <w:spacing w:line="211" w:lineRule="exact"/>
              <w:ind w:left="52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931"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8" w:space="0" w:color="000000"/>
              <w:right w:val="nil" w:sz="6" w:space="0" w:color="auto"/>
            </w:tcBorders>
          </w:tcPr>
          <w:p>
            <w:pPr>
              <w:pStyle w:val="TableParagraph"/>
              <w:spacing w:line="211" w:lineRule="exact"/>
              <w:ind w:left="406"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4" w:hRule="exact"/>
        </w:trPr>
        <w:tc>
          <w:tcPr>
            <w:tcW w:w="344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非流动资产处臵利得合计</w:t>
            </w:r>
          </w:p>
        </w:tc>
        <w:tc>
          <w:tcPr>
            <w:tcW w:w="639" w:type="dxa"/>
            <w:tcBorders>
              <w:top w:val="nil" w:sz="6" w:space="0" w:color="auto"/>
              <w:left w:val="nil" w:sz="6" w:space="0" w:color="auto"/>
              <w:bottom w:val="nil" w:sz="6" w:space="0" w:color="auto"/>
              <w:right w:val="nil" w:sz="6" w:space="0" w:color="auto"/>
            </w:tcBorders>
          </w:tcPr>
          <w:p>
            <w:pPr/>
          </w:p>
        </w:tc>
        <w:tc>
          <w:tcPr>
            <w:tcW w:w="209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6,385.00</w:t>
            </w:r>
          </w:p>
        </w:tc>
        <w:tc>
          <w:tcPr>
            <w:tcW w:w="931" w:type="dxa"/>
            <w:tcBorders>
              <w:top w:val="nil" w:sz="6" w:space="0" w:color="auto"/>
              <w:left w:val="nil" w:sz="6" w:space="0" w:color="auto"/>
              <w:bottom w:val="nil" w:sz="6" w:space="0" w:color="auto"/>
              <w:right w:val="nil" w:sz="6" w:space="0" w:color="auto"/>
            </w:tcBorders>
          </w:tcPr>
          <w:p>
            <w:pPr/>
          </w:p>
        </w:tc>
        <w:tc>
          <w:tcPr>
            <w:tcW w:w="185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z w:val="21"/>
              </w:rPr>
              <w:t>12.65</w:t>
            </w:r>
          </w:p>
        </w:tc>
      </w:tr>
      <w:tr>
        <w:trPr>
          <w:trHeight w:val="34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其中：固定资产处臵利得</w:t>
            </w:r>
          </w:p>
        </w:tc>
        <w:tc>
          <w:tcPr>
            <w:tcW w:w="639"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6,385.00</w:t>
            </w:r>
          </w:p>
        </w:tc>
        <w:tc>
          <w:tcPr>
            <w:tcW w:w="931"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z w:val="21"/>
              </w:rPr>
              <w:t>12.65</w:t>
            </w:r>
          </w:p>
        </w:tc>
      </w:tr>
      <w:tr>
        <w:trPr>
          <w:trHeight w:val="341"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罚款</w:t>
            </w:r>
          </w:p>
        </w:tc>
        <w:tc>
          <w:tcPr>
            <w:tcW w:w="639"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237,046.63</w:t>
            </w:r>
          </w:p>
        </w:tc>
        <w:tc>
          <w:tcPr>
            <w:tcW w:w="931"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152,216.82</w:t>
            </w:r>
          </w:p>
        </w:tc>
      </w:tr>
      <w:tr>
        <w:trPr>
          <w:trHeight w:val="34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政府补助（详见下表）</w:t>
            </w:r>
          </w:p>
        </w:tc>
        <w:tc>
          <w:tcPr>
            <w:tcW w:w="639"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2,030,186.94</w:t>
            </w:r>
          </w:p>
        </w:tc>
        <w:tc>
          <w:tcPr>
            <w:tcW w:w="931"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1,356,370.00</w:t>
            </w:r>
          </w:p>
        </w:tc>
      </w:tr>
      <w:tr>
        <w:trPr>
          <w:trHeight w:val="317"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39"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523,743.82</w:t>
            </w:r>
          </w:p>
        </w:tc>
        <w:tc>
          <w:tcPr>
            <w:tcW w:w="931"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8" w:space="0" w:color="000000"/>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520,771.87</w:t>
            </w:r>
          </w:p>
        </w:tc>
      </w:tr>
      <w:tr>
        <w:trPr>
          <w:trHeight w:val="374" w:hRule="exact"/>
        </w:trPr>
        <w:tc>
          <w:tcPr>
            <w:tcW w:w="3444"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39" w:type="dxa"/>
            <w:tcBorders>
              <w:top w:val="nil" w:sz="6" w:space="0" w:color="auto"/>
              <w:left w:val="nil" w:sz="6" w:space="0" w:color="auto"/>
              <w:bottom w:val="nil" w:sz="6" w:space="0" w:color="auto"/>
              <w:right w:val="nil" w:sz="6" w:space="0" w:color="auto"/>
            </w:tcBorders>
          </w:tcPr>
          <w:p>
            <w:pPr/>
          </w:p>
        </w:tc>
        <w:tc>
          <w:tcPr>
            <w:tcW w:w="2091"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2,797,362.39</w:t>
            </w:r>
          </w:p>
        </w:tc>
        <w:tc>
          <w:tcPr>
            <w:tcW w:w="931" w:type="dxa"/>
            <w:tcBorders>
              <w:top w:val="nil" w:sz="6" w:space="0" w:color="auto"/>
              <w:left w:val="nil" w:sz="6" w:space="0" w:color="auto"/>
              <w:bottom w:val="nil" w:sz="6" w:space="0" w:color="auto"/>
              <w:right w:val="nil" w:sz="6" w:space="0" w:color="auto"/>
            </w:tcBorders>
          </w:tcPr>
          <w:p>
            <w:pPr/>
          </w:p>
        </w:tc>
        <w:tc>
          <w:tcPr>
            <w:tcW w:w="1856" w:type="dxa"/>
            <w:tcBorders>
              <w:top w:val="single" w:sz="8"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2,029,371.34</w:t>
            </w:r>
          </w:p>
        </w:tc>
      </w:tr>
    </w:tbl>
    <w:p>
      <w:pPr>
        <w:spacing w:line="240" w:lineRule="auto" w:before="2"/>
        <w:rPr>
          <w:rFonts w:ascii="Microsoft JhengHei" w:hAnsi="Microsoft JhengHei" w:cs="Microsoft JhengHei" w:eastAsia="Microsoft JhengHei" w:hint="default"/>
          <w:b/>
          <w:bCs/>
          <w:sz w:val="6"/>
          <w:szCs w:val="6"/>
        </w:rPr>
      </w:pPr>
    </w:p>
    <w:p>
      <w:pPr>
        <w:pStyle w:val="BodyText"/>
        <w:spacing w:line="240" w:lineRule="auto" w:before="26"/>
        <w:ind w:left="640" w:right="1206"/>
        <w:jc w:val="left"/>
      </w:pPr>
      <w:r>
        <w:rPr/>
        <w:t>其中，政府补助明细：</w:t>
      </w:r>
    </w:p>
    <w:p>
      <w:pPr>
        <w:spacing w:line="240" w:lineRule="auto" w:before="12"/>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444"/>
        <w:gridCol w:w="639"/>
        <w:gridCol w:w="2057"/>
        <w:gridCol w:w="965"/>
        <w:gridCol w:w="1916"/>
      </w:tblGrid>
      <w:tr>
        <w:trPr>
          <w:trHeight w:val="254" w:hRule="exact"/>
        </w:trPr>
        <w:tc>
          <w:tcPr>
            <w:tcW w:w="3444" w:type="dxa"/>
            <w:tcBorders>
              <w:top w:val="nil" w:sz="6" w:space="0" w:color="auto"/>
              <w:left w:val="nil" w:sz="6" w:space="0" w:color="auto"/>
              <w:bottom w:val="single" w:sz="8" w:space="0" w:color="000000"/>
              <w:right w:val="nil" w:sz="6" w:space="0" w:color="auto"/>
            </w:tcBorders>
          </w:tcPr>
          <w:p>
            <w:pPr>
              <w:pStyle w:val="TableParagraph"/>
              <w:tabs>
                <w:tab w:pos="424" w:val="left" w:leader="none"/>
              </w:tabs>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39"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single" w:sz="8" w:space="0" w:color="000000"/>
              <w:right w:val="nil" w:sz="6" w:space="0" w:color="auto"/>
            </w:tcBorders>
          </w:tcPr>
          <w:p>
            <w:pPr>
              <w:pStyle w:val="TableParagraph"/>
              <w:spacing w:line="211" w:lineRule="exact"/>
              <w:ind w:left="50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96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8" w:space="0" w:color="000000"/>
              <w:right w:val="nil" w:sz="6" w:space="0" w:color="auto"/>
            </w:tcBorders>
          </w:tcPr>
          <w:p>
            <w:pPr>
              <w:pStyle w:val="TableParagraph"/>
              <w:spacing w:line="211" w:lineRule="exact"/>
              <w:ind w:left="43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14" w:hRule="exact"/>
        </w:trPr>
        <w:tc>
          <w:tcPr>
            <w:tcW w:w="3444"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639" w:type="dxa"/>
            <w:tcBorders>
              <w:top w:val="nil" w:sz="6" w:space="0" w:color="auto"/>
              <w:left w:val="nil" w:sz="6" w:space="0" w:color="auto"/>
              <w:bottom w:val="nil" w:sz="6" w:space="0" w:color="auto"/>
              <w:right w:val="nil" w:sz="6" w:space="0" w:color="auto"/>
            </w:tcBorders>
          </w:tcPr>
          <w:p>
            <w:pPr/>
          </w:p>
        </w:tc>
        <w:tc>
          <w:tcPr>
            <w:tcW w:w="2057"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471,286.94</w:t>
            </w:r>
          </w:p>
        </w:tc>
        <w:tc>
          <w:tcPr>
            <w:tcW w:w="965" w:type="dxa"/>
            <w:tcBorders>
              <w:top w:val="nil" w:sz="6" w:space="0" w:color="auto"/>
              <w:left w:val="nil" w:sz="6" w:space="0" w:color="auto"/>
              <w:bottom w:val="nil" w:sz="6" w:space="0" w:color="auto"/>
              <w:right w:val="nil" w:sz="6" w:space="0" w:color="auto"/>
            </w:tcBorders>
          </w:tcPr>
          <w:p>
            <w:pPr/>
          </w:p>
        </w:tc>
        <w:tc>
          <w:tcPr>
            <w:tcW w:w="1916"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679,000.00</w:t>
            </w:r>
          </w:p>
        </w:tc>
      </w:tr>
      <w:tr>
        <w:trPr>
          <w:trHeight w:val="360"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z w:val="21"/>
                <w:szCs w:val="21"/>
              </w:rPr>
              <w:t>政府经费</w:t>
            </w:r>
          </w:p>
        </w:tc>
        <w:tc>
          <w:tcPr>
            <w:tcW w:w="639"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21"/>
                <w:szCs w:val="21"/>
              </w:rPr>
            </w:pPr>
            <w:r>
              <w:rPr>
                <w:rFonts w:ascii="宋体"/>
                <w:spacing w:val="-1"/>
                <w:sz w:val="21"/>
              </w:rPr>
              <w:t>1,477,900.00</w:t>
            </w:r>
          </w:p>
        </w:tc>
        <w:tc>
          <w:tcPr>
            <w:tcW w:w="96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643,970.00</w:t>
            </w:r>
          </w:p>
        </w:tc>
      </w:tr>
      <w:tr>
        <w:trPr>
          <w:trHeight w:val="326"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z w:val="21"/>
                <w:szCs w:val="21"/>
              </w:rPr>
              <w:t>政府奖励</w:t>
            </w:r>
          </w:p>
        </w:tc>
        <w:tc>
          <w:tcPr>
            <w:tcW w:w="639"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21"/>
                <w:szCs w:val="21"/>
              </w:rPr>
            </w:pPr>
            <w:r>
              <w:rPr>
                <w:rFonts w:ascii="宋体"/>
                <w:spacing w:val="-1"/>
                <w:sz w:val="21"/>
              </w:rPr>
              <w:t>81,000.00</w:t>
            </w:r>
          </w:p>
        </w:tc>
        <w:tc>
          <w:tcPr>
            <w:tcW w:w="96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33,400.00</w:t>
            </w:r>
          </w:p>
        </w:tc>
      </w:tr>
      <w:tr>
        <w:trPr>
          <w:trHeight w:val="394" w:hRule="exact"/>
        </w:trPr>
        <w:tc>
          <w:tcPr>
            <w:tcW w:w="3444"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nil" w:sz="6" w:space="0" w:color="auto"/>
              <w:right w:val="nil" w:sz="6" w:space="0" w:color="auto"/>
            </w:tcBorders>
          </w:tcPr>
          <w:p>
            <w:pPr/>
          </w:p>
        </w:tc>
        <w:tc>
          <w:tcPr>
            <w:tcW w:w="2057" w:type="dxa"/>
            <w:tcBorders>
              <w:top w:val="single" w:sz="8" w:space="0" w:color="000000"/>
              <w:left w:val="nil" w:sz="6" w:space="0" w:color="auto"/>
              <w:bottom w:val="single" w:sz="17" w:space="0" w:color="000000"/>
              <w:right w:val="nil" w:sz="6" w:space="0" w:color="auto"/>
            </w:tcBorders>
          </w:tcPr>
          <w:p>
            <w:pPr>
              <w:pStyle w:val="TableParagraph"/>
              <w:spacing w:line="240" w:lineRule="auto" w:before="54"/>
              <w:ind w:right="105"/>
              <w:jc w:val="right"/>
              <w:rPr>
                <w:rFonts w:ascii="宋体" w:hAnsi="宋体" w:cs="宋体" w:eastAsia="宋体" w:hint="default"/>
                <w:sz w:val="21"/>
                <w:szCs w:val="21"/>
              </w:rPr>
            </w:pPr>
            <w:r>
              <w:rPr>
                <w:rFonts w:ascii="宋体"/>
                <w:spacing w:val="-1"/>
                <w:sz w:val="21"/>
              </w:rPr>
              <w:t>2,030,186.94</w:t>
            </w:r>
          </w:p>
        </w:tc>
        <w:tc>
          <w:tcPr>
            <w:tcW w:w="965" w:type="dxa"/>
            <w:tcBorders>
              <w:top w:val="nil" w:sz="6" w:space="0" w:color="auto"/>
              <w:left w:val="nil" w:sz="6" w:space="0" w:color="auto"/>
              <w:bottom w:val="nil" w:sz="6" w:space="0" w:color="auto"/>
              <w:right w:val="nil" w:sz="6" w:space="0" w:color="auto"/>
            </w:tcBorders>
          </w:tcPr>
          <w:p>
            <w:pPr/>
          </w:p>
        </w:tc>
        <w:tc>
          <w:tcPr>
            <w:tcW w:w="1916" w:type="dxa"/>
            <w:tcBorders>
              <w:top w:val="single" w:sz="8" w:space="0" w:color="000000"/>
              <w:left w:val="nil" w:sz="6" w:space="0" w:color="auto"/>
              <w:bottom w:val="single" w:sz="17"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1,356,370.00</w:t>
            </w:r>
          </w:p>
        </w:tc>
      </w:tr>
    </w:tbl>
    <w:p>
      <w:pPr>
        <w:spacing w:line="240" w:lineRule="auto" w:before="10"/>
        <w:rPr>
          <w:rFonts w:ascii="宋体" w:hAnsi="宋体" w:cs="宋体" w:eastAsia="宋体" w:hint="default"/>
          <w:sz w:val="25"/>
          <w:szCs w:val="25"/>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37</w:t>
      </w:r>
      <w:r>
        <w:rPr>
          <w:w w:val="90"/>
        </w:rPr>
        <w:t>、</w:t>
        <w:tab/>
      </w:r>
      <w:r>
        <w:rPr/>
        <w:t>营业外支出</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43" w:type="dxa"/>
        <w:tblLayout w:type="fixed"/>
        <w:tblCellMar>
          <w:top w:w="0" w:type="dxa"/>
          <w:left w:w="0" w:type="dxa"/>
          <w:bottom w:w="0" w:type="dxa"/>
          <w:right w:w="0" w:type="dxa"/>
        </w:tblCellMar>
        <w:tblLook w:val="01E0"/>
      </w:tblPr>
      <w:tblGrid>
        <w:gridCol w:w="3432"/>
        <w:gridCol w:w="639"/>
        <w:gridCol w:w="2079"/>
        <w:gridCol w:w="943"/>
        <w:gridCol w:w="1954"/>
      </w:tblGrid>
      <w:tr>
        <w:trPr>
          <w:trHeight w:val="251" w:hRule="exact"/>
        </w:trPr>
        <w:tc>
          <w:tcPr>
            <w:tcW w:w="3432"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39"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single" w:sz="8" w:space="0" w:color="000000"/>
              <w:right w:val="nil" w:sz="6" w:space="0" w:color="auto"/>
            </w:tcBorders>
          </w:tcPr>
          <w:p>
            <w:pPr>
              <w:pStyle w:val="TableParagraph"/>
              <w:spacing w:line="211" w:lineRule="exact"/>
              <w:ind w:left="51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9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11" w:lineRule="exact"/>
              <w:ind w:left="454"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4" w:hRule="exact"/>
        </w:trPr>
        <w:tc>
          <w:tcPr>
            <w:tcW w:w="343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非流动资产处臵损失合计</w:t>
            </w:r>
          </w:p>
        </w:tc>
        <w:tc>
          <w:tcPr>
            <w:tcW w:w="639" w:type="dxa"/>
            <w:tcBorders>
              <w:top w:val="nil" w:sz="6" w:space="0" w:color="auto"/>
              <w:left w:val="nil" w:sz="6" w:space="0" w:color="auto"/>
              <w:bottom w:val="nil" w:sz="6" w:space="0" w:color="auto"/>
              <w:right w:val="nil" w:sz="6" w:space="0" w:color="auto"/>
            </w:tcBorders>
          </w:tcPr>
          <w:p>
            <w:pPr/>
          </w:p>
        </w:tc>
        <w:tc>
          <w:tcPr>
            <w:tcW w:w="207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461,544.53</w:t>
            </w:r>
          </w:p>
        </w:tc>
        <w:tc>
          <w:tcPr>
            <w:tcW w:w="9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323,517.54</w:t>
            </w:r>
          </w:p>
        </w:tc>
      </w:tr>
      <w:tr>
        <w:trPr>
          <w:trHeight w:val="340"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其中：固定资产处臵损失</w:t>
            </w:r>
          </w:p>
        </w:tc>
        <w:tc>
          <w:tcPr>
            <w:tcW w:w="639"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461,544.53</w:t>
            </w:r>
          </w:p>
        </w:tc>
        <w:tc>
          <w:tcPr>
            <w:tcW w:w="9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323,517.54</w:t>
            </w:r>
          </w:p>
        </w:tc>
      </w:tr>
      <w:tr>
        <w:trPr>
          <w:trHeight w:val="341"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639"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40,000.00</w:t>
            </w:r>
          </w:p>
        </w:tc>
      </w:tr>
      <w:tr>
        <w:trPr>
          <w:trHeight w:val="316"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39"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87,779.15</w:t>
            </w:r>
          </w:p>
        </w:tc>
        <w:tc>
          <w:tcPr>
            <w:tcW w:w="943"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64,478.50</w:t>
            </w:r>
          </w:p>
        </w:tc>
      </w:tr>
      <w:tr>
        <w:trPr>
          <w:trHeight w:val="374" w:hRule="exact"/>
        </w:trPr>
        <w:tc>
          <w:tcPr>
            <w:tcW w:w="343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639" w:type="dxa"/>
            <w:tcBorders>
              <w:top w:val="nil" w:sz="6" w:space="0" w:color="auto"/>
              <w:left w:val="nil" w:sz="6" w:space="0" w:color="auto"/>
              <w:bottom w:val="nil" w:sz="6" w:space="0" w:color="auto"/>
              <w:right w:val="nil" w:sz="6" w:space="0" w:color="auto"/>
            </w:tcBorders>
          </w:tcPr>
          <w:p>
            <w:pPr/>
          </w:p>
        </w:tc>
        <w:tc>
          <w:tcPr>
            <w:tcW w:w="2079"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549,323.68</w:t>
            </w:r>
          </w:p>
        </w:tc>
        <w:tc>
          <w:tcPr>
            <w:tcW w:w="943" w:type="dxa"/>
            <w:tcBorders>
              <w:top w:val="nil" w:sz="6" w:space="0" w:color="auto"/>
              <w:left w:val="nil" w:sz="6" w:space="0" w:color="auto"/>
              <w:bottom w:val="nil" w:sz="6" w:space="0" w:color="auto"/>
              <w:right w:val="nil" w:sz="6" w:space="0" w:color="auto"/>
            </w:tcBorders>
          </w:tcPr>
          <w:p>
            <w:pPr/>
          </w:p>
        </w:tc>
        <w:tc>
          <w:tcPr>
            <w:tcW w:w="195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427,996.04</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38</w:t>
      </w:r>
      <w:r>
        <w:rPr>
          <w:w w:val="90"/>
        </w:rPr>
        <w:t>、</w:t>
        <w:tab/>
      </w:r>
      <w:r>
        <w:rPr/>
        <w:t>所得税费用</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543"/>
        <w:gridCol w:w="511"/>
        <w:gridCol w:w="1985"/>
        <w:gridCol w:w="1066"/>
        <w:gridCol w:w="1940"/>
      </w:tblGrid>
      <w:tr>
        <w:trPr>
          <w:trHeight w:val="253" w:hRule="exact"/>
        </w:trPr>
        <w:tc>
          <w:tcPr>
            <w:tcW w:w="3543"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8" w:space="0" w:color="000000"/>
              <w:right w:val="nil" w:sz="6" w:space="0" w:color="auto"/>
            </w:tcBorders>
          </w:tcPr>
          <w:p>
            <w:pPr>
              <w:pStyle w:val="TableParagraph"/>
              <w:spacing w:line="211" w:lineRule="exact"/>
              <w:ind w:left="47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066"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8" w:space="0" w:color="000000"/>
              <w:right w:val="nil" w:sz="6" w:space="0" w:color="auto"/>
            </w:tcBorders>
          </w:tcPr>
          <w:p>
            <w:pPr>
              <w:pStyle w:val="TableParagraph"/>
              <w:spacing w:line="211" w:lineRule="exact"/>
              <w:ind w:left="44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3" w:hRule="exact"/>
        </w:trPr>
        <w:tc>
          <w:tcPr>
            <w:tcW w:w="3543"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511" w:type="dxa"/>
            <w:tcBorders>
              <w:top w:val="nil" w:sz="6" w:space="0" w:color="auto"/>
              <w:left w:val="nil" w:sz="6" w:space="0" w:color="auto"/>
              <w:bottom w:val="nil" w:sz="6" w:space="0" w:color="auto"/>
              <w:right w:val="nil" w:sz="6" w:space="0" w:color="auto"/>
            </w:tcBorders>
          </w:tcPr>
          <w:p>
            <w:pPr/>
          </w:p>
        </w:tc>
        <w:tc>
          <w:tcPr>
            <w:tcW w:w="1985"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17,625,546.26</w:t>
            </w:r>
          </w:p>
        </w:tc>
        <w:tc>
          <w:tcPr>
            <w:tcW w:w="1066" w:type="dxa"/>
            <w:tcBorders>
              <w:top w:val="nil" w:sz="6" w:space="0" w:color="auto"/>
              <w:left w:val="nil" w:sz="6" w:space="0" w:color="auto"/>
              <w:bottom w:val="nil" w:sz="6" w:space="0" w:color="auto"/>
              <w:right w:val="nil" w:sz="6" w:space="0" w:color="auto"/>
            </w:tcBorders>
          </w:tcPr>
          <w:p>
            <w:pPr/>
          </w:p>
        </w:tc>
        <w:tc>
          <w:tcPr>
            <w:tcW w:w="1940"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16,712,565.14</w:t>
            </w:r>
          </w:p>
        </w:tc>
      </w:tr>
      <w:tr>
        <w:trPr>
          <w:trHeight w:val="316"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511"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1"/>
              <w:jc w:val="right"/>
              <w:rPr>
                <w:rFonts w:ascii="宋体" w:hAnsi="宋体" w:cs="宋体" w:eastAsia="宋体" w:hint="default"/>
                <w:sz w:val="21"/>
                <w:szCs w:val="21"/>
              </w:rPr>
            </w:pPr>
            <w:r>
              <w:rPr>
                <w:rFonts w:ascii="宋体"/>
                <w:spacing w:val="-1"/>
                <w:sz w:val="21"/>
              </w:rPr>
              <w:t>-544,645.91</w:t>
            </w:r>
          </w:p>
        </w:tc>
        <w:tc>
          <w:tcPr>
            <w:tcW w:w="1066"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331,949.47</w:t>
            </w:r>
          </w:p>
        </w:tc>
      </w:tr>
      <w:tr>
        <w:trPr>
          <w:trHeight w:val="374" w:hRule="exact"/>
        </w:trPr>
        <w:tc>
          <w:tcPr>
            <w:tcW w:w="3543"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511" w:type="dxa"/>
            <w:tcBorders>
              <w:top w:val="nil" w:sz="6" w:space="0" w:color="auto"/>
              <w:left w:val="nil" w:sz="6" w:space="0" w:color="auto"/>
              <w:bottom w:val="nil" w:sz="6" w:space="0" w:color="auto"/>
              <w:right w:val="nil" w:sz="6" w:space="0" w:color="auto"/>
            </w:tcBorders>
          </w:tcPr>
          <w:p>
            <w:pPr/>
          </w:p>
        </w:tc>
        <w:tc>
          <w:tcPr>
            <w:tcW w:w="1985"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17,080,900.35</w:t>
            </w:r>
          </w:p>
        </w:tc>
        <w:tc>
          <w:tcPr>
            <w:tcW w:w="1066" w:type="dxa"/>
            <w:tcBorders>
              <w:top w:val="nil" w:sz="6" w:space="0" w:color="auto"/>
              <w:left w:val="nil" w:sz="6" w:space="0" w:color="auto"/>
              <w:bottom w:val="nil" w:sz="6" w:space="0" w:color="auto"/>
              <w:right w:val="nil" w:sz="6" w:space="0" w:color="auto"/>
            </w:tcBorders>
          </w:tcPr>
          <w:p>
            <w:pPr/>
          </w:p>
        </w:tc>
        <w:tc>
          <w:tcPr>
            <w:tcW w:w="1940"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17,044,514.61</w:t>
            </w:r>
          </w:p>
        </w:tc>
      </w:tr>
    </w:tbl>
    <w:p>
      <w:pPr>
        <w:spacing w:line="240" w:lineRule="auto" w:before="6"/>
        <w:rPr>
          <w:rFonts w:ascii="Microsoft JhengHei" w:hAnsi="Microsoft JhengHei" w:cs="Microsoft JhengHei" w:eastAsia="Microsoft JhengHei" w:hint="default"/>
          <w:b/>
          <w:bCs/>
          <w:sz w:val="19"/>
          <w:szCs w:val="19"/>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39</w:t>
      </w:r>
      <w:r>
        <w:rPr>
          <w:w w:val="90"/>
        </w:rPr>
        <w:t>、</w:t>
        <w:tab/>
      </w:r>
      <w:r>
        <w:rPr/>
        <w:t>基本每股收益和稀释每股收益</w:t>
      </w:r>
      <w:r>
        <w:rPr>
          <w:b w:val="0"/>
          <w:bCs w:val="0"/>
        </w:rPr>
      </w:r>
    </w:p>
    <w:p>
      <w:pPr>
        <w:pStyle w:val="BodyText"/>
        <w:spacing w:line="307" w:lineRule="auto" w:before="124"/>
        <w:ind w:left="160" w:right="1206" w:firstLine="479"/>
        <w:jc w:val="left"/>
      </w:pPr>
      <w:r>
        <w:rPr>
          <w:spacing w:val="-4"/>
        </w:rPr>
        <w:t>基本每股收益按照归属于本公司普通股股东的当期净利润，除以发行在外普通股的</w:t>
      </w:r>
      <w:r>
        <w:rPr/>
        <w:t> </w:t>
      </w:r>
      <w:r>
        <w:rPr>
          <w:spacing w:val="-4"/>
        </w:rPr>
        <w:t>加权平均数计算。新发行普通股股数，根据发行合同的具体条款，从应收对价之日（一</w:t>
      </w:r>
    </w:p>
    <w:p>
      <w:pPr>
        <w:spacing w:after="0" w:line="307" w:lineRule="auto"/>
        <w:jc w:val="left"/>
        <w:sectPr>
          <w:pgSz w:w="11910" w:h="16840"/>
          <w:pgMar w:header="731" w:footer="956" w:top="1100" w:bottom="1140" w:left="1460" w:right="0"/>
        </w:sectPr>
      </w:pPr>
    </w:p>
    <w:p>
      <w:pPr>
        <w:spacing w:line="240" w:lineRule="auto" w:before="7"/>
        <w:rPr>
          <w:rFonts w:ascii="宋体" w:hAnsi="宋体" w:cs="宋体" w:eastAsia="宋体" w:hint="default"/>
          <w:sz w:val="25"/>
          <w:szCs w:val="25"/>
        </w:rPr>
      </w:pPr>
    </w:p>
    <w:p>
      <w:pPr>
        <w:pStyle w:val="BodyText"/>
        <w:spacing w:line="352" w:lineRule="auto" w:before="26"/>
        <w:ind w:left="1000" w:right="1266" w:hanging="840"/>
        <w:jc w:val="left"/>
      </w:pPr>
      <w:r>
        <w:rPr/>
        <w:t>般为股票发行日）起计算确定。 稀释每股收益的分子以归属于本公司普通股股东的当期净利润，调整下述因素</w:t>
      </w:r>
    </w:p>
    <w:p>
      <w:pPr>
        <w:pStyle w:val="BodyText"/>
        <w:spacing w:line="286" w:lineRule="exact" w:before="0"/>
        <w:ind w:left="160" w:right="1206"/>
        <w:jc w:val="left"/>
      </w:pPr>
      <w:r>
        <w:rPr>
          <w:spacing w:val="-4"/>
        </w:rPr>
        <w:t>后确定：⑴当期已确认为费用的稀释性潜在普通股的利息；⑵稀释性潜在普通股转换时</w:t>
      </w:r>
    </w:p>
    <w:p>
      <w:pPr>
        <w:pStyle w:val="BodyText"/>
        <w:spacing w:line="352" w:lineRule="auto" w:before="86"/>
        <w:ind w:left="640" w:right="1206" w:hanging="480"/>
        <w:jc w:val="left"/>
      </w:pPr>
      <w:r>
        <w:rPr/>
        <w:t>将产生的收益或费用；以及⑶上述调整相关的所得税影响。 </w:t>
      </w:r>
      <w:r>
        <w:rPr>
          <w:spacing w:val="-4"/>
        </w:rPr>
        <w:t>稀释每股收益的分母等于下列两项之和：⑴基本每股收益中母公司已发行普通股的</w:t>
      </w:r>
    </w:p>
    <w:p>
      <w:pPr>
        <w:pStyle w:val="BodyText"/>
        <w:spacing w:line="286" w:lineRule="exact" w:before="0"/>
        <w:ind w:left="160" w:right="0"/>
        <w:jc w:val="left"/>
      </w:pPr>
      <w:r>
        <w:rPr/>
        <w:t>加权平均数；及⑵假定稀释性潜在普通股转换为普通股而增加的普通股的加权平均数。</w:t>
      </w:r>
    </w:p>
    <w:p>
      <w:pPr>
        <w:pStyle w:val="BodyText"/>
        <w:spacing w:line="304" w:lineRule="auto" w:before="146"/>
        <w:ind w:left="160" w:right="1285" w:firstLine="839"/>
        <w:jc w:val="both"/>
      </w:pPr>
      <w:r>
        <w:rPr/>
        <w:t>在计算稀释性潜在普通股转换为已发行普通股而增加的普通股股数的加权平均 </w:t>
      </w:r>
      <w:r>
        <w:rPr>
          <w:spacing w:val="-4"/>
        </w:rPr>
        <w:t>数时，以前期间发行的稀释性潜在普通股，假设在当期期初转换；当期发行的稀释性潜</w:t>
      </w:r>
      <w:r>
        <w:rPr>
          <w:spacing w:val="-91"/>
        </w:rPr>
        <w:t> </w:t>
      </w:r>
      <w:r>
        <w:rPr>
          <w:spacing w:val="-91"/>
        </w:rPr>
      </w:r>
      <w:r>
        <w:rPr/>
        <w:t>在普通股，假设在发行日转换。</w:t>
      </w:r>
    </w:p>
    <w:p>
      <w:pPr>
        <w:pStyle w:val="BodyText"/>
        <w:tabs>
          <w:tab w:pos="1120" w:val="left" w:leader="none"/>
        </w:tabs>
        <w:spacing w:line="240" w:lineRule="auto"/>
        <w:ind w:left="642" w:right="1206"/>
        <w:jc w:val="left"/>
      </w:pPr>
      <w:r>
        <w:rPr/>
        <w:t>⑴</w:t>
        <w:tab/>
        <w:t>各期基本每股收益和稀释每股收益金额列示</w:t>
      </w:r>
    </w:p>
    <w:p>
      <w:pPr>
        <w:spacing w:line="240" w:lineRule="auto" w:before="4"/>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2042"/>
        <w:gridCol w:w="229"/>
        <w:gridCol w:w="1356"/>
        <w:gridCol w:w="228"/>
        <w:gridCol w:w="1493"/>
        <w:gridCol w:w="228"/>
        <w:gridCol w:w="1495"/>
        <w:gridCol w:w="229"/>
        <w:gridCol w:w="1666"/>
      </w:tblGrid>
      <w:tr>
        <w:trPr>
          <w:trHeight w:val="254" w:hRule="exact"/>
        </w:trPr>
        <w:tc>
          <w:tcPr>
            <w:tcW w:w="2042" w:type="dxa"/>
            <w:vMerge w:val="restart"/>
            <w:tcBorders>
              <w:top w:val="nil" w:sz="6" w:space="0" w:color="auto"/>
              <w:left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21"/>
                <w:szCs w:val="21"/>
              </w:rPr>
            </w:pPr>
            <w:r>
              <w:rPr>
                <w:rFonts w:ascii="宋体"/>
                <w:w w:val="100"/>
                <w:sz w:val="21"/>
              </w:rPr>
              <w:t>D</w:t>
            </w:r>
          </w:p>
        </w:tc>
        <w:tc>
          <w:tcPr>
            <w:tcW w:w="229" w:type="dxa"/>
            <w:vMerge w:val="restart"/>
            <w:tcBorders>
              <w:top w:val="nil" w:sz="6" w:space="0" w:color="auto"/>
              <w:left w:val="nil" w:sz="6" w:space="0" w:color="auto"/>
              <w:right w:val="nil" w:sz="6" w:space="0" w:color="auto"/>
            </w:tcBorders>
          </w:tcPr>
          <w:p>
            <w:pPr/>
          </w:p>
        </w:tc>
        <w:tc>
          <w:tcPr>
            <w:tcW w:w="3077" w:type="dxa"/>
            <w:gridSpan w:val="3"/>
            <w:tcBorders>
              <w:top w:val="nil" w:sz="6" w:space="0" w:color="auto"/>
              <w:left w:val="nil" w:sz="6" w:space="0" w:color="auto"/>
              <w:bottom w:val="single" w:sz="4" w:space="0" w:color="000000"/>
              <w:right w:val="nil" w:sz="6" w:space="0" w:color="auto"/>
            </w:tcBorders>
          </w:tcPr>
          <w:p>
            <w:pPr>
              <w:pStyle w:val="TableParagraph"/>
              <w:spacing w:line="211" w:lineRule="exact"/>
              <w:ind w:left="1012"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3617"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396"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293" w:hRule="exact"/>
        </w:trPr>
        <w:tc>
          <w:tcPr>
            <w:tcW w:w="2042" w:type="dxa"/>
            <w:vMerge/>
            <w:tcBorders>
              <w:left w:val="nil" w:sz="6" w:space="0" w:color="auto"/>
              <w:bottom w:val="single" w:sz="4" w:space="0" w:color="000000"/>
              <w:right w:val="nil" w:sz="6" w:space="0" w:color="auto"/>
            </w:tcBorders>
          </w:tcPr>
          <w:p>
            <w:pPr/>
          </w:p>
        </w:tc>
        <w:tc>
          <w:tcPr>
            <w:tcW w:w="229" w:type="dxa"/>
            <w:vMerge/>
            <w:tcBorders>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4" w:space="0" w:color="000000"/>
              <w:right w:val="nil" w:sz="6" w:space="0" w:color="auto"/>
            </w:tcBorders>
          </w:tcPr>
          <w:p>
            <w:pPr>
              <w:pStyle w:val="TableParagraph"/>
              <w:spacing w:line="248"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228" w:type="dxa"/>
            <w:tcBorders>
              <w:top w:val="single" w:sz="4" w:space="0" w:color="000000"/>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single" w:sz="4" w:space="0" w:color="000000"/>
              <w:right w:val="nil" w:sz="6" w:space="0" w:color="auto"/>
            </w:tcBorders>
          </w:tcPr>
          <w:p>
            <w:pPr>
              <w:pStyle w:val="TableParagraph"/>
              <w:spacing w:line="248" w:lineRule="exact"/>
              <w:ind w:left="11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28"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8" w:lineRule="exact"/>
              <w:ind w:left="11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9"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8" w:lineRule="exact"/>
              <w:ind w:left="19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1" w:hRule="exact"/>
        </w:trPr>
        <w:tc>
          <w:tcPr>
            <w:tcW w:w="2042" w:type="dxa"/>
            <w:tcBorders>
              <w:top w:val="single" w:sz="4" w:space="0" w:color="000000"/>
              <w:left w:val="nil" w:sz="6" w:space="0" w:color="auto"/>
              <w:bottom w:val="nil" w:sz="6" w:space="0" w:color="auto"/>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归属于公司普通股股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29"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6"/>
              <w:jc w:val="right"/>
              <w:rPr>
                <w:rFonts w:ascii="宋体" w:hAnsi="宋体" w:cs="宋体" w:eastAsia="宋体" w:hint="default"/>
                <w:sz w:val="21"/>
                <w:szCs w:val="21"/>
              </w:rPr>
            </w:pPr>
            <w:r>
              <w:rPr>
                <w:rFonts w:ascii="宋体"/>
                <w:spacing w:val="-1"/>
                <w:sz w:val="21"/>
              </w:rPr>
              <w:t>0.70</w:t>
            </w:r>
          </w:p>
        </w:tc>
        <w:tc>
          <w:tcPr>
            <w:tcW w:w="228"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6"/>
              <w:jc w:val="right"/>
              <w:rPr>
                <w:rFonts w:ascii="宋体" w:hAnsi="宋体" w:cs="宋体" w:eastAsia="宋体" w:hint="default"/>
                <w:sz w:val="21"/>
                <w:szCs w:val="21"/>
              </w:rPr>
            </w:pPr>
            <w:r>
              <w:rPr>
                <w:rFonts w:ascii="宋体"/>
                <w:spacing w:val="-1"/>
                <w:sz w:val="21"/>
              </w:rPr>
              <w:t>0.70</w:t>
            </w:r>
          </w:p>
        </w:tc>
        <w:tc>
          <w:tcPr>
            <w:tcW w:w="228"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0.70</w:t>
            </w:r>
          </w:p>
        </w:tc>
        <w:tc>
          <w:tcPr>
            <w:tcW w:w="229"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9"/>
              <w:jc w:val="right"/>
              <w:rPr>
                <w:rFonts w:ascii="宋体" w:hAnsi="宋体" w:cs="宋体" w:eastAsia="宋体" w:hint="default"/>
                <w:sz w:val="21"/>
                <w:szCs w:val="21"/>
              </w:rPr>
            </w:pPr>
            <w:r>
              <w:rPr>
                <w:rFonts w:ascii="宋体"/>
                <w:sz w:val="21"/>
              </w:rPr>
              <w:t>0.70</w:t>
            </w:r>
          </w:p>
        </w:tc>
      </w:tr>
      <w:tr>
        <w:trPr>
          <w:trHeight w:val="787" w:hRule="exact"/>
        </w:trPr>
        <w:tc>
          <w:tcPr>
            <w:tcW w:w="2042" w:type="dxa"/>
            <w:tcBorders>
              <w:top w:val="nil" w:sz="6" w:space="0" w:color="auto"/>
              <w:left w:val="nil" w:sz="6" w:space="0" w:color="auto"/>
              <w:bottom w:val="nil" w:sz="6" w:space="0" w:color="auto"/>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40" w:lineRule="auto"/>
              <w:ind w:left="26" w:right="120"/>
              <w:jc w:val="left"/>
              <w:rPr>
                <w:rFonts w:ascii="宋体" w:hAnsi="宋体" w:cs="宋体" w:eastAsia="宋体" w:hint="default"/>
                <w:sz w:val="21"/>
                <w:szCs w:val="21"/>
              </w:rPr>
            </w:pPr>
            <w:r>
              <w:rPr>
                <w:rFonts w:ascii="宋体" w:hAnsi="宋体" w:cs="宋体" w:eastAsia="宋体" w:hint="default"/>
                <w:spacing w:val="-1"/>
                <w:sz w:val="21"/>
                <w:szCs w:val="21"/>
              </w:rPr>
              <w:t>归属于公司普通股股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东的净利润</w:t>
            </w:r>
          </w:p>
        </w:tc>
        <w:tc>
          <w:tcPr>
            <w:tcW w:w="22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0.68</w:t>
            </w:r>
          </w:p>
        </w:tc>
        <w:tc>
          <w:tcPr>
            <w:tcW w:w="228"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0.68</w:t>
            </w:r>
          </w:p>
        </w:tc>
        <w:tc>
          <w:tcPr>
            <w:tcW w:w="228"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0.69</w:t>
            </w:r>
          </w:p>
        </w:tc>
        <w:tc>
          <w:tcPr>
            <w:tcW w:w="229"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z w:val="21"/>
              </w:rPr>
              <w:t>0.69</w:t>
            </w:r>
          </w:p>
        </w:tc>
      </w:tr>
    </w:tbl>
    <w:p>
      <w:pPr>
        <w:pStyle w:val="BodyText"/>
        <w:tabs>
          <w:tab w:pos="1120" w:val="left" w:leader="none"/>
        </w:tabs>
        <w:spacing w:line="307" w:lineRule="auto" w:before="69"/>
        <w:ind w:left="640" w:right="1283" w:firstLine="2"/>
        <w:jc w:val="left"/>
      </w:pPr>
      <w:r>
        <w:rPr/>
        <w:t>⑵</w:t>
        <w:tab/>
        <w:t>基本每股收益和稀释每股收益的计算过程 </w:t>
      </w:r>
      <w:r>
        <w:rPr>
          <w:spacing w:val="-4"/>
        </w:rPr>
        <w:t>本报告期内，本公司不存在具有稀释性的潜在普通股，因此，稀释每股收益等于基</w:t>
      </w:r>
    </w:p>
    <w:p>
      <w:pPr>
        <w:pStyle w:val="BodyText"/>
        <w:spacing w:line="240" w:lineRule="auto" w:before="17"/>
        <w:ind w:left="160" w:right="1206"/>
        <w:jc w:val="left"/>
      </w:pPr>
      <w:r>
        <w:rPr/>
        <w:t>本每股收益。</w:t>
      </w:r>
    </w:p>
    <w:p>
      <w:pPr>
        <w:pStyle w:val="BodyText"/>
        <w:spacing w:line="240" w:lineRule="auto" w:before="87"/>
        <w:ind w:left="640" w:right="1206"/>
        <w:jc w:val="left"/>
      </w:pPr>
      <w:r>
        <w:rPr>
          <w:rFonts w:ascii="宋体" w:hAnsi="宋体" w:cs="宋体" w:eastAsia="宋体" w:hint="default"/>
        </w:rPr>
        <w:t>①</w:t>
      </w:r>
      <w:r>
        <w:rPr/>
        <w:t>计算基本每股收益时，归属于普通股股东的当期净利润为：</w:t>
      </w:r>
    </w:p>
    <w:p>
      <w:pPr>
        <w:spacing w:line="240" w:lineRule="auto" w:before="1"/>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5130"/>
        <w:gridCol w:w="262"/>
        <w:gridCol w:w="1697"/>
        <w:gridCol w:w="224"/>
        <w:gridCol w:w="1694"/>
      </w:tblGrid>
      <w:tr>
        <w:trPr>
          <w:trHeight w:val="249" w:hRule="exact"/>
        </w:trPr>
        <w:tc>
          <w:tcPr>
            <w:tcW w:w="5130" w:type="dxa"/>
            <w:tcBorders>
              <w:top w:val="nil" w:sz="6" w:space="0" w:color="auto"/>
              <w:left w:val="nil" w:sz="6" w:space="0" w:color="auto"/>
              <w:bottom w:val="single" w:sz="6"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6" w:space="0" w:color="000000"/>
              <w:right w:val="nil" w:sz="6" w:space="0" w:color="auto"/>
            </w:tcBorders>
          </w:tcPr>
          <w:p>
            <w:pPr>
              <w:pStyle w:val="TableParagraph"/>
              <w:spacing w:line="211" w:lineRule="exact"/>
              <w:ind w:left="324" w:right="0"/>
              <w:jc w:val="left"/>
              <w:rPr>
                <w:rFonts w:ascii="宋体" w:hAnsi="宋体" w:cs="宋体" w:eastAsia="宋体" w:hint="default"/>
                <w:sz w:val="21"/>
                <w:szCs w:val="21"/>
              </w:rPr>
            </w:pPr>
            <w:r>
              <w:rPr>
                <w:rFonts w:ascii="宋体" w:hAnsi="宋体" w:cs="宋体" w:eastAsia="宋体" w:hint="default"/>
                <w:sz w:val="21"/>
                <w:szCs w:val="21"/>
              </w:rPr>
              <w:t>本期发生数</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6" w:space="0" w:color="000000"/>
              <w:right w:val="nil" w:sz="6" w:space="0" w:color="auto"/>
            </w:tcBorders>
          </w:tcPr>
          <w:p>
            <w:pPr>
              <w:pStyle w:val="TableParagraph"/>
              <w:spacing w:line="211" w:lineRule="exact"/>
              <w:ind w:left="319" w:right="0"/>
              <w:jc w:val="left"/>
              <w:rPr>
                <w:rFonts w:ascii="宋体" w:hAnsi="宋体" w:cs="宋体" w:eastAsia="宋体" w:hint="default"/>
                <w:sz w:val="21"/>
                <w:szCs w:val="21"/>
              </w:rPr>
            </w:pPr>
            <w:r>
              <w:rPr>
                <w:rFonts w:ascii="宋体" w:hAnsi="宋体" w:cs="宋体" w:eastAsia="宋体" w:hint="default"/>
                <w:sz w:val="21"/>
                <w:szCs w:val="21"/>
              </w:rPr>
              <w:t>上期发生数</w:t>
            </w:r>
          </w:p>
        </w:tc>
      </w:tr>
      <w:tr>
        <w:trPr>
          <w:trHeight w:val="406" w:hRule="exact"/>
        </w:trPr>
        <w:tc>
          <w:tcPr>
            <w:tcW w:w="5130"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left="31" w:right="0"/>
              <w:jc w:val="left"/>
              <w:rPr>
                <w:rFonts w:ascii="宋体" w:hAnsi="宋体" w:cs="宋体" w:eastAsia="宋体" w:hint="default"/>
                <w:sz w:val="21"/>
                <w:szCs w:val="21"/>
              </w:rPr>
            </w:pPr>
            <w:r>
              <w:rPr>
                <w:rFonts w:ascii="宋体" w:hAnsi="宋体" w:cs="宋体" w:eastAsia="宋体" w:hint="default"/>
                <w:spacing w:val="-25"/>
                <w:sz w:val="21"/>
                <w:szCs w:val="21"/>
              </w:rPr>
              <w:t>归属于普通股股东的当期净利润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left="302" w:right="0"/>
              <w:jc w:val="left"/>
              <w:rPr>
                <w:rFonts w:ascii="宋体" w:hAnsi="宋体" w:cs="宋体" w:eastAsia="宋体" w:hint="default"/>
                <w:sz w:val="21"/>
                <w:szCs w:val="21"/>
              </w:rPr>
            </w:pPr>
            <w:r>
              <w:rPr>
                <w:rFonts w:ascii="宋体"/>
                <w:sz w:val="21"/>
              </w:rPr>
              <w:t>86,964,360.30</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left="295" w:right="0"/>
              <w:jc w:val="left"/>
              <w:rPr>
                <w:rFonts w:ascii="宋体" w:hAnsi="宋体" w:cs="宋体" w:eastAsia="宋体" w:hint="default"/>
                <w:sz w:val="21"/>
                <w:szCs w:val="21"/>
              </w:rPr>
            </w:pPr>
            <w:r>
              <w:rPr>
                <w:rFonts w:ascii="宋体"/>
                <w:sz w:val="21"/>
              </w:rPr>
              <w:t>79,194,442.06</w:t>
            </w:r>
          </w:p>
        </w:tc>
      </w:tr>
      <w:tr>
        <w:trPr>
          <w:trHeight w:val="360"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8" w:right="0"/>
              <w:jc w:val="left"/>
              <w:rPr>
                <w:rFonts w:ascii="宋体" w:hAnsi="宋体" w:cs="宋体" w:eastAsia="宋体" w:hint="default"/>
                <w:sz w:val="21"/>
                <w:szCs w:val="21"/>
              </w:rPr>
            </w:pPr>
            <w:r>
              <w:rPr>
                <w:rFonts w:ascii="宋体" w:hAnsi="宋体" w:cs="宋体" w:eastAsia="宋体" w:hint="default"/>
                <w:spacing w:val="-25"/>
                <w:sz w:val="21"/>
                <w:szCs w:val="21"/>
              </w:rPr>
              <w:t>其中：归属于持续经营的净利润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2" w:right="0"/>
              <w:jc w:val="left"/>
              <w:rPr>
                <w:rFonts w:ascii="宋体" w:hAnsi="宋体" w:cs="宋体" w:eastAsia="宋体" w:hint="default"/>
                <w:sz w:val="21"/>
                <w:szCs w:val="21"/>
              </w:rPr>
            </w:pPr>
            <w:r>
              <w:rPr>
                <w:rFonts w:ascii="宋体"/>
                <w:sz w:val="21"/>
              </w:rPr>
              <w:t>86,964,360.30</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5" w:right="0"/>
              <w:jc w:val="left"/>
              <w:rPr>
                <w:rFonts w:ascii="宋体" w:hAnsi="宋体" w:cs="宋体" w:eastAsia="宋体" w:hint="default"/>
                <w:sz w:val="21"/>
                <w:szCs w:val="21"/>
              </w:rPr>
            </w:pPr>
            <w:r>
              <w:rPr>
                <w:rFonts w:ascii="宋体"/>
                <w:sz w:val="21"/>
              </w:rPr>
              <w:t>79,194,442.06</w:t>
            </w:r>
          </w:p>
        </w:tc>
      </w:tr>
      <w:tr>
        <w:trPr>
          <w:trHeight w:val="355"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99" w:right="0"/>
              <w:jc w:val="left"/>
              <w:rPr>
                <w:rFonts w:ascii="宋体" w:hAnsi="宋体" w:cs="宋体" w:eastAsia="宋体" w:hint="default"/>
                <w:sz w:val="21"/>
                <w:szCs w:val="21"/>
              </w:rPr>
            </w:pPr>
            <w:r>
              <w:rPr>
                <w:rFonts w:ascii="宋体" w:hAnsi="宋体" w:cs="宋体" w:eastAsia="宋体" w:hint="default"/>
                <w:spacing w:val="-24"/>
                <w:sz w:val="21"/>
                <w:szCs w:val="21"/>
              </w:rPr>
              <w:t>归属于终止经营的净利润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r>
      <w:tr>
        <w:trPr>
          <w:trHeight w:val="365"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02" w:right="0"/>
              <w:jc w:val="left"/>
              <w:rPr>
                <w:rFonts w:ascii="宋体" w:hAnsi="宋体" w:cs="宋体" w:eastAsia="宋体" w:hint="default"/>
                <w:sz w:val="21"/>
                <w:szCs w:val="21"/>
              </w:rPr>
            </w:pPr>
            <w:r>
              <w:rPr>
                <w:rFonts w:ascii="宋体"/>
                <w:sz w:val="21"/>
              </w:rPr>
              <w:t>85,178,243.78</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5" w:right="0"/>
              <w:jc w:val="left"/>
              <w:rPr>
                <w:rFonts w:ascii="宋体" w:hAnsi="宋体" w:cs="宋体" w:eastAsia="宋体" w:hint="default"/>
                <w:sz w:val="21"/>
                <w:szCs w:val="21"/>
              </w:rPr>
            </w:pPr>
            <w:r>
              <w:rPr>
                <w:rFonts w:ascii="宋体"/>
                <w:sz w:val="21"/>
              </w:rPr>
              <w:t>77,934,107.98</w:t>
            </w:r>
          </w:p>
        </w:tc>
      </w:tr>
      <w:tr>
        <w:trPr>
          <w:trHeight w:val="338"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8" w:right="0"/>
              <w:jc w:val="left"/>
              <w:rPr>
                <w:rFonts w:ascii="宋体" w:hAnsi="宋体" w:cs="宋体" w:eastAsia="宋体" w:hint="default"/>
                <w:sz w:val="21"/>
                <w:szCs w:val="21"/>
              </w:rPr>
            </w:pPr>
            <w:r>
              <w:rPr>
                <w:rFonts w:ascii="宋体" w:hAnsi="宋体" w:cs="宋体" w:eastAsia="宋体" w:hint="default"/>
                <w:spacing w:val="-25"/>
                <w:sz w:val="21"/>
                <w:szCs w:val="21"/>
              </w:rPr>
              <w:t>其中：归属于持续经营的净利润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2" w:right="0"/>
              <w:jc w:val="left"/>
              <w:rPr>
                <w:rFonts w:ascii="宋体" w:hAnsi="宋体" w:cs="宋体" w:eastAsia="宋体" w:hint="default"/>
                <w:sz w:val="21"/>
                <w:szCs w:val="21"/>
              </w:rPr>
            </w:pPr>
            <w:r>
              <w:rPr>
                <w:rFonts w:ascii="宋体"/>
                <w:sz w:val="21"/>
              </w:rPr>
              <w:t>85,178,243.78</w:t>
            </w: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5" w:right="0"/>
              <w:jc w:val="left"/>
              <w:rPr>
                <w:rFonts w:ascii="宋体" w:hAnsi="宋体" w:cs="宋体" w:eastAsia="宋体" w:hint="default"/>
                <w:sz w:val="21"/>
                <w:szCs w:val="21"/>
              </w:rPr>
            </w:pPr>
            <w:r>
              <w:rPr>
                <w:rFonts w:ascii="宋体"/>
                <w:sz w:val="21"/>
              </w:rPr>
              <w:t>77,934,107.98</w:t>
            </w:r>
          </w:p>
        </w:tc>
      </w:tr>
      <w:tr>
        <w:trPr>
          <w:trHeight w:val="259"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59" w:lineRule="exact"/>
              <w:ind w:left="799" w:right="0"/>
              <w:jc w:val="left"/>
              <w:rPr>
                <w:rFonts w:ascii="宋体" w:hAnsi="宋体" w:cs="宋体" w:eastAsia="宋体" w:hint="default"/>
                <w:sz w:val="21"/>
                <w:szCs w:val="21"/>
              </w:rPr>
            </w:pPr>
            <w:r>
              <w:rPr>
                <w:rFonts w:ascii="宋体" w:hAnsi="宋体" w:cs="宋体" w:eastAsia="宋体" w:hint="default"/>
                <w:spacing w:val="-24"/>
                <w:sz w:val="21"/>
                <w:szCs w:val="21"/>
              </w:rPr>
              <w:t>归属于终止经营的净利润</w:t>
            </w:r>
          </w:p>
        </w:tc>
        <w:tc>
          <w:tcPr>
            <w:tcW w:w="262"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640" w:right="1206"/>
        <w:jc w:val="left"/>
      </w:pPr>
      <w:r>
        <w:rPr/>
        <w:t>②计算基本每股收益时，分母为发行在外普通股加权平均数，计算过程如下：</w:t>
      </w:r>
    </w:p>
    <w:p>
      <w:pPr>
        <w:spacing w:line="240" w:lineRule="auto" w:before="1"/>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5132"/>
        <w:gridCol w:w="266"/>
        <w:gridCol w:w="1706"/>
        <w:gridCol w:w="209"/>
        <w:gridCol w:w="1706"/>
      </w:tblGrid>
      <w:tr>
        <w:trPr>
          <w:trHeight w:val="249" w:hRule="exact"/>
        </w:trPr>
        <w:tc>
          <w:tcPr>
            <w:tcW w:w="5132" w:type="dxa"/>
            <w:tcBorders>
              <w:top w:val="nil" w:sz="6" w:space="0" w:color="auto"/>
              <w:left w:val="nil" w:sz="6" w:space="0" w:color="auto"/>
              <w:bottom w:val="single" w:sz="6"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6" w:space="0" w:color="000000"/>
              <w:right w:val="nil" w:sz="6" w:space="0" w:color="auto"/>
            </w:tcBorders>
          </w:tcPr>
          <w:p>
            <w:pPr>
              <w:pStyle w:val="TableParagraph"/>
              <w:spacing w:line="211" w:lineRule="exact"/>
              <w:ind w:left="32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6" w:space="0" w:color="000000"/>
              <w:right w:val="nil" w:sz="6" w:space="0" w:color="auto"/>
            </w:tcBorders>
          </w:tcPr>
          <w:p>
            <w:pPr>
              <w:pStyle w:val="TableParagraph"/>
              <w:spacing w:line="211" w:lineRule="exact"/>
              <w:ind w:left="326"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06" w:hRule="exact"/>
        </w:trPr>
        <w:tc>
          <w:tcPr>
            <w:tcW w:w="5132"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left="31" w:right="0"/>
              <w:jc w:val="left"/>
              <w:rPr>
                <w:rFonts w:ascii="宋体" w:hAnsi="宋体" w:cs="宋体" w:eastAsia="宋体" w:hint="default"/>
                <w:sz w:val="21"/>
                <w:szCs w:val="21"/>
              </w:rPr>
            </w:pPr>
            <w:r>
              <w:rPr>
                <w:rFonts w:ascii="宋体" w:hAnsi="宋体" w:cs="宋体" w:eastAsia="宋体" w:hint="default"/>
                <w:sz w:val="21"/>
                <w:szCs w:val="21"/>
              </w:rPr>
              <w:t>期初发行在外的普通股股数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21"/>
                <w:szCs w:val="21"/>
              </w:rPr>
            </w:pPr>
            <w:r>
              <w:rPr>
                <w:rFonts w:ascii="宋体"/>
                <w:spacing w:val="-1"/>
                <w:sz w:val="21"/>
              </w:rPr>
              <w:t>124,124,172</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21"/>
                <w:szCs w:val="21"/>
              </w:rPr>
            </w:pPr>
            <w:r>
              <w:rPr>
                <w:rFonts w:ascii="宋体"/>
                <w:spacing w:val="-1"/>
                <w:sz w:val="21"/>
              </w:rPr>
              <w:t>110,000,000</w:t>
            </w:r>
          </w:p>
        </w:tc>
      </w:tr>
      <w:tr>
        <w:trPr>
          <w:trHeight w:val="338"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宋体" w:hAnsi="宋体" w:cs="宋体" w:eastAsia="宋体" w:hint="default"/>
                <w:sz w:val="21"/>
                <w:szCs w:val="21"/>
              </w:rPr>
            </w:pPr>
            <w:r>
              <w:rPr>
                <w:rFonts w:ascii="宋体"/>
                <w:spacing w:val="-1"/>
                <w:sz w:val="21"/>
              </w:rPr>
              <w:t>381,667</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宋体" w:hAnsi="宋体" w:cs="宋体" w:eastAsia="宋体" w:hint="default"/>
                <w:sz w:val="21"/>
                <w:szCs w:val="21"/>
              </w:rPr>
            </w:pPr>
            <w:r>
              <w:rPr>
                <w:rFonts w:ascii="宋体"/>
                <w:spacing w:val="-1"/>
                <w:sz w:val="21"/>
              </w:rPr>
              <w:t>3,531,043</w:t>
            </w:r>
          </w:p>
        </w:tc>
      </w:tr>
      <w:tr>
        <w:trPr>
          <w:trHeight w:val="323"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59" w:lineRule="exact"/>
              <w:ind w:left="31"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308"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期末发行在外的普通股加权数</w:t>
            </w:r>
          </w:p>
        </w:tc>
        <w:tc>
          <w:tcPr>
            <w:tcW w:w="26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宋体" w:hAnsi="宋体" w:cs="宋体" w:eastAsia="宋体" w:hint="default"/>
                <w:sz w:val="21"/>
                <w:szCs w:val="21"/>
              </w:rPr>
            </w:pPr>
            <w:r>
              <w:rPr>
                <w:rFonts w:ascii="宋体"/>
                <w:spacing w:val="-1"/>
                <w:sz w:val="21"/>
              </w:rPr>
              <w:t>124,505,839</w:t>
            </w:r>
          </w:p>
        </w:tc>
        <w:tc>
          <w:tcPr>
            <w:tcW w:w="20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宋体" w:hAnsi="宋体" w:cs="宋体" w:eastAsia="宋体" w:hint="default"/>
                <w:sz w:val="21"/>
                <w:szCs w:val="21"/>
              </w:rPr>
            </w:pPr>
            <w:r>
              <w:rPr>
                <w:rFonts w:ascii="宋体"/>
                <w:spacing w:val="-1"/>
                <w:sz w:val="21"/>
              </w:rPr>
              <w:t>113,531,043</w:t>
            </w:r>
          </w:p>
        </w:tc>
      </w:tr>
    </w:tbl>
    <w:p>
      <w:pPr>
        <w:spacing w:after="0" w:line="240" w:lineRule="auto"/>
        <w:jc w:val="right"/>
        <w:rPr>
          <w:rFonts w:ascii="宋体" w:hAnsi="宋体" w:cs="宋体" w:eastAsia="宋体" w:hint="default"/>
          <w:sz w:val="21"/>
          <w:szCs w:val="21"/>
        </w:rPr>
        <w:sectPr>
          <w:pgSz w:w="11910" w:h="16840"/>
          <w:pgMar w:header="731" w:footer="956" w:top="1100" w:bottom="1140" w:left="1460" w:right="0"/>
        </w:sectPr>
      </w:pPr>
    </w:p>
    <w:p>
      <w:pPr>
        <w:spacing w:line="240" w:lineRule="auto" w:before="2"/>
        <w:rPr>
          <w:rFonts w:ascii="宋体" w:hAnsi="宋体" w:cs="宋体" w:eastAsia="宋体" w:hint="default"/>
          <w:sz w:val="28"/>
          <w:szCs w:val="28"/>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40</w:t>
      </w:r>
      <w:r>
        <w:rPr>
          <w:w w:val="90"/>
        </w:rPr>
        <w:t>、</w:t>
        <w:tab/>
      </w:r>
      <w:r>
        <w:rPr/>
        <w:t>现金流量表项目注释</w:t>
      </w:r>
      <w:r>
        <w:rPr>
          <w:b w:val="0"/>
          <w:bCs w:val="0"/>
        </w:rPr>
      </w:r>
    </w:p>
    <w:p>
      <w:pPr>
        <w:pStyle w:val="BodyText"/>
        <w:tabs>
          <w:tab w:pos="1120" w:val="left" w:leader="none"/>
        </w:tabs>
        <w:spacing w:line="240" w:lineRule="auto" w:before="210"/>
        <w:ind w:left="640" w:right="1206"/>
        <w:jc w:val="left"/>
      </w:pPr>
      <w:r>
        <w:rPr/>
        <w:t>⑴</w:t>
        <w:tab/>
        <w:t>收到其他与经营活动有关的现金</w:t>
      </w:r>
    </w:p>
    <w:p>
      <w:pPr>
        <w:spacing w:line="240" w:lineRule="auto" w:before="4"/>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3024"/>
        <w:gridCol w:w="1603"/>
        <w:gridCol w:w="1896"/>
        <w:gridCol w:w="288"/>
        <w:gridCol w:w="1868"/>
      </w:tblGrid>
      <w:tr>
        <w:trPr>
          <w:trHeight w:val="253" w:hRule="exact"/>
        </w:trPr>
        <w:tc>
          <w:tcPr>
            <w:tcW w:w="3024" w:type="dxa"/>
            <w:tcBorders>
              <w:top w:val="nil" w:sz="6" w:space="0" w:color="auto"/>
              <w:left w:val="nil" w:sz="6" w:space="0" w:color="auto"/>
              <w:bottom w:val="single" w:sz="8" w:space="0" w:color="000000"/>
              <w:right w:val="nil" w:sz="6" w:space="0" w:color="auto"/>
            </w:tcBorders>
          </w:tcPr>
          <w:p>
            <w:pPr>
              <w:pStyle w:val="TableParagraph"/>
              <w:tabs>
                <w:tab w:pos="525" w:val="left" w:leader="none"/>
              </w:tabs>
              <w:spacing w:line="211" w:lineRule="exact"/>
              <w:ind w:right="114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8" w:space="0" w:color="000000"/>
              <w:right w:val="nil" w:sz="6" w:space="0" w:color="auto"/>
            </w:tcBorders>
          </w:tcPr>
          <w:p>
            <w:pPr>
              <w:pStyle w:val="TableParagraph"/>
              <w:spacing w:line="211" w:lineRule="exact"/>
              <w:ind w:left="42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8" w:space="0" w:color="000000"/>
              <w:right w:val="nil" w:sz="6" w:space="0" w:color="auto"/>
            </w:tcBorders>
          </w:tcPr>
          <w:p>
            <w:pPr>
              <w:pStyle w:val="TableParagraph"/>
              <w:spacing w:line="211" w:lineRule="exact"/>
              <w:ind w:left="41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69" w:hRule="exact"/>
        </w:trPr>
        <w:tc>
          <w:tcPr>
            <w:tcW w:w="3024"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2,030,186.94</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100"/>
              <w:jc w:val="right"/>
              <w:rPr>
                <w:rFonts w:ascii="宋体" w:hAnsi="宋体" w:cs="宋体" w:eastAsia="宋体" w:hint="default"/>
                <w:sz w:val="21"/>
                <w:szCs w:val="21"/>
              </w:rPr>
            </w:pPr>
            <w:r>
              <w:rPr>
                <w:rFonts w:ascii="宋体"/>
                <w:spacing w:val="-1"/>
                <w:sz w:val="21"/>
              </w:rPr>
              <w:t>1,356,370.00</w:t>
            </w:r>
          </w:p>
        </w:tc>
      </w:tr>
      <w:tr>
        <w:trPr>
          <w:trHeight w:val="397"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收到的利息</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3,817,754.50</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1,172,712.22</w:t>
            </w:r>
          </w:p>
        </w:tc>
      </w:tr>
      <w:tr>
        <w:trPr>
          <w:trHeight w:val="396"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1,686,400.00</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952,000.00</w:t>
            </w:r>
          </w:p>
        </w:tc>
      </w:tr>
      <w:tr>
        <w:trPr>
          <w:trHeight w:val="397"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收取的罚款</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2,000.00</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10,420.50</w:t>
            </w:r>
          </w:p>
        </w:tc>
      </w:tr>
      <w:tr>
        <w:trPr>
          <w:trHeight w:val="397"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收保证金</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3,522,246.36</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358,100.00</w:t>
            </w:r>
          </w:p>
        </w:tc>
      </w:tr>
      <w:tr>
        <w:trPr>
          <w:trHeight w:val="398"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收回备用金</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1,132,625.13</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893,942.58</w:t>
            </w:r>
          </w:p>
        </w:tc>
      </w:tr>
      <w:tr>
        <w:trPr>
          <w:trHeight w:val="398"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收押金</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10,750.00</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328,051.00</w:t>
            </w:r>
          </w:p>
        </w:tc>
      </w:tr>
      <w:tr>
        <w:trPr>
          <w:trHeight w:val="396"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暂收款</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7,398,504.69</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4,147,458.60</w:t>
            </w:r>
          </w:p>
        </w:tc>
      </w:tr>
      <w:tr>
        <w:trPr>
          <w:trHeight w:val="346"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3,663,068.13</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87,844.98</w:t>
            </w:r>
          </w:p>
        </w:tc>
      </w:tr>
      <w:tr>
        <w:trPr>
          <w:trHeight w:val="430" w:hRule="exact"/>
        </w:trPr>
        <w:tc>
          <w:tcPr>
            <w:tcW w:w="3024"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38"/>
              <w:ind w:right="114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03" w:type="dxa"/>
            <w:tcBorders>
              <w:top w:val="nil" w:sz="6" w:space="0" w:color="auto"/>
              <w:left w:val="nil" w:sz="6" w:space="0" w:color="auto"/>
              <w:bottom w:val="nil" w:sz="6" w:space="0" w:color="auto"/>
              <w:right w:val="nil" w:sz="6" w:space="0" w:color="auto"/>
            </w:tcBorders>
          </w:tcPr>
          <w:p>
            <w:pPr/>
          </w:p>
        </w:tc>
        <w:tc>
          <w:tcPr>
            <w:tcW w:w="1896"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23,263,535.75</w:t>
            </w:r>
          </w:p>
        </w:tc>
        <w:tc>
          <w:tcPr>
            <w:tcW w:w="288" w:type="dxa"/>
            <w:tcBorders>
              <w:top w:val="nil" w:sz="6" w:space="0" w:color="auto"/>
              <w:left w:val="nil" w:sz="6" w:space="0" w:color="auto"/>
              <w:bottom w:val="nil" w:sz="6" w:space="0" w:color="auto"/>
              <w:right w:val="nil" w:sz="6" w:space="0" w:color="auto"/>
            </w:tcBorders>
          </w:tcPr>
          <w:p>
            <w:pPr/>
          </w:p>
        </w:tc>
        <w:tc>
          <w:tcPr>
            <w:tcW w:w="1868" w:type="dxa"/>
            <w:tcBorders>
              <w:top w:val="single" w:sz="8" w:space="0" w:color="000000"/>
              <w:left w:val="nil" w:sz="6" w:space="0" w:color="auto"/>
              <w:bottom w:val="single" w:sz="17" w:space="0" w:color="000000"/>
              <w:right w:val="nil" w:sz="6" w:space="0" w:color="auto"/>
            </w:tcBorders>
          </w:tcPr>
          <w:p>
            <w:pPr>
              <w:pStyle w:val="TableParagraph"/>
              <w:spacing w:line="240" w:lineRule="auto" w:before="90"/>
              <w:ind w:right="100"/>
              <w:jc w:val="right"/>
              <w:rPr>
                <w:rFonts w:ascii="宋体" w:hAnsi="宋体" w:cs="宋体" w:eastAsia="宋体" w:hint="default"/>
                <w:sz w:val="21"/>
                <w:szCs w:val="21"/>
              </w:rPr>
            </w:pPr>
            <w:r>
              <w:rPr>
                <w:rFonts w:ascii="宋体"/>
                <w:spacing w:val="-1"/>
                <w:sz w:val="21"/>
              </w:rPr>
              <w:t>9,306,899.88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26"/>
        <w:ind w:left="640" w:right="1206"/>
        <w:jc w:val="left"/>
      </w:pPr>
      <w:r>
        <w:rPr/>
        <w:t>⑵ 支付其他与经营活动有关的现金</w:t>
      </w:r>
    </w:p>
    <w:p>
      <w:pPr>
        <w:spacing w:line="240" w:lineRule="auto" w:before="11"/>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3082"/>
        <w:gridCol w:w="1531"/>
        <w:gridCol w:w="1911"/>
        <w:gridCol w:w="334"/>
        <w:gridCol w:w="1752"/>
      </w:tblGrid>
      <w:tr>
        <w:trPr>
          <w:trHeight w:val="251" w:hRule="exact"/>
        </w:trPr>
        <w:tc>
          <w:tcPr>
            <w:tcW w:w="3082" w:type="dxa"/>
            <w:tcBorders>
              <w:top w:val="nil" w:sz="6" w:space="0" w:color="auto"/>
              <w:left w:val="nil" w:sz="6" w:space="0" w:color="auto"/>
              <w:bottom w:val="single" w:sz="8" w:space="0" w:color="000000"/>
              <w:right w:val="nil" w:sz="6" w:space="0" w:color="auto"/>
            </w:tcBorders>
          </w:tcPr>
          <w:p>
            <w:pPr>
              <w:pStyle w:val="TableParagraph"/>
              <w:tabs>
                <w:tab w:pos="422" w:val="left" w:leader="none"/>
              </w:tabs>
              <w:spacing w:line="211" w:lineRule="exact"/>
              <w:ind w:right="122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single" w:sz="8" w:space="0" w:color="000000"/>
              <w:right w:val="nil" w:sz="6" w:space="0" w:color="auto"/>
            </w:tcBorders>
          </w:tcPr>
          <w:p>
            <w:pPr>
              <w:pStyle w:val="TableParagraph"/>
              <w:spacing w:line="211" w:lineRule="exact"/>
              <w:ind w:left="432"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single" w:sz="8" w:space="0" w:color="000000"/>
              <w:right w:val="nil" w:sz="6" w:space="0" w:color="auto"/>
            </w:tcBorders>
          </w:tcPr>
          <w:p>
            <w:pPr>
              <w:pStyle w:val="TableParagraph"/>
              <w:spacing w:line="211" w:lineRule="exact"/>
              <w:ind w:left="35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92" w:hRule="exact"/>
        </w:trPr>
        <w:tc>
          <w:tcPr>
            <w:tcW w:w="3082"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w w:val="95"/>
                <w:sz w:val="20"/>
              </w:rPr>
              <w:t>6,400,116.54</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20"/>
                <w:szCs w:val="20"/>
              </w:rPr>
            </w:pPr>
            <w:r>
              <w:rPr>
                <w:rFonts w:ascii="宋体"/>
                <w:w w:val="95"/>
                <w:sz w:val="20"/>
              </w:rPr>
              <w:t>14,218,065.26</w:t>
            </w:r>
            <w:r>
              <w:rPr>
                <w:rFonts w:ascii="宋体"/>
                <w:sz w:val="20"/>
              </w:rPr>
            </w:r>
          </w:p>
        </w:tc>
      </w:tr>
      <w:tr>
        <w:trPr>
          <w:trHeight w:val="341"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19,813,171.91</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w w:val="95"/>
                <w:sz w:val="20"/>
              </w:rPr>
              <w:t>18,994,341.72</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交际费</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15,295,566.63</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w w:val="95"/>
                <w:sz w:val="20"/>
              </w:rPr>
              <w:t>12,506,139.12</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1,051,074.96</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宋体" w:hAnsi="宋体" w:cs="宋体" w:eastAsia="宋体" w:hint="default"/>
                <w:sz w:val="20"/>
                <w:szCs w:val="20"/>
              </w:rPr>
            </w:pPr>
            <w:r>
              <w:rPr>
                <w:rFonts w:ascii="宋体"/>
                <w:w w:val="95"/>
                <w:sz w:val="20"/>
              </w:rPr>
              <w:t>837,967.50</w:t>
            </w:r>
            <w:r>
              <w:rPr>
                <w:rFonts w:ascii="宋体"/>
                <w:sz w:val="20"/>
              </w:rPr>
            </w:r>
          </w:p>
        </w:tc>
      </w:tr>
      <w:tr>
        <w:trPr>
          <w:trHeight w:val="341"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差旅费及交通费等</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14,755,425.60</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w w:val="95"/>
                <w:sz w:val="20"/>
              </w:rPr>
              <w:t>7,915,926.78</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2,398,597.47</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w w:val="95"/>
                <w:sz w:val="20"/>
              </w:rPr>
              <w:t>810,002.02</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82,820.00</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宋体" w:hAnsi="宋体" w:cs="宋体" w:eastAsia="宋体" w:hint="default"/>
                <w:sz w:val="20"/>
                <w:szCs w:val="20"/>
              </w:rPr>
            </w:pPr>
            <w:r>
              <w:rPr>
                <w:rFonts w:ascii="宋体"/>
                <w:w w:val="95"/>
                <w:sz w:val="20"/>
              </w:rPr>
              <w:t>1,212,593.10</w:t>
            </w:r>
            <w:r>
              <w:rPr>
                <w:rFonts w:ascii="宋体"/>
                <w:sz w:val="20"/>
              </w:rPr>
            </w:r>
          </w:p>
        </w:tc>
      </w:tr>
      <w:tr>
        <w:trPr>
          <w:trHeight w:val="341"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董事会费用</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353,067.00</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w w:val="95"/>
                <w:sz w:val="20"/>
              </w:rPr>
              <w:t>597,809.98</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支付的备用金</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95"/>
                <w:sz w:val="20"/>
              </w:rPr>
              <w:t>11,705,261.67</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w w:val="95"/>
                <w:sz w:val="20"/>
              </w:rPr>
              <w:t>9,463,940.96</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租金</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1,665,688.00</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宋体" w:hAnsi="宋体" w:cs="宋体" w:eastAsia="宋体" w:hint="default"/>
                <w:sz w:val="20"/>
                <w:szCs w:val="20"/>
              </w:rPr>
            </w:pPr>
            <w:r>
              <w:rPr>
                <w:rFonts w:ascii="宋体"/>
                <w:w w:val="95"/>
                <w:sz w:val="20"/>
              </w:rPr>
              <w:t>1,090,280.14</w:t>
            </w:r>
            <w:r>
              <w:rPr>
                <w:rFonts w:ascii="宋体"/>
                <w:sz w:val="20"/>
              </w:rPr>
            </w:r>
          </w:p>
        </w:tc>
      </w:tr>
      <w:tr>
        <w:trPr>
          <w:trHeight w:val="341"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350,000.00</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w w:val="95"/>
                <w:sz w:val="20"/>
              </w:rPr>
              <w:t>416,000.00</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手续费</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114,893.43</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w w:val="95"/>
                <w:sz w:val="20"/>
              </w:rPr>
              <w:t>1,051,678.10</w:t>
            </w:r>
            <w:r>
              <w:rPr>
                <w:rFonts w:ascii="宋体"/>
                <w:sz w:val="20"/>
              </w:rPr>
            </w:r>
          </w:p>
        </w:tc>
      </w:tr>
      <w:tr>
        <w:trPr>
          <w:trHeight w:val="34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5,110,747.02</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宋体" w:hAnsi="宋体" w:cs="宋体" w:eastAsia="宋体" w:hint="default"/>
                <w:sz w:val="20"/>
                <w:szCs w:val="20"/>
              </w:rPr>
            </w:pPr>
            <w:r>
              <w:rPr>
                <w:rFonts w:ascii="宋体"/>
                <w:w w:val="95"/>
                <w:sz w:val="20"/>
              </w:rPr>
              <w:t>2,437,806.70</w:t>
            </w:r>
            <w:r>
              <w:rPr>
                <w:rFonts w:ascii="宋体"/>
                <w:sz w:val="20"/>
              </w:rPr>
            </w:r>
          </w:p>
        </w:tc>
      </w:tr>
      <w:tr>
        <w:trPr>
          <w:trHeight w:val="309"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95"/>
                <w:sz w:val="20"/>
              </w:rPr>
              <w:t>531,634.90</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103"/>
              <w:jc w:val="right"/>
              <w:rPr>
                <w:rFonts w:ascii="宋体" w:hAnsi="宋体" w:cs="宋体" w:eastAsia="宋体" w:hint="default"/>
                <w:sz w:val="20"/>
                <w:szCs w:val="20"/>
              </w:rPr>
            </w:pPr>
            <w:r>
              <w:rPr>
                <w:rFonts w:ascii="宋体"/>
                <w:w w:val="95"/>
                <w:sz w:val="20"/>
              </w:rPr>
              <w:t>6,971,497.28</w:t>
            </w:r>
            <w:r>
              <w:rPr>
                <w:rFonts w:ascii="宋体"/>
                <w:sz w:val="20"/>
              </w:rPr>
            </w:r>
          </w:p>
        </w:tc>
      </w:tr>
      <w:tr>
        <w:trPr>
          <w:trHeight w:val="374" w:hRule="exact"/>
        </w:trPr>
        <w:tc>
          <w:tcPr>
            <w:tcW w:w="308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8"/>
              <w:ind w:right="118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531" w:type="dxa"/>
            <w:tcBorders>
              <w:top w:val="nil" w:sz="6" w:space="0" w:color="auto"/>
              <w:left w:val="nil" w:sz="6" w:space="0" w:color="auto"/>
              <w:bottom w:val="nil" w:sz="6" w:space="0" w:color="auto"/>
              <w:right w:val="nil" w:sz="6" w:space="0" w:color="auto"/>
            </w:tcBorders>
          </w:tcPr>
          <w:p>
            <w:pPr/>
          </w:p>
        </w:tc>
        <w:tc>
          <w:tcPr>
            <w:tcW w:w="1911"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w w:val="95"/>
                <w:sz w:val="20"/>
              </w:rPr>
              <w:t>79,628,065.13</w:t>
            </w:r>
            <w:r>
              <w:rPr>
                <w:rFonts w:ascii="宋体"/>
                <w:sz w:val="20"/>
              </w:rPr>
            </w:r>
          </w:p>
        </w:tc>
        <w:tc>
          <w:tcPr>
            <w:tcW w:w="334" w:type="dxa"/>
            <w:tcBorders>
              <w:top w:val="nil" w:sz="6" w:space="0" w:color="auto"/>
              <w:left w:val="nil" w:sz="6" w:space="0" w:color="auto"/>
              <w:bottom w:val="nil" w:sz="6" w:space="0" w:color="auto"/>
              <w:right w:val="nil" w:sz="6" w:space="0" w:color="auto"/>
            </w:tcBorders>
          </w:tcPr>
          <w:p>
            <w:pPr/>
          </w:p>
        </w:tc>
        <w:tc>
          <w:tcPr>
            <w:tcW w:w="1752"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4"/>
              <w:jc w:val="right"/>
              <w:rPr>
                <w:rFonts w:ascii="宋体" w:hAnsi="宋体" w:cs="宋体" w:eastAsia="宋体" w:hint="default"/>
                <w:sz w:val="20"/>
                <w:szCs w:val="20"/>
              </w:rPr>
            </w:pPr>
            <w:r>
              <w:rPr>
                <w:rFonts w:ascii="宋体"/>
                <w:w w:val="95"/>
                <w:sz w:val="20"/>
              </w:rPr>
              <w:t>78,524,048.66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31" w:footer="956" w:top="1100" w:bottom="1140" w:left="1460" w:right="0"/>
        </w:sectPr>
      </w:pPr>
    </w:p>
    <w:p>
      <w:pPr>
        <w:spacing w:line="240" w:lineRule="auto" w:before="2"/>
        <w:rPr>
          <w:rFonts w:ascii="宋体" w:hAnsi="宋体" w:cs="宋体" w:eastAsia="宋体" w:hint="default"/>
          <w:sz w:val="28"/>
          <w:szCs w:val="28"/>
        </w:rPr>
      </w:pPr>
    </w:p>
    <w:p>
      <w:pPr>
        <w:pStyle w:val="Heading3"/>
        <w:tabs>
          <w:tab w:pos="1420" w:val="left" w:leader="none"/>
        </w:tabs>
        <w:spacing w:line="367" w:lineRule="exact"/>
        <w:ind w:left="640" w:right="1206"/>
        <w:jc w:val="left"/>
        <w:rPr>
          <w:b w:val="0"/>
          <w:bCs w:val="0"/>
        </w:rPr>
      </w:pPr>
      <w:r>
        <w:rPr>
          <w:rFonts w:ascii="Trebuchet MS" w:hAnsi="Trebuchet MS" w:cs="Trebuchet MS" w:eastAsia="Trebuchet MS" w:hint="default"/>
          <w:w w:val="90"/>
        </w:rPr>
        <w:t>41</w:t>
      </w:r>
      <w:r>
        <w:rPr>
          <w:w w:val="90"/>
        </w:rPr>
        <w:t>、</w:t>
        <w:tab/>
      </w:r>
      <w:r>
        <w:rPr/>
        <w:t>现金流量表补充资料</w:t>
      </w:r>
      <w:r>
        <w:rPr>
          <w:b w:val="0"/>
          <w:bCs w:val="0"/>
        </w:rPr>
      </w:r>
    </w:p>
    <w:p>
      <w:pPr>
        <w:pStyle w:val="BodyText"/>
        <w:tabs>
          <w:tab w:pos="1074" w:val="left" w:leader="none"/>
        </w:tabs>
        <w:spacing w:line="240" w:lineRule="auto" w:before="64"/>
        <w:ind w:left="594" w:right="1206"/>
        <w:jc w:val="left"/>
      </w:pPr>
      <w:r>
        <w:rPr/>
        <w:t>⑴</w:t>
        <w:tab/>
        <w:t>将净利润调节为经营活动现金流量的信息</w:t>
      </w:r>
    </w:p>
    <w:p>
      <w:pPr>
        <w:spacing w:line="240" w:lineRule="auto" w:before="6"/>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5233"/>
        <w:gridCol w:w="334"/>
        <w:gridCol w:w="1630"/>
        <w:gridCol w:w="289"/>
        <w:gridCol w:w="1560"/>
      </w:tblGrid>
      <w:tr>
        <w:trPr>
          <w:trHeight w:val="212" w:hRule="exact"/>
        </w:trPr>
        <w:tc>
          <w:tcPr>
            <w:tcW w:w="5233"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180" w:lineRule="exact"/>
              <w:ind w:left="45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99" w:hRule="exact"/>
        </w:trPr>
        <w:tc>
          <w:tcPr>
            <w:tcW w:w="5233" w:type="dxa"/>
            <w:tcBorders>
              <w:top w:val="single" w:sz="4" w:space="0" w:color="000000"/>
              <w:left w:val="nil" w:sz="6" w:space="0" w:color="auto"/>
              <w:bottom w:val="nil" w:sz="6" w:space="0" w:color="auto"/>
              <w:right w:val="nil" w:sz="6" w:space="0" w:color="auto"/>
            </w:tcBorders>
          </w:tcPr>
          <w:p>
            <w:pPr>
              <w:pStyle w:val="TableParagraph"/>
              <w:spacing w:line="250" w:lineRule="exact"/>
              <w:ind w:left="28"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r>
      <w:tr>
        <w:trPr>
          <w:trHeight w:val="296"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65"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
              <w:jc w:val="right"/>
              <w:rPr>
                <w:rFonts w:ascii="宋体" w:hAnsi="宋体" w:cs="宋体" w:eastAsia="宋体" w:hint="default"/>
                <w:sz w:val="18"/>
                <w:szCs w:val="18"/>
              </w:rPr>
            </w:pPr>
            <w:r>
              <w:rPr>
                <w:rFonts w:ascii="宋体"/>
                <w:spacing w:val="-1"/>
                <w:sz w:val="18"/>
              </w:rPr>
              <w:t>96,156,349.54</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8"/>
                <w:szCs w:val="18"/>
              </w:rPr>
            </w:pPr>
            <w:r>
              <w:rPr>
                <w:rFonts w:ascii="宋体"/>
                <w:spacing w:val="-1"/>
                <w:sz w:val="18"/>
              </w:rPr>
              <w:t>87,071,658.79</w:t>
            </w:r>
          </w:p>
        </w:tc>
      </w:tr>
      <w:tr>
        <w:trPr>
          <w:trHeight w:val="28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2,236,733.57</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2,035,981.94</w:t>
            </w:r>
          </w:p>
        </w:tc>
      </w:tr>
      <w:tr>
        <w:trPr>
          <w:trHeight w:val="28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0" w:lineRule="exact"/>
              <w:ind w:left="38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0" w:lineRule="exact"/>
              <w:ind w:right="24"/>
              <w:jc w:val="right"/>
              <w:rPr>
                <w:rFonts w:ascii="宋体" w:hAnsi="宋体" w:cs="宋体" w:eastAsia="宋体" w:hint="default"/>
                <w:sz w:val="18"/>
                <w:szCs w:val="18"/>
              </w:rPr>
            </w:pPr>
            <w:r>
              <w:rPr>
                <w:rFonts w:ascii="宋体"/>
                <w:spacing w:val="-1"/>
                <w:sz w:val="18"/>
              </w:rPr>
              <w:t>61,326,308.92</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0" w:lineRule="exact"/>
              <w:ind w:right="26"/>
              <w:jc w:val="right"/>
              <w:rPr>
                <w:rFonts w:ascii="宋体" w:hAnsi="宋体" w:cs="宋体" w:eastAsia="宋体" w:hint="default"/>
                <w:sz w:val="18"/>
                <w:szCs w:val="18"/>
              </w:rPr>
            </w:pPr>
            <w:r>
              <w:rPr>
                <w:rFonts w:ascii="宋体"/>
                <w:spacing w:val="-1"/>
                <w:sz w:val="18"/>
              </w:rPr>
              <w:t>51,091,388.63</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1,792,769.65</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2,180,440.79</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347,029.98</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291,502.68</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455,159.53</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323,504.89</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84"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84"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219,285.84</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7,999,255.35</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-544,645.91</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331,949.47</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z w:val="18"/>
              </w:rPr>
              <w:t>-</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3,989,281.18</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42,330.92</w:t>
            </w:r>
          </w:p>
        </w:tc>
      </w:tr>
      <w:tr>
        <w:trPr>
          <w:trHeight w:val="28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-17,230,725.45</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-5,380,622.49</w:t>
            </w:r>
          </w:p>
        </w:tc>
      </w:tr>
      <w:tr>
        <w:trPr>
          <w:trHeight w:val="28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0" w:lineRule="exact"/>
              <w:ind w:left="38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0" w:lineRule="exact"/>
              <w:ind w:right="24"/>
              <w:jc w:val="right"/>
              <w:rPr>
                <w:rFonts w:ascii="宋体" w:hAnsi="宋体" w:cs="宋体" w:eastAsia="宋体" w:hint="default"/>
                <w:sz w:val="18"/>
                <w:szCs w:val="18"/>
              </w:rPr>
            </w:pPr>
            <w:r>
              <w:rPr>
                <w:rFonts w:ascii="宋体"/>
                <w:spacing w:val="-1"/>
                <w:sz w:val="18"/>
              </w:rPr>
              <w:t>28,292,770.63</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0" w:lineRule="exact"/>
              <w:ind w:right="26"/>
              <w:jc w:val="right"/>
              <w:rPr>
                <w:rFonts w:ascii="宋体" w:hAnsi="宋体" w:cs="宋体" w:eastAsia="宋体" w:hint="default"/>
                <w:sz w:val="18"/>
                <w:szCs w:val="18"/>
              </w:rPr>
            </w:pPr>
            <w:r>
              <w:rPr>
                <w:rFonts w:ascii="宋体"/>
                <w:spacing w:val="-1"/>
                <w:sz w:val="18"/>
              </w:rPr>
              <w:t>33,548,287.43</w:t>
            </w:r>
          </w:p>
        </w:tc>
      </w:tr>
      <w:tr>
        <w:trPr>
          <w:trHeight w:val="269"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6" w:space="0" w:color="000000"/>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781,500.00</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6" w:space="0" w:color="000000"/>
              <w:right w:val="nil" w:sz="6" w:space="0" w:color="auto"/>
            </w:tcBorders>
          </w:tcPr>
          <w:p>
            <w:pPr/>
          </w:p>
        </w:tc>
      </w:tr>
      <w:tr>
        <w:trPr>
          <w:trHeight w:val="31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57"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177,821,817.48</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179,535,678.40</w:t>
            </w:r>
          </w:p>
        </w:tc>
      </w:tr>
      <w:tr>
        <w:trPr>
          <w:trHeight w:val="305"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74" w:lineRule="exact"/>
              <w:ind w:left="28"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17"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single" w:sz="17" w:space="0" w:color="000000"/>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82"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95"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0" w:lineRule="exact"/>
              <w:ind w:left="3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宋体" w:hAnsi="宋体" w:cs="宋体" w:eastAsia="宋体" w:hint="default"/>
                <w:sz w:val="18"/>
                <w:szCs w:val="18"/>
              </w:rPr>
            </w:pPr>
            <w:r>
              <w:rPr>
                <w:rFonts w:ascii="宋体"/>
                <w:spacing w:val="-1"/>
                <w:sz w:val="18"/>
              </w:rPr>
              <w:t>366,072,642.31</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8"/>
                <w:szCs w:val="18"/>
              </w:rPr>
            </w:pPr>
            <w:r>
              <w:rPr>
                <w:rFonts w:ascii="宋体"/>
                <w:spacing w:val="-1"/>
                <w:sz w:val="18"/>
              </w:rPr>
              <w:t>409,824,815.84</w:t>
            </w:r>
          </w:p>
        </w:tc>
      </w:tr>
      <w:tr>
        <w:trPr>
          <w:trHeight w:val="28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18" w:lineRule="exact"/>
              <w:ind w:left="3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
              <w:jc w:val="right"/>
              <w:rPr>
                <w:rFonts w:ascii="宋体" w:hAnsi="宋体" w:cs="宋体" w:eastAsia="宋体" w:hint="default"/>
                <w:sz w:val="18"/>
                <w:szCs w:val="18"/>
              </w:rPr>
            </w:pPr>
            <w:r>
              <w:rPr>
                <w:rFonts w:ascii="宋体"/>
                <w:spacing w:val="-1"/>
                <w:sz w:val="18"/>
              </w:rPr>
              <w:t>409,824,815.84</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8"/>
                <w:szCs w:val="18"/>
              </w:rPr>
            </w:pPr>
            <w:r>
              <w:rPr>
                <w:rFonts w:ascii="宋体"/>
                <w:spacing w:val="-1"/>
                <w:sz w:val="18"/>
              </w:rPr>
              <w:t>199,616,086.89</w:t>
            </w:r>
          </w:p>
        </w:tc>
      </w:tr>
      <w:tr>
        <w:trPr>
          <w:trHeight w:val="270"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18" w:lineRule="exact"/>
              <w:ind w:left="3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9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32" w:lineRule="exact"/>
              <w:ind w:left="3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6" w:space="0" w:color="000000"/>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6" w:space="0" w:color="000000"/>
              <w:right w:val="nil" w:sz="6" w:space="0" w:color="auto"/>
            </w:tcBorders>
          </w:tcPr>
          <w:p>
            <w:pPr/>
          </w:p>
        </w:tc>
      </w:tr>
      <w:tr>
        <w:trPr>
          <w:trHeight w:val="314"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34" w:type="dxa"/>
            <w:tcBorders>
              <w:top w:val="nil" w:sz="6" w:space="0" w:color="auto"/>
              <w:left w:val="nil" w:sz="6" w:space="0" w:color="auto"/>
              <w:bottom w:val="nil" w:sz="6" w:space="0" w:color="auto"/>
              <w:right w:val="nil" w:sz="6" w:space="0" w:color="auto"/>
            </w:tcBorders>
          </w:tcPr>
          <w:p>
            <w:pPr/>
          </w:p>
        </w:tc>
        <w:tc>
          <w:tcPr>
            <w:tcW w:w="1630"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-43,752,173.53</w:t>
            </w:r>
          </w:p>
        </w:tc>
        <w:tc>
          <w:tcPr>
            <w:tcW w:w="289" w:type="dxa"/>
            <w:tcBorders>
              <w:top w:val="nil" w:sz="6" w:space="0" w:color="auto"/>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single" w:sz="17"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210,208,728.95</w:t>
            </w:r>
          </w:p>
        </w:tc>
      </w:tr>
    </w:tbl>
    <w:p>
      <w:pPr>
        <w:spacing w:line="240" w:lineRule="auto" w:before="2"/>
        <w:rPr>
          <w:rFonts w:ascii="宋体" w:hAnsi="宋体" w:cs="宋体" w:eastAsia="宋体" w:hint="default"/>
          <w:sz w:val="12"/>
          <w:szCs w:val="12"/>
        </w:rPr>
      </w:pPr>
    </w:p>
    <w:p>
      <w:pPr>
        <w:pStyle w:val="BodyText"/>
        <w:spacing w:line="240" w:lineRule="auto" w:before="26"/>
        <w:ind w:left="640" w:right="1206"/>
        <w:jc w:val="left"/>
      </w:pPr>
      <w:r>
        <w:rPr/>
        <w:t>⑵ 现金及现金等价物的构成</w:t>
      </w:r>
    </w:p>
    <w:p>
      <w:pPr>
        <w:spacing w:line="240" w:lineRule="auto" w:before="6"/>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238"/>
        <w:gridCol w:w="314"/>
        <w:gridCol w:w="1630"/>
        <w:gridCol w:w="303"/>
        <w:gridCol w:w="1546"/>
      </w:tblGrid>
      <w:tr>
        <w:trPr>
          <w:trHeight w:val="285" w:hRule="exact"/>
        </w:trPr>
        <w:tc>
          <w:tcPr>
            <w:tcW w:w="5238"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11" w:lineRule="exact"/>
              <w:ind w:left="50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11" w:lineRule="exact"/>
              <w:ind w:left="45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5238" w:type="dxa"/>
            <w:tcBorders>
              <w:top w:val="single" w:sz="4" w:space="0" w:color="000000"/>
              <w:left w:val="nil" w:sz="6" w:space="0" w:color="auto"/>
              <w:bottom w:val="nil" w:sz="6" w:space="0" w:color="auto"/>
              <w:right w:val="nil" w:sz="6" w:space="0" w:color="auto"/>
            </w:tcBorders>
          </w:tcPr>
          <w:p>
            <w:pPr>
              <w:pStyle w:val="TableParagraph"/>
              <w:spacing w:line="301"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一、现金</w:t>
            </w:r>
            <w:r>
              <w:rPr>
                <w:rFonts w:ascii="Microsoft JhengHei" w:hAnsi="Microsoft JhengHei" w:cs="Microsoft JhengHei" w:eastAsia="Microsoft JhengHei" w:hint="default"/>
                <w:sz w:val="21"/>
                <w:szCs w:val="21"/>
              </w:rPr>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366,072,642.31</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409,824,815.84</w:t>
            </w:r>
          </w:p>
        </w:tc>
      </w:tr>
      <w:tr>
        <w:trPr>
          <w:trHeight w:val="344"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3"/>
              <w:jc w:val="right"/>
              <w:rPr>
                <w:rFonts w:ascii="宋体" w:hAnsi="宋体" w:cs="宋体" w:eastAsia="宋体" w:hint="default"/>
                <w:sz w:val="21"/>
                <w:szCs w:val="21"/>
              </w:rPr>
            </w:pPr>
            <w:r>
              <w:rPr>
                <w:rFonts w:ascii="宋体"/>
                <w:spacing w:val="-1"/>
                <w:sz w:val="21"/>
              </w:rPr>
              <w:t>280,016.00</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212,580.57</w:t>
            </w:r>
          </w:p>
        </w:tc>
      </w:tr>
      <w:tr>
        <w:trPr>
          <w:trHeight w:val="345"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342,412,449.80</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387,327,159.85</w:t>
            </w:r>
          </w:p>
        </w:tc>
      </w:tr>
      <w:tr>
        <w:trPr>
          <w:trHeight w:val="346"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30"/>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宋体" w:hAnsi="宋体" w:cs="宋体" w:eastAsia="宋体" w:hint="default"/>
                <w:sz w:val="21"/>
                <w:szCs w:val="21"/>
              </w:rPr>
            </w:pPr>
            <w:r>
              <w:rPr>
                <w:rFonts w:ascii="宋体"/>
                <w:spacing w:val="-1"/>
                <w:sz w:val="21"/>
              </w:rPr>
              <w:t>23,380,176.51</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22,285,075.42</w:t>
            </w:r>
          </w:p>
        </w:tc>
      </w:tr>
      <w:tr>
        <w:trPr>
          <w:trHeight w:val="346"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30"/>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44"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659"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44"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46"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302"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二、现金等价物</w:t>
            </w:r>
            <w:r>
              <w:rPr>
                <w:rFonts w:ascii="Microsoft JhengHei" w:hAnsi="Microsoft JhengHei" w:cs="Microsoft JhengHei" w:eastAsia="Microsoft JhengHei" w:hint="default"/>
                <w:sz w:val="21"/>
                <w:szCs w:val="21"/>
              </w:rPr>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49"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630"/>
              <w:jc w:val="right"/>
              <w:rPr>
                <w:rFonts w:ascii="宋体" w:hAnsi="宋体" w:cs="宋体" w:eastAsia="宋体" w:hint="default"/>
                <w:sz w:val="21"/>
                <w:szCs w:val="21"/>
              </w:rPr>
            </w:pPr>
            <w:r>
              <w:rPr>
                <w:rFonts w:ascii="宋体" w:hAnsi="宋体" w:cs="宋体" w:eastAsia="宋体" w:hint="default"/>
                <w:spacing w:val="-2"/>
                <w:sz w:val="21"/>
                <w:szCs w:val="21"/>
              </w:rPr>
              <w:t>其中：三个月内到期的债券投资</w:t>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
        </w:tc>
      </w:tr>
      <w:tr>
        <w:trPr>
          <w:trHeight w:val="374" w:hRule="exact"/>
        </w:trPr>
        <w:tc>
          <w:tcPr>
            <w:tcW w:w="5238" w:type="dxa"/>
            <w:tcBorders>
              <w:top w:val="nil" w:sz="6" w:space="0" w:color="auto"/>
              <w:left w:val="nil" w:sz="6" w:space="0" w:color="auto"/>
              <w:bottom w:val="nil" w:sz="6" w:space="0" w:color="auto"/>
              <w:right w:val="nil" w:sz="6" w:space="0" w:color="auto"/>
            </w:tcBorders>
          </w:tcPr>
          <w:p>
            <w:pPr>
              <w:pStyle w:val="TableParagraph"/>
              <w:spacing w:line="308"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三、期末现金及现金等价物余额</w:t>
            </w:r>
            <w:r>
              <w:rPr>
                <w:rFonts w:ascii="Microsoft JhengHei" w:hAnsi="Microsoft JhengHei" w:cs="Microsoft JhengHei" w:eastAsia="Microsoft JhengHei" w:hint="default"/>
                <w:sz w:val="21"/>
                <w:szCs w:val="21"/>
              </w:rPr>
            </w:r>
          </w:p>
        </w:tc>
        <w:tc>
          <w:tcPr>
            <w:tcW w:w="31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21"/>
              <w:jc w:val="right"/>
              <w:rPr>
                <w:rFonts w:ascii="宋体" w:hAnsi="宋体" w:cs="宋体" w:eastAsia="宋体" w:hint="default"/>
                <w:sz w:val="21"/>
                <w:szCs w:val="21"/>
              </w:rPr>
            </w:pPr>
            <w:r>
              <w:rPr>
                <w:rFonts w:ascii="宋体"/>
                <w:spacing w:val="-1"/>
                <w:sz w:val="21"/>
              </w:rPr>
              <w:t>366,072,642.31</w:t>
            </w:r>
          </w:p>
        </w:tc>
        <w:tc>
          <w:tcPr>
            <w:tcW w:w="303"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24"/>
              <w:jc w:val="right"/>
              <w:rPr>
                <w:rFonts w:ascii="宋体" w:hAnsi="宋体" w:cs="宋体" w:eastAsia="宋体" w:hint="default"/>
                <w:sz w:val="21"/>
                <w:szCs w:val="21"/>
              </w:rPr>
            </w:pPr>
            <w:r>
              <w:rPr>
                <w:rFonts w:ascii="宋体"/>
                <w:spacing w:val="-1"/>
                <w:sz w:val="21"/>
              </w:rPr>
              <w:t>409,824,815.84</w:t>
            </w:r>
          </w:p>
        </w:tc>
      </w:tr>
    </w:tbl>
    <w:p>
      <w:pPr>
        <w:spacing w:after="0" w:line="240" w:lineRule="auto"/>
        <w:jc w:val="right"/>
        <w:rPr>
          <w:rFonts w:ascii="宋体" w:hAnsi="宋体" w:cs="宋体" w:eastAsia="宋体" w:hint="default"/>
          <w:sz w:val="21"/>
          <w:szCs w:val="21"/>
        </w:rPr>
        <w:sectPr>
          <w:pgSz w:w="11910" w:h="16840"/>
          <w:pgMar w:header="731" w:footer="956" w:top="1100" w:bottom="1140" w:left="14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367" w:lineRule="exact"/>
        <w:ind w:left="640" w:right="1206"/>
        <w:jc w:val="left"/>
        <w:rPr>
          <w:b w:val="0"/>
          <w:bCs w:val="0"/>
        </w:rPr>
      </w:pPr>
      <w:r>
        <w:rPr/>
        <w:t>八、</w:t>
      </w:r>
      <w:r>
        <w:rPr>
          <w:spacing w:val="-25"/>
        </w:rPr>
        <w:t> </w:t>
      </w:r>
      <w:r>
        <w:rPr/>
        <w:t>关联方及关联交易</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tabs>
          <w:tab w:pos="1420" w:val="left" w:leader="none"/>
        </w:tabs>
        <w:spacing w:line="240" w:lineRule="auto" w:before="0"/>
        <w:ind w:left="642" w:right="1206"/>
        <w:jc w:val="left"/>
      </w:pPr>
      <w:r>
        <w:rPr>
          <w:rFonts w:ascii="宋体" w:hAnsi="宋体" w:cs="宋体" w:eastAsia="宋体" w:hint="default"/>
        </w:rPr>
        <w:t>1</w:t>
      </w:r>
      <w:r>
        <w:rPr/>
        <w:t>、</w:t>
        <w:tab/>
        <w:t>本公司的母公司情况</w:t>
      </w:r>
    </w:p>
    <w:p>
      <w:pPr>
        <w:spacing w:line="240" w:lineRule="auto" w:before="1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446"/>
        <w:gridCol w:w="113"/>
        <w:gridCol w:w="1034"/>
        <w:gridCol w:w="113"/>
        <w:gridCol w:w="1076"/>
        <w:gridCol w:w="113"/>
        <w:gridCol w:w="1454"/>
        <w:gridCol w:w="113"/>
        <w:gridCol w:w="1061"/>
        <w:gridCol w:w="171"/>
        <w:gridCol w:w="1034"/>
      </w:tblGrid>
      <w:tr>
        <w:trPr>
          <w:trHeight w:val="249" w:hRule="exact"/>
        </w:trPr>
        <w:tc>
          <w:tcPr>
            <w:tcW w:w="2446" w:type="dxa"/>
            <w:tcBorders>
              <w:top w:val="nil" w:sz="6" w:space="0" w:color="auto"/>
              <w:left w:val="nil" w:sz="6" w:space="0" w:color="auto"/>
              <w:bottom w:val="single" w:sz="4" w:space="0" w:color="000000"/>
              <w:right w:val="nil" w:sz="6" w:space="0" w:color="auto"/>
            </w:tcBorders>
          </w:tcPr>
          <w:p>
            <w:pPr>
              <w:pStyle w:val="TableParagraph"/>
              <w:spacing w:line="211" w:lineRule="exact"/>
              <w:ind w:left="695"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13"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13"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3"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pacing w:val="-1"/>
                <w:sz w:val="21"/>
                <w:szCs w:val="21"/>
              </w:rPr>
              <w:t>法定代表人</w:t>
            </w:r>
          </w:p>
        </w:tc>
        <w:tc>
          <w:tcPr>
            <w:tcW w:w="171"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279" w:hRule="exact"/>
        </w:trPr>
        <w:tc>
          <w:tcPr>
            <w:tcW w:w="2446"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香港喜多来集团有限公司</w:t>
            </w:r>
          </w:p>
        </w:tc>
        <w:tc>
          <w:tcPr>
            <w:tcW w:w="113"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13"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3"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中国香港</w:t>
            </w:r>
          </w:p>
        </w:tc>
        <w:tc>
          <w:tcPr>
            <w:tcW w:w="113"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谷望江</w:t>
            </w:r>
          </w:p>
        </w:tc>
        <w:tc>
          <w:tcPr>
            <w:tcW w:w="171"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贸易</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225" w:type="dxa"/>
        <w:tblLayout w:type="fixed"/>
        <w:tblCellMar>
          <w:top w:w="0" w:type="dxa"/>
          <w:left w:w="0" w:type="dxa"/>
          <w:bottom w:w="0" w:type="dxa"/>
          <w:right w:w="0" w:type="dxa"/>
        </w:tblCellMar>
        <w:tblLook w:val="01E0"/>
      </w:tblPr>
      <w:tblGrid>
        <w:gridCol w:w="2424"/>
        <w:gridCol w:w="144"/>
        <w:gridCol w:w="1320"/>
        <w:gridCol w:w="134"/>
        <w:gridCol w:w="1428"/>
        <w:gridCol w:w="134"/>
        <w:gridCol w:w="1685"/>
        <w:gridCol w:w="197"/>
        <w:gridCol w:w="1176"/>
      </w:tblGrid>
      <w:tr>
        <w:trPr>
          <w:trHeight w:val="520" w:hRule="exact"/>
        </w:trPr>
        <w:tc>
          <w:tcPr>
            <w:tcW w:w="2424"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4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3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10" w:lineRule="exact"/>
              <w:ind w:left="2" w:right="0"/>
              <w:jc w:val="center"/>
              <w:rPr>
                <w:rFonts w:ascii="宋体" w:hAnsi="宋体" w:cs="宋体" w:eastAsia="宋体" w:hint="default"/>
                <w:sz w:val="21"/>
                <w:szCs w:val="21"/>
              </w:rPr>
            </w:pPr>
            <w:r>
              <w:rPr>
                <w:rFonts w:ascii="宋体" w:hAnsi="宋体" w:cs="宋体" w:eastAsia="宋体" w:hint="default"/>
                <w:sz w:val="21"/>
                <w:szCs w:val="21"/>
              </w:rPr>
              <w:t>对本企业的持</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3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10" w:lineRule="exact"/>
              <w:ind w:left="4" w:right="0"/>
              <w:jc w:val="center"/>
              <w:rPr>
                <w:rFonts w:ascii="宋体" w:hAnsi="宋体" w:cs="宋体" w:eastAsia="宋体" w:hint="default"/>
                <w:sz w:val="21"/>
                <w:szCs w:val="21"/>
              </w:rPr>
            </w:pPr>
            <w:r>
              <w:rPr>
                <w:rFonts w:ascii="宋体" w:hAnsi="宋体" w:cs="宋体" w:eastAsia="宋体" w:hint="default"/>
                <w:sz w:val="21"/>
                <w:szCs w:val="21"/>
              </w:rPr>
              <w:t>对本企业的表决</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权比例</w:t>
            </w:r>
          </w:p>
        </w:tc>
        <w:tc>
          <w:tcPr>
            <w:tcW w:w="19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10" w:lineRule="exact"/>
              <w:ind w:left="2" w:right="0"/>
              <w:jc w:val="center"/>
              <w:rPr>
                <w:rFonts w:ascii="宋体" w:hAnsi="宋体" w:cs="宋体" w:eastAsia="宋体" w:hint="default"/>
                <w:sz w:val="21"/>
                <w:szCs w:val="21"/>
              </w:rPr>
            </w:pPr>
            <w:r>
              <w:rPr>
                <w:rFonts w:ascii="宋体" w:hAnsi="宋体" w:cs="宋体" w:eastAsia="宋体" w:hint="default"/>
                <w:sz w:val="21"/>
                <w:szCs w:val="21"/>
              </w:rPr>
              <w:t>本企业最终</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控制方</w:t>
            </w:r>
          </w:p>
        </w:tc>
      </w:tr>
      <w:tr>
        <w:trPr>
          <w:trHeight w:val="337" w:hRule="exact"/>
        </w:trPr>
        <w:tc>
          <w:tcPr>
            <w:tcW w:w="242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香港喜多来集团有限公司</w:t>
            </w:r>
          </w:p>
        </w:tc>
        <w:tc>
          <w:tcPr>
            <w:tcW w:w="144"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1"/>
                <w:sz w:val="21"/>
                <w:szCs w:val="21"/>
              </w:rPr>
              <w:t> </w:t>
            </w:r>
            <w:r>
              <w:rPr>
                <w:rFonts w:ascii="宋体" w:hAnsi="宋体" w:cs="宋体" w:eastAsia="宋体" w:hint="default"/>
                <w:sz w:val="21"/>
                <w:szCs w:val="21"/>
              </w:rPr>
              <w:t>万港币</w:t>
            </w:r>
          </w:p>
        </w:tc>
        <w:tc>
          <w:tcPr>
            <w:tcW w:w="134"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451" w:right="0"/>
              <w:jc w:val="left"/>
              <w:rPr>
                <w:rFonts w:ascii="宋体" w:hAnsi="宋体" w:cs="宋体" w:eastAsia="宋体" w:hint="default"/>
                <w:sz w:val="21"/>
                <w:szCs w:val="21"/>
              </w:rPr>
            </w:pPr>
            <w:r>
              <w:rPr>
                <w:rFonts w:ascii="宋体"/>
                <w:sz w:val="21"/>
              </w:rPr>
              <w:t>30.48</w:t>
            </w:r>
          </w:p>
        </w:tc>
        <w:tc>
          <w:tcPr>
            <w:tcW w:w="134"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4" w:right="0"/>
              <w:jc w:val="center"/>
              <w:rPr>
                <w:rFonts w:ascii="宋体" w:hAnsi="宋体" w:cs="宋体" w:eastAsia="宋体" w:hint="default"/>
                <w:sz w:val="21"/>
                <w:szCs w:val="21"/>
              </w:rPr>
            </w:pPr>
            <w:r>
              <w:rPr>
                <w:rFonts w:ascii="宋体"/>
                <w:sz w:val="21"/>
              </w:rPr>
              <w:t>30.48</w:t>
            </w:r>
          </w:p>
        </w:tc>
        <w:tc>
          <w:tcPr>
            <w:tcW w:w="197"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273" w:right="0"/>
              <w:jc w:val="left"/>
              <w:rPr>
                <w:rFonts w:ascii="宋体" w:hAnsi="宋体" w:cs="宋体" w:eastAsia="宋体" w:hint="default"/>
                <w:sz w:val="21"/>
                <w:szCs w:val="21"/>
              </w:rPr>
            </w:pPr>
            <w:r>
              <w:rPr>
                <w:rFonts w:ascii="宋体" w:hAnsi="宋体" w:cs="宋体" w:eastAsia="宋体" w:hint="default"/>
                <w:sz w:val="21"/>
                <w:szCs w:val="21"/>
              </w:rPr>
              <w:t>谷望江</w:t>
            </w:r>
          </w:p>
        </w:tc>
      </w:tr>
    </w:tbl>
    <w:p>
      <w:pPr>
        <w:spacing w:line="240" w:lineRule="auto" w:before="8"/>
        <w:rPr>
          <w:rFonts w:ascii="宋体" w:hAnsi="宋体" w:cs="宋体" w:eastAsia="宋体" w:hint="default"/>
          <w:sz w:val="21"/>
          <w:szCs w:val="21"/>
        </w:rPr>
      </w:pPr>
    </w:p>
    <w:p>
      <w:pPr>
        <w:pStyle w:val="BodyText"/>
        <w:tabs>
          <w:tab w:pos="1420" w:val="left" w:leader="none"/>
        </w:tabs>
        <w:spacing w:line="405" w:lineRule="auto" w:before="26"/>
        <w:ind w:left="642" w:right="6383"/>
        <w:jc w:val="left"/>
      </w:pPr>
      <w:r>
        <w:rPr>
          <w:rFonts w:ascii="宋体" w:hAnsi="宋体" w:cs="宋体" w:eastAsia="宋体" w:hint="default"/>
        </w:rPr>
        <w:t>2</w:t>
      </w:r>
      <w:r>
        <w:rPr/>
        <w:t>、</w:t>
        <w:tab/>
        <w:t>本公司的子公司 详见附注六、</w:t>
      </w:r>
      <w:r>
        <w:rPr>
          <w:rFonts w:ascii="Times New Roman" w:hAnsi="Times New Roman" w:cs="Times New Roman" w:eastAsia="Times New Roman" w:hint="default"/>
        </w:rPr>
        <w:t>1</w:t>
      </w:r>
      <w:r>
        <w:rPr/>
        <w:t>、子公司情况。 </w:t>
      </w:r>
      <w:r>
        <w:rPr>
          <w:rFonts w:ascii="宋体" w:hAnsi="宋体" w:cs="宋体" w:eastAsia="宋体" w:hint="default"/>
        </w:rPr>
        <w:t>3</w:t>
      </w:r>
      <w:r>
        <w:rPr/>
        <w:t>、</w:t>
        <w:tab/>
        <w:t>本集团无合营和联营企业</w:t>
      </w:r>
    </w:p>
    <w:p>
      <w:pPr>
        <w:pStyle w:val="BodyText"/>
        <w:tabs>
          <w:tab w:pos="1420" w:val="left" w:leader="none"/>
        </w:tabs>
        <w:spacing w:line="240" w:lineRule="auto" w:before="65"/>
        <w:ind w:left="642" w:right="1206"/>
        <w:jc w:val="left"/>
      </w:pPr>
      <w:r>
        <w:rPr>
          <w:rFonts w:ascii="宋体" w:hAnsi="宋体" w:cs="宋体" w:eastAsia="宋体" w:hint="default"/>
        </w:rPr>
        <w:t>4</w:t>
      </w:r>
      <w:r>
        <w:rPr/>
        <w:t>、</w:t>
        <w:tab/>
        <w:t>本集团的其他关联方情况</w:t>
      </w:r>
    </w:p>
    <w:p>
      <w:pPr>
        <w:spacing w:line="240" w:lineRule="auto" w:before="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641"/>
        <w:gridCol w:w="221"/>
        <w:gridCol w:w="2801"/>
        <w:gridCol w:w="240"/>
        <w:gridCol w:w="1776"/>
      </w:tblGrid>
      <w:tr>
        <w:trPr>
          <w:trHeight w:val="268" w:hRule="exact"/>
        </w:trPr>
        <w:tc>
          <w:tcPr>
            <w:tcW w:w="3641" w:type="dxa"/>
            <w:tcBorders>
              <w:top w:val="nil" w:sz="6" w:space="0" w:color="auto"/>
              <w:left w:val="nil" w:sz="6" w:space="0" w:color="auto"/>
              <w:bottom w:val="single" w:sz="4" w:space="0" w:color="000000"/>
              <w:right w:val="nil" w:sz="6" w:space="0" w:color="auto"/>
            </w:tcBorders>
          </w:tcPr>
          <w:p>
            <w:pPr>
              <w:pStyle w:val="TableParagraph"/>
              <w:spacing w:line="211" w:lineRule="exact"/>
              <w:ind w:left="108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21"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11" w:lineRule="exact"/>
              <w:ind w:left="77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4" w:space="0" w:color="000000"/>
              <w:right w:val="nil" w:sz="6" w:space="0" w:color="auto"/>
            </w:tcBorders>
          </w:tcPr>
          <w:p>
            <w:pPr>
              <w:pStyle w:val="TableParagraph"/>
              <w:spacing w:line="211" w:lineRule="exact"/>
              <w:ind w:left="256"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15" w:hRule="exact"/>
        </w:trPr>
        <w:tc>
          <w:tcPr>
            <w:tcW w:w="3641" w:type="dxa"/>
            <w:tcBorders>
              <w:top w:val="single" w:sz="4" w:space="0" w:color="000000"/>
              <w:left w:val="nil" w:sz="6" w:space="0" w:color="auto"/>
              <w:bottom w:val="nil" w:sz="6" w:space="0" w:color="auto"/>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日照大地依索新建材有限公司</w:t>
            </w:r>
          </w:p>
        </w:tc>
        <w:tc>
          <w:tcPr>
            <w:tcW w:w="221"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同受母公司控制的公司</w:t>
            </w:r>
          </w:p>
        </w:tc>
        <w:tc>
          <w:tcPr>
            <w:tcW w:w="240"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sz w:val="21"/>
              </w:rPr>
              <w:t>74568885-8</w:t>
            </w:r>
          </w:p>
        </w:tc>
      </w:tr>
      <w:tr>
        <w:trPr>
          <w:trHeight w:val="262" w:hRule="exact"/>
        </w:trPr>
        <w:tc>
          <w:tcPr>
            <w:tcW w:w="3641" w:type="dxa"/>
            <w:tcBorders>
              <w:top w:val="nil" w:sz="6" w:space="0" w:color="auto"/>
              <w:left w:val="nil" w:sz="6" w:space="0" w:color="auto"/>
              <w:bottom w:val="nil" w:sz="6" w:space="0" w:color="auto"/>
              <w:right w:val="nil" w:sz="6" w:space="0" w:color="auto"/>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英属维尔京群岛欣泉有限公司</w:t>
            </w:r>
          </w:p>
        </w:tc>
        <w:tc>
          <w:tcPr>
            <w:tcW w:w="221"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本公司子公司股东</w:t>
            </w:r>
          </w:p>
        </w:tc>
        <w:tc>
          <w:tcPr>
            <w:tcW w:w="240"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6"/>
          <w:szCs w:val="16"/>
        </w:rPr>
      </w:pPr>
    </w:p>
    <w:p>
      <w:pPr>
        <w:pStyle w:val="BodyText"/>
        <w:tabs>
          <w:tab w:pos="1420" w:val="left" w:leader="none"/>
        </w:tabs>
        <w:spacing w:line="240" w:lineRule="auto" w:before="26"/>
        <w:ind w:left="642" w:right="1206"/>
        <w:jc w:val="left"/>
      </w:pPr>
      <w:r>
        <w:rPr>
          <w:rFonts w:ascii="宋体" w:hAnsi="宋体" w:cs="宋体" w:eastAsia="宋体" w:hint="default"/>
        </w:rPr>
        <w:t>5</w:t>
      </w:r>
      <w:r>
        <w:rPr/>
        <w:t>、</w:t>
        <w:tab/>
        <w:t>关联方交易情况</w:t>
      </w:r>
    </w:p>
    <w:p>
      <w:pPr>
        <w:spacing w:line="240" w:lineRule="auto" w:before="8"/>
        <w:rPr>
          <w:rFonts w:ascii="宋体" w:hAnsi="宋体" w:cs="宋体" w:eastAsia="宋体" w:hint="default"/>
          <w:sz w:val="17"/>
          <w:szCs w:val="17"/>
        </w:rPr>
      </w:pPr>
    </w:p>
    <w:p>
      <w:pPr>
        <w:pStyle w:val="BodyText"/>
        <w:spacing w:line="240" w:lineRule="auto" w:before="0"/>
        <w:ind w:left="640" w:right="1206"/>
        <w:jc w:val="left"/>
      </w:pPr>
      <w:r>
        <w:rPr/>
        <w:t>⑴ 采购商品、接受劳务的关联交易</w:t>
      </w:r>
    </w:p>
    <w:p>
      <w:pPr>
        <w:spacing w:line="240" w:lineRule="auto" w:before="9"/>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3399"/>
        <w:gridCol w:w="223"/>
        <w:gridCol w:w="1080"/>
        <w:gridCol w:w="221"/>
        <w:gridCol w:w="1080"/>
        <w:gridCol w:w="223"/>
        <w:gridCol w:w="1265"/>
        <w:gridCol w:w="223"/>
        <w:gridCol w:w="1265"/>
      </w:tblGrid>
      <w:tr>
        <w:trPr>
          <w:trHeight w:val="251" w:hRule="exact"/>
        </w:trPr>
        <w:tc>
          <w:tcPr>
            <w:tcW w:w="3399" w:type="dxa"/>
            <w:tcBorders>
              <w:top w:val="nil" w:sz="6" w:space="0" w:color="auto"/>
              <w:left w:val="nil" w:sz="6" w:space="0" w:color="auto"/>
              <w:bottom w:val="single" w:sz="8"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223"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交易内容</w:t>
            </w:r>
          </w:p>
        </w:tc>
        <w:tc>
          <w:tcPr>
            <w:tcW w:w="22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8" w:space="0" w:color="000000"/>
              <w:right w:val="nil" w:sz="6" w:space="0" w:color="auto"/>
            </w:tcBorders>
          </w:tcPr>
          <w:p>
            <w:pPr>
              <w:pStyle w:val="TableParagraph"/>
              <w:spacing w:line="211" w:lineRule="exact"/>
              <w:ind w:left="120" w:right="0"/>
              <w:jc w:val="left"/>
              <w:rPr>
                <w:rFonts w:ascii="宋体" w:hAnsi="宋体" w:cs="宋体" w:eastAsia="宋体" w:hint="default"/>
                <w:sz w:val="21"/>
                <w:szCs w:val="21"/>
              </w:rPr>
            </w:pPr>
            <w:r>
              <w:rPr>
                <w:rFonts w:ascii="宋体" w:hAnsi="宋体" w:cs="宋体" w:eastAsia="宋体" w:hint="default"/>
                <w:sz w:val="21"/>
                <w:szCs w:val="21"/>
              </w:rPr>
              <w:t>定价原因</w:t>
            </w:r>
          </w:p>
        </w:tc>
        <w:tc>
          <w:tcPr>
            <w:tcW w:w="22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8" w:space="0" w:color="000000"/>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8"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33" w:hRule="exact"/>
        </w:trPr>
        <w:tc>
          <w:tcPr>
            <w:tcW w:w="3399" w:type="dxa"/>
            <w:tcBorders>
              <w:top w:val="single" w:sz="8" w:space="0" w:color="000000"/>
              <w:left w:val="nil" w:sz="6" w:space="0" w:color="auto"/>
              <w:bottom w:val="nil" w:sz="6" w:space="0" w:color="auto"/>
              <w:right w:val="nil" w:sz="6" w:space="0" w:color="auto"/>
            </w:tcBorders>
          </w:tcPr>
          <w:p>
            <w:pPr>
              <w:pStyle w:val="TableParagraph"/>
              <w:spacing w:line="240" w:lineRule="auto" w:before="148"/>
              <w:ind w:left="107" w:right="0"/>
              <w:jc w:val="left"/>
              <w:rPr>
                <w:rFonts w:ascii="宋体" w:hAnsi="宋体" w:cs="宋体" w:eastAsia="宋体" w:hint="default"/>
                <w:sz w:val="21"/>
                <w:szCs w:val="21"/>
              </w:rPr>
            </w:pPr>
            <w:r>
              <w:rPr>
                <w:rFonts w:ascii="宋体" w:hAnsi="宋体" w:cs="宋体" w:eastAsia="宋体" w:hint="default"/>
                <w:sz w:val="21"/>
                <w:szCs w:val="21"/>
              </w:rPr>
              <w:t>日照大地依索新建材有限公司</w:t>
            </w:r>
          </w:p>
        </w:tc>
        <w:tc>
          <w:tcPr>
            <w:tcW w:w="223" w:type="dxa"/>
            <w:tcBorders>
              <w:top w:val="nil" w:sz="6" w:space="0" w:color="auto"/>
              <w:left w:val="nil" w:sz="6" w:space="0" w:color="auto"/>
              <w:bottom w:val="nil" w:sz="6" w:space="0" w:color="auto"/>
              <w:right w:val="nil" w:sz="6" w:space="0" w:color="auto"/>
            </w:tcBorders>
          </w:tcPr>
          <w:p>
            <w:pPr/>
          </w:p>
        </w:tc>
        <w:tc>
          <w:tcPr>
            <w:tcW w:w="1080" w:type="dxa"/>
            <w:tcBorders>
              <w:top w:val="single" w:sz="8" w:space="0" w:color="000000"/>
              <w:left w:val="nil" w:sz="6" w:space="0" w:color="auto"/>
              <w:bottom w:val="nil" w:sz="6" w:space="0" w:color="auto"/>
              <w:right w:val="nil" w:sz="6" w:space="0" w:color="auto"/>
            </w:tcBorders>
          </w:tcPr>
          <w:p>
            <w:pPr>
              <w:pStyle w:val="TableParagraph"/>
              <w:spacing w:line="240" w:lineRule="auto" w:before="148"/>
              <w:ind w:right="20"/>
              <w:jc w:val="center"/>
              <w:rPr>
                <w:rFonts w:ascii="宋体" w:hAnsi="宋体" w:cs="宋体" w:eastAsia="宋体" w:hint="default"/>
                <w:sz w:val="21"/>
                <w:szCs w:val="21"/>
              </w:rPr>
            </w:pPr>
            <w:r>
              <w:rPr>
                <w:rFonts w:ascii="宋体" w:hAnsi="宋体" w:cs="宋体" w:eastAsia="宋体" w:hint="default"/>
                <w:sz w:val="21"/>
                <w:szCs w:val="21"/>
              </w:rPr>
              <w:t>建筑材料</w:t>
            </w:r>
          </w:p>
        </w:tc>
        <w:tc>
          <w:tcPr>
            <w:tcW w:w="221" w:type="dxa"/>
            <w:tcBorders>
              <w:top w:val="nil" w:sz="6" w:space="0" w:color="auto"/>
              <w:left w:val="nil" w:sz="6" w:space="0" w:color="auto"/>
              <w:bottom w:val="nil" w:sz="6" w:space="0" w:color="auto"/>
              <w:right w:val="nil" w:sz="6" w:space="0" w:color="auto"/>
            </w:tcBorders>
          </w:tcPr>
          <w:p>
            <w:pPr/>
          </w:p>
        </w:tc>
        <w:tc>
          <w:tcPr>
            <w:tcW w:w="1080" w:type="dxa"/>
            <w:tcBorders>
              <w:top w:val="single" w:sz="8" w:space="0" w:color="000000"/>
              <w:left w:val="nil" w:sz="6" w:space="0" w:color="auto"/>
              <w:bottom w:val="nil" w:sz="6" w:space="0" w:color="auto"/>
              <w:right w:val="nil" w:sz="6" w:space="0" w:color="auto"/>
            </w:tcBorders>
          </w:tcPr>
          <w:p>
            <w:pPr>
              <w:pStyle w:val="TableParagraph"/>
              <w:spacing w:line="240" w:lineRule="auto" w:before="148"/>
              <w:ind w:left="107"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223" w:type="dxa"/>
            <w:tcBorders>
              <w:top w:val="nil" w:sz="6" w:space="0" w:color="auto"/>
              <w:left w:val="nil" w:sz="6" w:space="0" w:color="auto"/>
              <w:bottom w:val="nil" w:sz="6" w:space="0" w:color="auto"/>
              <w:right w:val="nil" w:sz="6" w:space="0" w:color="auto"/>
            </w:tcBorders>
          </w:tcPr>
          <w:p>
            <w:pPr/>
          </w:p>
        </w:tc>
        <w:tc>
          <w:tcPr>
            <w:tcW w:w="1265" w:type="dxa"/>
            <w:tcBorders>
              <w:top w:val="single" w:sz="8" w:space="0" w:color="000000"/>
              <w:left w:val="nil" w:sz="6" w:space="0" w:color="auto"/>
              <w:bottom w:val="nil" w:sz="6" w:space="0" w:color="auto"/>
              <w:right w:val="nil" w:sz="6" w:space="0" w:color="auto"/>
            </w:tcBorders>
          </w:tcPr>
          <w:p>
            <w:pPr>
              <w:pStyle w:val="TableParagraph"/>
              <w:spacing w:line="240" w:lineRule="auto" w:before="148"/>
              <w:ind w:left="107" w:right="0"/>
              <w:jc w:val="left"/>
              <w:rPr>
                <w:rFonts w:ascii="宋体" w:hAnsi="宋体" w:cs="宋体" w:eastAsia="宋体" w:hint="default"/>
                <w:sz w:val="21"/>
                <w:szCs w:val="21"/>
              </w:rPr>
            </w:pPr>
            <w:r>
              <w:rPr>
                <w:rFonts w:ascii="宋体"/>
                <w:sz w:val="21"/>
              </w:rPr>
              <w:t>655,354.82</w:t>
            </w:r>
          </w:p>
        </w:tc>
        <w:tc>
          <w:tcPr>
            <w:tcW w:w="223" w:type="dxa"/>
            <w:tcBorders>
              <w:top w:val="nil" w:sz="6" w:space="0" w:color="auto"/>
              <w:left w:val="nil" w:sz="6" w:space="0" w:color="auto"/>
              <w:bottom w:val="nil" w:sz="6" w:space="0" w:color="auto"/>
              <w:right w:val="nil" w:sz="6" w:space="0" w:color="auto"/>
            </w:tcBorders>
          </w:tcPr>
          <w:p>
            <w:pPr/>
          </w:p>
        </w:tc>
        <w:tc>
          <w:tcPr>
            <w:tcW w:w="1265" w:type="dxa"/>
            <w:tcBorders>
              <w:top w:val="single" w:sz="8" w:space="0" w:color="000000"/>
              <w:left w:val="nil" w:sz="6" w:space="0" w:color="auto"/>
              <w:bottom w:val="nil" w:sz="6" w:space="0" w:color="auto"/>
              <w:right w:val="nil" w:sz="6" w:space="0" w:color="auto"/>
            </w:tcBorders>
          </w:tcPr>
          <w:p>
            <w:pPr>
              <w:pStyle w:val="TableParagraph"/>
              <w:spacing w:line="240" w:lineRule="auto" w:before="148"/>
              <w:ind w:left="4" w:right="0"/>
              <w:jc w:val="center"/>
              <w:rPr>
                <w:rFonts w:ascii="宋体" w:hAnsi="宋体" w:cs="宋体" w:eastAsia="宋体" w:hint="default"/>
                <w:sz w:val="21"/>
                <w:szCs w:val="21"/>
              </w:rPr>
            </w:pPr>
            <w:r>
              <w:rPr>
                <w:rFonts w:ascii="宋体"/>
                <w:sz w:val="21"/>
              </w:rPr>
              <w:t>173,190.00</w:t>
            </w:r>
          </w:p>
        </w:tc>
      </w:tr>
    </w:tbl>
    <w:p>
      <w:pPr>
        <w:spacing w:line="240" w:lineRule="auto" w:before="9"/>
        <w:rPr>
          <w:rFonts w:ascii="宋体" w:hAnsi="宋体" w:cs="宋体" w:eastAsia="宋体" w:hint="default"/>
          <w:sz w:val="14"/>
          <w:szCs w:val="14"/>
        </w:rPr>
      </w:pPr>
    </w:p>
    <w:p>
      <w:pPr>
        <w:pStyle w:val="BodyText"/>
        <w:spacing w:line="240" w:lineRule="auto" w:before="26"/>
        <w:ind w:left="640" w:right="1206"/>
        <w:jc w:val="left"/>
      </w:pPr>
      <w:r>
        <w:rPr/>
        <w:t>⑵ 关键管理人员报酬</w:t>
      </w:r>
    </w:p>
    <w:p>
      <w:pPr>
        <w:spacing w:line="240" w:lineRule="auto" w:before="1"/>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2172"/>
        <w:gridCol w:w="281"/>
        <w:gridCol w:w="900"/>
        <w:gridCol w:w="235"/>
        <w:gridCol w:w="1673"/>
        <w:gridCol w:w="281"/>
        <w:gridCol w:w="1008"/>
        <w:gridCol w:w="221"/>
        <w:gridCol w:w="2192"/>
      </w:tblGrid>
      <w:tr>
        <w:trPr>
          <w:trHeight w:val="288" w:hRule="exact"/>
        </w:trPr>
        <w:tc>
          <w:tcPr>
            <w:tcW w:w="5262"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3346"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3701"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148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331" w:hRule="exact"/>
        </w:trPr>
        <w:tc>
          <w:tcPr>
            <w:tcW w:w="2172" w:type="dxa"/>
            <w:tcBorders>
              <w:top w:val="nil" w:sz="6" w:space="0" w:color="auto"/>
              <w:left w:val="nil" w:sz="6" w:space="0" w:color="auto"/>
              <w:bottom w:val="single" w:sz="8" w:space="0" w:color="000000"/>
              <w:right w:val="nil" w:sz="6" w:space="0" w:color="auto"/>
            </w:tcBorders>
          </w:tcPr>
          <w:p>
            <w:pPr>
              <w:pStyle w:val="TableParagraph"/>
              <w:spacing w:line="283" w:lineRule="exact"/>
              <w:ind w:left="364" w:right="0"/>
              <w:jc w:val="left"/>
              <w:rPr>
                <w:rFonts w:ascii="宋体" w:hAnsi="宋体" w:cs="宋体" w:eastAsia="宋体" w:hint="default"/>
                <w:sz w:val="24"/>
                <w:szCs w:val="24"/>
              </w:rPr>
            </w:pPr>
            <w:r>
              <w:rPr>
                <w:rFonts w:ascii="宋体" w:hAnsi="宋体" w:cs="宋体" w:eastAsia="宋体" w:hint="default"/>
                <w:sz w:val="24"/>
                <w:szCs w:val="24"/>
              </w:rPr>
              <w:t>年度报酬区间</w:t>
            </w:r>
          </w:p>
        </w:tc>
        <w:tc>
          <w:tcPr>
            <w:tcW w:w="281" w:type="dxa"/>
            <w:tcBorders>
              <w:top w:val="nil" w:sz="6" w:space="0" w:color="auto"/>
              <w:left w:val="nil" w:sz="6" w:space="0" w:color="auto"/>
              <w:bottom w:val="nil" w:sz="6" w:space="0" w:color="auto"/>
              <w:right w:val="nil" w:sz="6" w:space="0" w:color="auto"/>
            </w:tcBorders>
          </w:tcPr>
          <w:p>
            <w:pPr/>
          </w:p>
        </w:tc>
        <w:tc>
          <w:tcPr>
            <w:tcW w:w="900"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68" w:right="0"/>
              <w:jc w:val="left"/>
              <w:rPr>
                <w:rFonts w:ascii="宋体" w:hAnsi="宋体" w:cs="宋体" w:eastAsia="宋体" w:hint="default"/>
                <w:sz w:val="24"/>
                <w:szCs w:val="24"/>
              </w:rPr>
            </w:pPr>
            <w:r>
              <w:rPr>
                <w:rFonts w:ascii="宋体" w:hAnsi="宋体" w:cs="宋体" w:eastAsia="宋体" w:hint="default"/>
                <w:sz w:val="24"/>
                <w:szCs w:val="24"/>
              </w:rPr>
              <w:t>人数</w:t>
            </w:r>
          </w:p>
        </w:tc>
        <w:tc>
          <w:tcPr>
            <w:tcW w:w="235" w:type="dxa"/>
            <w:tcBorders>
              <w:top w:val="single" w:sz="8" w:space="0" w:color="000000"/>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65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281" w:type="dxa"/>
            <w:tcBorders>
              <w:top w:val="nil" w:sz="6" w:space="0" w:color="auto"/>
              <w:left w:val="nil" w:sz="6" w:space="0" w:color="auto"/>
              <w:bottom w:val="nil" w:sz="6" w:space="0" w:color="auto"/>
              <w:right w:val="nil" w:sz="6" w:space="0" w:color="auto"/>
            </w:tcBorders>
          </w:tcPr>
          <w:p>
            <w:pPr/>
          </w:p>
        </w:tc>
        <w:tc>
          <w:tcPr>
            <w:tcW w:w="1008"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323" w:right="0"/>
              <w:jc w:val="left"/>
              <w:rPr>
                <w:rFonts w:ascii="宋体" w:hAnsi="宋体" w:cs="宋体" w:eastAsia="宋体" w:hint="default"/>
                <w:sz w:val="24"/>
                <w:szCs w:val="24"/>
              </w:rPr>
            </w:pPr>
            <w:r>
              <w:rPr>
                <w:rFonts w:ascii="宋体" w:hAnsi="宋体" w:cs="宋体" w:eastAsia="宋体" w:hint="default"/>
                <w:sz w:val="24"/>
                <w:szCs w:val="24"/>
              </w:rPr>
              <w:t>人数</w:t>
            </w:r>
          </w:p>
        </w:tc>
        <w:tc>
          <w:tcPr>
            <w:tcW w:w="221" w:type="dxa"/>
            <w:tcBorders>
              <w:top w:val="single" w:sz="8" w:space="0" w:color="000000"/>
              <w:left w:val="nil" w:sz="6" w:space="0" w:color="auto"/>
              <w:bottom w:val="nil" w:sz="6" w:space="0" w:color="auto"/>
              <w:right w:val="nil" w:sz="6" w:space="0" w:color="auto"/>
            </w:tcBorders>
          </w:tcPr>
          <w:p>
            <w:pPr/>
          </w:p>
        </w:tc>
        <w:tc>
          <w:tcPr>
            <w:tcW w:w="2192"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5" w:hRule="exact"/>
        </w:trPr>
        <w:tc>
          <w:tcPr>
            <w:tcW w:w="2172" w:type="dxa"/>
            <w:tcBorders>
              <w:top w:val="single" w:sz="8" w:space="0" w:color="000000"/>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20</w:t>
            </w:r>
            <w:r>
              <w:rPr>
                <w:rFonts w:ascii="宋体" w:hAnsi="宋体" w:cs="宋体" w:eastAsia="宋体" w:hint="default"/>
                <w:spacing w:val="-61"/>
                <w:sz w:val="24"/>
                <w:szCs w:val="24"/>
              </w:rPr>
              <w:t> </w:t>
            </w:r>
            <w:r>
              <w:rPr>
                <w:rFonts w:ascii="宋体" w:hAnsi="宋体" w:cs="宋体" w:eastAsia="宋体" w:hint="default"/>
                <w:sz w:val="24"/>
                <w:szCs w:val="24"/>
              </w:rPr>
              <w:t>万元以上</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人</w:t>
            </w:r>
          </w:p>
        </w:tc>
        <w:tc>
          <w:tcPr>
            <w:tcW w:w="281" w:type="dxa"/>
            <w:tcBorders>
              <w:top w:val="nil" w:sz="6" w:space="0" w:color="auto"/>
              <w:left w:val="nil" w:sz="6" w:space="0" w:color="auto"/>
              <w:bottom w:val="nil" w:sz="6" w:space="0" w:color="auto"/>
              <w:right w:val="nil" w:sz="6" w:space="0" w:color="auto"/>
            </w:tcBorders>
          </w:tcPr>
          <w:p>
            <w:pPr/>
          </w:p>
        </w:tc>
        <w:tc>
          <w:tcPr>
            <w:tcW w:w="900" w:type="dxa"/>
            <w:tcBorders>
              <w:top w:val="single" w:sz="8" w:space="0" w:color="000000"/>
              <w:left w:val="nil" w:sz="6" w:space="0" w:color="auto"/>
              <w:bottom w:val="nil" w:sz="6" w:space="0" w:color="auto"/>
              <w:right w:val="nil" w:sz="6" w:space="0" w:color="auto"/>
            </w:tcBorders>
          </w:tcPr>
          <w:p>
            <w:pPr>
              <w:pStyle w:val="TableParagraph"/>
              <w:spacing w:line="279" w:lineRule="exact"/>
              <w:ind w:right="0"/>
              <w:jc w:val="center"/>
              <w:rPr>
                <w:rFonts w:ascii="宋体" w:hAnsi="宋体" w:cs="宋体" w:eastAsia="宋体" w:hint="default"/>
                <w:sz w:val="24"/>
                <w:szCs w:val="24"/>
              </w:rPr>
            </w:pPr>
            <w:r>
              <w:rPr>
                <w:rFonts w:ascii="宋体"/>
                <w:sz w:val="24"/>
              </w:rPr>
              <w:t>6</w:t>
            </w:r>
          </w:p>
        </w:tc>
        <w:tc>
          <w:tcPr>
            <w:tcW w:w="235" w:type="dxa"/>
            <w:tcBorders>
              <w:top w:val="nil" w:sz="6" w:space="0" w:color="auto"/>
              <w:left w:val="nil" w:sz="6" w:space="0" w:color="auto"/>
              <w:bottom w:val="nil" w:sz="6" w:space="0" w:color="auto"/>
              <w:right w:val="nil" w:sz="6" w:space="0" w:color="auto"/>
            </w:tcBorders>
          </w:tcPr>
          <w:p>
            <w:pPr/>
          </w:p>
        </w:tc>
        <w:tc>
          <w:tcPr>
            <w:tcW w:w="1673" w:type="dxa"/>
            <w:tcBorders>
              <w:top w:val="single" w:sz="8" w:space="0" w:color="000000"/>
              <w:left w:val="nil" w:sz="6" w:space="0" w:color="auto"/>
              <w:bottom w:val="nil" w:sz="6" w:space="0" w:color="auto"/>
              <w:right w:val="nil" w:sz="6" w:space="0" w:color="auto"/>
            </w:tcBorders>
          </w:tcPr>
          <w:p>
            <w:pPr>
              <w:pStyle w:val="TableParagraph"/>
              <w:spacing w:line="279" w:lineRule="exact"/>
              <w:ind w:right="106"/>
              <w:jc w:val="right"/>
              <w:rPr>
                <w:rFonts w:ascii="宋体" w:hAnsi="宋体" w:cs="宋体" w:eastAsia="宋体" w:hint="default"/>
                <w:sz w:val="24"/>
                <w:szCs w:val="24"/>
              </w:rPr>
            </w:pPr>
            <w:r>
              <w:rPr>
                <w:rFonts w:ascii="宋体"/>
                <w:sz w:val="24"/>
              </w:rPr>
              <w:t>2,954,250.15</w:t>
            </w:r>
          </w:p>
        </w:tc>
        <w:tc>
          <w:tcPr>
            <w:tcW w:w="281" w:type="dxa"/>
            <w:tcBorders>
              <w:top w:val="nil" w:sz="6" w:space="0" w:color="auto"/>
              <w:left w:val="nil" w:sz="6" w:space="0" w:color="auto"/>
              <w:bottom w:val="nil" w:sz="6" w:space="0" w:color="auto"/>
              <w:right w:val="nil" w:sz="6" w:space="0" w:color="auto"/>
            </w:tcBorders>
          </w:tcPr>
          <w:p>
            <w:pPr/>
          </w:p>
        </w:tc>
        <w:tc>
          <w:tcPr>
            <w:tcW w:w="1008" w:type="dxa"/>
            <w:tcBorders>
              <w:top w:val="single" w:sz="8" w:space="0" w:color="000000"/>
              <w:left w:val="nil" w:sz="6" w:space="0" w:color="auto"/>
              <w:bottom w:val="nil" w:sz="6" w:space="0" w:color="auto"/>
              <w:right w:val="nil" w:sz="6" w:space="0" w:color="auto"/>
            </w:tcBorders>
          </w:tcPr>
          <w:p>
            <w:pPr>
              <w:pStyle w:val="TableParagraph"/>
              <w:spacing w:line="279" w:lineRule="exact"/>
              <w:ind w:right="107"/>
              <w:jc w:val="right"/>
              <w:rPr>
                <w:rFonts w:ascii="宋体" w:hAnsi="宋体" w:cs="宋体" w:eastAsia="宋体" w:hint="default"/>
                <w:sz w:val="24"/>
                <w:szCs w:val="24"/>
              </w:rPr>
            </w:pPr>
            <w:r>
              <w:rPr>
                <w:rFonts w:ascii="宋体"/>
                <w:sz w:val="24"/>
              </w:rPr>
              <w:t>6</w:t>
            </w:r>
          </w:p>
        </w:tc>
        <w:tc>
          <w:tcPr>
            <w:tcW w:w="221" w:type="dxa"/>
            <w:tcBorders>
              <w:top w:val="nil" w:sz="6" w:space="0" w:color="auto"/>
              <w:left w:val="nil" w:sz="6" w:space="0" w:color="auto"/>
              <w:bottom w:val="nil" w:sz="6" w:space="0" w:color="auto"/>
              <w:right w:val="nil" w:sz="6" w:space="0" w:color="auto"/>
            </w:tcBorders>
          </w:tcPr>
          <w:p>
            <w:pPr/>
          </w:p>
        </w:tc>
        <w:tc>
          <w:tcPr>
            <w:tcW w:w="2192" w:type="dxa"/>
            <w:tcBorders>
              <w:top w:val="single" w:sz="8" w:space="0" w:color="000000"/>
              <w:left w:val="nil" w:sz="6" w:space="0" w:color="auto"/>
              <w:bottom w:val="nil" w:sz="6" w:space="0" w:color="auto"/>
              <w:right w:val="nil" w:sz="6" w:space="0" w:color="auto"/>
            </w:tcBorders>
          </w:tcPr>
          <w:p>
            <w:pPr>
              <w:pStyle w:val="TableParagraph"/>
              <w:spacing w:line="279" w:lineRule="exact"/>
              <w:ind w:right="105"/>
              <w:jc w:val="right"/>
              <w:rPr>
                <w:rFonts w:ascii="宋体" w:hAnsi="宋体" w:cs="宋体" w:eastAsia="宋体" w:hint="default"/>
                <w:sz w:val="24"/>
                <w:szCs w:val="24"/>
              </w:rPr>
            </w:pPr>
            <w:r>
              <w:rPr>
                <w:rFonts w:ascii="宋体"/>
                <w:sz w:val="24"/>
              </w:rPr>
              <w:t>2,796,428.53</w:t>
            </w:r>
          </w:p>
        </w:tc>
      </w:tr>
      <w:tr>
        <w:trPr>
          <w:trHeight w:val="277"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77" w:lineRule="exact"/>
              <w:ind w:left="108"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万元以下</w:t>
            </w:r>
          </w:p>
        </w:tc>
        <w:tc>
          <w:tcPr>
            <w:tcW w:w="281"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77" w:lineRule="exact"/>
              <w:ind w:left="328" w:right="0"/>
              <w:jc w:val="left"/>
              <w:rPr>
                <w:rFonts w:ascii="宋体" w:hAnsi="宋体" w:cs="宋体" w:eastAsia="宋体" w:hint="default"/>
                <w:sz w:val="24"/>
                <w:szCs w:val="24"/>
              </w:rPr>
            </w:pPr>
            <w:r>
              <w:rPr>
                <w:rFonts w:ascii="宋体"/>
                <w:sz w:val="24"/>
              </w:rPr>
              <w:t>13</w:t>
            </w:r>
          </w:p>
        </w:tc>
        <w:tc>
          <w:tcPr>
            <w:tcW w:w="235"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77" w:lineRule="exact"/>
              <w:ind w:right="106"/>
              <w:jc w:val="right"/>
              <w:rPr>
                <w:rFonts w:ascii="宋体" w:hAnsi="宋体" w:cs="宋体" w:eastAsia="宋体" w:hint="default"/>
                <w:sz w:val="24"/>
                <w:szCs w:val="24"/>
              </w:rPr>
            </w:pPr>
            <w:r>
              <w:rPr>
                <w:rFonts w:ascii="宋体"/>
                <w:sz w:val="24"/>
              </w:rPr>
              <w:t>467,126.03</w:t>
            </w:r>
          </w:p>
        </w:tc>
        <w:tc>
          <w:tcPr>
            <w:tcW w:w="281"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77" w:lineRule="exact"/>
              <w:ind w:right="107"/>
              <w:jc w:val="right"/>
              <w:rPr>
                <w:rFonts w:ascii="宋体" w:hAnsi="宋体" w:cs="宋体" w:eastAsia="宋体" w:hint="default"/>
                <w:sz w:val="24"/>
                <w:szCs w:val="24"/>
              </w:rPr>
            </w:pPr>
            <w:r>
              <w:rPr>
                <w:rFonts w:ascii="宋体"/>
                <w:sz w:val="24"/>
              </w:rPr>
              <w:t>10</w:t>
            </w:r>
          </w:p>
        </w:tc>
        <w:tc>
          <w:tcPr>
            <w:tcW w:w="221"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77" w:lineRule="exact"/>
              <w:ind w:right="105"/>
              <w:jc w:val="right"/>
              <w:rPr>
                <w:rFonts w:ascii="宋体" w:hAnsi="宋体" w:cs="宋体" w:eastAsia="宋体" w:hint="default"/>
                <w:sz w:val="24"/>
                <w:szCs w:val="24"/>
              </w:rPr>
            </w:pPr>
            <w:r>
              <w:rPr>
                <w:rFonts w:ascii="宋体"/>
                <w:sz w:val="24"/>
              </w:rPr>
              <w:t>356,556.73</w:t>
            </w:r>
          </w:p>
        </w:tc>
      </w:tr>
    </w:tbl>
    <w:p>
      <w:pPr>
        <w:pStyle w:val="BodyText"/>
        <w:tabs>
          <w:tab w:pos="1420" w:val="left" w:leader="none"/>
        </w:tabs>
        <w:spacing w:line="240" w:lineRule="auto" w:before="74"/>
        <w:ind w:left="642" w:right="1206"/>
        <w:jc w:val="left"/>
      </w:pPr>
      <w:r>
        <w:rPr>
          <w:rFonts w:ascii="宋体" w:hAnsi="宋体" w:cs="宋体" w:eastAsia="宋体" w:hint="default"/>
        </w:rPr>
        <w:t>6</w:t>
      </w:r>
      <w:r>
        <w:rPr/>
        <w:t>、</w:t>
        <w:tab/>
        <w:t>关联方应收应付款项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389"/>
        <w:gridCol w:w="994"/>
        <w:gridCol w:w="1736"/>
        <w:gridCol w:w="826"/>
        <w:gridCol w:w="1892"/>
      </w:tblGrid>
      <w:tr>
        <w:trPr>
          <w:trHeight w:val="251" w:hRule="exact"/>
        </w:trPr>
        <w:tc>
          <w:tcPr>
            <w:tcW w:w="3389" w:type="dxa"/>
            <w:tcBorders>
              <w:top w:val="nil" w:sz="6" w:space="0" w:color="auto"/>
              <w:left w:val="nil" w:sz="6" w:space="0" w:color="auto"/>
              <w:bottom w:val="single" w:sz="8"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994"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8" w:space="0" w:color="000000"/>
              <w:right w:val="nil" w:sz="6" w:space="0" w:color="auto"/>
            </w:tcBorders>
          </w:tcPr>
          <w:p>
            <w:pPr>
              <w:pStyle w:val="TableParagraph"/>
              <w:spacing w:line="211"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2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single" w:sz="8" w:space="0" w:color="000000"/>
              <w:right w:val="nil" w:sz="6" w:space="0" w:color="auto"/>
            </w:tcBorders>
          </w:tcPr>
          <w:p>
            <w:pPr>
              <w:pStyle w:val="TableParagraph"/>
              <w:spacing w:line="211"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1" w:hRule="exact"/>
        </w:trPr>
        <w:tc>
          <w:tcPr>
            <w:tcW w:w="338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4" w:type="dxa"/>
            <w:tcBorders>
              <w:top w:val="nil" w:sz="6" w:space="0" w:color="auto"/>
              <w:left w:val="nil" w:sz="6" w:space="0" w:color="auto"/>
              <w:bottom w:val="nil" w:sz="6" w:space="0" w:color="auto"/>
              <w:right w:val="nil" w:sz="6" w:space="0" w:color="auto"/>
            </w:tcBorders>
          </w:tcPr>
          <w:p>
            <w:pPr/>
          </w:p>
        </w:tc>
        <w:tc>
          <w:tcPr>
            <w:tcW w:w="1736" w:type="dxa"/>
            <w:tcBorders>
              <w:top w:val="single" w:sz="8" w:space="0" w:color="000000"/>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892" w:type="dxa"/>
            <w:tcBorders>
              <w:top w:val="single" w:sz="8" w:space="0" w:color="000000"/>
              <w:left w:val="nil" w:sz="6" w:space="0" w:color="auto"/>
              <w:bottom w:val="nil" w:sz="6" w:space="0" w:color="auto"/>
              <w:right w:val="nil" w:sz="6" w:space="0" w:color="auto"/>
            </w:tcBorders>
          </w:tcPr>
          <w:p>
            <w:pPr/>
          </w:p>
        </w:tc>
      </w:tr>
      <w:tr>
        <w:trPr>
          <w:trHeight w:val="34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4"/>
              <w:jc w:val="right"/>
              <w:rPr>
                <w:rFonts w:ascii="宋体" w:hAnsi="宋体" w:cs="宋体" w:eastAsia="宋体" w:hint="default"/>
                <w:sz w:val="21"/>
                <w:szCs w:val="21"/>
              </w:rPr>
            </w:pPr>
            <w:r>
              <w:rPr>
                <w:rFonts w:ascii="宋体" w:hAnsi="宋体" w:cs="宋体" w:eastAsia="宋体" w:hint="default"/>
                <w:spacing w:val="-2"/>
                <w:sz w:val="21"/>
                <w:szCs w:val="21"/>
              </w:rPr>
              <w:t>日照大地依索新建材有限公司</w:t>
            </w:r>
          </w:p>
        </w:tc>
        <w:tc>
          <w:tcPr>
            <w:tcW w:w="994"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宋体" w:hAnsi="宋体" w:cs="宋体" w:eastAsia="宋体" w:hint="default"/>
                <w:sz w:val="21"/>
                <w:szCs w:val="21"/>
              </w:rPr>
            </w:pPr>
            <w:r>
              <w:rPr>
                <w:rFonts w:ascii="宋体"/>
                <w:spacing w:val="-1"/>
                <w:sz w:val="21"/>
              </w:rPr>
              <w:t>33,000.00</w:t>
            </w:r>
          </w:p>
        </w:tc>
      </w:tr>
      <w:tr>
        <w:trPr>
          <w:trHeight w:val="34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4"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
        </w:tc>
      </w:tr>
      <w:tr>
        <w:trPr>
          <w:trHeight w:val="276"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4"/>
              <w:jc w:val="right"/>
              <w:rPr>
                <w:rFonts w:ascii="宋体" w:hAnsi="宋体" w:cs="宋体" w:eastAsia="宋体" w:hint="default"/>
                <w:sz w:val="21"/>
                <w:szCs w:val="21"/>
              </w:rPr>
            </w:pPr>
            <w:r>
              <w:rPr>
                <w:rFonts w:ascii="宋体" w:hAnsi="宋体" w:cs="宋体" w:eastAsia="宋体" w:hint="default"/>
                <w:spacing w:val="-2"/>
                <w:sz w:val="21"/>
                <w:szCs w:val="21"/>
              </w:rPr>
              <w:t>英属维尔京群岛欣泉有限公司</w:t>
            </w:r>
          </w:p>
        </w:tc>
        <w:tc>
          <w:tcPr>
            <w:tcW w:w="994"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
              <w:ind w:left="367" w:right="0"/>
              <w:jc w:val="left"/>
              <w:rPr>
                <w:rFonts w:ascii="宋体" w:hAnsi="宋体" w:cs="宋体" w:eastAsia="宋体" w:hint="default"/>
                <w:sz w:val="21"/>
                <w:szCs w:val="21"/>
              </w:rPr>
            </w:pPr>
            <w:r>
              <w:rPr>
                <w:rFonts w:ascii="宋体"/>
                <w:sz w:val="21"/>
              </w:rPr>
              <w:t>1,514,468.36</w:t>
            </w:r>
          </w:p>
        </w:tc>
        <w:tc>
          <w:tcPr>
            <w:tcW w:w="826"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宋体" w:hAnsi="宋体" w:cs="宋体" w:eastAsia="宋体" w:hint="default"/>
                <w:sz w:val="21"/>
                <w:szCs w:val="21"/>
              </w:rPr>
            </w:pPr>
            <w:r>
              <w:rPr>
                <w:rFonts w:ascii="宋体"/>
                <w:spacing w:val="-1"/>
                <w:sz w:val="21"/>
              </w:rPr>
              <w:t>1,128,127.71</w:t>
            </w:r>
          </w:p>
        </w:tc>
      </w:tr>
    </w:tbl>
    <w:p>
      <w:pPr>
        <w:spacing w:after="0" w:line="240" w:lineRule="auto"/>
        <w:jc w:val="right"/>
        <w:rPr>
          <w:rFonts w:ascii="宋体" w:hAnsi="宋体" w:cs="宋体" w:eastAsia="宋体" w:hint="default"/>
          <w:sz w:val="21"/>
          <w:szCs w:val="21"/>
        </w:rPr>
        <w:sectPr>
          <w:pgSz w:w="11910" w:h="16840"/>
          <w:pgMar w:header="731" w:footer="956" w:top="1100" w:bottom="1140" w:left="14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367" w:lineRule="exact"/>
        <w:ind w:left="640" w:right="1206"/>
        <w:jc w:val="left"/>
        <w:rPr>
          <w:b w:val="0"/>
          <w:bCs w:val="0"/>
        </w:rPr>
      </w:pPr>
      <w:r>
        <w:rPr/>
        <w:t>九、</w:t>
      </w:r>
      <w:r>
        <w:rPr>
          <w:spacing w:val="-26"/>
        </w:rPr>
        <w:t> </w:t>
      </w:r>
      <w:r>
        <w:rPr/>
        <w:t>或有事项</w:t>
      </w:r>
      <w:r>
        <w:rPr>
          <w:b w:val="0"/>
          <w:bCs w:val="0"/>
        </w:rPr>
      </w:r>
    </w:p>
    <w:p>
      <w:pPr>
        <w:pStyle w:val="BodyText"/>
        <w:spacing w:line="240" w:lineRule="auto" w:before="100"/>
        <w:ind w:left="640" w:right="1206"/>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日，本集团无需要披露的重大或有事项。</w:t>
      </w:r>
    </w:p>
    <w:p>
      <w:pPr>
        <w:spacing w:line="240" w:lineRule="auto" w:before="1"/>
        <w:rPr>
          <w:rFonts w:ascii="宋体" w:hAnsi="宋体" w:cs="宋体" w:eastAsia="宋体" w:hint="default"/>
          <w:sz w:val="35"/>
          <w:szCs w:val="35"/>
        </w:rPr>
      </w:pPr>
    </w:p>
    <w:p>
      <w:pPr>
        <w:pStyle w:val="Heading3"/>
        <w:spacing w:line="240" w:lineRule="auto"/>
        <w:ind w:left="640" w:right="1206"/>
        <w:jc w:val="left"/>
        <w:rPr>
          <w:b w:val="0"/>
          <w:bCs w:val="0"/>
        </w:rPr>
      </w:pPr>
      <w:r>
        <w:rPr/>
        <w:t>十、</w:t>
      </w:r>
      <w:r>
        <w:rPr>
          <w:spacing w:val="-26"/>
        </w:rPr>
        <w:t> </w:t>
      </w:r>
      <w:r>
        <w:rPr/>
        <w:t>股份支付</w:t>
      </w:r>
      <w:r>
        <w:rPr>
          <w:b w:val="0"/>
          <w:bCs w:val="0"/>
        </w:rPr>
      </w:r>
    </w:p>
    <w:p>
      <w:pPr>
        <w:pStyle w:val="BodyText"/>
        <w:spacing w:line="240" w:lineRule="auto" w:before="100"/>
        <w:ind w:left="642" w:right="1206"/>
        <w:jc w:val="left"/>
      </w:pPr>
      <w:r>
        <w:rPr>
          <w:rFonts w:ascii="Arial" w:hAnsi="Arial" w:cs="Arial" w:eastAsia="Arial" w:hint="default"/>
        </w:rPr>
        <w:t>1</w:t>
      </w:r>
      <w:r>
        <w:rPr/>
        <w:t>、股份支付总体情况</w:t>
      </w:r>
    </w:p>
    <w:p>
      <w:pPr>
        <w:spacing w:line="240" w:lineRule="auto" w:before="2"/>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5922"/>
        <w:gridCol w:w="300"/>
        <w:gridCol w:w="2619"/>
      </w:tblGrid>
      <w:tr>
        <w:trPr>
          <w:trHeight w:val="319" w:hRule="exact"/>
        </w:trPr>
        <w:tc>
          <w:tcPr>
            <w:tcW w:w="5922" w:type="dxa"/>
            <w:tcBorders>
              <w:top w:val="nil" w:sz="6" w:space="0" w:color="auto"/>
              <w:left w:val="nil" w:sz="6" w:space="0" w:color="auto"/>
              <w:bottom w:val="single" w:sz="8" w:space="0" w:color="000000"/>
              <w:right w:val="nil" w:sz="6" w:space="0" w:color="auto"/>
            </w:tcBorders>
          </w:tcPr>
          <w:p>
            <w:pPr>
              <w:pStyle w:val="TableParagraph"/>
              <w:tabs>
                <w:tab w:pos="599" w:val="left" w:leader="none"/>
              </w:tabs>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single" w:sz="8" w:space="0" w:color="000000"/>
              <w:right w:val="nil" w:sz="6" w:space="0" w:color="auto"/>
            </w:tcBorders>
          </w:tcPr>
          <w:p>
            <w:pPr>
              <w:pStyle w:val="TableParagraph"/>
              <w:spacing w:line="240" w:lineRule="exact"/>
              <w:ind w:left="830" w:right="0"/>
              <w:jc w:val="left"/>
              <w:rPr>
                <w:rFonts w:ascii="宋体" w:hAnsi="宋体" w:cs="宋体" w:eastAsia="宋体" w:hint="default"/>
                <w:sz w:val="24"/>
                <w:szCs w:val="24"/>
              </w:rPr>
            </w:pPr>
            <w:r>
              <w:rPr>
                <w:rFonts w:ascii="宋体" w:hAnsi="宋体" w:cs="宋体" w:eastAsia="宋体" w:hint="default"/>
                <w:sz w:val="24"/>
                <w:szCs w:val="24"/>
              </w:rPr>
              <w:t>相关内容</w:t>
            </w:r>
          </w:p>
        </w:tc>
      </w:tr>
      <w:tr>
        <w:trPr>
          <w:trHeight w:val="384" w:hRule="exact"/>
        </w:trPr>
        <w:tc>
          <w:tcPr>
            <w:tcW w:w="5922" w:type="dxa"/>
            <w:tcBorders>
              <w:top w:val="single" w:sz="8" w:space="0" w:color="000000"/>
              <w:left w:val="nil" w:sz="6" w:space="0" w:color="auto"/>
              <w:bottom w:val="nil" w:sz="6" w:space="0" w:color="auto"/>
              <w:right w:val="nil" w:sz="6" w:space="0" w:color="auto"/>
            </w:tcBorders>
          </w:tcPr>
          <w:p>
            <w:pPr>
              <w:pStyle w:val="TableParagraph"/>
              <w:spacing w:line="307"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公司本年授予的各项权益工具总额</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single" w:sz="8" w:space="0" w:color="000000"/>
              <w:left w:val="nil" w:sz="6" w:space="0" w:color="auto"/>
              <w:bottom w:val="nil" w:sz="6" w:space="0" w:color="auto"/>
              <w:right w:val="nil" w:sz="6" w:space="0" w:color="auto"/>
            </w:tcBorders>
          </w:tcPr>
          <w:p>
            <w:pPr>
              <w:pStyle w:val="TableParagraph"/>
              <w:spacing w:line="307" w:lineRule="exact"/>
              <w:ind w:right="103"/>
              <w:jc w:val="right"/>
              <w:rPr>
                <w:rFonts w:ascii="宋体" w:hAnsi="宋体" w:cs="宋体" w:eastAsia="宋体" w:hint="default"/>
                <w:sz w:val="24"/>
                <w:szCs w:val="24"/>
              </w:rPr>
            </w:pPr>
            <w:r>
              <w:rPr>
                <w:rFonts w:ascii="宋体"/>
                <w:sz w:val="24"/>
              </w:rPr>
              <w:t>2,290,000.00</w:t>
            </w:r>
          </w:p>
        </w:tc>
      </w:tr>
      <w:tr>
        <w:trPr>
          <w:trHeight w:val="376" w:hRule="exact"/>
        </w:trPr>
        <w:tc>
          <w:tcPr>
            <w:tcW w:w="5922" w:type="dxa"/>
            <w:tcBorders>
              <w:top w:val="nil" w:sz="6" w:space="0" w:color="auto"/>
              <w:left w:val="nil" w:sz="6" w:space="0" w:color="auto"/>
              <w:bottom w:val="nil" w:sz="6" w:space="0" w:color="auto"/>
              <w:right w:val="nil" w:sz="6" w:space="0" w:color="auto"/>
            </w:tcBorders>
          </w:tcPr>
          <w:p>
            <w:pPr>
              <w:pStyle w:val="TableParagraph"/>
              <w:spacing w:line="307"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公司本年行权的各项权益工具总额</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nil" w:sz="6" w:space="0" w:color="auto"/>
            </w:tcBorders>
          </w:tcPr>
          <w:p>
            <w:pPr>
              <w:pStyle w:val="TableParagraph"/>
              <w:spacing w:line="307" w:lineRule="exact"/>
              <w:ind w:right="103"/>
              <w:jc w:val="right"/>
              <w:rPr>
                <w:rFonts w:ascii="宋体" w:hAnsi="宋体" w:cs="宋体" w:eastAsia="宋体" w:hint="default"/>
                <w:sz w:val="24"/>
                <w:szCs w:val="24"/>
              </w:rPr>
            </w:pPr>
            <w:r>
              <w:rPr>
                <w:rFonts w:ascii="宋体"/>
                <w:sz w:val="24"/>
              </w:rPr>
              <w:t>-</w:t>
            </w:r>
          </w:p>
        </w:tc>
      </w:tr>
      <w:tr>
        <w:trPr>
          <w:trHeight w:val="376" w:hRule="exact"/>
        </w:trPr>
        <w:tc>
          <w:tcPr>
            <w:tcW w:w="5922" w:type="dxa"/>
            <w:tcBorders>
              <w:top w:val="nil" w:sz="6" w:space="0" w:color="auto"/>
              <w:left w:val="nil" w:sz="6" w:space="0" w:color="auto"/>
              <w:bottom w:val="nil" w:sz="6" w:space="0" w:color="auto"/>
              <w:right w:val="nil" w:sz="6" w:space="0" w:color="auto"/>
            </w:tcBorders>
          </w:tcPr>
          <w:p>
            <w:pPr>
              <w:pStyle w:val="TableParagraph"/>
              <w:spacing w:line="308"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公司本年失效的各项权益工具总额</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nil" w:sz="6" w:space="0" w:color="auto"/>
            </w:tcBorders>
          </w:tcPr>
          <w:p>
            <w:pPr>
              <w:pStyle w:val="TableParagraph"/>
              <w:spacing w:line="308" w:lineRule="exact"/>
              <w:ind w:right="103"/>
              <w:jc w:val="right"/>
              <w:rPr>
                <w:rFonts w:ascii="宋体" w:hAnsi="宋体" w:cs="宋体" w:eastAsia="宋体" w:hint="default"/>
                <w:sz w:val="24"/>
                <w:szCs w:val="24"/>
              </w:rPr>
            </w:pPr>
            <w:r>
              <w:rPr>
                <w:rFonts w:ascii="宋体"/>
                <w:sz w:val="24"/>
              </w:rPr>
              <w:t>-</w:t>
            </w:r>
          </w:p>
        </w:tc>
      </w:tr>
      <w:tr>
        <w:trPr>
          <w:trHeight w:val="375" w:hRule="exact"/>
        </w:trPr>
        <w:tc>
          <w:tcPr>
            <w:tcW w:w="5922" w:type="dxa"/>
            <w:tcBorders>
              <w:top w:val="nil" w:sz="6" w:space="0" w:color="auto"/>
              <w:left w:val="nil" w:sz="6" w:space="0" w:color="auto"/>
              <w:bottom w:val="nil" w:sz="6" w:space="0" w:color="auto"/>
              <w:right w:val="nil" w:sz="6" w:space="0" w:color="auto"/>
            </w:tcBorders>
          </w:tcPr>
          <w:p>
            <w:pPr>
              <w:pStyle w:val="TableParagraph"/>
              <w:spacing w:line="308" w:lineRule="exact"/>
              <w:ind w:left="108" w:right="0"/>
              <w:jc w:val="left"/>
              <w:rPr>
                <w:rFonts w:ascii="宋体" w:hAnsi="宋体" w:cs="宋体" w:eastAsia="宋体" w:hint="default"/>
                <w:sz w:val="24"/>
                <w:szCs w:val="24"/>
              </w:rPr>
            </w:pPr>
            <w:r>
              <w:rPr>
                <w:rFonts w:ascii="宋体" w:hAnsi="宋体" w:cs="宋体" w:eastAsia="宋体" w:hint="default"/>
                <w:sz w:val="24"/>
                <w:szCs w:val="24"/>
              </w:rPr>
              <w:t>年末发行在外的权益工具总额</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nil" w:sz="6" w:space="0" w:color="auto"/>
            </w:tcBorders>
          </w:tcPr>
          <w:p>
            <w:pPr>
              <w:pStyle w:val="TableParagraph"/>
              <w:spacing w:line="308" w:lineRule="exact"/>
              <w:ind w:right="103"/>
              <w:jc w:val="right"/>
              <w:rPr>
                <w:rFonts w:ascii="宋体" w:hAnsi="宋体" w:cs="宋体" w:eastAsia="宋体" w:hint="default"/>
                <w:sz w:val="24"/>
                <w:szCs w:val="24"/>
              </w:rPr>
            </w:pPr>
            <w:r>
              <w:rPr>
                <w:rFonts w:ascii="宋体"/>
                <w:sz w:val="24"/>
              </w:rPr>
              <w:t>2,290,000.00</w:t>
            </w:r>
          </w:p>
        </w:tc>
      </w:tr>
      <w:tr>
        <w:trPr>
          <w:trHeight w:val="307" w:hRule="exact"/>
        </w:trPr>
        <w:tc>
          <w:tcPr>
            <w:tcW w:w="5922" w:type="dxa"/>
            <w:tcBorders>
              <w:top w:val="nil" w:sz="6" w:space="0" w:color="auto"/>
              <w:left w:val="nil" w:sz="6" w:space="0" w:color="auto"/>
              <w:bottom w:val="nil" w:sz="6" w:space="0" w:color="auto"/>
              <w:right w:val="nil" w:sz="6" w:space="0" w:color="auto"/>
            </w:tcBorders>
          </w:tcPr>
          <w:p>
            <w:pPr>
              <w:pStyle w:val="TableParagraph"/>
              <w:spacing w:line="307" w:lineRule="exact"/>
              <w:ind w:left="108" w:right="0"/>
              <w:jc w:val="left"/>
              <w:rPr>
                <w:rFonts w:ascii="宋体" w:hAnsi="宋体" w:cs="宋体" w:eastAsia="宋体" w:hint="default"/>
                <w:sz w:val="24"/>
                <w:szCs w:val="24"/>
              </w:rPr>
            </w:pPr>
            <w:r>
              <w:rPr>
                <w:rFonts w:ascii="宋体" w:hAnsi="宋体" w:cs="宋体" w:eastAsia="宋体" w:hint="default"/>
                <w:sz w:val="24"/>
                <w:szCs w:val="24"/>
              </w:rPr>
              <w:t>年末可行使的权益工具总额</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nil" w:sz="6" w:space="0" w:color="auto"/>
            </w:tcBorders>
          </w:tcPr>
          <w:p>
            <w:pPr>
              <w:pStyle w:val="TableParagraph"/>
              <w:spacing w:line="307" w:lineRule="exact"/>
              <w:ind w:right="103"/>
              <w:jc w:val="right"/>
              <w:rPr>
                <w:rFonts w:ascii="宋体" w:hAnsi="宋体" w:cs="宋体" w:eastAsia="宋体" w:hint="default"/>
                <w:sz w:val="24"/>
                <w:szCs w:val="24"/>
              </w:rPr>
            </w:pPr>
            <w:r>
              <w:rPr>
                <w:rFonts w:ascii="宋体"/>
                <w:sz w:val="24"/>
              </w:rPr>
              <w:t>2,290,000.00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26"/>
        <w:ind w:left="640" w:right="1206"/>
        <w:jc w:val="left"/>
      </w:pPr>
      <w:r>
        <w:rPr/>
        <w:t>（</w:t>
      </w:r>
      <w:r>
        <w:rPr>
          <w:rFonts w:ascii="Arial" w:hAnsi="Arial" w:cs="Arial" w:eastAsia="Arial" w:hint="default"/>
        </w:rPr>
        <w:t>1</w:t>
      </w:r>
      <w:r>
        <w:rPr/>
        <w:t>）</w:t>
      </w:r>
      <w:r>
        <w:rPr>
          <w:spacing w:val="-16"/>
        </w:rPr>
        <w:t> </w:t>
      </w:r>
      <w:r>
        <w:rPr/>
        <w:t>以权益结算的股份支付情况</w:t>
      </w:r>
    </w:p>
    <w:p>
      <w:pPr>
        <w:spacing w:line="240" w:lineRule="auto" w:before="11"/>
        <w:rPr>
          <w:rFonts w:ascii="宋体" w:hAnsi="宋体" w:cs="宋体" w:eastAsia="宋体" w:hint="default"/>
          <w:sz w:val="7"/>
          <w:szCs w:val="7"/>
        </w:rPr>
      </w:pPr>
    </w:p>
    <w:tbl>
      <w:tblPr>
        <w:tblW w:w="0" w:type="auto"/>
        <w:jc w:val="left"/>
        <w:tblInd w:w="254" w:type="dxa"/>
        <w:tblLayout w:type="fixed"/>
        <w:tblCellMar>
          <w:top w:w="0" w:type="dxa"/>
          <w:left w:w="0" w:type="dxa"/>
          <w:bottom w:w="0" w:type="dxa"/>
          <w:right w:w="0" w:type="dxa"/>
        </w:tblCellMar>
        <w:tblLook w:val="01E0"/>
      </w:tblPr>
      <w:tblGrid>
        <w:gridCol w:w="5919"/>
        <w:gridCol w:w="300"/>
        <w:gridCol w:w="2621"/>
      </w:tblGrid>
      <w:tr>
        <w:trPr>
          <w:trHeight w:val="319" w:hRule="exact"/>
        </w:trPr>
        <w:tc>
          <w:tcPr>
            <w:tcW w:w="5919" w:type="dxa"/>
            <w:tcBorders>
              <w:top w:val="nil" w:sz="6" w:space="0" w:color="auto"/>
              <w:left w:val="nil" w:sz="6" w:space="0" w:color="auto"/>
              <w:bottom w:val="single" w:sz="8" w:space="0" w:color="000000"/>
              <w:right w:val="nil" w:sz="6" w:space="0" w:color="auto"/>
            </w:tcBorders>
          </w:tcPr>
          <w:p>
            <w:pPr>
              <w:pStyle w:val="TableParagraph"/>
              <w:tabs>
                <w:tab w:pos="599" w:val="left" w:leader="none"/>
              </w:tabs>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0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8" w:space="0" w:color="000000"/>
              <w:right w:val="nil" w:sz="6" w:space="0" w:color="auto"/>
            </w:tcBorders>
          </w:tcPr>
          <w:p>
            <w:pPr>
              <w:pStyle w:val="TableParagraph"/>
              <w:spacing w:line="240" w:lineRule="exact"/>
              <w:ind w:left="830" w:right="0"/>
              <w:jc w:val="left"/>
              <w:rPr>
                <w:rFonts w:ascii="宋体" w:hAnsi="宋体" w:cs="宋体" w:eastAsia="宋体" w:hint="default"/>
                <w:sz w:val="24"/>
                <w:szCs w:val="24"/>
              </w:rPr>
            </w:pPr>
            <w:r>
              <w:rPr>
                <w:rFonts w:ascii="宋体" w:hAnsi="宋体" w:cs="宋体" w:eastAsia="宋体" w:hint="default"/>
                <w:sz w:val="24"/>
                <w:szCs w:val="24"/>
              </w:rPr>
              <w:t>相关内容</w:t>
            </w:r>
          </w:p>
        </w:tc>
      </w:tr>
      <w:tr>
        <w:trPr>
          <w:trHeight w:val="1253" w:hRule="exact"/>
        </w:trPr>
        <w:tc>
          <w:tcPr>
            <w:tcW w:w="5919" w:type="dxa"/>
            <w:tcBorders>
              <w:top w:val="single" w:sz="8" w:space="0" w:color="000000"/>
              <w:left w:val="nil" w:sz="6" w:space="0" w:color="auto"/>
              <w:bottom w:val="nil" w:sz="6" w:space="0" w:color="auto"/>
              <w:right w:val="nil" w:sz="6" w:space="0" w:color="auto"/>
            </w:tcBorders>
          </w:tcPr>
          <w:p>
            <w:pPr>
              <w:pStyle w:val="TableParagraph"/>
              <w:spacing w:line="274" w:lineRule="exact"/>
              <w:ind w:right="0"/>
              <w:jc w:val="left"/>
              <w:rPr>
                <w:rFonts w:ascii="宋体" w:hAnsi="宋体" w:cs="宋体" w:eastAsia="宋体" w:hint="default"/>
                <w:sz w:val="24"/>
                <w:szCs w:val="24"/>
              </w:rPr>
            </w:pPr>
            <w:r>
              <w:rPr>
                <w:rFonts w:ascii="宋体" w:hAnsi="宋体" w:cs="宋体" w:eastAsia="宋体" w:hint="default"/>
                <w:sz w:val="24"/>
                <w:szCs w:val="24"/>
              </w:rPr>
              <w:t>授予日权益工具公允价值的确定方法</w:t>
            </w:r>
          </w:p>
        </w:tc>
        <w:tc>
          <w:tcPr>
            <w:tcW w:w="300" w:type="dxa"/>
            <w:tcBorders>
              <w:top w:val="nil" w:sz="6" w:space="0" w:color="auto"/>
              <w:left w:val="nil" w:sz="6" w:space="0" w:color="auto"/>
              <w:bottom w:val="nil" w:sz="6" w:space="0" w:color="auto"/>
              <w:right w:val="nil" w:sz="6" w:space="0" w:color="auto"/>
            </w:tcBorders>
          </w:tcPr>
          <w:p>
            <w:pPr/>
          </w:p>
        </w:tc>
        <w:tc>
          <w:tcPr>
            <w:tcW w:w="2621" w:type="dxa"/>
            <w:tcBorders>
              <w:top w:val="single" w:sz="8" w:space="0" w:color="000000"/>
              <w:left w:val="nil" w:sz="6" w:space="0" w:color="auto"/>
              <w:bottom w:val="nil" w:sz="6" w:space="0" w:color="auto"/>
              <w:right w:val="nil" w:sz="6" w:space="0" w:color="auto"/>
            </w:tcBorders>
          </w:tcPr>
          <w:p>
            <w:pPr>
              <w:pStyle w:val="TableParagraph"/>
              <w:spacing w:line="273" w:lineRule="exact"/>
              <w:ind w:right="0"/>
              <w:jc w:val="both"/>
              <w:rPr>
                <w:rFonts w:ascii="宋体" w:hAnsi="宋体" w:cs="宋体" w:eastAsia="宋体" w:hint="default"/>
                <w:sz w:val="24"/>
                <w:szCs w:val="24"/>
              </w:rPr>
            </w:pPr>
            <w:r>
              <w:rPr>
                <w:rFonts w:ascii="宋体" w:hAnsi="宋体" w:cs="宋体" w:eastAsia="宋体" w:hint="default"/>
                <w:sz w:val="24"/>
                <w:szCs w:val="24"/>
              </w:rPr>
              <w:t>采用授予日发行在外无</w:t>
            </w:r>
          </w:p>
          <w:p>
            <w:pPr>
              <w:pStyle w:val="TableParagraph"/>
              <w:spacing w:line="237" w:lineRule="auto" w:before="1"/>
              <w:ind w:right="219"/>
              <w:jc w:val="both"/>
              <w:rPr>
                <w:rFonts w:ascii="宋体" w:hAnsi="宋体" w:cs="宋体" w:eastAsia="宋体" w:hint="default"/>
                <w:sz w:val="24"/>
                <w:szCs w:val="24"/>
              </w:rPr>
            </w:pPr>
            <w:r>
              <w:rPr>
                <w:rFonts w:ascii="宋体" w:hAnsi="宋体" w:cs="宋体" w:eastAsia="宋体" w:hint="default"/>
                <w:sz w:val="24"/>
                <w:szCs w:val="24"/>
              </w:rPr>
              <w:t>限售普通股市场价格与 授予价格的差做为权益 工具公允价值</w:t>
            </w:r>
          </w:p>
        </w:tc>
      </w:tr>
      <w:tr>
        <w:trPr>
          <w:trHeight w:val="354" w:hRule="exact"/>
        </w:trPr>
        <w:tc>
          <w:tcPr>
            <w:tcW w:w="5919" w:type="dxa"/>
            <w:tcBorders>
              <w:top w:val="nil" w:sz="6" w:space="0" w:color="auto"/>
              <w:left w:val="nil" w:sz="6" w:space="0" w:color="auto"/>
              <w:bottom w:val="nil" w:sz="6" w:space="0" w:color="auto"/>
              <w:right w:val="nil" w:sz="6" w:space="0" w:color="auto"/>
            </w:tcBorders>
          </w:tcPr>
          <w:p>
            <w:pPr>
              <w:pStyle w:val="TableParagraph"/>
              <w:spacing w:line="276" w:lineRule="exact"/>
              <w:ind w:right="0"/>
              <w:jc w:val="left"/>
              <w:rPr>
                <w:rFonts w:ascii="宋体" w:hAnsi="宋体" w:cs="宋体" w:eastAsia="宋体" w:hint="default"/>
                <w:sz w:val="24"/>
                <w:szCs w:val="24"/>
              </w:rPr>
            </w:pPr>
            <w:r>
              <w:rPr>
                <w:rFonts w:ascii="宋体" w:hAnsi="宋体" w:cs="宋体" w:eastAsia="宋体" w:hint="default"/>
                <w:sz w:val="24"/>
                <w:szCs w:val="24"/>
              </w:rPr>
              <w:t>对可行权权益工具数量的最佳估计的确定方法</w:t>
            </w:r>
          </w:p>
        </w:tc>
        <w:tc>
          <w:tcPr>
            <w:tcW w:w="30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397" w:hRule="exact"/>
        </w:trPr>
        <w:tc>
          <w:tcPr>
            <w:tcW w:w="59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r>
              <w:rPr>
                <w:rFonts w:ascii="宋体" w:hAnsi="宋体" w:cs="宋体" w:eastAsia="宋体" w:hint="default"/>
                <w:sz w:val="24"/>
                <w:szCs w:val="24"/>
              </w:rPr>
              <w:t>本年估计与上年估计有重大差异的原因</w:t>
            </w:r>
          </w:p>
        </w:tc>
        <w:tc>
          <w:tcPr>
            <w:tcW w:w="30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419" w:hRule="exact"/>
        </w:trPr>
        <w:tc>
          <w:tcPr>
            <w:tcW w:w="59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r>
              <w:rPr>
                <w:rFonts w:ascii="宋体" w:hAnsi="宋体" w:cs="宋体" w:eastAsia="宋体" w:hint="default"/>
                <w:sz w:val="24"/>
                <w:szCs w:val="24"/>
              </w:rPr>
              <w:t>资本公积中以权益结算的股份支付的累计金额</w:t>
            </w:r>
          </w:p>
        </w:tc>
        <w:tc>
          <w:tcPr>
            <w:tcW w:w="30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宋体" w:hAnsi="宋体" w:cs="宋体" w:eastAsia="宋体" w:hint="default"/>
                <w:sz w:val="24"/>
                <w:szCs w:val="24"/>
              </w:rPr>
            </w:pPr>
            <w:r>
              <w:rPr>
                <w:rFonts w:ascii="宋体"/>
                <w:sz w:val="24"/>
              </w:rPr>
              <w:t>781,500.00</w:t>
            </w:r>
          </w:p>
        </w:tc>
      </w:tr>
      <w:tr>
        <w:trPr>
          <w:trHeight w:val="340" w:hRule="exact"/>
        </w:trPr>
        <w:tc>
          <w:tcPr>
            <w:tcW w:w="5919" w:type="dxa"/>
            <w:tcBorders>
              <w:top w:val="nil" w:sz="6" w:space="0" w:color="auto"/>
              <w:left w:val="nil" w:sz="6" w:space="0" w:color="auto"/>
              <w:bottom w:val="nil" w:sz="6" w:space="0" w:color="auto"/>
              <w:right w:val="nil" w:sz="6" w:space="0" w:color="auto"/>
            </w:tcBorders>
          </w:tcPr>
          <w:p>
            <w:pPr>
              <w:pStyle w:val="TableParagraph"/>
              <w:spacing w:line="296" w:lineRule="exact"/>
              <w:ind w:right="0"/>
              <w:jc w:val="left"/>
              <w:rPr>
                <w:rFonts w:ascii="宋体" w:hAnsi="宋体" w:cs="宋体" w:eastAsia="宋体" w:hint="default"/>
                <w:sz w:val="24"/>
                <w:szCs w:val="24"/>
              </w:rPr>
            </w:pPr>
            <w:r>
              <w:rPr>
                <w:rFonts w:ascii="宋体" w:hAnsi="宋体" w:cs="宋体" w:eastAsia="宋体" w:hint="default"/>
                <w:sz w:val="24"/>
                <w:szCs w:val="24"/>
              </w:rPr>
              <w:t>以权益结算的股份支付确认的费用总额</w:t>
            </w:r>
          </w:p>
        </w:tc>
        <w:tc>
          <w:tcPr>
            <w:tcW w:w="30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24"/>
                <w:szCs w:val="24"/>
              </w:rPr>
            </w:pPr>
            <w:r>
              <w:rPr>
                <w:rFonts w:ascii="宋体"/>
                <w:sz w:val="24"/>
              </w:rPr>
              <w:t>781,500.00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26"/>
        <w:ind w:left="640" w:right="1206"/>
        <w:jc w:val="left"/>
      </w:pPr>
      <w:r>
        <w:rPr/>
        <w:t>（</w:t>
      </w:r>
      <w:r>
        <w:rPr>
          <w:rFonts w:ascii="Arial" w:hAnsi="Arial" w:cs="Arial" w:eastAsia="Arial" w:hint="default"/>
        </w:rPr>
        <w:t>2</w:t>
      </w:r>
      <w:r>
        <w:rPr/>
        <w:t>）以股份支付服务情况</w:t>
      </w:r>
    </w:p>
    <w:p>
      <w:pPr>
        <w:spacing w:line="240" w:lineRule="auto" w:before="1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5922"/>
        <w:gridCol w:w="300"/>
        <w:gridCol w:w="2619"/>
      </w:tblGrid>
      <w:tr>
        <w:trPr>
          <w:trHeight w:val="319" w:hRule="exact"/>
        </w:trPr>
        <w:tc>
          <w:tcPr>
            <w:tcW w:w="5922" w:type="dxa"/>
            <w:tcBorders>
              <w:top w:val="nil" w:sz="6" w:space="0" w:color="auto"/>
              <w:left w:val="nil" w:sz="6" w:space="0" w:color="auto"/>
              <w:bottom w:val="single" w:sz="8" w:space="0" w:color="000000"/>
              <w:right w:val="nil" w:sz="6" w:space="0" w:color="auto"/>
            </w:tcBorders>
          </w:tcPr>
          <w:p>
            <w:pPr>
              <w:pStyle w:val="TableParagraph"/>
              <w:tabs>
                <w:tab w:pos="599" w:val="left" w:leader="none"/>
              </w:tabs>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single" w:sz="8" w:space="0" w:color="000000"/>
              <w:right w:val="nil" w:sz="6" w:space="0" w:color="auto"/>
            </w:tcBorders>
          </w:tcPr>
          <w:p>
            <w:pPr>
              <w:pStyle w:val="TableParagraph"/>
              <w:tabs>
                <w:tab w:pos="1430" w:val="left" w:leader="none"/>
              </w:tabs>
              <w:spacing w:line="240" w:lineRule="exact"/>
              <w:ind w:left="950"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315" w:hRule="exact"/>
        </w:trPr>
        <w:tc>
          <w:tcPr>
            <w:tcW w:w="5922" w:type="dxa"/>
            <w:tcBorders>
              <w:top w:val="single" w:sz="8" w:space="0" w:color="000000"/>
              <w:left w:val="nil" w:sz="6" w:space="0" w:color="auto"/>
              <w:bottom w:val="nil" w:sz="6" w:space="0" w:color="auto"/>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以股份支付换取的职工服务总额</w:t>
            </w:r>
          </w:p>
        </w:tc>
        <w:tc>
          <w:tcPr>
            <w:tcW w:w="300" w:type="dxa"/>
            <w:tcBorders>
              <w:top w:val="nil" w:sz="6" w:space="0" w:color="auto"/>
              <w:left w:val="nil" w:sz="6" w:space="0" w:color="auto"/>
              <w:bottom w:val="nil" w:sz="6" w:space="0" w:color="auto"/>
              <w:right w:val="nil" w:sz="6" w:space="0" w:color="auto"/>
            </w:tcBorders>
          </w:tcPr>
          <w:p>
            <w:pPr/>
          </w:p>
        </w:tc>
        <w:tc>
          <w:tcPr>
            <w:tcW w:w="2619" w:type="dxa"/>
            <w:tcBorders>
              <w:top w:val="single" w:sz="8" w:space="0" w:color="000000"/>
              <w:left w:val="nil" w:sz="6" w:space="0" w:color="auto"/>
              <w:bottom w:val="nil" w:sz="6" w:space="0" w:color="auto"/>
              <w:right w:val="nil" w:sz="6" w:space="0" w:color="auto"/>
            </w:tcBorders>
          </w:tcPr>
          <w:p>
            <w:pPr>
              <w:pStyle w:val="TableParagraph"/>
              <w:spacing w:line="305" w:lineRule="exact"/>
              <w:ind w:left="952" w:right="0"/>
              <w:jc w:val="left"/>
              <w:rPr>
                <w:rFonts w:ascii="宋体" w:hAnsi="宋体" w:cs="宋体" w:eastAsia="宋体" w:hint="default"/>
                <w:sz w:val="24"/>
                <w:szCs w:val="24"/>
              </w:rPr>
            </w:pPr>
            <w:r>
              <w:rPr>
                <w:rFonts w:ascii="宋体"/>
                <w:sz w:val="24"/>
              </w:rPr>
              <w:t>18,755,100.00</w:t>
            </w:r>
          </w:p>
        </w:tc>
      </w:tr>
    </w:tbl>
    <w:p>
      <w:pPr>
        <w:spacing w:line="240" w:lineRule="auto" w:before="8"/>
        <w:rPr>
          <w:rFonts w:ascii="宋体" w:hAnsi="宋体" w:cs="宋体" w:eastAsia="宋体" w:hint="default"/>
          <w:sz w:val="29"/>
          <w:szCs w:val="29"/>
        </w:rPr>
      </w:pPr>
    </w:p>
    <w:p>
      <w:pPr>
        <w:pStyle w:val="Heading3"/>
        <w:spacing w:line="367" w:lineRule="exact"/>
        <w:ind w:left="640" w:right="1206"/>
        <w:jc w:val="left"/>
        <w:rPr>
          <w:b w:val="0"/>
          <w:bCs w:val="0"/>
        </w:rPr>
      </w:pPr>
      <w:r>
        <w:rPr/>
        <w:t>十一、</w:t>
      </w:r>
      <w:r>
        <w:rPr>
          <w:spacing w:val="3"/>
        </w:rPr>
        <w:t> </w:t>
      </w:r>
      <w:r>
        <w:rPr/>
        <w:t>承诺事项</w:t>
      </w:r>
      <w:r>
        <w:rPr>
          <w:b w:val="0"/>
          <w:bCs w:val="0"/>
        </w:rPr>
      </w:r>
    </w:p>
    <w:p>
      <w:pPr>
        <w:pStyle w:val="BodyText"/>
        <w:spacing w:line="240" w:lineRule="auto" w:before="101"/>
        <w:ind w:left="640" w:right="1206"/>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日，本集团无需要披露的重大承诺事项。</w:t>
      </w:r>
    </w:p>
    <w:p>
      <w:pPr>
        <w:spacing w:line="240" w:lineRule="auto" w:before="12"/>
        <w:rPr>
          <w:rFonts w:ascii="宋体" w:hAnsi="宋体" w:cs="宋体" w:eastAsia="宋体" w:hint="default"/>
          <w:sz w:val="23"/>
          <w:szCs w:val="23"/>
        </w:rPr>
      </w:pPr>
    </w:p>
    <w:p>
      <w:pPr>
        <w:pStyle w:val="Heading3"/>
        <w:spacing w:line="240" w:lineRule="auto"/>
        <w:ind w:left="640" w:right="1206"/>
        <w:jc w:val="left"/>
        <w:rPr>
          <w:b w:val="0"/>
          <w:bCs w:val="0"/>
        </w:rPr>
      </w:pPr>
      <w:r>
        <w:rPr/>
        <w:t>十二、</w:t>
      </w:r>
      <w:r>
        <w:rPr>
          <w:spacing w:val="6"/>
        </w:rPr>
        <w:t> </w:t>
      </w:r>
      <w:r>
        <w:rPr/>
        <w:t>资产负债表日后事项</w:t>
      </w:r>
      <w:r>
        <w:rPr>
          <w:b w:val="0"/>
          <w:bCs w:val="0"/>
        </w:rPr>
      </w:r>
    </w:p>
    <w:p>
      <w:pPr>
        <w:pStyle w:val="BodyText"/>
        <w:spacing w:line="312" w:lineRule="exact" w:before="21"/>
        <w:ind w:left="640" w:right="1206"/>
        <w:jc w:val="left"/>
      </w:pPr>
      <w:r>
        <w:rPr/>
        <w:t>本公司于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日召开第三届董事会第</w:t>
      </w:r>
      <w:r>
        <w:rPr>
          <w:spacing w:val="-60"/>
        </w:rPr>
        <w:t> </w:t>
      </w:r>
      <w:r>
        <w:rPr>
          <w:rFonts w:ascii="宋体" w:hAnsi="宋体" w:cs="宋体" w:eastAsia="宋体" w:hint="default"/>
        </w:rPr>
        <w:t>24</w:t>
      </w:r>
      <w:r>
        <w:rPr>
          <w:rFonts w:ascii="宋体" w:hAnsi="宋体" w:cs="宋体" w:eastAsia="宋体" w:hint="default"/>
          <w:spacing w:val="-60"/>
        </w:rPr>
        <w:t> </w:t>
      </w:r>
      <w:r>
        <w:rPr/>
        <w:t>次会议</w:t>
      </w:r>
      <w:r>
        <w:rPr>
          <w:spacing w:val="-120"/>
        </w:rPr>
        <w:t>，</w:t>
      </w:r>
      <w:r>
        <w:rPr/>
        <w:t>批准</w:t>
      </w:r>
      <w:r>
        <w:rPr>
          <w:spacing w:val="-60"/>
        </w:rPr>
        <w:t> </w:t>
      </w:r>
      <w:r>
        <w:rPr>
          <w:rFonts w:ascii="宋体" w:hAnsi="宋体" w:cs="宋体" w:eastAsia="宋体" w:hint="default"/>
        </w:rPr>
        <w:t>2011</w:t>
      </w:r>
      <w:r>
        <w:rPr>
          <w:rFonts w:ascii="宋体" w:hAnsi="宋体" w:cs="宋体" w:eastAsia="宋体" w:hint="default"/>
          <w:spacing w:val="-60"/>
        </w:rPr>
        <w:t> </w:t>
      </w:r>
      <w:r>
        <w:rPr/>
        <w:t>年度利润分</w:t>
      </w:r>
    </w:p>
    <w:p>
      <w:pPr>
        <w:pStyle w:val="BodyText"/>
        <w:spacing w:line="311" w:lineRule="exact" w:before="0"/>
        <w:ind w:left="160" w:right="1206"/>
        <w:jc w:val="left"/>
      </w:pPr>
      <w:r>
        <w:rPr/>
        <w:t>配预</w:t>
      </w:r>
      <w:r>
        <w:rPr>
          <w:spacing w:val="-1"/>
        </w:rPr>
        <w:t>案</w:t>
      </w:r>
      <w:r>
        <w:rPr>
          <w:rFonts w:ascii="宋体" w:hAnsi="宋体" w:cs="宋体" w:eastAsia="宋体" w:hint="default"/>
        </w:rPr>
        <w:t>: </w:t>
      </w:r>
      <w:r>
        <w:rPr/>
        <w:t>按</w:t>
      </w:r>
      <w:r>
        <w:rPr>
          <w:spacing w:val="-60"/>
        </w:rPr>
        <w:t> </w:t>
      </w:r>
      <w:r>
        <w:rPr>
          <w:rFonts w:ascii="宋体" w:hAnsi="宋体" w:cs="宋体" w:eastAsia="宋体" w:hint="default"/>
        </w:rPr>
        <w:t>2011</w:t>
      </w:r>
      <w:r>
        <w:rPr>
          <w:rFonts w:ascii="宋体" w:hAnsi="宋体" w:cs="宋体" w:eastAsia="宋体" w:hint="default"/>
          <w:spacing w:val="-60"/>
        </w:rPr>
        <w:t> </w:t>
      </w:r>
      <w:r>
        <w:rPr/>
        <w:t>年末公司总股本</w:t>
      </w:r>
      <w:r>
        <w:rPr>
          <w:spacing w:val="-60"/>
        </w:rPr>
        <w:t> </w:t>
      </w:r>
      <w:r>
        <w:rPr>
          <w:rFonts w:ascii="宋体" w:hAnsi="宋体" w:cs="宋体" w:eastAsia="宋体" w:hint="default"/>
        </w:rPr>
        <w:t>126,414,172</w:t>
      </w:r>
      <w:r>
        <w:rPr>
          <w:rFonts w:ascii="宋体" w:hAnsi="宋体" w:cs="宋体" w:eastAsia="宋体" w:hint="default"/>
          <w:spacing w:val="-60"/>
        </w:rPr>
        <w:t> </w:t>
      </w:r>
      <w:r>
        <w:rPr/>
        <w:t>股为基数</w:t>
      </w:r>
      <w:r>
        <w:rPr>
          <w:spacing w:val="-120"/>
        </w:rPr>
        <w:t>，</w:t>
      </w: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w:t>
      </w:r>
    </w:p>
    <w:p>
      <w:pPr>
        <w:pStyle w:val="BodyText"/>
        <w:spacing w:line="312" w:lineRule="exact" w:before="0"/>
        <w:ind w:left="160" w:right="1206"/>
        <w:jc w:val="left"/>
      </w:pPr>
      <w:r>
        <w:rPr/>
        <w:t>股利</w:t>
      </w:r>
      <w:r>
        <w:rPr>
          <w:spacing w:val="-61"/>
        </w:rPr>
        <w:t> </w:t>
      </w:r>
      <w:r>
        <w:rPr>
          <w:rFonts w:ascii="宋体" w:hAnsi="宋体" w:cs="宋体" w:eastAsia="宋体" w:hint="default"/>
        </w:rPr>
        <w:t>4.00</w:t>
      </w:r>
      <w:r>
        <w:rPr>
          <w:rFonts w:ascii="宋体" w:hAnsi="宋体" w:cs="宋体" w:eastAsia="宋体" w:hint="default"/>
          <w:spacing w:val="-60"/>
        </w:rPr>
        <w:t> </w:t>
      </w:r>
      <w:r>
        <w:rPr/>
        <w:t>元（含税</w:t>
      </w:r>
      <w:r>
        <w:rPr>
          <w:spacing w:val="-120"/>
        </w:rPr>
        <w:t>）</w:t>
      </w:r>
      <w:r>
        <w:rPr/>
        <w:t>，合计派发现金股利</w:t>
      </w:r>
      <w:r>
        <w:rPr>
          <w:spacing w:val="-60"/>
        </w:rPr>
        <w:t> </w:t>
      </w:r>
      <w:r>
        <w:rPr>
          <w:rFonts w:ascii="宋体" w:hAnsi="宋体" w:cs="宋体" w:eastAsia="宋体" w:hint="default"/>
        </w:rPr>
        <w:t>5,056.57</w:t>
      </w:r>
      <w:r>
        <w:rPr>
          <w:rFonts w:ascii="宋体" w:hAnsi="宋体" w:cs="宋体" w:eastAsia="宋体" w:hint="default"/>
          <w:spacing w:val="-60"/>
        </w:rPr>
        <w:t> </w:t>
      </w:r>
      <w:r>
        <w:rPr/>
        <w:t>万元，同时进行资本公积金转增股</w:t>
      </w:r>
    </w:p>
    <w:p>
      <w:pPr>
        <w:pStyle w:val="BodyText"/>
        <w:spacing w:line="311" w:lineRule="exact" w:before="0"/>
        <w:ind w:left="160" w:right="1206"/>
        <w:jc w:val="left"/>
        <w:rPr>
          <w:rFonts w:ascii="宋体" w:hAnsi="宋体" w:cs="宋体" w:eastAsia="宋体" w:hint="default"/>
        </w:rPr>
      </w:pPr>
      <w:r>
        <w:rPr/>
        <w:t>本</w:t>
      </w:r>
      <w:r>
        <w:rPr>
          <w:spacing w:val="-101"/>
        </w:rPr>
        <w:t>，</w:t>
      </w:r>
      <w:r>
        <w:rPr/>
        <w:t>每</w:t>
      </w:r>
      <w:r>
        <w:rPr>
          <w:spacing w:val="-61"/>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10</w:t>
      </w:r>
      <w:r>
        <w:rPr>
          <w:rFonts w:ascii="宋体" w:hAnsi="宋体" w:cs="宋体" w:eastAsia="宋体" w:hint="default"/>
          <w:spacing w:val="-60"/>
        </w:rPr>
        <w:t> </w:t>
      </w:r>
      <w:r>
        <w:rPr/>
        <w:t>股</w:t>
      </w:r>
      <w:r>
        <w:rPr>
          <w:spacing w:val="-99"/>
        </w:rPr>
        <w:t>，</w:t>
      </w:r>
      <w:r>
        <w:rPr/>
        <w:t>共计转增</w:t>
      </w:r>
      <w:r>
        <w:rPr>
          <w:spacing w:val="-60"/>
        </w:rPr>
        <w:t> </w:t>
      </w:r>
      <w:r>
        <w:rPr>
          <w:rFonts w:ascii="宋体" w:hAnsi="宋体" w:cs="宋体" w:eastAsia="宋体" w:hint="default"/>
        </w:rPr>
        <w:t>126,414,172</w:t>
      </w:r>
      <w:r>
        <w:rPr>
          <w:rFonts w:ascii="宋体" w:hAnsi="宋体" w:cs="宋体" w:eastAsia="宋体" w:hint="default"/>
          <w:spacing w:val="-60"/>
        </w:rPr>
        <w:t> </w:t>
      </w:r>
      <w:r>
        <w:rPr/>
        <w:t>股</w:t>
      </w:r>
      <w:r>
        <w:rPr>
          <w:spacing w:val="-101"/>
        </w:rPr>
        <w:t>，</w:t>
      </w:r>
      <w:r>
        <w:rPr/>
        <w:t>转增后公司总股本增至</w:t>
      </w:r>
      <w:r>
        <w:rPr>
          <w:spacing w:val="-60"/>
        </w:rPr>
        <w:t> </w:t>
      </w:r>
      <w:r>
        <w:rPr>
          <w:rFonts w:ascii="宋体" w:hAnsi="宋体" w:cs="宋体" w:eastAsia="宋体" w:hint="default"/>
        </w:rPr>
        <w:t>252,828,344</w:t>
      </w:r>
    </w:p>
    <w:p>
      <w:pPr>
        <w:pStyle w:val="BodyText"/>
        <w:spacing w:line="312" w:lineRule="exact" w:before="0"/>
        <w:ind w:left="160" w:right="1206"/>
        <w:jc w:val="left"/>
      </w:pPr>
      <w:r>
        <w:rPr/>
        <w:t>股。本预案将提交</w:t>
      </w:r>
      <w:r>
        <w:rPr>
          <w:spacing w:val="-61"/>
        </w:rPr>
        <w:t> </w:t>
      </w:r>
      <w:r>
        <w:rPr>
          <w:rFonts w:ascii="宋体" w:hAnsi="宋体" w:cs="宋体" w:eastAsia="宋体" w:hint="default"/>
        </w:rPr>
        <w:t>2011</w:t>
      </w:r>
      <w:r>
        <w:rPr>
          <w:rFonts w:ascii="宋体" w:hAnsi="宋体" w:cs="宋体" w:eastAsia="宋体" w:hint="default"/>
          <w:spacing w:val="-61"/>
        </w:rPr>
        <w:t> </w:t>
      </w:r>
      <w:r>
        <w:rPr/>
        <w:t>年度股东大会审议。</w:t>
      </w:r>
    </w:p>
    <w:p>
      <w:pPr>
        <w:spacing w:after="0" w:line="312" w:lineRule="exact"/>
        <w:jc w:val="left"/>
        <w:sectPr>
          <w:pgSz w:w="11910" w:h="16840"/>
          <w:pgMar w:header="731" w:footer="956" w:top="1100" w:bottom="1140" w:left="1460" w:right="0"/>
        </w:sectPr>
      </w:pPr>
    </w:p>
    <w:p>
      <w:pPr>
        <w:spacing w:line="240" w:lineRule="auto" w:before="0"/>
        <w:rPr>
          <w:rFonts w:ascii="宋体" w:hAnsi="宋体" w:cs="宋体" w:eastAsia="宋体" w:hint="default"/>
          <w:sz w:val="20"/>
          <w:szCs w:val="20"/>
        </w:rPr>
      </w:pPr>
      <w:r>
        <w:rPr/>
        <w:pict>
          <v:group style="position:absolute;margin-left:280.25pt;margin-top:309.649994pt;width:71.45pt;height:2.2pt;mso-position-horizontal-relative:page;mso-position-vertical-relative:page;z-index:-746272" coordorigin="5605,6193" coordsize="1429,44">
            <v:group style="position:absolute;left:5612;top:6200;width:1415;height:2" coordorigin="5612,6200" coordsize="1415,2">
              <v:shape style="position:absolute;left:5612;top:6200;width:1415;height:2" coordorigin="5612,6200" coordsize="1415,0" path="m5612,6200l7026,6200e" filled="false" stroked="true" strokeweight=".72pt" strokecolor="#000000">
                <v:path arrowok="t"/>
              </v:shape>
            </v:group>
            <v:group style="position:absolute;left:5612;top:6229;width:1415;height:2" coordorigin="5612,6229" coordsize="1415,2">
              <v:shape style="position:absolute;left:5612;top:6229;width:1415;height:2" coordorigin="5612,6229" coordsize="1415,0" path="m5612,6229l7026,6229e" filled="false" stroked="true" strokeweight=".72pt" strokecolor="#000000">
                <v:path arrowok="t"/>
              </v:shape>
            </v:group>
            <w10:wrap type="none"/>
          </v:group>
        </w:pict>
      </w:r>
    </w:p>
    <w:p>
      <w:pPr>
        <w:spacing w:line="240" w:lineRule="auto" w:before="12"/>
        <w:rPr>
          <w:rFonts w:ascii="宋体" w:hAnsi="宋体" w:cs="宋体" w:eastAsia="宋体" w:hint="default"/>
          <w:sz w:val="17"/>
          <w:szCs w:val="17"/>
        </w:rPr>
      </w:pPr>
    </w:p>
    <w:p>
      <w:pPr>
        <w:pStyle w:val="Heading3"/>
        <w:spacing w:line="367" w:lineRule="exact"/>
        <w:ind w:left="640" w:right="1206"/>
        <w:jc w:val="left"/>
        <w:rPr>
          <w:b w:val="0"/>
          <w:bCs w:val="0"/>
        </w:rPr>
      </w:pPr>
      <w:r>
        <w:rPr/>
        <w:t>十三、</w:t>
      </w:r>
      <w:r>
        <w:rPr>
          <w:spacing w:val="5"/>
        </w:rPr>
        <w:t> </w:t>
      </w:r>
      <w:r>
        <w:rPr/>
        <w:t>其他重要事项说明</w:t>
      </w:r>
      <w:r>
        <w:rPr>
          <w:b w:val="0"/>
          <w:bCs w:val="0"/>
        </w:rPr>
      </w:r>
    </w:p>
    <w:p>
      <w:pPr>
        <w:pStyle w:val="BodyText"/>
        <w:spacing w:line="240" w:lineRule="auto" w:before="98"/>
        <w:ind w:left="640" w:right="1206"/>
        <w:jc w:val="left"/>
      </w:pPr>
      <w:r>
        <w:rPr/>
        <w:t>本公司无需披露的其他重要事项。</w:t>
      </w:r>
    </w:p>
    <w:p>
      <w:pPr>
        <w:spacing w:line="240" w:lineRule="auto" w:before="1"/>
        <w:rPr>
          <w:rFonts w:ascii="宋体" w:hAnsi="宋体" w:cs="宋体" w:eastAsia="宋体" w:hint="default"/>
          <w:sz w:val="24"/>
          <w:szCs w:val="24"/>
        </w:rPr>
      </w:pPr>
    </w:p>
    <w:p>
      <w:pPr>
        <w:pStyle w:val="Heading3"/>
        <w:spacing w:line="240" w:lineRule="auto"/>
        <w:ind w:left="640" w:right="1206"/>
        <w:jc w:val="left"/>
        <w:rPr>
          <w:b w:val="0"/>
          <w:bCs w:val="0"/>
        </w:rPr>
      </w:pPr>
      <w:r>
        <w:rPr/>
        <w:t>十四、</w:t>
      </w:r>
      <w:r>
        <w:rPr>
          <w:spacing w:val="8"/>
        </w:rPr>
        <w:t> </w:t>
      </w:r>
      <w:r>
        <w:rPr/>
        <w:t>公司财务报表主要项目注释</w:t>
      </w:r>
      <w:r>
        <w:rPr>
          <w:b w:val="0"/>
          <w:bCs w:val="0"/>
        </w:rPr>
      </w:r>
    </w:p>
    <w:p>
      <w:pPr>
        <w:pStyle w:val="Heading3"/>
        <w:spacing w:line="240" w:lineRule="auto" w:before="168"/>
        <w:ind w:left="642" w:right="1206"/>
        <w:jc w:val="left"/>
        <w:rPr>
          <w:b w:val="0"/>
          <w:bCs w:val="0"/>
        </w:rPr>
      </w:pPr>
      <w:r>
        <w:rPr>
          <w:rFonts w:ascii="Times New Roman" w:hAnsi="Times New Roman" w:cs="Times New Roman" w:eastAsia="Times New Roman" w:hint="default"/>
        </w:rPr>
        <w:t>1</w:t>
      </w:r>
      <w:r>
        <w:rPr/>
        <w:t>、应收账款</w:t>
      </w:r>
      <w:r>
        <w:rPr>
          <w:b w:val="0"/>
          <w:bCs w:val="0"/>
        </w:rPr>
      </w:r>
    </w:p>
    <w:p>
      <w:pPr>
        <w:pStyle w:val="BodyText"/>
        <w:tabs>
          <w:tab w:pos="1120" w:val="left" w:leader="none"/>
        </w:tabs>
        <w:spacing w:line="240" w:lineRule="auto" w:before="57"/>
        <w:ind w:left="640" w:right="1206"/>
        <w:jc w:val="left"/>
      </w:pPr>
      <w:r>
        <w:rPr/>
        <w:pict>
          <v:group style="position:absolute;margin-left:280.609985pt;margin-top:109.295639pt;width:70.75pt;height:.1pt;mso-position-horizontal-relative:page;mso-position-vertical-relative:paragraph;z-index:-746296" coordorigin="5612,2186" coordsize="1415,2">
            <v:shape style="position:absolute;left:5612;top:2186;width:1415;height:2" coordorigin="5612,2186" coordsize="1415,0" path="m5612,2186l7026,2186e" filled="false" stroked="true" strokeweight=".96002pt" strokecolor="#000000">
              <v:path arrowok="t"/>
            </v:shape>
            <w10:wrap type="none"/>
          </v:group>
        </w:pict>
      </w:r>
      <w:r>
        <w:rPr/>
        <w:t>⑴</w:t>
        <w:tab/>
        <w:t>应收账款按种类列示</w:t>
      </w:r>
    </w:p>
    <w:p>
      <w:pPr>
        <w:spacing w:line="240" w:lineRule="auto" w:before="3"/>
        <w:rPr>
          <w:rFonts w:ascii="宋体" w:hAnsi="宋体" w:cs="宋体" w:eastAsia="宋体" w:hint="default"/>
          <w:sz w:val="9"/>
          <w:szCs w:val="9"/>
        </w:rPr>
      </w:pPr>
    </w:p>
    <w:tbl>
      <w:tblPr>
        <w:tblW w:w="0" w:type="auto"/>
        <w:jc w:val="left"/>
        <w:tblInd w:w="196" w:type="dxa"/>
        <w:tblLayout w:type="fixed"/>
        <w:tblCellMar>
          <w:top w:w="0" w:type="dxa"/>
          <w:left w:w="0" w:type="dxa"/>
          <w:bottom w:w="0" w:type="dxa"/>
          <w:right w:w="0" w:type="dxa"/>
        </w:tblCellMar>
        <w:tblLook w:val="01E0"/>
      </w:tblPr>
      <w:tblGrid>
        <w:gridCol w:w="3821"/>
        <w:gridCol w:w="135"/>
        <w:gridCol w:w="1589"/>
        <w:gridCol w:w="56"/>
        <w:gridCol w:w="815"/>
        <w:gridCol w:w="221"/>
        <w:gridCol w:w="1323"/>
        <w:gridCol w:w="154"/>
        <w:gridCol w:w="763"/>
      </w:tblGrid>
      <w:tr>
        <w:trPr>
          <w:trHeight w:val="219"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right="2189"/>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302" w:hRule="exact"/>
        </w:trPr>
        <w:tc>
          <w:tcPr>
            <w:tcW w:w="382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
        </w:tc>
        <w:tc>
          <w:tcPr>
            <w:tcW w:w="221" w:type="dxa"/>
            <w:tcBorders>
              <w:top w:val="single" w:sz="8" w:space="0" w:color="000000"/>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5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0" w:right="-8"/>
              <w:jc w:val="center"/>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02" w:hRule="exact"/>
        </w:trPr>
        <w:tc>
          <w:tcPr>
            <w:tcW w:w="3821" w:type="dxa"/>
            <w:tcBorders>
              <w:top w:val="nil" w:sz="6" w:space="0" w:color="auto"/>
              <w:left w:val="nil" w:sz="6" w:space="0" w:color="auto"/>
              <w:bottom w:val="single" w:sz="8" w:space="0" w:color="000000"/>
              <w:right w:val="nil" w:sz="6" w:space="0" w:color="auto"/>
            </w:tcBorders>
          </w:tcPr>
          <w:p>
            <w:pPr>
              <w:pStyle w:val="TableParagraph"/>
              <w:tabs>
                <w:tab w:pos="452" w:val="left" w:leader="none"/>
              </w:tabs>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5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5"/>
              <w:jc w:val="center"/>
              <w:rPr>
                <w:rFonts w:ascii="宋体" w:hAnsi="宋体" w:cs="宋体" w:eastAsia="宋体" w:hint="default"/>
                <w:sz w:val="18"/>
                <w:szCs w:val="18"/>
              </w:rPr>
            </w:pPr>
            <w:r>
              <w:rPr>
                <w:rFonts w:ascii="宋体" w:hAnsi="宋体" w:cs="宋体" w:eastAsia="宋体" w:hint="default"/>
                <w:sz w:val="18"/>
                <w:szCs w:val="18"/>
              </w:rPr>
              <w:t>比例</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7"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0" w:lineRule="exact"/>
              <w:ind w:left="3946" w:right="0"/>
              <w:jc w:val="left"/>
              <w:rPr>
                <w:rFonts w:ascii="宋体" w:hAnsi="宋体" w:cs="宋体" w:eastAsia="宋体" w:hint="default"/>
                <w:sz w:val="2"/>
                <w:szCs w:val="2"/>
              </w:rPr>
            </w:pPr>
            <w:r>
              <w:rPr>
                <w:rFonts w:ascii="宋体" w:hAnsi="宋体" w:cs="宋体" w:eastAsia="宋体" w:hint="default"/>
                <w:sz w:val="2"/>
                <w:szCs w:val="2"/>
              </w:rPr>
              <w:pict>
                <v:group style="width:71.7pt;height:1pt;mso-position-horizontal-relative:char;mso-position-vertical-relative:line" coordorigin="0,0" coordsize="1434,20">
                  <v:group style="position:absolute;left:10;top:10;width:1415;height:2" coordorigin="10,10" coordsize="1415,2">
                    <v:shape style="position:absolute;left:10;top:10;width:1415;height:2" coordorigin="10,10" coordsize="1415,0" path="m10,10l1424,10e" filled="false" stroked="true" strokeweight=".96001pt" strokecolor="#000000">
                      <v:path arrowok="t"/>
                    </v:shape>
                  </v:group>
                </v:group>
              </w:pict>
            </w:r>
            <w:r>
              <w:rPr>
                <w:rFonts w:ascii="宋体" w:hAnsi="宋体" w:cs="宋体" w:eastAsia="宋体" w:hint="default"/>
                <w:sz w:val="2"/>
                <w:szCs w:val="2"/>
              </w:rPr>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294" w:hRule="exact"/>
        </w:trPr>
        <w:tc>
          <w:tcPr>
            <w:tcW w:w="38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0"/>
                <w:szCs w:val="20"/>
              </w:rPr>
            </w:pPr>
            <w:r>
              <w:rPr>
                <w:rFonts w:ascii="宋体"/>
                <w:sz w:val="20"/>
              </w:rPr>
              <w:t>42,914,230.26</w:t>
            </w:r>
          </w:p>
        </w:tc>
        <w:tc>
          <w:tcPr>
            <w:tcW w:w="56"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241" w:lineRule="exact"/>
              <w:ind w:right="1"/>
              <w:jc w:val="center"/>
              <w:rPr>
                <w:rFonts w:ascii="宋体" w:hAnsi="宋体" w:cs="宋体" w:eastAsia="宋体" w:hint="default"/>
                <w:sz w:val="20"/>
                <w:szCs w:val="20"/>
              </w:rPr>
            </w:pPr>
            <w:r>
              <w:rPr>
                <w:rFonts w:ascii="宋体"/>
                <w:sz w:val="20"/>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1" w:lineRule="exact"/>
              <w:ind w:right="55"/>
              <w:jc w:val="right"/>
              <w:rPr>
                <w:rFonts w:ascii="宋体" w:hAnsi="宋体" w:cs="宋体" w:eastAsia="宋体" w:hint="default"/>
                <w:sz w:val="20"/>
                <w:szCs w:val="20"/>
              </w:rPr>
            </w:pPr>
            <w:r>
              <w:rPr>
                <w:rFonts w:ascii="宋体"/>
                <w:w w:val="95"/>
                <w:sz w:val="20"/>
              </w:rPr>
              <w:t>2,179,599.55</w:t>
            </w:r>
            <w:r>
              <w:rPr>
                <w:rFonts w:ascii="宋体"/>
                <w:sz w:val="20"/>
              </w:rPr>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1" w:lineRule="exact"/>
              <w:ind w:left="206" w:right="0"/>
              <w:jc w:val="left"/>
              <w:rPr>
                <w:rFonts w:ascii="宋体" w:hAnsi="宋体" w:cs="宋体" w:eastAsia="宋体" w:hint="default"/>
                <w:sz w:val="20"/>
                <w:szCs w:val="20"/>
              </w:rPr>
            </w:pPr>
            <w:r>
              <w:rPr>
                <w:rFonts w:ascii="宋体"/>
                <w:sz w:val="20"/>
              </w:rPr>
              <w:t>5.08%</w:t>
            </w:r>
          </w:p>
        </w:tc>
      </w:tr>
      <w:tr>
        <w:trPr>
          <w:trHeight w:val="269"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32" w:lineRule="exact"/>
              <w:ind w:left="4"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17" w:hRule="exact"/>
        </w:trPr>
        <w:tc>
          <w:tcPr>
            <w:tcW w:w="3821" w:type="dxa"/>
            <w:tcBorders>
              <w:top w:val="nil" w:sz="6" w:space="0" w:color="auto"/>
              <w:left w:val="nil" w:sz="6" w:space="0" w:color="auto"/>
              <w:bottom w:val="nil" w:sz="6" w:space="0" w:color="auto"/>
              <w:right w:val="nil" w:sz="6" w:space="0" w:color="auto"/>
            </w:tcBorders>
          </w:tcPr>
          <w:p>
            <w:pPr>
              <w:pStyle w:val="TableParagraph"/>
              <w:tabs>
                <w:tab w:pos="553" w:val="left" w:leader="none"/>
              </w:tabs>
              <w:spacing w:line="240" w:lineRule="auto" w:before="5"/>
              <w:ind w:left="10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20"/>
                <w:szCs w:val="20"/>
              </w:rPr>
            </w:pPr>
            <w:r>
              <w:rPr>
                <w:rFonts w:ascii="宋体"/>
                <w:sz w:val="20"/>
              </w:rPr>
              <w:t>42,914,230.26</w:t>
            </w:r>
          </w:p>
        </w:tc>
        <w:tc>
          <w:tcPr>
            <w:tcW w:w="56" w:type="dxa"/>
            <w:tcBorders>
              <w:top w:val="single" w:sz="8" w:space="0" w:color="000000"/>
              <w:left w:val="nil" w:sz="6" w:space="0" w:color="auto"/>
              <w:bottom w:val="single" w:sz="17" w:space="0" w:color="000000"/>
              <w:right w:val="nil" w:sz="6" w:space="0" w:color="auto"/>
            </w:tcBorders>
          </w:tcPr>
          <w:p>
            <w:pPr/>
          </w:p>
        </w:tc>
        <w:tc>
          <w:tcPr>
            <w:tcW w:w="815" w:type="dxa"/>
            <w:tcBorders>
              <w:top w:val="single" w:sz="8" w:space="0" w:color="000000"/>
              <w:left w:val="nil" w:sz="6" w:space="0" w:color="auto"/>
              <w:bottom w:val="single" w:sz="17" w:space="0" w:color="000000"/>
              <w:right w:val="nil" w:sz="6" w:space="0" w:color="auto"/>
            </w:tcBorders>
          </w:tcPr>
          <w:p>
            <w:pPr>
              <w:pStyle w:val="TableParagraph"/>
              <w:spacing w:line="256" w:lineRule="exact"/>
              <w:ind w:right="1"/>
              <w:jc w:val="center"/>
              <w:rPr>
                <w:rFonts w:ascii="宋体" w:hAnsi="宋体" w:cs="宋体" w:eastAsia="宋体" w:hint="default"/>
                <w:sz w:val="20"/>
                <w:szCs w:val="20"/>
              </w:rPr>
            </w:pPr>
            <w:r>
              <w:rPr>
                <w:rFonts w:ascii="宋体"/>
                <w:sz w:val="20"/>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17" w:space="0" w:color="000000"/>
              <w:right w:val="nil" w:sz="6" w:space="0" w:color="auto"/>
            </w:tcBorders>
          </w:tcPr>
          <w:p>
            <w:pPr>
              <w:pStyle w:val="TableParagraph"/>
              <w:spacing w:line="256" w:lineRule="exact"/>
              <w:ind w:right="56"/>
              <w:jc w:val="right"/>
              <w:rPr>
                <w:rFonts w:ascii="宋体" w:hAnsi="宋体" w:cs="宋体" w:eastAsia="宋体" w:hint="default"/>
                <w:sz w:val="20"/>
                <w:szCs w:val="20"/>
              </w:rPr>
            </w:pPr>
            <w:r>
              <w:rPr>
                <w:rFonts w:ascii="宋体"/>
                <w:w w:val="95"/>
                <w:sz w:val="20"/>
              </w:rPr>
              <w:t>2,179,599.55</w:t>
            </w:r>
            <w:r>
              <w:rPr>
                <w:rFonts w:ascii="宋体"/>
                <w:sz w:val="20"/>
              </w:rPr>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56" w:lineRule="exact"/>
              <w:ind w:left="206" w:right="0"/>
              <w:jc w:val="left"/>
              <w:rPr>
                <w:rFonts w:ascii="宋体" w:hAnsi="宋体" w:cs="宋体" w:eastAsia="宋体" w:hint="default"/>
                <w:sz w:val="20"/>
                <w:szCs w:val="20"/>
              </w:rPr>
            </w:pPr>
            <w:r>
              <w:rPr>
                <w:rFonts w:ascii="宋体"/>
                <w:sz w:val="20"/>
              </w:rPr>
              <w:t>5.08%</w:t>
            </w:r>
          </w:p>
        </w:tc>
      </w:tr>
      <w:tr>
        <w:trPr>
          <w:trHeight w:val="598"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89"/>
              <w:jc w:val="right"/>
              <w:rPr>
                <w:rFonts w:ascii="宋体" w:hAnsi="宋体" w:cs="宋体" w:eastAsia="宋体" w:hint="default"/>
                <w:sz w:val="18"/>
                <w:szCs w:val="18"/>
              </w:rPr>
            </w:pPr>
            <w:r>
              <w:rPr>
                <w:rFonts w:ascii="宋体" w:hAnsi="宋体" w:cs="宋体" w:eastAsia="宋体" w:hint="default"/>
                <w:sz w:val="18"/>
                <w:szCs w:val="18"/>
              </w:rPr>
              <w:t>年初数</w:t>
            </w:r>
          </w:p>
        </w:tc>
      </w:tr>
      <w:tr>
        <w:trPr>
          <w:trHeight w:val="302" w:hRule="exact"/>
        </w:trPr>
        <w:tc>
          <w:tcPr>
            <w:tcW w:w="3821"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
        </w:tc>
        <w:tc>
          <w:tcPr>
            <w:tcW w:w="221" w:type="dxa"/>
            <w:tcBorders>
              <w:top w:val="single" w:sz="8" w:space="0" w:color="000000"/>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hAnsi="宋体" w:cs="宋体" w:eastAsia="宋体" w:hint="default"/>
                <w:sz w:val="18"/>
                <w:szCs w:val="18"/>
              </w:rPr>
              <w:t>坏账准</w:t>
            </w:r>
          </w:p>
        </w:tc>
        <w:tc>
          <w:tcPr>
            <w:tcW w:w="15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0" w:right="-8"/>
              <w:jc w:val="center"/>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05" w:hRule="exact"/>
        </w:trPr>
        <w:tc>
          <w:tcPr>
            <w:tcW w:w="3821" w:type="dxa"/>
            <w:tcBorders>
              <w:top w:val="nil" w:sz="6" w:space="0" w:color="auto"/>
              <w:left w:val="nil" w:sz="6" w:space="0" w:color="auto"/>
              <w:bottom w:val="single" w:sz="8" w:space="0" w:color="000000"/>
              <w:right w:val="nil" w:sz="6" w:space="0" w:color="auto"/>
            </w:tcBorders>
          </w:tcPr>
          <w:p>
            <w:pPr>
              <w:pStyle w:val="TableParagraph"/>
              <w:tabs>
                <w:tab w:pos="553" w:val="left" w:leader="none"/>
              </w:tabs>
              <w:spacing w:line="240" w:lineRule="auto" w:before="29"/>
              <w:ind w:left="102"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5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 w:type="dxa"/>
            <w:tcBorders>
              <w:top w:val="single" w:sz="8" w:space="0" w:color="000000"/>
              <w:left w:val="nil" w:sz="6" w:space="0" w:color="auto"/>
              <w:bottom w:val="single" w:sz="8" w:space="0" w:color="000000"/>
              <w:right w:val="nil" w:sz="6" w:space="0" w:color="auto"/>
            </w:tcBorders>
          </w:tcPr>
          <w:p>
            <w:pPr/>
          </w:p>
        </w:tc>
        <w:tc>
          <w:tcPr>
            <w:tcW w:w="81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5"/>
              <w:jc w:val="center"/>
              <w:rPr>
                <w:rFonts w:ascii="宋体" w:hAnsi="宋体" w:cs="宋体" w:eastAsia="宋体" w:hint="default"/>
                <w:sz w:val="18"/>
                <w:szCs w:val="18"/>
              </w:rPr>
            </w:pPr>
            <w:r>
              <w:rPr>
                <w:rFonts w:ascii="宋体" w:hAnsi="宋体" w:cs="宋体" w:eastAsia="宋体" w:hint="default"/>
                <w:sz w:val="18"/>
                <w:szCs w:val="18"/>
              </w:rPr>
              <w:t>比例</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91"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0" w:lineRule="exact"/>
              <w:ind w:left="3946" w:right="0"/>
              <w:jc w:val="left"/>
              <w:rPr>
                <w:rFonts w:ascii="宋体" w:hAnsi="宋体" w:cs="宋体" w:eastAsia="宋体" w:hint="default"/>
                <w:sz w:val="2"/>
                <w:szCs w:val="2"/>
              </w:rPr>
            </w:pPr>
            <w:r>
              <w:rPr>
                <w:rFonts w:ascii="宋体" w:hAnsi="宋体" w:cs="宋体" w:eastAsia="宋体" w:hint="default"/>
                <w:sz w:val="2"/>
                <w:szCs w:val="2"/>
              </w:rPr>
              <w:pict>
                <v:group style="width:71.7pt;height:1pt;mso-position-horizontal-relative:char;mso-position-vertical-relative:line" coordorigin="0,0" coordsize="1434,20">
                  <v:group style="position:absolute;left:10;top:10;width:1415;height:2" coordorigin="10,10" coordsize="1415,2">
                    <v:shape style="position:absolute;left:10;top:10;width:1415;height:2" coordorigin="10,10" coordsize="1415,0" path="m10,10l1424,10e" filled="false" stroked="true" strokeweight=".95999pt" strokecolor="#000000">
                      <v:path arrowok="t"/>
                    </v:shape>
                  </v:group>
                </v:group>
              </w:pict>
            </w:r>
            <w:r>
              <w:rPr>
                <w:rFonts w:ascii="宋体" w:hAnsi="宋体" w:cs="宋体" w:eastAsia="宋体" w:hint="default"/>
                <w:sz w:val="2"/>
                <w:szCs w:val="2"/>
              </w:rPr>
            </w: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295" w:hRule="exact"/>
        </w:trPr>
        <w:tc>
          <w:tcPr>
            <w:tcW w:w="3821" w:type="dxa"/>
            <w:tcBorders>
              <w:top w:val="nil" w:sz="6" w:space="0" w:color="auto"/>
              <w:left w:val="nil" w:sz="6" w:space="0" w:color="auto"/>
              <w:bottom w:val="nil" w:sz="6" w:space="0" w:color="auto"/>
              <w:right w:val="nil" w:sz="6" w:space="0" w:color="auto"/>
            </w:tcBorders>
          </w:tcPr>
          <w:p>
            <w:pPr>
              <w:pStyle w:val="TableParagraph"/>
              <w:spacing w:line="232" w:lineRule="exact"/>
              <w:ind w:left="4"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按账龄分析计提坏账准备的应收账款</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56" w:lineRule="exact"/>
              <w:ind w:left="57" w:right="0"/>
              <w:jc w:val="left"/>
              <w:rPr>
                <w:rFonts w:ascii="宋体" w:hAnsi="宋体" w:cs="宋体" w:eastAsia="宋体" w:hint="default"/>
                <w:sz w:val="20"/>
                <w:szCs w:val="20"/>
              </w:rPr>
            </w:pPr>
            <w:r>
              <w:rPr>
                <w:rFonts w:ascii="宋体"/>
                <w:sz w:val="20"/>
              </w:rPr>
              <w:t>26,286,405.59</w:t>
            </w:r>
          </w:p>
        </w:tc>
        <w:tc>
          <w:tcPr>
            <w:tcW w:w="56"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256" w:lineRule="exact"/>
              <w:ind w:right="1"/>
              <w:jc w:val="center"/>
              <w:rPr>
                <w:rFonts w:ascii="宋体" w:hAnsi="宋体" w:cs="宋体" w:eastAsia="宋体" w:hint="default"/>
                <w:sz w:val="20"/>
                <w:szCs w:val="20"/>
              </w:rPr>
            </w:pPr>
            <w:r>
              <w:rPr>
                <w:rFonts w:ascii="宋体"/>
                <w:sz w:val="20"/>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56" w:lineRule="exact"/>
              <w:ind w:right="56"/>
              <w:jc w:val="right"/>
              <w:rPr>
                <w:rFonts w:ascii="宋体" w:hAnsi="宋体" w:cs="宋体" w:eastAsia="宋体" w:hint="default"/>
                <w:sz w:val="20"/>
                <w:szCs w:val="20"/>
              </w:rPr>
            </w:pPr>
            <w:r>
              <w:rPr>
                <w:rFonts w:ascii="宋体"/>
                <w:w w:val="95"/>
                <w:sz w:val="20"/>
              </w:rPr>
              <w:t>1,323,877.59</w:t>
            </w:r>
            <w:r>
              <w:rPr>
                <w:rFonts w:ascii="宋体"/>
                <w:sz w:val="20"/>
              </w:rPr>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56" w:lineRule="exact"/>
              <w:ind w:left="206" w:right="0"/>
              <w:jc w:val="left"/>
              <w:rPr>
                <w:rFonts w:ascii="宋体" w:hAnsi="宋体" w:cs="宋体" w:eastAsia="宋体" w:hint="default"/>
                <w:sz w:val="20"/>
                <w:szCs w:val="20"/>
              </w:rPr>
            </w:pPr>
            <w:r>
              <w:rPr>
                <w:rFonts w:ascii="宋体"/>
                <w:sz w:val="20"/>
              </w:rPr>
              <w:t>5.04%</w:t>
            </w:r>
          </w:p>
        </w:tc>
      </w:tr>
      <w:tr>
        <w:trPr>
          <w:trHeight w:val="283" w:hRule="exact"/>
        </w:trPr>
        <w:tc>
          <w:tcPr>
            <w:tcW w:w="8877" w:type="dxa"/>
            <w:gridSpan w:val="9"/>
            <w:tcBorders>
              <w:top w:val="nil" w:sz="6" w:space="0" w:color="auto"/>
              <w:left w:val="nil" w:sz="6" w:space="0" w:color="auto"/>
              <w:bottom w:val="nil" w:sz="6" w:space="0" w:color="auto"/>
              <w:right w:val="nil" w:sz="6" w:space="0" w:color="auto"/>
            </w:tcBorders>
          </w:tcPr>
          <w:p>
            <w:pPr>
              <w:pStyle w:val="TableParagraph"/>
              <w:spacing w:line="219" w:lineRule="exact"/>
              <w:ind w:left="4"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单项金额不重大单项计提坏账准备的应收账款</w:t>
            </w:r>
          </w:p>
        </w:tc>
      </w:tr>
      <w:tr>
        <w:trPr>
          <w:trHeight w:val="317" w:hRule="exact"/>
        </w:trPr>
        <w:tc>
          <w:tcPr>
            <w:tcW w:w="3821"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5"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7" w:space="0" w:color="000000"/>
              <w:right w:val="nil" w:sz="6" w:space="0" w:color="auto"/>
            </w:tcBorders>
          </w:tcPr>
          <w:p>
            <w:pPr>
              <w:pStyle w:val="TableParagraph"/>
              <w:spacing w:line="240" w:lineRule="auto" w:before="1"/>
              <w:ind w:left="57" w:right="0"/>
              <w:jc w:val="left"/>
              <w:rPr>
                <w:rFonts w:ascii="宋体" w:hAnsi="宋体" w:cs="宋体" w:eastAsia="宋体" w:hint="default"/>
                <w:sz w:val="20"/>
                <w:szCs w:val="20"/>
              </w:rPr>
            </w:pPr>
            <w:r>
              <w:rPr>
                <w:rFonts w:ascii="宋体"/>
                <w:sz w:val="20"/>
              </w:rPr>
              <w:t>26,286,405.59</w:t>
            </w:r>
          </w:p>
        </w:tc>
        <w:tc>
          <w:tcPr>
            <w:tcW w:w="56" w:type="dxa"/>
            <w:tcBorders>
              <w:top w:val="single" w:sz="8" w:space="0" w:color="000000"/>
              <w:left w:val="nil" w:sz="6" w:space="0" w:color="auto"/>
              <w:bottom w:val="single" w:sz="17" w:space="0" w:color="000000"/>
              <w:right w:val="nil" w:sz="6" w:space="0" w:color="auto"/>
            </w:tcBorders>
          </w:tcPr>
          <w:p>
            <w:pPr/>
          </w:p>
        </w:tc>
        <w:tc>
          <w:tcPr>
            <w:tcW w:w="815" w:type="dxa"/>
            <w:tcBorders>
              <w:top w:val="single" w:sz="8" w:space="0" w:color="000000"/>
              <w:left w:val="nil" w:sz="6" w:space="0" w:color="auto"/>
              <w:bottom w:val="single" w:sz="17" w:space="0" w:color="000000"/>
              <w:right w:val="nil" w:sz="6" w:space="0" w:color="auto"/>
            </w:tcBorders>
          </w:tcPr>
          <w:p>
            <w:pPr>
              <w:pStyle w:val="TableParagraph"/>
              <w:spacing w:line="254" w:lineRule="exact"/>
              <w:ind w:right="1"/>
              <w:jc w:val="center"/>
              <w:rPr>
                <w:rFonts w:ascii="宋体" w:hAnsi="宋体" w:cs="宋体" w:eastAsia="宋体" w:hint="default"/>
                <w:sz w:val="20"/>
                <w:szCs w:val="20"/>
              </w:rPr>
            </w:pPr>
            <w:r>
              <w:rPr>
                <w:rFonts w:ascii="宋体"/>
                <w:sz w:val="20"/>
              </w:rPr>
              <w:t>100.00%</w:t>
            </w:r>
          </w:p>
        </w:tc>
        <w:tc>
          <w:tcPr>
            <w:tcW w:w="221" w:type="dxa"/>
            <w:tcBorders>
              <w:top w:val="nil" w:sz="6" w:space="0" w:color="auto"/>
              <w:left w:val="nil" w:sz="6" w:space="0" w:color="auto"/>
              <w:bottom w:val="nil" w:sz="6" w:space="0" w:color="auto"/>
              <w:right w:val="nil" w:sz="6" w:space="0" w:color="auto"/>
            </w:tcBorders>
          </w:tcPr>
          <w:p>
            <w:pPr/>
          </w:p>
        </w:tc>
        <w:tc>
          <w:tcPr>
            <w:tcW w:w="1323" w:type="dxa"/>
            <w:tcBorders>
              <w:top w:val="single" w:sz="8" w:space="0" w:color="000000"/>
              <w:left w:val="nil" w:sz="6" w:space="0" w:color="auto"/>
              <w:bottom w:val="single" w:sz="17" w:space="0" w:color="000000"/>
              <w:right w:val="nil" w:sz="6" w:space="0" w:color="auto"/>
            </w:tcBorders>
          </w:tcPr>
          <w:p>
            <w:pPr>
              <w:pStyle w:val="TableParagraph"/>
              <w:spacing w:line="254" w:lineRule="exact"/>
              <w:ind w:right="56"/>
              <w:jc w:val="right"/>
              <w:rPr>
                <w:rFonts w:ascii="宋体" w:hAnsi="宋体" w:cs="宋体" w:eastAsia="宋体" w:hint="default"/>
                <w:sz w:val="20"/>
                <w:szCs w:val="20"/>
              </w:rPr>
            </w:pPr>
            <w:r>
              <w:rPr>
                <w:rFonts w:ascii="宋体"/>
                <w:w w:val="95"/>
                <w:sz w:val="20"/>
              </w:rPr>
              <w:t>1,323,877.59</w:t>
            </w:r>
            <w:r>
              <w:rPr>
                <w:rFonts w:ascii="宋体"/>
                <w:sz w:val="20"/>
              </w:rPr>
            </w:r>
          </w:p>
        </w:tc>
        <w:tc>
          <w:tcPr>
            <w:tcW w:w="154"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54" w:lineRule="exact"/>
              <w:ind w:left="206" w:right="0"/>
              <w:jc w:val="left"/>
              <w:rPr>
                <w:rFonts w:ascii="宋体" w:hAnsi="宋体" w:cs="宋体" w:eastAsia="宋体" w:hint="default"/>
                <w:sz w:val="20"/>
                <w:szCs w:val="20"/>
              </w:rPr>
            </w:pPr>
            <w:r>
              <w:rPr>
                <w:rFonts w:ascii="宋体"/>
                <w:sz w:val="20"/>
              </w:rPr>
              <w:t>5.04%</w:t>
            </w:r>
          </w:p>
        </w:tc>
      </w:tr>
    </w:tbl>
    <w:p>
      <w:pPr>
        <w:spacing w:line="240" w:lineRule="auto" w:before="3"/>
        <w:rPr>
          <w:rFonts w:ascii="宋体" w:hAnsi="宋体" w:cs="宋体" w:eastAsia="宋体" w:hint="default"/>
          <w:sz w:val="12"/>
          <w:szCs w:val="12"/>
        </w:rPr>
      </w:pPr>
    </w:p>
    <w:p>
      <w:pPr>
        <w:pStyle w:val="BodyText"/>
        <w:tabs>
          <w:tab w:pos="1120" w:val="left" w:leader="none"/>
        </w:tabs>
        <w:spacing w:line="240" w:lineRule="auto" w:before="26"/>
        <w:ind w:left="640" w:right="1206"/>
        <w:jc w:val="left"/>
      </w:pPr>
      <w:r>
        <w:rPr/>
        <w:pict>
          <v:group style="position:absolute;margin-left:280.609985pt;margin-top:-24.904362pt;width:70.75pt;height:.1pt;mso-position-horizontal-relative:page;mso-position-vertical-relative:paragraph;z-index:-746248" coordorigin="5612,-498" coordsize="1415,2">
            <v:shape style="position:absolute;left:5612;top:-498;width:1415;height:2" coordorigin="5612,-498" coordsize="1415,0" path="m5612,-498l7026,-498e" filled="false" stroked="true" strokeweight=".95999pt" strokecolor="#000000">
              <v:path arrowok="t"/>
            </v:shape>
            <w10:wrap type="none"/>
          </v:group>
        </w:pict>
      </w:r>
      <w:r>
        <w:rPr/>
        <w:t>⑵</w:t>
        <w:tab/>
        <w:t>应收账款按账龄列示</w:t>
      </w:r>
    </w:p>
    <w:p>
      <w:pPr>
        <w:spacing w:line="240" w:lineRule="auto" w:before="6"/>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114"/>
        <w:gridCol w:w="221"/>
        <w:gridCol w:w="1879"/>
        <w:gridCol w:w="206"/>
        <w:gridCol w:w="1040"/>
        <w:gridCol w:w="228"/>
        <w:gridCol w:w="1827"/>
        <w:gridCol w:w="228"/>
        <w:gridCol w:w="1188"/>
      </w:tblGrid>
      <w:tr>
        <w:trPr>
          <w:trHeight w:val="254" w:hRule="exact"/>
        </w:trPr>
        <w:tc>
          <w:tcPr>
            <w:tcW w:w="2114" w:type="dxa"/>
            <w:vMerge w:val="restart"/>
            <w:tcBorders>
              <w:top w:val="nil" w:sz="6" w:space="0" w:color="auto"/>
              <w:left w:val="nil" w:sz="6" w:space="0" w:color="auto"/>
              <w:right w:val="nil" w:sz="6" w:space="0" w:color="auto"/>
            </w:tcBorders>
          </w:tcPr>
          <w:p>
            <w:pPr>
              <w:pStyle w:val="TableParagraph"/>
              <w:spacing w:line="240" w:lineRule="auto" w:before="8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 w:type="dxa"/>
            <w:vMerge w:val="restart"/>
            <w:tcBorders>
              <w:top w:val="nil" w:sz="6" w:space="0" w:color="auto"/>
              <w:left w:val="nil" w:sz="6" w:space="0" w:color="auto"/>
              <w:right w:val="nil" w:sz="6" w:space="0" w:color="auto"/>
            </w:tcBorders>
          </w:tcPr>
          <w:p>
            <w:pPr/>
          </w:p>
        </w:tc>
        <w:tc>
          <w:tcPr>
            <w:tcW w:w="1879" w:type="dxa"/>
            <w:tcBorders>
              <w:top w:val="nil" w:sz="6" w:space="0" w:color="auto"/>
              <w:left w:val="nil" w:sz="6" w:space="0" w:color="auto"/>
              <w:bottom w:val="single" w:sz="8" w:space="0" w:color="000000"/>
              <w:right w:val="nil" w:sz="6" w:space="0" w:color="auto"/>
            </w:tcBorders>
          </w:tcPr>
          <w:p>
            <w:pPr>
              <w:pStyle w:val="TableParagraph"/>
              <w:spacing w:line="211" w:lineRule="exact"/>
              <w:ind w:left="124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06" w:type="dxa"/>
            <w:tcBorders>
              <w:top w:val="nil" w:sz="6" w:space="0" w:color="auto"/>
              <w:left w:val="nil" w:sz="6" w:space="0" w:color="auto"/>
              <w:bottom w:val="single" w:sz="8" w:space="0" w:color="000000"/>
              <w:right w:val="nil" w:sz="6" w:space="0" w:color="auto"/>
            </w:tcBorders>
          </w:tcPr>
          <w:p>
            <w:pPr/>
          </w:p>
        </w:tc>
        <w:tc>
          <w:tcPr>
            <w:tcW w:w="1040" w:type="dxa"/>
            <w:tcBorders>
              <w:top w:val="nil" w:sz="6" w:space="0" w:color="auto"/>
              <w:left w:val="nil" w:sz="6" w:space="0" w:color="auto"/>
              <w:bottom w:val="single" w:sz="8"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single" w:sz="8" w:space="0" w:color="000000"/>
              <w:right w:val="nil" w:sz="6" w:space="0" w:color="auto"/>
            </w:tcBorders>
          </w:tcPr>
          <w:p>
            <w:pPr>
              <w:pStyle w:val="TableParagraph"/>
              <w:spacing w:line="211" w:lineRule="exact"/>
              <w:ind w:right="94"/>
              <w:jc w:val="right"/>
              <w:rPr>
                <w:rFonts w:ascii="宋体" w:hAnsi="宋体" w:cs="宋体" w:eastAsia="宋体" w:hint="default"/>
                <w:sz w:val="21"/>
                <w:szCs w:val="21"/>
              </w:rPr>
            </w:pPr>
            <w:r>
              <w:rPr>
                <w:rFonts w:ascii="宋体" w:hAnsi="宋体" w:cs="宋体" w:eastAsia="宋体" w:hint="default"/>
                <w:sz w:val="21"/>
                <w:szCs w:val="21"/>
              </w:rPr>
              <w:t>年初</w:t>
            </w:r>
          </w:p>
        </w:tc>
        <w:tc>
          <w:tcPr>
            <w:tcW w:w="228" w:type="dxa"/>
            <w:tcBorders>
              <w:top w:val="nil" w:sz="6" w:space="0" w:color="auto"/>
              <w:left w:val="nil" w:sz="6" w:space="0" w:color="auto"/>
              <w:bottom w:val="single" w:sz="8" w:space="0" w:color="000000"/>
              <w:right w:val="nil" w:sz="6" w:space="0" w:color="auto"/>
            </w:tcBorders>
          </w:tcPr>
          <w:p>
            <w:pPr>
              <w:pStyle w:val="TableParagraph"/>
              <w:spacing w:line="211" w:lineRule="exact"/>
              <w:ind w:left="-97"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188" w:type="dxa"/>
            <w:tcBorders>
              <w:top w:val="nil" w:sz="6" w:space="0" w:color="auto"/>
              <w:left w:val="nil" w:sz="6" w:space="0" w:color="auto"/>
              <w:bottom w:val="single" w:sz="8" w:space="0" w:color="000000"/>
              <w:right w:val="nil" w:sz="6" w:space="0" w:color="auto"/>
            </w:tcBorders>
          </w:tcPr>
          <w:p>
            <w:pPr/>
          </w:p>
        </w:tc>
      </w:tr>
      <w:tr>
        <w:trPr>
          <w:trHeight w:val="302" w:hRule="exact"/>
        </w:trPr>
        <w:tc>
          <w:tcPr>
            <w:tcW w:w="2114" w:type="dxa"/>
            <w:vMerge/>
            <w:tcBorders>
              <w:left w:val="nil" w:sz="6" w:space="0" w:color="auto"/>
              <w:bottom w:val="single" w:sz="8" w:space="0" w:color="000000"/>
              <w:right w:val="nil" w:sz="6" w:space="0" w:color="auto"/>
            </w:tcBorders>
          </w:tcPr>
          <w:p>
            <w:pPr/>
          </w:p>
        </w:tc>
        <w:tc>
          <w:tcPr>
            <w:tcW w:w="221" w:type="dxa"/>
            <w:vMerge/>
            <w:tcBorders>
              <w:left w:val="nil" w:sz="6" w:space="0" w:color="auto"/>
              <w:bottom w:val="nil" w:sz="6" w:space="0" w:color="auto"/>
              <w:right w:val="nil" w:sz="6" w:space="0" w:color="auto"/>
            </w:tcBorders>
          </w:tcPr>
          <w:p>
            <w:pPr/>
          </w:p>
        </w:tc>
        <w:tc>
          <w:tcPr>
            <w:tcW w:w="1879" w:type="dxa"/>
            <w:tcBorders>
              <w:top w:val="single" w:sz="8" w:space="0" w:color="000000"/>
              <w:left w:val="nil" w:sz="6" w:space="0" w:color="auto"/>
              <w:bottom w:val="single" w:sz="8" w:space="0" w:color="000000"/>
              <w:right w:val="nil" w:sz="6" w:space="0" w:color="auto"/>
            </w:tcBorders>
          </w:tcPr>
          <w:p>
            <w:pPr>
              <w:pStyle w:val="TableParagraph"/>
              <w:spacing w:line="253" w:lineRule="exact"/>
              <w:ind w:right="14"/>
              <w:jc w:val="center"/>
              <w:rPr>
                <w:rFonts w:ascii="宋体" w:hAnsi="宋体" w:cs="宋体" w:eastAsia="宋体" w:hint="default"/>
                <w:sz w:val="21"/>
                <w:szCs w:val="21"/>
              </w:rPr>
            </w:pPr>
            <w:r>
              <w:rPr>
                <w:rFonts w:ascii="宋体" w:hAnsi="宋体" w:cs="宋体" w:eastAsia="宋体" w:hint="default"/>
                <w:sz w:val="21"/>
                <w:szCs w:val="21"/>
              </w:rPr>
              <w:t>金额</w:t>
            </w:r>
          </w:p>
        </w:tc>
        <w:tc>
          <w:tcPr>
            <w:tcW w:w="206" w:type="dxa"/>
            <w:tcBorders>
              <w:top w:val="single" w:sz="8" w:space="0" w:color="000000"/>
              <w:left w:val="nil" w:sz="6" w:space="0" w:color="auto"/>
              <w:bottom w:val="nil" w:sz="6" w:space="0" w:color="auto"/>
              <w:right w:val="nil" w:sz="6" w:space="0" w:color="auto"/>
            </w:tcBorders>
          </w:tcPr>
          <w:p>
            <w:pPr/>
          </w:p>
        </w:tc>
        <w:tc>
          <w:tcPr>
            <w:tcW w:w="1040"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3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28" w:type="dxa"/>
            <w:tcBorders>
              <w:top w:val="nil" w:sz="6" w:space="0" w:color="auto"/>
              <w:left w:val="nil" w:sz="6" w:space="0" w:color="auto"/>
              <w:bottom w:val="nil" w:sz="6" w:space="0" w:color="auto"/>
              <w:right w:val="nil" w:sz="6" w:space="0" w:color="auto"/>
            </w:tcBorders>
          </w:tcPr>
          <w:p>
            <w:pPr/>
          </w:p>
        </w:tc>
        <w:tc>
          <w:tcPr>
            <w:tcW w:w="1827"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8" w:space="0" w:color="000000"/>
              <w:left w:val="nil" w:sz="6" w:space="0" w:color="auto"/>
              <w:bottom w:val="nil" w:sz="6" w:space="0" w:color="auto"/>
              <w:right w:val="nil" w:sz="6" w:space="0" w:color="auto"/>
            </w:tcBorders>
          </w:tcPr>
          <w:p>
            <w:pPr/>
          </w:p>
        </w:tc>
        <w:tc>
          <w:tcPr>
            <w:tcW w:w="1188"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38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98" w:hRule="exact"/>
        </w:trPr>
        <w:tc>
          <w:tcPr>
            <w:tcW w:w="2114" w:type="dxa"/>
            <w:tcBorders>
              <w:top w:val="single" w:sz="8" w:space="0" w:color="000000"/>
              <w:left w:val="nil" w:sz="6" w:space="0" w:color="auto"/>
              <w:bottom w:val="nil" w:sz="6" w:space="0" w:color="auto"/>
              <w:right w:val="nil" w:sz="6" w:space="0" w:color="auto"/>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1" w:type="dxa"/>
            <w:tcBorders>
              <w:top w:val="nil" w:sz="6" w:space="0" w:color="auto"/>
              <w:left w:val="nil" w:sz="6" w:space="0" w:color="auto"/>
              <w:bottom w:val="nil" w:sz="6" w:space="0" w:color="auto"/>
              <w:right w:val="nil" w:sz="6" w:space="0" w:color="auto"/>
            </w:tcBorders>
          </w:tcPr>
          <w:p>
            <w:pPr/>
          </w:p>
        </w:tc>
        <w:tc>
          <w:tcPr>
            <w:tcW w:w="1879" w:type="dxa"/>
            <w:tcBorders>
              <w:top w:val="single" w:sz="8" w:space="0" w:color="000000"/>
              <w:left w:val="nil" w:sz="6" w:space="0" w:color="auto"/>
              <w:bottom w:val="nil" w:sz="6" w:space="0" w:color="auto"/>
              <w:right w:val="nil" w:sz="6" w:space="0" w:color="auto"/>
            </w:tcBorders>
          </w:tcPr>
          <w:p>
            <w:pPr>
              <w:pStyle w:val="TableParagraph"/>
              <w:spacing w:line="253" w:lineRule="exact"/>
              <w:ind w:left="388" w:right="0"/>
              <w:jc w:val="left"/>
              <w:rPr>
                <w:rFonts w:ascii="宋体" w:hAnsi="宋体" w:cs="宋体" w:eastAsia="宋体" w:hint="default"/>
                <w:sz w:val="21"/>
                <w:szCs w:val="21"/>
              </w:rPr>
            </w:pPr>
            <w:r>
              <w:rPr>
                <w:rFonts w:ascii="宋体"/>
                <w:sz w:val="21"/>
              </w:rPr>
              <w:t>42,246,297.57</w:t>
            </w:r>
          </w:p>
        </w:tc>
        <w:tc>
          <w:tcPr>
            <w:tcW w:w="206" w:type="dxa"/>
            <w:tcBorders>
              <w:top w:val="nil" w:sz="6" w:space="0" w:color="auto"/>
              <w:left w:val="nil" w:sz="6" w:space="0" w:color="auto"/>
              <w:bottom w:val="nil" w:sz="6" w:space="0" w:color="auto"/>
              <w:right w:val="nil" w:sz="6" w:space="0" w:color="auto"/>
            </w:tcBorders>
          </w:tcPr>
          <w:p>
            <w:pPr/>
          </w:p>
        </w:tc>
        <w:tc>
          <w:tcPr>
            <w:tcW w:w="1040"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z w:val="21"/>
              </w:rPr>
              <w:t>98.45%</w:t>
            </w:r>
          </w:p>
        </w:tc>
        <w:tc>
          <w:tcPr>
            <w:tcW w:w="228" w:type="dxa"/>
            <w:tcBorders>
              <w:top w:val="nil" w:sz="6" w:space="0" w:color="auto"/>
              <w:left w:val="nil" w:sz="6" w:space="0" w:color="auto"/>
              <w:bottom w:val="nil" w:sz="6" w:space="0" w:color="auto"/>
              <w:right w:val="nil" w:sz="6" w:space="0" w:color="auto"/>
            </w:tcBorders>
          </w:tcPr>
          <w:p>
            <w:pPr/>
          </w:p>
        </w:tc>
        <w:tc>
          <w:tcPr>
            <w:tcW w:w="1827"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26,095,259.41</w:t>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single" w:sz="8" w:space="0" w:color="000000"/>
              <w:left w:val="nil" w:sz="6" w:space="0" w:color="auto"/>
              <w:bottom w:val="nil" w:sz="6" w:space="0" w:color="auto"/>
              <w:right w:val="nil" w:sz="6" w:space="0" w:color="auto"/>
            </w:tcBorders>
          </w:tcPr>
          <w:p>
            <w:pPr>
              <w:pStyle w:val="TableParagraph"/>
              <w:spacing w:line="253" w:lineRule="exact"/>
              <w:ind w:right="107"/>
              <w:jc w:val="right"/>
              <w:rPr>
                <w:rFonts w:ascii="宋体" w:hAnsi="宋体" w:cs="宋体" w:eastAsia="宋体" w:hint="default"/>
                <w:sz w:val="21"/>
                <w:szCs w:val="21"/>
              </w:rPr>
            </w:pPr>
            <w:r>
              <w:rPr>
                <w:rFonts w:ascii="宋体"/>
                <w:sz w:val="21"/>
              </w:rPr>
              <w:t>99.27%</w:t>
            </w:r>
          </w:p>
        </w:tc>
      </w:tr>
      <w:tr>
        <w:trPr>
          <w:trHeight w:val="283"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7" w:lineRule="exact"/>
              <w:ind w:left="703" w:right="0"/>
              <w:jc w:val="left"/>
              <w:rPr>
                <w:rFonts w:ascii="宋体" w:hAnsi="宋体" w:cs="宋体" w:eastAsia="宋体" w:hint="default"/>
                <w:sz w:val="21"/>
                <w:szCs w:val="21"/>
              </w:rPr>
            </w:pPr>
            <w:r>
              <w:rPr>
                <w:rFonts w:ascii="宋体"/>
                <w:sz w:val="21"/>
              </w:rPr>
              <w:t>663,018.69</w:t>
            </w:r>
          </w:p>
        </w:tc>
        <w:tc>
          <w:tcPr>
            <w:tcW w:w="206"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z w:val="21"/>
              </w:rPr>
              <w:t>1.54%</w:t>
            </w:r>
          </w:p>
        </w:tc>
        <w:tc>
          <w:tcPr>
            <w:tcW w:w="228"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47" w:lineRule="exact"/>
              <w:ind w:right="104"/>
              <w:jc w:val="right"/>
              <w:rPr>
                <w:rFonts w:ascii="宋体" w:hAnsi="宋体" w:cs="宋体" w:eastAsia="宋体" w:hint="default"/>
                <w:sz w:val="21"/>
                <w:szCs w:val="21"/>
              </w:rPr>
            </w:pPr>
            <w:r>
              <w:rPr>
                <w:rFonts w:ascii="宋体"/>
                <w:spacing w:val="-1"/>
                <w:sz w:val="21"/>
              </w:rPr>
              <w:t>191,146.18</w:t>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7" w:lineRule="exact"/>
              <w:ind w:right="107"/>
              <w:jc w:val="right"/>
              <w:rPr>
                <w:rFonts w:ascii="宋体" w:hAnsi="宋体" w:cs="宋体" w:eastAsia="宋体" w:hint="default"/>
                <w:sz w:val="21"/>
                <w:szCs w:val="21"/>
              </w:rPr>
            </w:pPr>
            <w:r>
              <w:rPr>
                <w:rFonts w:ascii="宋体"/>
                <w:sz w:val="21"/>
              </w:rPr>
              <w:t>0.73%</w:t>
            </w:r>
          </w:p>
        </w:tc>
      </w:tr>
      <w:tr>
        <w:trPr>
          <w:trHeight w:val="28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0"/>
              <w:right w:val="nil" w:sz="6" w:space="0" w:color="auto"/>
            </w:tcBorders>
          </w:tcPr>
          <w:p>
            <w:pPr>
              <w:pStyle w:val="TableParagraph"/>
              <w:spacing w:line="247" w:lineRule="exact"/>
              <w:ind w:left="914" w:right="0"/>
              <w:jc w:val="left"/>
              <w:rPr>
                <w:rFonts w:ascii="宋体" w:hAnsi="宋体" w:cs="宋体" w:eastAsia="宋体" w:hint="default"/>
                <w:sz w:val="21"/>
                <w:szCs w:val="21"/>
              </w:rPr>
            </w:pPr>
            <w:r>
              <w:rPr>
                <w:rFonts w:ascii="宋体"/>
                <w:sz w:val="21"/>
              </w:rPr>
              <w:t>4,914.00</w:t>
            </w:r>
          </w:p>
        </w:tc>
        <w:tc>
          <w:tcPr>
            <w:tcW w:w="206"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single" w:sz="4"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z w:val="21"/>
              </w:rPr>
              <w:t>0.01%</w:t>
            </w:r>
          </w:p>
        </w:tc>
        <w:tc>
          <w:tcPr>
            <w:tcW w:w="228"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
        </w:tc>
      </w:tr>
      <w:tr>
        <w:trPr>
          <w:trHeight w:val="312"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1"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single" w:sz="17" w:space="0" w:color="000000"/>
              <w:right w:val="nil" w:sz="6" w:space="0" w:color="auto"/>
            </w:tcBorders>
          </w:tcPr>
          <w:p>
            <w:pPr>
              <w:pStyle w:val="TableParagraph"/>
              <w:spacing w:line="253" w:lineRule="exact"/>
              <w:ind w:left="388" w:right="0"/>
              <w:jc w:val="left"/>
              <w:rPr>
                <w:rFonts w:ascii="宋体" w:hAnsi="宋体" w:cs="宋体" w:eastAsia="宋体" w:hint="default"/>
                <w:sz w:val="21"/>
                <w:szCs w:val="21"/>
              </w:rPr>
            </w:pPr>
            <w:r>
              <w:rPr>
                <w:rFonts w:ascii="宋体"/>
                <w:sz w:val="21"/>
              </w:rPr>
              <w:t>42,914,230.26</w:t>
            </w:r>
          </w:p>
        </w:tc>
        <w:tc>
          <w:tcPr>
            <w:tcW w:w="206" w:type="dxa"/>
            <w:tcBorders>
              <w:top w:val="nil" w:sz="6" w:space="0" w:color="auto"/>
              <w:left w:val="nil" w:sz="6" w:space="0" w:color="auto"/>
              <w:bottom w:val="nil" w:sz="6" w:space="0" w:color="auto"/>
              <w:right w:val="nil" w:sz="6" w:space="0" w:color="auto"/>
            </w:tcBorders>
          </w:tcPr>
          <w:p>
            <w:pPr/>
          </w:p>
        </w:tc>
        <w:tc>
          <w:tcPr>
            <w:tcW w:w="1040" w:type="dxa"/>
            <w:tcBorders>
              <w:top w:val="single" w:sz="4" w:space="0" w:color="000000"/>
              <w:left w:val="nil" w:sz="6" w:space="0" w:color="auto"/>
              <w:bottom w:val="single" w:sz="17" w:space="0" w:color="000000"/>
              <w:right w:val="nil" w:sz="6" w:space="0" w:color="auto"/>
            </w:tcBorders>
          </w:tcPr>
          <w:p>
            <w:pPr>
              <w:pStyle w:val="TableParagraph"/>
              <w:spacing w:line="253" w:lineRule="exact"/>
              <w:ind w:right="104"/>
              <w:jc w:val="right"/>
              <w:rPr>
                <w:rFonts w:ascii="宋体" w:hAnsi="宋体" w:cs="宋体" w:eastAsia="宋体" w:hint="default"/>
                <w:sz w:val="21"/>
                <w:szCs w:val="21"/>
              </w:rPr>
            </w:pPr>
            <w:r>
              <w:rPr>
                <w:rFonts w:ascii="宋体"/>
                <w:spacing w:val="-1"/>
                <w:sz w:val="21"/>
              </w:rPr>
              <w:t>100.00%</w:t>
            </w:r>
          </w:p>
        </w:tc>
        <w:tc>
          <w:tcPr>
            <w:tcW w:w="228" w:type="dxa"/>
            <w:tcBorders>
              <w:top w:val="nil" w:sz="6" w:space="0" w:color="auto"/>
              <w:left w:val="nil" w:sz="6" w:space="0" w:color="auto"/>
              <w:bottom w:val="nil" w:sz="6" w:space="0" w:color="auto"/>
              <w:right w:val="nil" w:sz="6" w:space="0" w:color="auto"/>
            </w:tcBorders>
          </w:tcPr>
          <w:p>
            <w:pPr/>
          </w:p>
        </w:tc>
        <w:tc>
          <w:tcPr>
            <w:tcW w:w="1827" w:type="dxa"/>
            <w:tcBorders>
              <w:top w:val="single" w:sz="4"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26,286,405.59</w:t>
            </w:r>
          </w:p>
        </w:tc>
        <w:tc>
          <w:tcPr>
            <w:tcW w:w="228"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7" w:space="0" w:color="000000"/>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4" w:lineRule="auto" w:before="26"/>
        <w:ind w:left="640" w:right="5466"/>
        <w:jc w:val="left"/>
      </w:pPr>
      <w:r>
        <w:rPr/>
        <w:t>⑶ 坏账准备的计提情况 按账龄分析法计提坏账准备的应收账款：</w:t>
      </w:r>
    </w:p>
    <w:p>
      <w:pPr>
        <w:spacing w:line="240" w:lineRule="auto" w:before="8"/>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931"/>
        <w:gridCol w:w="144"/>
        <w:gridCol w:w="1292"/>
        <w:gridCol w:w="127"/>
        <w:gridCol w:w="806"/>
        <w:gridCol w:w="134"/>
        <w:gridCol w:w="1244"/>
        <w:gridCol w:w="230"/>
        <w:gridCol w:w="1284"/>
        <w:gridCol w:w="127"/>
        <w:gridCol w:w="840"/>
        <w:gridCol w:w="128"/>
        <w:gridCol w:w="1438"/>
      </w:tblGrid>
      <w:tr>
        <w:trPr>
          <w:trHeight w:val="217" w:hRule="exact"/>
        </w:trPr>
        <w:tc>
          <w:tcPr>
            <w:tcW w:w="93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single" w:sz="8" w:space="0" w:color="000000"/>
              <w:right w:val="nil" w:sz="6" w:space="0" w:color="auto"/>
            </w:tcBorders>
          </w:tcPr>
          <w:p>
            <w:pPr/>
          </w:p>
        </w:tc>
        <w:tc>
          <w:tcPr>
            <w:tcW w:w="806" w:type="dxa"/>
            <w:tcBorders>
              <w:top w:val="nil" w:sz="6" w:space="0" w:color="auto"/>
              <w:left w:val="nil" w:sz="6" w:space="0" w:color="auto"/>
              <w:bottom w:val="single" w:sz="8" w:space="0" w:color="000000"/>
              <w:right w:val="nil" w:sz="6" w:space="0" w:color="auto"/>
            </w:tcBorders>
          </w:tcPr>
          <w:p>
            <w:pPr>
              <w:pStyle w:val="TableParagraph"/>
              <w:spacing w:line="180" w:lineRule="exact"/>
              <w:ind w:left="112"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4" w:type="dxa"/>
            <w:tcBorders>
              <w:top w:val="nil" w:sz="6" w:space="0" w:color="auto"/>
              <w:left w:val="nil" w:sz="6" w:space="0" w:color="auto"/>
              <w:bottom w:val="single" w:sz="8" w:space="0" w:color="000000"/>
              <w:right w:val="nil" w:sz="6" w:space="0" w:color="auto"/>
            </w:tcBorders>
          </w:tcPr>
          <w:p>
            <w:pPr/>
          </w:p>
        </w:tc>
        <w:tc>
          <w:tcPr>
            <w:tcW w:w="1244" w:type="dxa"/>
            <w:tcBorders>
              <w:top w:val="nil" w:sz="6" w:space="0" w:color="auto"/>
              <w:left w:val="nil" w:sz="6" w:space="0" w:color="auto"/>
              <w:bottom w:val="single" w:sz="8"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single" w:sz="8" w:space="0" w:color="000000"/>
              <w:right w:val="nil" w:sz="6" w:space="0" w:color="auto"/>
            </w:tcBorders>
          </w:tcPr>
          <w:p>
            <w:pPr/>
          </w:p>
        </w:tc>
        <w:tc>
          <w:tcPr>
            <w:tcW w:w="840" w:type="dxa"/>
            <w:tcBorders>
              <w:top w:val="nil" w:sz="6" w:space="0" w:color="auto"/>
              <w:left w:val="nil" w:sz="6" w:space="0" w:color="auto"/>
              <w:bottom w:val="single" w:sz="8" w:space="0" w:color="000000"/>
              <w:right w:val="nil" w:sz="6" w:space="0" w:color="auto"/>
            </w:tcBorders>
          </w:tcPr>
          <w:p>
            <w:pPr>
              <w:pStyle w:val="TableParagraph"/>
              <w:spacing w:line="180" w:lineRule="exact"/>
              <w:ind w:left="23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8" w:type="dxa"/>
            <w:tcBorders>
              <w:top w:val="nil" w:sz="6" w:space="0" w:color="auto"/>
              <w:left w:val="nil" w:sz="6" w:space="0" w:color="auto"/>
              <w:bottom w:val="single" w:sz="8" w:space="0" w:color="000000"/>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
        </w:tc>
      </w:tr>
      <w:tr>
        <w:trPr>
          <w:trHeight w:val="360" w:hRule="exact"/>
        </w:trPr>
        <w:tc>
          <w:tcPr>
            <w:tcW w:w="931"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2225" w:type="dxa"/>
            <w:gridSpan w:val="3"/>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4" w:type="dxa"/>
            <w:tcBorders>
              <w:top w:val="single" w:sz="8" w:space="0" w:color="000000"/>
              <w:left w:val="nil" w:sz="6" w:space="0" w:color="auto"/>
              <w:bottom w:val="nil" w:sz="6" w:space="0" w:color="auto"/>
              <w:right w:val="nil" w:sz="6" w:space="0" w:color="auto"/>
            </w:tcBorders>
          </w:tcPr>
          <w:p>
            <w:pPr/>
          </w:p>
        </w:tc>
        <w:tc>
          <w:tcPr>
            <w:tcW w:w="1244" w:type="dxa"/>
            <w:tcBorders>
              <w:top w:val="single" w:sz="8"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25"/>
              <w:jc w:val="right"/>
              <w:rPr>
                <w:rFonts w:ascii="宋体" w:hAnsi="宋体" w:cs="宋体" w:eastAsia="宋体" w:hint="default"/>
                <w:sz w:val="18"/>
                <w:szCs w:val="18"/>
              </w:rPr>
            </w:pPr>
            <w:r>
              <w:rPr>
                <w:rFonts w:ascii="宋体" w:hAnsi="宋体" w:cs="宋体" w:eastAsia="宋体" w:hint="default"/>
                <w:sz w:val="18"/>
                <w:szCs w:val="18"/>
              </w:rPr>
              <w:t>账面余</w:t>
            </w:r>
          </w:p>
        </w:tc>
        <w:tc>
          <w:tcPr>
            <w:tcW w:w="127" w:type="dxa"/>
            <w:tcBorders>
              <w:top w:val="single" w:sz="8" w:space="0" w:color="000000"/>
              <w:left w:val="nil" w:sz="6" w:space="0" w:color="auto"/>
              <w:bottom w:val="single" w:sz="8" w:space="0" w:color="000000"/>
              <w:right w:val="nil" w:sz="6" w:space="0" w:color="auto"/>
            </w:tcBorders>
          </w:tcPr>
          <w:p>
            <w:pPr/>
          </w:p>
        </w:tc>
        <w:tc>
          <w:tcPr>
            <w:tcW w:w="84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8" w:type="dxa"/>
            <w:tcBorders>
              <w:top w:val="single" w:sz="8" w:space="0" w:color="000000"/>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nil" w:sz="6" w:space="0" w:color="auto"/>
              <w:right w:val="nil" w:sz="6" w:space="0" w:color="auto"/>
            </w:tcBorders>
          </w:tcPr>
          <w:p>
            <w:pPr/>
          </w:p>
        </w:tc>
      </w:tr>
      <w:tr>
        <w:trPr>
          <w:trHeight w:val="360" w:hRule="exact"/>
        </w:trPr>
        <w:tc>
          <w:tcPr>
            <w:tcW w:w="931"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4" w:type="dxa"/>
            <w:tcBorders>
              <w:top w:val="nil" w:sz="6" w:space="0" w:color="auto"/>
              <w:left w:val="nil" w:sz="6" w:space="0" w:color="auto"/>
              <w:bottom w:val="nil" w:sz="6" w:space="0" w:color="auto"/>
              <w:right w:val="nil" w:sz="6" w:space="0" w:color="auto"/>
            </w:tcBorders>
          </w:tcPr>
          <w:p>
            <w:pPr/>
          </w:p>
        </w:tc>
        <w:tc>
          <w:tcPr>
            <w:tcW w:w="1292"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 w:type="dxa"/>
            <w:tcBorders>
              <w:top w:val="single" w:sz="8" w:space="0" w:color="000000"/>
              <w:left w:val="nil" w:sz="6" w:space="0" w:color="auto"/>
              <w:bottom w:val="nil" w:sz="6" w:space="0" w:color="auto"/>
              <w:right w:val="nil" w:sz="6" w:space="0" w:color="auto"/>
            </w:tcBorders>
          </w:tcPr>
          <w:p>
            <w:pPr/>
          </w:p>
        </w:tc>
        <w:tc>
          <w:tcPr>
            <w:tcW w:w="806"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 w:type="dxa"/>
            <w:tcBorders>
              <w:top w:val="single" w:sz="8" w:space="0" w:color="000000"/>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93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 w:type="dxa"/>
            <w:tcBorders>
              <w:top w:val="nil" w:sz="6" w:space="0" w:color="auto"/>
              <w:left w:val="nil" w:sz="6" w:space="0" w:color="auto"/>
              <w:bottom w:val="nil" w:sz="6" w:space="0" w:color="auto"/>
              <w:right w:val="nil" w:sz="6" w:space="0" w:color="auto"/>
            </w:tcBorders>
          </w:tcPr>
          <w:p>
            <w:pPr/>
          </w:p>
        </w:tc>
        <w:tc>
          <w:tcPr>
            <w:tcW w:w="129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6"/>
              <w:jc w:val="right"/>
              <w:rPr>
                <w:rFonts w:ascii="宋体" w:hAnsi="宋体" w:cs="宋体" w:eastAsia="宋体" w:hint="default"/>
                <w:sz w:val="18"/>
                <w:szCs w:val="18"/>
              </w:rPr>
            </w:pPr>
            <w:r>
              <w:rPr>
                <w:rFonts w:ascii="宋体"/>
                <w:spacing w:val="-1"/>
                <w:sz w:val="18"/>
              </w:rPr>
              <w:t>42,246,297.57</w:t>
            </w: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2"/>
              <w:jc w:val="right"/>
              <w:rPr>
                <w:rFonts w:ascii="宋体" w:hAnsi="宋体" w:cs="宋体" w:eastAsia="宋体" w:hint="default"/>
                <w:sz w:val="18"/>
                <w:szCs w:val="18"/>
              </w:rPr>
            </w:pPr>
            <w:r>
              <w:rPr>
                <w:rFonts w:ascii="宋体"/>
                <w:spacing w:val="-1"/>
                <w:sz w:val="18"/>
              </w:rPr>
              <w:t>98.45%</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8"/>
                <w:szCs w:val="18"/>
              </w:rPr>
            </w:pPr>
            <w:r>
              <w:rPr>
                <w:rFonts w:ascii="宋体"/>
                <w:spacing w:val="-1"/>
                <w:sz w:val="18"/>
              </w:rPr>
              <w:t>2,112,314.88</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26,095,259.41</w:t>
            </w: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2"/>
              <w:jc w:val="right"/>
              <w:rPr>
                <w:rFonts w:ascii="宋体" w:hAnsi="宋体" w:cs="宋体" w:eastAsia="宋体" w:hint="default"/>
                <w:sz w:val="18"/>
                <w:szCs w:val="18"/>
              </w:rPr>
            </w:pPr>
            <w:r>
              <w:rPr>
                <w:rFonts w:ascii="宋体"/>
                <w:spacing w:val="-1"/>
                <w:sz w:val="18"/>
              </w:rPr>
              <w:t>99.27%</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1,304,762.97</w:t>
            </w:r>
          </w:p>
        </w:tc>
      </w:tr>
      <w:tr>
        <w:trPr>
          <w:trHeight w:val="340"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663,018.69</w:t>
            </w: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2"/>
              <w:jc w:val="right"/>
              <w:rPr>
                <w:rFonts w:ascii="宋体" w:hAnsi="宋体" w:cs="宋体" w:eastAsia="宋体" w:hint="default"/>
                <w:sz w:val="18"/>
                <w:szCs w:val="18"/>
              </w:rPr>
            </w:pPr>
            <w:r>
              <w:rPr>
                <w:rFonts w:ascii="宋体"/>
                <w:sz w:val="18"/>
              </w:rPr>
              <w:t>1.54%</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66,301.87</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191,146.18</w:t>
            </w: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right"/>
              <w:rPr>
                <w:rFonts w:ascii="宋体" w:hAnsi="宋体" w:cs="宋体" w:eastAsia="宋体" w:hint="default"/>
                <w:sz w:val="18"/>
                <w:szCs w:val="18"/>
              </w:rPr>
            </w:pPr>
            <w:r>
              <w:rPr>
                <w:rFonts w:ascii="宋体"/>
                <w:sz w:val="18"/>
              </w:rPr>
              <w:t>0.73%</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19,114.62</w:t>
            </w:r>
          </w:p>
        </w:tc>
      </w:tr>
      <w:tr>
        <w:trPr>
          <w:trHeight w:val="299"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4,914.00</w:t>
            </w: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2"/>
              <w:jc w:val="right"/>
              <w:rPr>
                <w:rFonts w:ascii="宋体" w:hAnsi="宋体" w:cs="宋体" w:eastAsia="宋体" w:hint="default"/>
                <w:sz w:val="18"/>
                <w:szCs w:val="18"/>
              </w:rPr>
            </w:pPr>
            <w:r>
              <w:rPr>
                <w:rFonts w:ascii="宋体"/>
                <w:sz w:val="18"/>
              </w:rPr>
              <w:t>0.01%</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5"/>
              <w:jc w:val="right"/>
              <w:rPr>
                <w:rFonts w:ascii="宋体" w:hAnsi="宋体" w:cs="宋体" w:eastAsia="宋体" w:hint="default"/>
                <w:sz w:val="18"/>
                <w:szCs w:val="18"/>
              </w:rPr>
            </w:pPr>
            <w:r>
              <w:rPr>
                <w:rFonts w:ascii="宋体"/>
                <w:spacing w:val="-1"/>
                <w:sz w:val="18"/>
              </w:rPr>
              <w:t>982.80</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8"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8" w:space="0" w:color="000000"/>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
        </w:tc>
      </w:tr>
      <w:tr>
        <w:trPr>
          <w:trHeight w:val="374"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 w:type="dxa"/>
            <w:tcBorders>
              <w:top w:val="nil" w:sz="6" w:space="0" w:color="auto"/>
              <w:left w:val="nil" w:sz="6" w:space="0" w:color="auto"/>
              <w:bottom w:val="nil" w:sz="6" w:space="0" w:color="auto"/>
              <w:right w:val="nil" w:sz="6" w:space="0" w:color="auto"/>
            </w:tcBorders>
          </w:tcPr>
          <w:p>
            <w:pPr/>
          </w:p>
        </w:tc>
        <w:tc>
          <w:tcPr>
            <w:tcW w:w="1292"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6"/>
              <w:jc w:val="right"/>
              <w:rPr>
                <w:rFonts w:ascii="宋体" w:hAnsi="宋体" w:cs="宋体" w:eastAsia="宋体" w:hint="default"/>
                <w:sz w:val="18"/>
                <w:szCs w:val="18"/>
              </w:rPr>
            </w:pPr>
            <w:r>
              <w:rPr>
                <w:rFonts w:ascii="宋体"/>
                <w:spacing w:val="-1"/>
                <w:sz w:val="18"/>
              </w:rPr>
              <w:t>42,914,230.26</w:t>
            </w:r>
          </w:p>
        </w:tc>
        <w:tc>
          <w:tcPr>
            <w:tcW w:w="127" w:type="dxa"/>
            <w:tcBorders>
              <w:top w:val="nil" w:sz="6" w:space="0" w:color="auto"/>
              <w:left w:val="nil" w:sz="6" w:space="0" w:color="auto"/>
              <w:bottom w:val="nil" w:sz="6" w:space="0" w:color="auto"/>
              <w:right w:val="nil" w:sz="6" w:space="0" w:color="auto"/>
            </w:tcBorders>
          </w:tcPr>
          <w:p>
            <w:pPr/>
          </w:p>
        </w:tc>
        <w:tc>
          <w:tcPr>
            <w:tcW w:w="806"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left="120" w:right="0"/>
              <w:jc w:val="left"/>
              <w:rPr>
                <w:rFonts w:ascii="宋体" w:hAnsi="宋体" w:cs="宋体" w:eastAsia="宋体" w:hint="default"/>
                <w:sz w:val="18"/>
                <w:szCs w:val="18"/>
              </w:rPr>
            </w:pPr>
            <w:r>
              <w:rPr>
                <w:rFonts w:ascii="宋体"/>
                <w:sz w:val="18"/>
              </w:rPr>
              <w:t>100.00%</w:t>
            </w:r>
          </w:p>
        </w:tc>
        <w:tc>
          <w:tcPr>
            <w:tcW w:w="134" w:type="dxa"/>
            <w:tcBorders>
              <w:top w:val="nil" w:sz="6" w:space="0" w:color="auto"/>
              <w:left w:val="nil" w:sz="6" w:space="0" w:color="auto"/>
              <w:bottom w:val="nil" w:sz="6" w:space="0" w:color="auto"/>
              <w:right w:val="nil" w:sz="6" w:space="0" w:color="auto"/>
            </w:tcBorders>
          </w:tcPr>
          <w:p>
            <w:pPr/>
          </w:p>
        </w:tc>
        <w:tc>
          <w:tcPr>
            <w:tcW w:w="1244"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2,179,599.55</w:t>
            </w:r>
          </w:p>
        </w:tc>
        <w:tc>
          <w:tcPr>
            <w:tcW w:w="230" w:type="dxa"/>
            <w:tcBorders>
              <w:top w:val="nil" w:sz="6" w:space="0" w:color="auto"/>
              <w:left w:val="nil" w:sz="6" w:space="0" w:color="auto"/>
              <w:bottom w:val="nil" w:sz="6" w:space="0" w:color="auto"/>
              <w:right w:val="nil" w:sz="6" w:space="0" w:color="auto"/>
            </w:tcBorders>
          </w:tcPr>
          <w:p>
            <w:pPr/>
          </w:p>
        </w:tc>
        <w:tc>
          <w:tcPr>
            <w:tcW w:w="1284"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26,286,405.59</w:t>
            </w:r>
          </w:p>
        </w:tc>
        <w:tc>
          <w:tcPr>
            <w:tcW w:w="127"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2"/>
              <w:jc w:val="right"/>
              <w:rPr>
                <w:rFonts w:ascii="宋体" w:hAnsi="宋体" w:cs="宋体" w:eastAsia="宋体" w:hint="default"/>
                <w:sz w:val="18"/>
                <w:szCs w:val="18"/>
              </w:rPr>
            </w:pPr>
            <w:r>
              <w:rPr>
                <w:rFonts w:ascii="宋体"/>
                <w:sz w:val="18"/>
              </w:rPr>
              <w:t>100.00%</w:t>
            </w:r>
          </w:p>
        </w:tc>
        <w:tc>
          <w:tcPr>
            <w:tcW w:w="128"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single" w:sz="17" w:space="0" w:color="000000"/>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1,323,877.59</w:t>
            </w:r>
          </w:p>
        </w:tc>
      </w:tr>
    </w:tbl>
    <w:p>
      <w:pPr>
        <w:spacing w:after="0" w:line="240" w:lineRule="auto"/>
        <w:jc w:val="right"/>
        <w:rPr>
          <w:rFonts w:ascii="宋体" w:hAnsi="宋体" w:cs="宋体" w:eastAsia="宋体" w:hint="default"/>
          <w:sz w:val="18"/>
          <w:szCs w:val="18"/>
        </w:rPr>
        <w:sectPr>
          <w:pgSz w:w="11910" w:h="16840"/>
          <w:pgMar w:header="731" w:footer="956" w:top="1100" w:bottom="1140" w:left="1460" w:right="0"/>
        </w:sectPr>
      </w:pPr>
    </w:p>
    <w:p>
      <w:pPr>
        <w:spacing w:line="240" w:lineRule="auto" w:before="10"/>
        <w:rPr>
          <w:rFonts w:ascii="宋体" w:hAnsi="宋体" w:cs="宋体" w:eastAsia="宋体" w:hint="default"/>
          <w:sz w:val="25"/>
          <w:szCs w:val="25"/>
        </w:rPr>
      </w:pPr>
    </w:p>
    <w:p>
      <w:pPr>
        <w:pStyle w:val="BodyText"/>
        <w:spacing w:line="240" w:lineRule="auto" w:before="26"/>
        <w:ind w:left="640" w:right="0"/>
        <w:jc w:val="left"/>
      </w:pPr>
      <w:r>
        <w:rPr/>
        <w:t>⑷ 本报告期应收账款中无持有公司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）以上表决权股份的股东单位款项。</w:t>
      </w:r>
    </w:p>
    <w:p>
      <w:pPr>
        <w:spacing w:line="240" w:lineRule="auto" w:before="9"/>
        <w:rPr>
          <w:rFonts w:ascii="宋体" w:hAnsi="宋体" w:cs="宋体" w:eastAsia="宋体" w:hint="default"/>
          <w:sz w:val="17"/>
          <w:szCs w:val="17"/>
        </w:rPr>
      </w:pPr>
    </w:p>
    <w:p>
      <w:pPr>
        <w:pStyle w:val="BodyText"/>
        <w:tabs>
          <w:tab w:pos="1120" w:val="left" w:leader="none"/>
        </w:tabs>
        <w:spacing w:line="240" w:lineRule="auto" w:before="0"/>
        <w:ind w:left="640" w:right="1206"/>
        <w:jc w:val="left"/>
      </w:pPr>
      <w:r>
        <w:rPr/>
        <w:t>⑸</w:t>
        <w:tab/>
        <w:t>应收账款金额前五名单位情况</w:t>
      </w:r>
    </w:p>
    <w:p>
      <w:pPr>
        <w:spacing w:line="240" w:lineRule="auto" w:before="6"/>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276"/>
        <w:gridCol w:w="425"/>
        <w:gridCol w:w="1572"/>
        <w:gridCol w:w="252"/>
        <w:gridCol w:w="1483"/>
        <w:gridCol w:w="217"/>
        <w:gridCol w:w="1826"/>
      </w:tblGrid>
      <w:tr>
        <w:trPr>
          <w:trHeight w:val="217" w:hRule="exact"/>
        </w:trPr>
        <w:tc>
          <w:tcPr>
            <w:tcW w:w="3276"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应收单位前五名</w:t>
            </w:r>
          </w:p>
        </w:tc>
        <w:tc>
          <w:tcPr>
            <w:tcW w:w="425"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与本集团关系</w:t>
            </w:r>
          </w:p>
        </w:tc>
        <w:tc>
          <w:tcPr>
            <w:tcW w:w="25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8"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7"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8" w:space="0" w:color="000000"/>
              <w:right w:val="nil" w:sz="6" w:space="0" w:color="auto"/>
            </w:tcBorders>
          </w:tcPr>
          <w:p>
            <w:pPr>
              <w:pStyle w:val="TableParagraph"/>
              <w:spacing w:line="180" w:lineRule="exact"/>
              <w:ind w:right="143"/>
              <w:jc w:val="right"/>
              <w:rPr>
                <w:rFonts w:ascii="宋体" w:hAnsi="宋体" w:cs="宋体" w:eastAsia="宋体" w:hint="default"/>
                <w:sz w:val="18"/>
                <w:szCs w:val="18"/>
              </w:rPr>
            </w:pPr>
            <w:r>
              <w:rPr>
                <w:rFonts w:ascii="宋体" w:hAnsi="宋体" w:cs="宋体" w:eastAsia="宋体" w:hint="default"/>
                <w:sz w:val="18"/>
                <w:szCs w:val="18"/>
              </w:rPr>
              <w:t>占总额的比例（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77" w:hRule="exact"/>
        </w:trPr>
        <w:tc>
          <w:tcPr>
            <w:tcW w:w="3276"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425" w:type="dxa"/>
            <w:tcBorders>
              <w:top w:val="nil" w:sz="6" w:space="0" w:color="auto"/>
              <w:left w:val="nil" w:sz="6" w:space="0" w:color="auto"/>
              <w:bottom w:val="nil" w:sz="6" w:space="0" w:color="auto"/>
              <w:right w:val="nil" w:sz="6" w:space="0" w:color="auto"/>
            </w:tcBorders>
          </w:tcPr>
          <w:p>
            <w:pPr/>
          </w:p>
        </w:tc>
        <w:tc>
          <w:tcPr>
            <w:tcW w:w="157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483"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3,717,227.27</w:t>
            </w:r>
          </w:p>
        </w:tc>
        <w:tc>
          <w:tcPr>
            <w:tcW w:w="217" w:type="dxa"/>
            <w:tcBorders>
              <w:top w:val="nil" w:sz="6" w:space="0" w:color="auto"/>
              <w:left w:val="nil" w:sz="6" w:space="0" w:color="auto"/>
              <w:bottom w:val="nil" w:sz="6" w:space="0" w:color="auto"/>
              <w:right w:val="nil" w:sz="6" w:space="0" w:color="auto"/>
            </w:tcBorders>
          </w:tcPr>
          <w:p>
            <w:pPr/>
          </w:p>
        </w:tc>
        <w:tc>
          <w:tcPr>
            <w:tcW w:w="182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8.66%</w:t>
            </w:r>
          </w:p>
        </w:tc>
      </w:tr>
      <w:tr>
        <w:trPr>
          <w:trHeight w:val="340"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425"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2,218,300.00</w:t>
            </w:r>
          </w:p>
        </w:tc>
        <w:tc>
          <w:tcPr>
            <w:tcW w:w="217"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5.17%</w:t>
            </w:r>
          </w:p>
        </w:tc>
      </w:tr>
      <w:tr>
        <w:trPr>
          <w:trHeight w:val="340"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425"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1,717,898.85</w:t>
            </w:r>
          </w:p>
        </w:tc>
        <w:tc>
          <w:tcPr>
            <w:tcW w:w="217"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4.00%</w:t>
            </w:r>
          </w:p>
        </w:tc>
      </w:tr>
      <w:tr>
        <w:trPr>
          <w:trHeight w:val="341"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425"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1,116,285.00</w:t>
            </w:r>
          </w:p>
        </w:tc>
        <w:tc>
          <w:tcPr>
            <w:tcW w:w="217"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2.60%</w:t>
            </w:r>
          </w:p>
        </w:tc>
      </w:tr>
      <w:tr>
        <w:trPr>
          <w:trHeight w:val="324"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425"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52"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1,100,244.00</w:t>
            </w:r>
          </w:p>
        </w:tc>
        <w:tc>
          <w:tcPr>
            <w:tcW w:w="217"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2.56%</w:t>
            </w:r>
          </w:p>
        </w:tc>
      </w:tr>
      <w:tr>
        <w:trPr>
          <w:trHeight w:val="374"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25"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483"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9,869,955.12</w:t>
            </w:r>
          </w:p>
        </w:tc>
        <w:tc>
          <w:tcPr>
            <w:tcW w:w="217" w:type="dxa"/>
            <w:tcBorders>
              <w:top w:val="nil" w:sz="6" w:space="0" w:color="auto"/>
              <w:left w:val="nil" w:sz="6" w:space="0" w:color="auto"/>
              <w:bottom w:val="nil" w:sz="6" w:space="0" w:color="auto"/>
              <w:right w:val="nil" w:sz="6" w:space="0" w:color="auto"/>
            </w:tcBorders>
          </w:tcPr>
          <w:p>
            <w:pPr/>
          </w:p>
        </w:tc>
        <w:tc>
          <w:tcPr>
            <w:tcW w:w="1826"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2"/>
              <w:jc w:val="right"/>
              <w:rPr>
                <w:rFonts w:ascii="宋体" w:hAnsi="宋体" w:cs="宋体" w:eastAsia="宋体" w:hint="default"/>
                <w:sz w:val="18"/>
                <w:szCs w:val="18"/>
              </w:rPr>
            </w:pPr>
            <w:r>
              <w:rPr>
                <w:rFonts w:ascii="宋体"/>
                <w:spacing w:val="-1"/>
                <w:sz w:val="18"/>
              </w:rPr>
              <w:t>22.99%</w:t>
            </w:r>
          </w:p>
        </w:tc>
      </w:tr>
    </w:tbl>
    <w:p>
      <w:pPr>
        <w:spacing w:line="240" w:lineRule="auto" w:before="3"/>
        <w:rPr>
          <w:rFonts w:ascii="宋体" w:hAnsi="宋体" w:cs="宋体" w:eastAsia="宋体" w:hint="default"/>
          <w:sz w:val="23"/>
          <w:szCs w:val="23"/>
        </w:rPr>
      </w:pPr>
    </w:p>
    <w:p>
      <w:pPr>
        <w:pStyle w:val="Heading3"/>
        <w:spacing w:line="367" w:lineRule="exact"/>
        <w:ind w:left="642" w:right="1206"/>
        <w:jc w:val="left"/>
        <w:rPr>
          <w:b w:val="0"/>
          <w:bCs w:val="0"/>
        </w:rPr>
      </w:pPr>
      <w:r>
        <w:rPr>
          <w:rFonts w:ascii="Times New Roman" w:hAnsi="Times New Roman" w:cs="Times New Roman" w:eastAsia="Times New Roman" w:hint="default"/>
        </w:rPr>
        <w:t>2</w:t>
      </w:r>
      <w:r>
        <w:rPr/>
        <w:t>、其他应收款</w:t>
      </w:r>
      <w:r>
        <w:rPr>
          <w:b w:val="0"/>
          <w:bCs w:val="0"/>
        </w:rPr>
      </w:r>
    </w:p>
    <w:p>
      <w:pPr>
        <w:pStyle w:val="BodyText"/>
        <w:tabs>
          <w:tab w:pos="1120" w:val="left" w:leader="none"/>
        </w:tabs>
        <w:spacing w:line="240" w:lineRule="auto" w:before="203"/>
        <w:ind w:left="640" w:right="1206"/>
        <w:jc w:val="left"/>
      </w:pPr>
      <w:r>
        <w:rPr/>
        <w:t>⑴</w:t>
        <w:tab/>
        <w:t>其他应收款按种类列示</w:t>
      </w:r>
    </w:p>
    <w:p>
      <w:pPr>
        <w:spacing w:line="240" w:lineRule="auto" w:before="1"/>
        <w:rPr>
          <w:rFonts w:ascii="宋体" w:hAnsi="宋体" w:cs="宋体" w:eastAsia="宋体" w:hint="default"/>
          <w:sz w:val="25"/>
          <w:szCs w:val="25"/>
        </w:rPr>
      </w:pPr>
    </w:p>
    <w:p>
      <w:pPr>
        <w:spacing w:before="44"/>
        <w:ind w:left="0" w:right="2168" w:firstLine="0"/>
        <w:jc w:val="right"/>
        <w:rPr>
          <w:rFonts w:ascii="宋体" w:hAnsi="宋体" w:cs="宋体" w:eastAsia="宋体" w:hint="default"/>
          <w:sz w:val="18"/>
          <w:szCs w:val="18"/>
        </w:rPr>
      </w:pPr>
      <w:r>
        <w:rPr/>
        <w:pict>
          <v:shape style="position:absolute;margin-left:80.304001pt;margin-top:-10.262648pt;width:456.1pt;height:222.7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4"/>
                    <w:gridCol w:w="235"/>
                    <w:gridCol w:w="1632"/>
                    <w:gridCol w:w="845"/>
                    <w:gridCol w:w="238"/>
                    <w:gridCol w:w="1304"/>
                    <w:gridCol w:w="281"/>
                    <w:gridCol w:w="763"/>
                  </w:tblGrid>
                  <w:tr>
                    <w:trPr>
                      <w:trHeight w:val="217" w:hRule="exact"/>
                    </w:trPr>
                    <w:tc>
                      <w:tcPr>
                        <w:tcW w:w="9122"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right="2259"/>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305" w:hRule="exact"/>
                    </w:trPr>
                    <w:tc>
                      <w:tcPr>
                        <w:tcW w:w="382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3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45" w:type="dxa"/>
                        <w:tcBorders>
                          <w:top w:val="single" w:sz="8" w:space="0" w:color="000000"/>
                          <w:left w:val="nil" w:sz="6" w:space="0" w:color="auto"/>
                          <w:bottom w:val="single" w:sz="8" w:space="0" w:color="000000"/>
                          <w:right w:val="nil" w:sz="6" w:space="0" w:color="auto"/>
                        </w:tcBorders>
                      </w:tcPr>
                      <w:p>
                        <w:pPr/>
                      </w:p>
                    </w:tc>
                    <w:tc>
                      <w:tcPr>
                        <w:tcW w:w="238"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816"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8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05" w:hRule="exact"/>
                    </w:trPr>
                    <w:tc>
                      <w:tcPr>
                        <w:tcW w:w="3824"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5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1"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1" w:hRule="exact"/>
                    </w:trPr>
                    <w:tc>
                      <w:tcPr>
                        <w:tcW w:w="382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nil" w:sz="6" w:space="0" w:color="auto"/>
                          <w:right w:val="nil" w:sz="6" w:space="0" w:color="auto"/>
                        </w:tcBorders>
                      </w:tcPr>
                      <w:p>
                        <w:pPr/>
                      </w:p>
                    </w:tc>
                    <w:tc>
                      <w:tcPr>
                        <w:tcW w:w="845"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nil" w:sz="6" w:space="0" w:color="auto"/>
                          <w:right w:val="nil" w:sz="6" w:space="0" w:color="auto"/>
                        </w:tcBorders>
                      </w:tcPr>
                      <w:p>
                        <w:pPr/>
                      </w:p>
                    </w:tc>
                  </w:tr>
                  <w:tr>
                    <w:trPr>
                      <w:trHeight w:val="286"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33" w:lineRule="exact"/>
                          <w:ind w:left="199" w:right="0"/>
                          <w:jc w:val="left"/>
                          <w:rPr>
                            <w:rFonts w:ascii="宋体" w:hAnsi="宋体" w:cs="宋体" w:eastAsia="宋体" w:hint="default"/>
                            <w:sz w:val="18"/>
                            <w:szCs w:val="18"/>
                          </w:rPr>
                        </w:pPr>
                        <w:r>
                          <w:rPr>
                            <w:rFonts w:ascii="宋体"/>
                            <w:sz w:val="18"/>
                          </w:rPr>
                          <w:t>9,041,689.07</w:t>
                        </w:r>
                      </w:p>
                    </w:tc>
                    <w:tc>
                      <w:tcPr>
                        <w:tcW w:w="845"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33" w:lineRule="exact"/>
                          <w:ind w:left="115" w:right="0"/>
                          <w:jc w:val="left"/>
                          <w:rPr>
                            <w:rFonts w:ascii="宋体" w:hAnsi="宋体" w:cs="宋体" w:eastAsia="宋体" w:hint="default"/>
                            <w:sz w:val="18"/>
                            <w:szCs w:val="18"/>
                          </w:rPr>
                        </w:pPr>
                        <w:r>
                          <w:rPr>
                            <w:rFonts w:ascii="宋体"/>
                            <w:sz w:val="18"/>
                          </w:rPr>
                          <w:t>1,024,428.28</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33" w:lineRule="exact"/>
                          <w:ind w:left="115" w:right="0"/>
                          <w:jc w:val="left"/>
                          <w:rPr>
                            <w:rFonts w:ascii="宋体" w:hAnsi="宋体" w:cs="宋体" w:eastAsia="宋体" w:hint="default"/>
                            <w:sz w:val="18"/>
                            <w:szCs w:val="18"/>
                          </w:rPr>
                        </w:pPr>
                        <w:r>
                          <w:rPr>
                            <w:rFonts w:ascii="宋体"/>
                            <w:sz w:val="18"/>
                          </w:rPr>
                          <w:t>11.33%</w:t>
                        </w:r>
                      </w:p>
                    </w:tc>
                  </w:tr>
                  <w:tr>
                    <w:trPr>
                      <w:trHeight w:val="270"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8" w:space="0" w:color="000000"/>
                          <w:right w:val="nil" w:sz="6" w:space="0" w:color="auto"/>
                        </w:tcBorders>
                      </w:tcPr>
                      <w:p>
                        <w:pPr/>
                      </w:p>
                    </w:tc>
                    <w:tc>
                      <w:tcPr>
                        <w:tcW w:w="845"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8" w:space="0" w:color="000000"/>
                          <w:right w:val="nil" w:sz="6" w:space="0" w:color="auto"/>
                        </w:tcBorders>
                      </w:tcPr>
                      <w:p>
                        <w:pPr/>
                      </w:p>
                    </w:tc>
                  </w:tr>
                  <w:tr>
                    <w:trPr>
                      <w:trHeight w:val="317"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99" w:right="0"/>
                          <w:jc w:val="left"/>
                          <w:rPr>
                            <w:rFonts w:ascii="宋体" w:hAnsi="宋体" w:cs="宋体" w:eastAsia="宋体" w:hint="default"/>
                            <w:sz w:val="18"/>
                            <w:szCs w:val="18"/>
                          </w:rPr>
                        </w:pPr>
                        <w:r>
                          <w:rPr>
                            <w:rFonts w:ascii="宋体"/>
                            <w:sz w:val="18"/>
                          </w:rPr>
                          <w:t>9,041,689.07</w:t>
                        </w:r>
                      </w:p>
                    </w:tc>
                    <w:tc>
                      <w:tcPr>
                        <w:tcW w:w="845"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15" w:right="0"/>
                          <w:jc w:val="left"/>
                          <w:rPr>
                            <w:rFonts w:ascii="宋体" w:hAnsi="宋体" w:cs="宋体" w:eastAsia="宋体" w:hint="default"/>
                            <w:sz w:val="18"/>
                            <w:szCs w:val="18"/>
                          </w:rPr>
                        </w:pPr>
                        <w:r>
                          <w:rPr>
                            <w:rFonts w:ascii="宋体"/>
                            <w:sz w:val="18"/>
                          </w:rPr>
                          <w:t>1,024,428.28</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15" w:right="0"/>
                          <w:jc w:val="left"/>
                          <w:rPr>
                            <w:rFonts w:ascii="宋体" w:hAnsi="宋体" w:cs="宋体" w:eastAsia="宋体" w:hint="default"/>
                            <w:sz w:val="18"/>
                            <w:szCs w:val="18"/>
                          </w:rPr>
                        </w:pPr>
                        <w:r>
                          <w:rPr>
                            <w:rFonts w:ascii="宋体"/>
                            <w:sz w:val="18"/>
                          </w:rPr>
                          <w:t>11.33%</w:t>
                        </w:r>
                      </w:p>
                    </w:tc>
                  </w:tr>
                  <w:tr>
                    <w:trPr>
                      <w:trHeight w:val="607" w:hRule="exact"/>
                    </w:trPr>
                    <w:tc>
                      <w:tcPr>
                        <w:tcW w:w="912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259"/>
                          <w:jc w:val="right"/>
                          <w:rPr>
                            <w:rFonts w:ascii="宋体" w:hAnsi="宋体" w:cs="宋体" w:eastAsia="宋体" w:hint="default"/>
                            <w:sz w:val="18"/>
                            <w:szCs w:val="18"/>
                          </w:rPr>
                        </w:pPr>
                        <w:r>
                          <w:rPr>
                            <w:rFonts w:ascii="宋体" w:hAnsi="宋体" w:cs="宋体" w:eastAsia="宋体" w:hint="default"/>
                            <w:sz w:val="18"/>
                            <w:szCs w:val="18"/>
                          </w:rPr>
                          <w:t>年初数</w:t>
                        </w:r>
                      </w:p>
                    </w:tc>
                  </w:tr>
                  <w:tr>
                    <w:trPr>
                      <w:trHeight w:val="305" w:hRule="exact"/>
                    </w:trPr>
                    <w:tc>
                      <w:tcPr>
                        <w:tcW w:w="382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45" w:type="dxa"/>
                        <w:tcBorders>
                          <w:top w:val="single" w:sz="8" w:space="0" w:color="000000"/>
                          <w:left w:val="nil" w:sz="6" w:space="0" w:color="auto"/>
                          <w:bottom w:val="single" w:sz="8" w:space="0" w:color="000000"/>
                          <w:right w:val="nil" w:sz="6" w:space="0" w:color="auto"/>
                        </w:tcBorders>
                      </w:tcPr>
                      <w:p>
                        <w:pPr/>
                      </w:p>
                    </w:tc>
                    <w:tc>
                      <w:tcPr>
                        <w:tcW w:w="238"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816"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8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63" w:type="dxa"/>
                        <w:tcBorders>
                          <w:top w:val="single" w:sz="8" w:space="0" w:color="000000"/>
                          <w:left w:val="nil" w:sz="6" w:space="0" w:color="auto"/>
                          <w:bottom w:val="single" w:sz="8" w:space="0" w:color="000000"/>
                          <w:right w:val="nil" w:sz="6" w:space="0" w:color="auto"/>
                        </w:tcBorders>
                      </w:tcPr>
                      <w:p>
                        <w:pPr/>
                      </w:p>
                    </w:tc>
                  </w:tr>
                  <w:tr>
                    <w:trPr>
                      <w:trHeight w:val="307" w:hRule="exact"/>
                    </w:trPr>
                    <w:tc>
                      <w:tcPr>
                        <w:tcW w:w="3824"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5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1" w:type="dxa"/>
                        <w:tcBorders>
                          <w:top w:val="single" w:sz="8" w:space="0" w:color="000000"/>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18" w:hRule="exact"/>
                    </w:trPr>
                    <w:tc>
                      <w:tcPr>
                        <w:tcW w:w="382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302" w:right="0"/>
                          <w:jc w:val="left"/>
                          <w:rPr>
                            <w:rFonts w:ascii="宋体" w:hAnsi="宋体" w:cs="宋体" w:eastAsia="宋体" w:hint="default"/>
                            <w:sz w:val="18"/>
                            <w:szCs w:val="18"/>
                          </w:rPr>
                        </w:pPr>
                        <w:r>
                          <w:rPr>
                            <w:rFonts w:ascii="宋体"/>
                            <w:sz w:val="18"/>
                          </w:rPr>
                          <w:t>1,682,540.00</w:t>
                        </w:r>
                      </w:p>
                    </w:tc>
                    <w:tc>
                      <w:tcPr>
                        <w:tcW w:w="845"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17.29%</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841,270.00</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50.00%</w:t>
                        </w:r>
                      </w:p>
                    </w:tc>
                  </w:tr>
                  <w:tr>
                    <w:trPr>
                      <w:trHeight w:val="286"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按账龄分析计提坏账准备的其他应收款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33" w:lineRule="exact"/>
                          <w:ind w:left="302" w:right="0"/>
                          <w:jc w:val="left"/>
                          <w:rPr>
                            <w:rFonts w:ascii="宋体" w:hAnsi="宋体" w:cs="宋体" w:eastAsia="宋体" w:hint="default"/>
                            <w:sz w:val="18"/>
                            <w:szCs w:val="18"/>
                          </w:rPr>
                        </w:pPr>
                        <w:r>
                          <w:rPr>
                            <w:rFonts w:ascii="宋体"/>
                            <w:sz w:val="18"/>
                          </w:rPr>
                          <w:t>8,051,084.32</w:t>
                        </w:r>
                      </w:p>
                    </w:tc>
                    <w:tc>
                      <w:tcPr>
                        <w:tcW w:w="845" w:type="dxa"/>
                        <w:tcBorders>
                          <w:top w:val="nil" w:sz="6" w:space="0" w:color="auto"/>
                          <w:left w:val="nil" w:sz="6" w:space="0" w:color="auto"/>
                          <w:bottom w:val="nil" w:sz="6" w:space="0" w:color="auto"/>
                          <w:right w:val="nil" w:sz="6" w:space="0" w:color="auto"/>
                        </w:tcBorders>
                      </w:tcPr>
                      <w:p>
                        <w:pPr>
                          <w:pStyle w:val="TableParagraph"/>
                          <w:spacing w:line="233" w:lineRule="exact"/>
                          <w:ind w:right="1"/>
                          <w:jc w:val="right"/>
                          <w:rPr>
                            <w:rFonts w:ascii="宋体" w:hAnsi="宋体" w:cs="宋体" w:eastAsia="宋体" w:hint="default"/>
                            <w:sz w:val="18"/>
                            <w:szCs w:val="18"/>
                          </w:rPr>
                        </w:pPr>
                        <w:r>
                          <w:rPr>
                            <w:rFonts w:ascii="宋体"/>
                            <w:spacing w:val="-1"/>
                            <w:sz w:val="18"/>
                          </w:rPr>
                          <w:t>82.71%</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right"/>
                          <w:rPr>
                            <w:rFonts w:ascii="宋体" w:hAnsi="宋体" w:cs="宋体" w:eastAsia="宋体" w:hint="default"/>
                            <w:sz w:val="18"/>
                            <w:szCs w:val="18"/>
                          </w:rPr>
                        </w:pPr>
                        <w:r>
                          <w:rPr>
                            <w:rFonts w:ascii="宋体"/>
                            <w:spacing w:val="-1"/>
                            <w:sz w:val="18"/>
                          </w:rPr>
                          <w:t>627,014.20</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33" w:lineRule="exact"/>
                          <w:ind w:right="1"/>
                          <w:jc w:val="right"/>
                          <w:rPr>
                            <w:rFonts w:ascii="宋体" w:hAnsi="宋体" w:cs="宋体" w:eastAsia="宋体" w:hint="default"/>
                            <w:sz w:val="18"/>
                            <w:szCs w:val="18"/>
                          </w:rPr>
                        </w:pPr>
                        <w:r>
                          <w:rPr>
                            <w:rFonts w:ascii="宋体"/>
                            <w:sz w:val="18"/>
                          </w:rPr>
                          <w:t>7.79%</w:t>
                        </w:r>
                      </w:p>
                    </w:tc>
                  </w:tr>
                  <w:tr>
                    <w:trPr>
                      <w:trHeight w:val="270"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单项金额不重大单项计提坏账准备的其他应收款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8" w:space="0" w:color="000000"/>
                          <w:right w:val="nil" w:sz="6" w:space="0" w:color="auto"/>
                        </w:tcBorders>
                      </w:tcPr>
                      <w:p>
                        <w:pPr/>
                      </w:p>
                    </w:tc>
                    <w:tc>
                      <w:tcPr>
                        <w:tcW w:w="845"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8" w:space="0" w:color="000000"/>
                          <w:right w:val="nil" w:sz="6" w:space="0" w:color="auto"/>
                        </w:tcBorders>
                      </w:tcPr>
                      <w:p>
                        <w:pPr/>
                      </w:p>
                    </w:tc>
                  </w:tr>
                  <w:tr>
                    <w:trPr>
                      <w:trHeight w:val="319"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632"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302" w:right="0"/>
                          <w:jc w:val="left"/>
                          <w:rPr>
                            <w:rFonts w:ascii="宋体" w:hAnsi="宋体" w:cs="宋体" w:eastAsia="宋体" w:hint="default"/>
                            <w:sz w:val="18"/>
                            <w:szCs w:val="18"/>
                          </w:rPr>
                        </w:pPr>
                        <w:r>
                          <w:rPr>
                            <w:rFonts w:ascii="宋体"/>
                            <w:sz w:val="18"/>
                          </w:rPr>
                          <w:t>9,733,624.32</w:t>
                        </w:r>
                      </w:p>
                    </w:tc>
                    <w:tc>
                      <w:tcPr>
                        <w:tcW w:w="845"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1,468,284.20</w:t>
                        </w:r>
                      </w:p>
                    </w:tc>
                    <w:tc>
                      <w:tcPr>
                        <w:tcW w:w="281" w:type="dxa"/>
                        <w:tcBorders>
                          <w:top w:val="nil" w:sz="6" w:space="0" w:color="auto"/>
                          <w:left w:val="nil" w:sz="6" w:space="0" w:color="auto"/>
                          <w:bottom w:val="nil" w:sz="6" w:space="0" w:color="auto"/>
                          <w:right w:val="nil" w:sz="6" w:space="0" w:color="auto"/>
                        </w:tcBorders>
                      </w:tcPr>
                      <w:p>
                        <w:pPr/>
                      </w:p>
                    </w:tc>
                    <w:tc>
                      <w:tcPr>
                        <w:tcW w:w="76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15.08%</w:t>
                        </w:r>
                      </w:p>
                    </w:tc>
                  </w:tr>
                </w:tbl>
                <w:p>
                  <w:pPr/>
                </w:p>
              </w:txbxContent>
            </v:textbox>
            <w10:wrap type="none"/>
          </v:shape>
        </w:pict>
      </w:r>
      <w:r>
        <w:rPr>
          <w:rFonts w:ascii="宋体" w:hAnsi="宋体" w:cs="宋体" w:eastAsia="宋体" w:hint="default"/>
          <w:sz w:val="18"/>
          <w:szCs w:val="18"/>
        </w:rPr>
        <w:t>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2168" w:firstLine="0"/>
        <w:jc w:val="right"/>
        <w:rPr>
          <w:rFonts w:ascii="宋体" w:hAnsi="宋体" w:cs="宋体" w:eastAsia="宋体" w:hint="default"/>
          <w:sz w:val="18"/>
          <w:szCs w:val="18"/>
        </w:rPr>
      </w:pPr>
      <w:r>
        <w:rPr>
          <w:rFonts w:ascii="宋体" w:hAnsi="宋体" w:cs="宋体" w:eastAsia="宋体" w:hint="default"/>
          <w:sz w:val="18"/>
          <w:szCs w:val="18"/>
        </w:rPr>
        <w:t>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640" w:right="1206"/>
        <w:jc w:val="left"/>
      </w:pPr>
      <w:r>
        <w:rPr/>
        <w:t>⑵ 其他应收款按账龄列示</w:t>
      </w:r>
    </w:p>
    <w:p>
      <w:pPr>
        <w:spacing w:line="240" w:lineRule="auto" w:before="12"/>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992"/>
        <w:gridCol w:w="260"/>
        <w:gridCol w:w="1925"/>
        <w:gridCol w:w="161"/>
        <w:gridCol w:w="1128"/>
        <w:gridCol w:w="252"/>
        <w:gridCol w:w="1887"/>
        <w:gridCol w:w="216"/>
        <w:gridCol w:w="1123"/>
      </w:tblGrid>
      <w:tr>
        <w:trPr>
          <w:trHeight w:val="251" w:hRule="exact"/>
        </w:trPr>
        <w:tc>
          <w:tcPr>
            <w:tcW w:w="1992" w:type="dxa"/>
            <w:vMerge w:val="restart"/>
            <w:tcBorders>
              <w:top w:val="nil" w:sz="6" w:space="0" w:color="auto"/>
              <w:left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 w:type="dxa"/>
            <w:vMerge w:val="restart"/>
            <w:tcBorders>
              <w:top w:val="nil" w:sz="6" w:space="0" w:color="auto"/>
              <w:left w:val="nil" w:sz="6" w:space="0" w:color="auto"/>
              <w:right w:val="nil" w:sz="6" w:space="0" w:color="auto"/>
            </w:tcBorders>
          </w:tcPr>
          <w:p>
            <w:pPr/>
          </w:p>
        </w:tc>
        <w:tc>
          <w:tcPr>
            <w:tcW w:w="1925"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z w:val="21"/>
                <w:szCs w:val="21"/>
              </w:rPr>
              <w:t>年末数</w:t>
            </w:r>
          </w:p>
        </w:tc>
        <w:tc>
          <w:tcPr>
            <w:tcW w:w="161" w:type="dxa"/>
            <w:tcBorders>
              <w:top w:val="nil" w:sz="6" w:space="0" w:color="auto"/>
              <w:left w:val="nil" w:sz="6" w:space="0" w:color="auto"/>
              <w:bottom w:val="single" w:sz="8" w:space="0" w:color="000000"/>
              <w:right w:val="nil" w:sz="6" w:space="0" w:color="auto"/>
            </w:tcBorders>
          </w:tcPr>
          <w:p>
            <w:pPr/>
          </w:p>
        </w:tc>
        <w:tc>
          <w:tcPr>
            <w:tcW w:w="1128" w:type="dxa"/>
            <w:tcBorders>
              <w:top w:val="nil" w:sz="6" w:space="0" w:color="auto"/>
              <w:left w:val="nil" w:sz="6" w:space="0" w:color="auto"/>
              <w:bottom w:val="single" w:sz="8" w:space="0" w:color="000000"/>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887" w:type="dxa"/>
            <w:tcBorders>
              <w:top w:val="nil" w:sz="6" w:space="0" w:color="auto"/>
              <w:left w:val="nil" w:sz="6" w:space="0" w:color="auto"/>
              <w:bottom w:val="single" w:sz="8" w:space="0" w:color="000000"/>
              <w:right w:val="nil" w:sz="6" w:space="0" w:color="auto"/>
            </w:tcBorders>
          </w:tcPr>
          <w:p>
            <w:pPr>
              <w:pStyle w:val="TableParagraph"/>
              <w:spacing w:line="211" w:lineRule="exact"/>
              <w:ind w:right="161"/>
              <w:jc w:val="right"/>
              <w:rPr>
                <w:rFonts w:ascii="宋体" w:hAnsi="宋体" w:cs="宋体" w:eastAsia="宋体" w:hint="default"/>
                <w:sz w:val="21"/>
                <w:szCs w:val="21"/>
              </w:rPr>
            </w:pPr>
            <w:r>
              <w:rPr>
                <w:rFonts w:ascii="宋体" w:hAnsi="宋体" w:cs="宋体" w:eastAsia="宋体" w:hint="default"/>
                <w:sz w:val="21"/>
                <w:szCs w:val="21"/>
              </w:rPr>
              <w:t>年初</w:t>
            </w:r>
          </w:p>
        </w:tc>
        <w:tc>
          <w:tcPr>
            <w:tcW w:w="216" w:type="dxa"/>
            <w:tcBorders>
              <w:top w:val="nil" w:sz="6" w:space="0" w:color="auto"/>
              <w:left w:val="nil" w:sz="6" w:space="0" w:color="auto"/>
              <w:bottom w:val="single" w:sz="8" w:space="0" w:color="000000"/>
              <w:right w:val="nil" w:sz="6" w:space="0" w:color="auto"/>
            </w:tcBorders>
          </w:tcPr>
          <w:p>
            <w:pPr>
              <w:pStyle w:val="TableParagraph"/>
              <w:spacing w:line="211" w:lineRule="exact"/>
              <w:ind w:left="-164"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123" w:type="dxa"/>
            <w:tcBorders>
              <w:top w:val="nil" w:sz="6" w:space="0" w:color="auto"/>
              <w:left w:val="nil" w:sz="6" w:space="0" w:color="auto"/>
              <w:bottom w:val="single" w:sz="8" w:space="0" w:color="000000"/>
              <w:right w:val="nil" w:sz="6" w:space="0" w:color="auto"/>
            </w:tcBorders>
          </w:tcPr>
          <w:p>
            <w:pPr/>
          </w:p>
        </w:tc>
      </w:tr>
      <w:tr>
        <w:trPr>
          <w:trHeight w:val="322" w:hRule="exact"/>
        </w:trPr>
        <w:tc>
          <w:tcPr>
            <w:tcW w:w="1992" w:type="dxa"/>
            <w:vMerge/>
            <w:tcBorders>
              <w:left w:val="nil" w:sz="6" w:space="0" w:color="auto"/>
              <w:bottom w:val="single" w:sz="8" w:space="0" w:color="000000"/>
              <w:right w:val="nil" w:sz="6" w:space="0" w:color="auto"/>
            </w:tcBorders>
          </w:tcPr>
          <w:p>
            <w:pPr/>
          </w:p>
        </w:tc>
        <w:tc>
          <w:tcPr>
            <w:tcW w:w="260" w:type="dxa"/>
            <w:vMerge/>
            <w:tcBorders>
              <w:left w:val="nil" w:sz="6" w:space="0" w:color="auto"/>
              <w:bottom w:val="nil" w:sz="6" w:space="0" w:color="auto"/>
              <w:right w:val="nil" w:sz="6" w:space="0" w:color="auto"/>
            </w:tcBorders>
          </w:tcPr>
          <w:p>
            <w:pPr/>
          </w:p>
        </w:tc>
        <w:tc>
          <w:tcPr>
            <w:tcW w:w="1925"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5"/>
              <w:jc w:val="center"/>
              <w:rPr>
                <w:rFonts w:ascii="宋体" w:hAnsi="宋体" w:cs="宋体" w:eastAsia="宋体" w:hint="default"/>
                <w:sz w:val="21"/>
                <w:szCs w:val="21"/>
              </w:rPr>
            </w:pPr>
            <w:r>
              <w:rPr>
                <w:rFonts w:ascii="宋体" w:hAnsi="宋体" w:cs="宋体" w:eastAsia="宋体" w:hint="default"/>
                <w:sz w:val="21"/>
                <w:szCs w:val="21"/>
              </w:rPr>
              <w:t>金额</w:t>
            </w:r>
          </w:p>
        </w:tc>
        <w:tc>
          <w:tcPr>
            <w:tcW w:w="161" w:type="dxa"/>
            <w:tcBorders>
              <w:top w:val="single" w:sz="8" w:space="0" w:color="000000"/>
              <w:left w:val="nil" w:sz="6" w:space="0" w:color="auto"/>
              <w:bottom w:val="nil" w:sz="6" w:space="0" w:color="auto"/>
              <w:right w:val="nil" w:sz="6" w:space="0" w:color="auto"/>
            </w:tcBorders>
          </w:tcPr>
          <w:p>
            <w:pPr/>
          </w:p>
        </w:tc>
        <w:tc>
          <w:tcPr>
            <w:tcW w:w="1128"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52" w:type="dxa"/>
            <w:tcBorders>
              <w:top w:val="nil" w:sz="6" w:space="0" w:color="auto"/>
              <w:left w:val="nil" w:sz="6" w:space="0" w:color="auto"/>
              <w:bottom w:val="nil" w:sz="6" w:space="0" w:color="auto"/>
              <w:right w:val="nil" w:sz="6" w:space="0" w:color="auto"/>
            </w:tcBorders>
          </w:tcPr>
          <w:p>
            <w:pPr/>
          </w:p>
        </w:tc>
        <w:tc>
          <w:tcPr>
            <w:tcW w:w="1887"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6" w:type="dxa"/>
            <w:tcBorders>
              <w:top w:val="single" w:sz="8" w:space="0" w:color="000000"/>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35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00" w:hRule="exact"/>
        </w:trPr>
        <w:tc>
          <w:tcPr>
            <w:tcW w:w="1992" w:type="dxa"/>
            <w:tcBorders>
              <w:top w:val="single" w:sz="8" w:space="0" w:color="000000"/>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0" w:type="dxa"/>
            <w:tcBorders>
              <w:top w:val="nil" w:sz="6" w:space="0" w:color="auto"/>
              <w:left w:val="nil" w:sz="6" w:space="0" w:color="auto"/>
              <w:bottom w:val="nil" w:sz="6" w:space="0" w:color="auto"/>
              <w:right w:val="nil" w:sz="6" w:space="0" w:color="auto"/>
            </w:tcBorders>
          </w:tcPr>
          <w:p>
            <w:pPr/>
          </w:p>
        </w:tc>
        <w:tc>
          <w:tcPr>
            <w:tcW w:w="1925" w:type="dxa"/>
            <w:tcBorders>
              <w:top w:val="single" w:sz="8" w:space="0" w:color="000000"/>
              <w:left w:val="nil" w:sz="6" w:space="0" w:color="auto"/>
              <w:bottom w:val="nil" w:sz="6" w:space="0" w:color="auto"/>
              <w:right w:val="nil" w:sz="6" w:space="0" w:color="auto"/>
            </w:tcBorders>
          </w:tcPr>
          <w:p>
            <w:pPr>
              <w:pStyle w:val="TableParagraph"/>
              <w:spacing w:line="253" w:lineRule="exact"/>
              <w:ind w:left="496" w:right="0"/>
              <w:jc w:val="left"/>
              <w:rPr>
                <w:rFonts w:ascii="宋体" w:hAnsi="宋体" w:cs="宋体" w:eastAsia="宋体" w:hint="default"/>
                <w:sz w:val="21"/>
                <w:szCs w:val="21"/>
              </w:rPr>
            </w:pPr>
            <w:r>
              <w:rPr>
                <w:rFonts w:ascii="宋体"/>
                <w:sz w:val="21"/>
              </w:rPr>
              <w:t>3,719,258.04</w:t>
            </w:r>
          </w:p>
        </w:tc>
        <w:tc>
          <w:tcPr>
            <w:tcW w:w="161" w:type="dxa"/>
            <w:tcBorders>
              <w:top w:val="nil" w:sz="6" w:space="0" w:color="auto"/>
              <w:left w:val="nil" w:sz="6" w:space="0" w:color="auto"/>
              <w:bottom w:val="nil" w:sz="6" w:space="0" w:color="auto"/>
              <w:right w:val="nil" w:sz="6" w:space="0" w:color="auto"/>
            </w:tcBorders>
          </w:tcPr>
          <w:p>
            <w:pPr/>
          </w:p>
        </w:tc>
        <w:tc>
          <w:tcPr>
            <w:tcW w:w="1128"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z w:val="21"/>
              </w:rPr>
              <w:t>41.14%</w:t>
            </w:r>
          </w:p>
        </w:tc>
        <w:tc>
          <w:tcPr>
            <w:tcW w:w="252" w:type="dxa"/>
            <w:tcBorders>
              <w:top w:val="nil" w:sz="6" w:space="0" w:color="auto"/>
              <w:left w:val="nil" w:sz="6" w:space="0" w:color="auto"/>
              <w:bottom w:val="nil" w:sz="6" w:space="0" w:color="auto"/>
              <w:right w:val="nil" w:sz="6" w:space="0" w:color="auto"/>
            </w:tcBorders>
          </w:tcPr>
          <w:p>
            <w:pPr/>
          </w:p>
        </w:tc>
        <w:tc>
          <w:tcPr>
            <w:tcW w:w="1887"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7,451,480.38</w:t>
            </w:r>
          </w:p>
        </w:tc>
        <w:tc>
          <w:tcPr>
            <w:tcW w:w="216" w:type="dxa"/>
            <w:tcBorders>
              <w:top w:val="nil" w:sz="6" w:space="0" w:color="auto"/>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z w:val="21"/>
              </w:rPr>
              <w:t>76.55%</w:t>
            </w:r>
          </w:p>
        </w:tc>
      </w:tr>
      <w:tr>
        <w:trPr>
          <w:trHeight w:val="286" w:hRule="exact"/>
        </w:trPr>
        <w:tc>
          <w:tcPr>
            <w:tcW w:w="1992"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60"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8" w:lineRule="exact"/>
              <w:ind w:left="496" w:right="0"/>
              <w:jc w:val="left"/>
              <w:rPr>
                <w:rFonts w:ascii="宋体" w:hAnsi="宋体" w:cs="宋体" w:eastAsia="宋体" w:hint="default"/>
                <w:sz w:val="21"/>
                <w:szCs w:val="21"/>
              </w:rPr>
            </w:pPr>
            <w:r>
              <w:rPr>
                <w:rFonts w:ascii="宋体"/>
                <w:sz w:val="21"/>
              </w:rPr>
              <w:t>3,349,004.02</w:t>
            </w:r>
          </w:p>
        </w:tc>
        <w:tc>
          <w:tcPr>
            <w:tcW w:w="16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z w:val="21"/>
              </w:rPr>
              <w:t>37.04%</w:t>
            </w:r>
          </w:p>
        </w:tc>
        <w:tc>
          <w:tcPr>
            <w:tcW w:w="252" w:type="dxa"/>
            <w:tcBorders>
              <w:top w:val="nil" w:sz="6" w:space="0" w:color="auto"/>
              <w:left w:val="nil" w:sz="6" w:space="0" w:color="auto"/>
              <w:bottom w:val="nil" w:sz="6" w:space="0" w:color="auto"/>
              <w:right w:val="nil" w:sz="6" w:space="0" w:color="auto"/>
            </w:tcBorders>
          </w:tcPr>
          <w:p>
            <w:pPr/>
          </w:p>
        </w:tc>
        <w:tc>
          <w:tcPr>
            <w:tcW w:w="1887"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1,907,412.00</w:t>
            </w:r>
          </w:p>
        </w:tc>
        <w:tc>
          <w:tcPr>
            <w:tcW w:w="21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z w:val="21"/>
              </w:rPr>
              <w:t>19.60%</w:t>
            </w:r>
          </w:p>
        </w:tc>
      </w:tr>
      <w:tr>
        <w:trPr>
          <w:trHeight w:val="286" w:hRule="exact"/>
        </w:trPr>
        <w:tc>
          <w:tcPr>
            <w:tcW w:w="1992"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60"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8" w:lineRule="exact"/>
              <w:ind w:left="496" w:right="0"/>
              <w:jc w:val="left"/>
              <w:rPr>
                <w:rFonts w:ascii="宋体" w:hAnsi="宋体" w:cs="宋体" w:eastAsia="宋体" w:hint="default"/>
                <w:sz w:val="21"/>
                <w:szCs w:val="21"/>
              </w:rPr>
            </w:pPr>
            <w:r>
              <w:rPr>
                <w:rFonts w:ascii="宋体"/>
                <w:sz w:val="21"/>
              </w:rPr>
              <w:t>1,610,495.07</w:t>
            </w:r>
          </w:p>
        </w:tc>
        <w:tc>
          <w:tcPr>
            <w:tcW w:w="16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z w:val="21"/>
              </w:rPr>
              <w:t>17.81%</w:t>
            </w:r>
          </w:p>
        </w:tc>
        <w:tc>
          <w:tcPr>
            <w:tcW w:w="252" w:type="dxa"/>
            <w:tcBorders>
              <w:top w:val="nil" w:sz="6" w:space="0" w:color="auto"/>
              <w:left w:val="nil" w:sz="6" w:space="0" w:color="auto"/>
              <w:bottom w:val="nil" w:sz="6" w:space="0" w:color="auto"/>
              <w:right w:val="nil" w:sz="6" w:space="0" w:color="auto"/>
            </w:tcBorders>
          </w:tcPr>
          <w:p>
            <w:pPr/>
          </w:p>
        </w:tc>
        <w:tc>
          <w:tcPr>
            <w:tcW w:w="1887" w:type="dxa"/>
            <w:tcBorders>
              <w:top w:val="nil" w:sz="6" w:space="0" w:color="auto"/>
              <w:left w:val="nil" w:sz="6" w:space="0" w:color="auto"/>
              <w:bottom w:val="nil" w:sz="6" w:space="0" w:color="auto"/>
              <w:right w:val="nil" w:sz="6" w:space="0" w:color="auto"/>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131,800.00</w:t>
            </w:r>
          </w:p>
        </w:tc>
        <w:tc>
          <w:tcPr>
            <w:tcW w:w="21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z w:val="21"/>
              </w:rPr>
              <w:t>1.35%</w:t>
            </w:r>
          </w:p>
        </w:tc>
      </w:tr>
      <w:tr>
        <w:trPr>
          <w:trHeight w:val="288" w:hRule="exact"/>
        </w:trPr>
        <w:tc>
          <w:tcPr>
            <w:tcW w:w="1992"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0"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8" w:space="0" w:color="000000"/>
              <w:right w:val="nil" w:sz="6" w:space="0" w:color="auto"/>
            </w:tcBorders>
          </w:tcPr>
          <w:p>
            <w:pPr>
              <w:pStyle w:val="TableParagraph"/>
              <w:spacing w:line="248" w:lineRule="exact"/>
              <w:ind w:left="705" w:right="0"/>
              <w:jc w:val="left"/>
              <w:rPr>
                <w:rFonts w:ascii="宋体" w:hAnsi="宋体" w:cs="宋体" w:eastAsia="宋体" w:hint="default"/>
                <w:sz w:val="21"/>
                <w:szCs w:val="21"/>
              </w:rPr>
            </w:pPr>
            <w:r>
              <w:rPr>
                <w:rFonts w:ascii="宋体"/>
                <w:sz w:val="21"/>
              </w:rPr>
              <w:t>362,931.94</w:t>
            </w:r>
          </w:p>
        </w:tc>
        <w:tc>
          <w:tcPr>
            <w:tcW w:w="16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z w:val="21"/>
              </w:rPr>
              <w:t>4.01%</w:t>
            </w:r>
          </w:p>
        </w:tc>
        <w:tc>
          <w:tcPr>
            <w:tcW w:w="252" w:type="dxa"/>
            <w:tcBorders>
              <w:top w:val="nil" w:sz="6" w:space="0" w:color="auto"/>
              <w:left w:val="nil" w:sz="6" w:space="0" w:color="auto"/>
              <w:bottom w:val="nil" w:sz="6" w:space="0" w:color="auto"/>
              <w:right w:val="nil" w:sz="6" w:space="0" w:color="auto"/>
            </w:tcBorders>
          </w:tcPr>
          <w:p>
            <w:pPr/>
          </w:p>
        </w:tc>
        <w:tc>
          <w:tcPr>
            <w:tcW w:w="1887" w:type="dxa"/>
            <w:tcBorders>
              <w:top w:val="nil" w:sz="6" w:space="0" w:color="auto"/>
              <w:left w:val="nil" w:sz="6" w:space="0" w:color="auto"/>
              <w:bottom w:val="single" w:sz="8" w:space="0" w:color="000000"/>
              <w:right w:val="nil" w:sz="6" w:space="0" w:color="auto"/>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242,931.94</w:t>
            </w:r>
          </w:p>
        </w:tc>
        <w:tc>
          <w:tcPr>
            <w:tcW w:w="21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z w:val="21"/>
              </w:rPr>
              <w:t>2.50%</w:t>
            </w:r>
          </w:p>
        </w:tc>
      </w:tr>
      <w:tr>
        <w:trPr>
          <w:trHeight w:val="334" w:hRule="exact"/>
        </w:trPr>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 w:type="dxa"/>
            <w:tcBorders>
              <w:top w:val="nil" w:sz="6" w:space="0" w:color="auto"/>
              <w:left w:val="nil" w:sz="6" w:space="0" w:color="auto"/>
              <w:bottom w:val="nil" w:sz="6" w:space="0" w:color="auto"/>
              <w:right w:val="nil" w:sz="6" w:space="0" w:color="auto"/>
            </w:tcBorders>
          </w:tcPr>
          <w:p>
            <w:pPr/>
          </w:p>
        </w:tc>
        <w:tc>
          <w:tcPr>
            <w:tcW w:w="1925" w:type="dxa"/>
            <w:tcBorders>
              <w:top w:val="single" w:sz="8" w:space="0" w:color="000000"/>
              <w:left w:val="nil" w:sz="6" w:space="0" w:color="auto"/>
              <w:bottom w:val="single" w:sz="17" w:space="0" w:color="000000"/>
              <w:right w:val="nil" w:sz="6" w:space="0" w:color="auto"/>
            </w:tcBorders>
          </w:tcPr>
          <w:p>
            <w:pPr>
              <w:pStyle w:val="TableParagraph"/>
              <w:spacing w:line="270" w:lineRule="exact"/>
              <w:ind w:left="496" w:right="0"/>
              <w:jc w:val="left"/>
              <w:rPr>
                <w:rFonts w:ascii="宋体" w:hAnsi="宋体" w:cs="宋体" w:eastAsia="宋体" w:hint="default"/>
                <w:sz w:val="21"/>
                <w:szCs w:val="21"/>
              </w:rPr>
            </w:pPr>
            <w:r>
              <w:rPr>
                <w:rFonts w:ascii="宋体"/>
                <w:sz w:val="21"/>
              </w:rPr>
              <w:t>9,041,689.07</w:t>
            </w:r>
          </w:p>
        </w:tc>
        <w:tc>
          <w:tcPr>
            <w:tcW w:w="161" w:type="dxa"/>
            <w:tcBorders>
              <w:top w:val="nil" w:sz="6" w:space="0" w:color="auto"/>
              <w:left w:val="nil" w:sz="6" w:space="0" w:color="auto"/>
              <w:bottom w:val="nil" w:sz="6" w:space="0" w:color="auto"/>
              <w:right w:val="nil" w:sz="6" w:space="0" w:color="auto"/>
            </w:tcBorders>
          </w:tcPr>
          <w:p>
            <w:pPr/>
          </w:p>
        </w:tc>
        <w:tc>
          <w:tcPr>
            <w:tcW w:w="1128" w:type="dxa"/>
            <w:tcBorders>
              <w:top w:val="single" w:sz="8" w:space="0" w:color="000000"/>
              <w:left w:val="nil" w:sz="6" w:space="0" w:color="auto"/>
              <w:bottom w:val="single" w:sz="17" w:space="0" w:color="000000"/>
              <w:right w:val="nil" w:sz="6" w:space="0" w:color="auto"/>
            </w:tcBorders>
          </w:tcPr>
          <w:p>
            <w:pPr>
              <w:pStyle w:val="TableParagraph"/>
              <w:spacing w:line="270" w:lineRule="exact"/>
              <w:ind w:right="104"/>
              <w:jc w:val="right"/>
              <w:rPr>
                <w:rFonts w:ascii="宋体" w:hAnsi="宋体" w:cs="宋体" w:eastAsia="宋体" w:hint="default"/>
                <w:sz w:val="21"/>
                <w:szCs w:val="21"/>
              </w:rPr>
            </w:pPr>
            <w:r>
              <w:rPr>
                <w:rFonts w:ascii="宋体"/>
                <w:spacing w:val="-1"/>
                <w:sz w:val="21"/>
              </w:rPr>
              <w:t>100.00%</w:t>
            </w:r>
          </w:p>
        </w:tc>
        <w:tc>
          <w:tcPr>
            <w:tcW w:w="252" w:type="dxa"/>
            <w:tcBorders>
              <w:top w:val="nil" w:sz="6" w:space="0" w:color="auto"/>
              <w:left w:val="nil" w:sz="6" w:space="0" w:color="auto"/>
              <w:bottom w:val="nil" w:sz="6" w:space="0" w:color="auto"/>
              <w:right w:val="nil" w:sz="6" w:space="0" w:color="auto"/>
            </w:tcBorders>
          </w:tcPr>
          <w:p>
            <w:pPr/>
          </w:p>
        </w:tc>
        <w:tc>
          <w:tcPr>
            <w:tcW w:w="1887" w:type="dxa"/>
            <w:tcBorders>
              <w:top w:val="single" w:sz="8" w:space="0" w:color="000000"/>
              <w:left w:val="nil" w:sz="6" w:space="0" w:color="auto"/>
              <w:bottom w:val="single" w:sz="17"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9,733,624.32</w:t>
            </w:r>
          </w:p>
        </w:tc>
        <w:tc>
          <w:tcPr>
            <w:tcW w:w="216" w:type="dxa"/>
            <w:tcBorders>
              <w:top w:val="nil" w:sz="6" w:space="0" w:color="auto"/>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single" w:sz="17"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100.00%</w:t>
            </w:r>
          </w:p>
        </w:tc>
      </w:tr>
    </w:tbl>
    <w:p>
      <w:pPr>
        <w:spacing w:after="0" w:line="270" w:lineRule="exact"/>
        <w:jc w:val="right"/>
        <w:rPr>
          <w:rFonts w:ascii="宋体" w:hAnsi="宋体" w:cs="宋体" w:eastAsia="宋体" w:hint="default"/>
          <w:sz w:val="21"/>
          <w:szCs w:val="21"/>
        </w:rPr>
        <w:sectPr>
          <w:pgSz w:w="11910" w:h="16840"/>
          <w:pgMar w:header="731" w:footer="956" w:top="1100" w:bottom="1140" w:left="1460" w:right="0"/>
        </w:sectPr>
      </w:pPr>
    </w:p>
    <w:p>
      <w:pPr>
        <w:spacing w:line="240" w:lineRule="auto" w:before="7"/>
        <w:rPr>
          <w:rFonts w:ascii="宋体" w:hAnsi="宋体" w:cs="宋体" w:eastAsia="宋体" w:hint="default"/>
          <w:sz w:val="25"/>
          <w:szCs w:val="25"/>
        </w:rPr>
      </w:pPr>
    </w:p>
    <w:p>
      <w:pPr>
        <w:pStyle w:val="BodyText"/>
        <w:spacing w:line="247" w:lineRule="auto" w:before="26"/>
        <w:ind w:left="700" w:right="5226"/>
        <w:jc w:val="left"/>
      </w:pPr>
      <w:r>
        <w:rPr/>
        <w:t>⑶ 坏账准备的计提情况 按账龄分析法计提坏账准备的其他应收款：</w:t>
      </w:r>
    </w:p>
    <w:p>
      <w:pPr>
        <w:spacing w:line="240" w:lineRule="auto" w:before="5"/>
        <w:rPr>
          <w:rFonts w:ascii="宋体" w:hAnsi="宋体" w:cs="宋体" w:eastAsia="宋体" w:hint="default"/>
          <w:sz w:val="12"/>
          <w:szCs w:val="12"/>
        </w:rPr>
      </w:pPr>
    </w:p>
    <w:tbl>
      <w:tblPr>
        <w:tblW w:w="0" w:type="auto"/>
        <w:jc w:val="left"/>
        <w:tblInd w:w="206" w:type="dxa"/>
        <w:tblLayout w:type="fixed"/>
        <w:tblCellMar>
          <w:top w:w="0" w:type="dxa"/>
          <w:left w:w="0" w:type="dxa"/>
          <w:bottom w:w="0" w:type="dxa"/>
          <w:right w:w="0" w:type="dxa"/>
        </w:tblCellMar>
        <w:tblLook w:val="01E0"/>
      </w:tblPr>
      <w:tblGrid>
        <w:gridCol w:w="1080"/>
        <w:gridCol w:w="235"/>
        <w:gridCol w:w="1388"/>
        <w:gridCol w:w="214"/>
        <w:gridCol w:w="854"/>
        <w:gridCol w:w="228"/>
        <w:gridCol w:w="1304"/>
        <w:gridCol w:w="274"/>
        <w:gridCol w:w="1303"/>
        <w:gridCol w:w="214"/>
        <w:gridCol w:w="855"/>
        <w:gridCol w:w="214"/>
        <w:gridCol w:w="1123"/>
      </w:tblGrid>
      <w:tr>
        <w:trPr>
          <w:trHeight w:val="217" w:hRule="exact"/>
        </w:trPr>
        <w:tc>
          <w:tcPr>
            <w:tcW w:w="10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8" w:space="0" w:color="000000"/>
              <w:right w:val="nil" w:sz="6" w:space="0" w:color="auto"/>
            </w:tcBorders>
          </w:tcPr>
          <w:p>
            <w:pPr/>
          </w:p>
        </w:tc>
        <w:tc>
          <w:tcPr>
            <w:tcW w:w="214" w:type="dxa"/>
            <w:tcBorders>
              <w:top w:val="nil" w:sz="6" w:space="0" w:color="auto"/>
              <w:left w:val="nil" w:sz="6" w:space="0" w:color="auto"/>
              <w:bottom w:val="single" w:sz="8" w:space="0" w:color="000000"/>
              <w:right w:val="nil" w:sz="6" w:space="0" w:color="auto"/>
            </w:tcBorders>
          </w:tcPr>
          <w:p>
            <w:pPr/>
          </w:p>
        </w:tc>
        <w:tc>
          <w:tcPr>
            <w:tcW w:w="854" w:type="dxa"/>
            <w:tcBorders>
              <w:top w:val="nil" w:sz="6" w:space="0" w:color="auto"/>
              <w:left w:val="nil" w:sz="6" w:space="0" w:color="auto"/>
              <w:bottom w:val="single" w:sz="8" w:space="0" w:color="000000"/>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228" w:type="dxa"/>
            <w:tcBorders>
              <w:top w:val="nil" w:sz="6" w:space="0" w:color="auto"/>
              <w:left w:val="nil" w:sz="6" w:space="0" w:color="auto"/>
              <w:bottom w:val="single" w:sz="8" w:space="0" w:color="000000"/>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8" w:space="0" w:color="000000"/>
              <w:right w:val="nil" w:sz="6" w:space="0" w:color="auto"/>
            </w:tcBorders>
          </w:tcPr>
          <w:p>
            <w:pPr/>
          </w:p>
        </w:tc>
        <w:tc>
          <w:tcPr>
            <w:tcW w:w="214" w:type="dxa"/>
            <w:tcBorders>
              <w:top w:val="nil" w:sz="6" w:space="0" w:color="auto"/>
              <w:left w:val="nil" w:sz="6" w:space="0" w:color="auto"/>
              <w:bottom w:val="single" w:sz="8" w:space="0" w:color="000000"/>
              <w:right w:val="nil" w:sz="6" w:space="0" w:color="auto"/>
            </w:tcBorders>
          </w:tcPr>
          <w:p>
            <w:pPr/>
          </w:p>
        </w:tc>
        <w:tc>
          <w:tcPr>
            <w:tcW w:w="855" w:type="dxa"/>
            <w:tcBorders>
              <w:top w:val="nil" w:sz="6" w:space="0" w:color="auto"/>
              <w:left w:val="nil" w:sz="6" w:space="0" w:color="auto"/>
              <w:bottom w:val="single" w:sz="8" w:space="0" w:color="000000"/>
              <w:right w:val="nil" w:sz="6" w:space="0" w:color="auto"/>
            </w:tcBorders>
          </w:tcPr>
          <w:p>
            <w:pPr>
              <w:pStyle w:val="TableParagraph"/>
              <w:spacing w:line="180" w:lineRule="exact"/>
              <w:ind w:left="7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14" w:type="dxa"/>
            <w:tcBorders>
              <w:top w:val="nil" w:sz="6" w:space="0" w:color="auto"/>
              <w:left w:val="nil" w:sz="6" w:space="0" w:color="auto"/>
              <w:bottom w:val="single" w:sz="8" w:space="0" w:color="000000"/>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
        </w:tc>
      </w:tr>
      <w:tr>
        <w:trPr>
          <w:trHeight w:val="360" w:hRule="exact"/>
        </w:trPr>
        <w:tc>
          <w:tcPr>
            <w:tcW w:w="10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56" w:type="dxa"/>
            <w:gridSpan w:val="3"/>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8" w:type="dxa"/>
            <w:tcBorders>
              <w:top w:val="single" w:sz="8" w:space="0" w:color="000000"/>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
        </w:tc>
        <w:tc>
          <w:tcPr>
            <w:tcW w:w="264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7"/>
              <w:ind w:left="11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4" w:type="dxa"/>
            <w:tcBorders>
              <w:top w:val="single" w:sz="8" w:space="0" w:color="000000"/>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nil" w:sz="6" w:space="0" w:color="auto"/>
              <w:right w:val="nil" w:sz="6" w:space="0" w:color="auto"/>
            </w:tcBorders>
          </w:tcPr>
          <w:p>
            <w:pPr/>
          </w:p>
        </w:tc>
      </w:tr>
      <w:tr>
        <w:trPr>
          <w:trHeight w:val="360" w:hRule="exact"/>
        </w:trPr>
        <w:tc>
          <w:tcPr>
            <w:tcW w:w="1080"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账龄</w:t>
            </w:r>
          </w:p>
        </w:tc>
        <w:tc>
          <w:tcPr>
            <w:tcW w:w="235" w:type="dxa"/>
            <w:tcBorders>
              <w:top w:val="nil" w:sz="6" w:space="0" w:color="auto"/>
              <w:left w:val="nil" w:sz="6" w:space="0" w:color="auto"/>
              <w:bottom w:val="nil" w:sz="6" w:space="0" w:color="auto"/>
              <w:right w:val="nil" w:sz="6" w:space="0" w:color="auto"/>
            </w:tcBorders>
          </w:tcPr>
          <w:p>
            <w:pPr/>
          </w:p>
        </w:tc>
        <w:tc>
          <w:tcPr>
            <w:tcW w:w="1388"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4" w:type="dxa"/>
            <w:tcBorders>
              <w:top w:val="single" w:sz="8" w:space="0" w:color="000000"/>
              <w:left w:val="nil" w:sz="6" w:space="0" w:color="auto"/>
              <w:bottom w:val="nil" w:sz="6" w:space="0" w:color="auto"/>
              <w:right w:val="nil" w:sz="6" w:space="0" w:color="auto"/>
            </w:tcBorders>
          </w:tcPr>
          <w:p>
            <w:pPr/>
          </w:p>
        </w:tc>
        <w:tc>
          <w:tcPr>
            <w:tcW w:w="854"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4" w:type="dxa"/>
            <w:tcBorders>
              <w:top w:val="single" w:sz="8" w:space="0" w:color="000000"/>
              <w:left w:val="nil" w:sz="6" w:space="0" w:color="auto"/>
              <w:bottom w:val="nil" w:sz="6" w:space="0" w:color="auto"/>
              <w:right w:val="nil" w:sz="6" w:space="0" w:color="auto"/>
            </w:tcBorders>
          </w:tcPr>
          <w:p>
            <w:pPr/>
          </w:p>
        </w:tc>
        <w:tc>
          <w:tcPr>
            <w:tcW w:w="855"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left="25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2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38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3,719,258.04</w:t>
            </w:r>
          </w:p>
        </w:tc>
        <w:tc>
          <w:tcPr>
            <w:tcW w:w="214" w:type="dxa"/>
            <w:tcBorders>
              <w:top w:val="nil" w:sz="6" w:space="0" w:color="auto"/>
              <w:left w:val="nil" w:sz="6" w:space="0" w:color="auto"/>
              <w:bottom w:val="nil" w:sz="6" w:space="0" w:color="auto"/>
              <w:right w:val="nil" w:sz="6" w:space="0" w:color="auto"/>
            </w:tcBorders>
          </w:tcPr>
          <w:p>
            <w:pPr/>
          </w:p>
        </w:tc>
        <w:tc>
          <w:tcPr>
            <w:tcW w:w="85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41.14%</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185,962.90</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5,768,940.38</w:t>
            </w:r>
          </w:p>
        </w:tc>
        <w:tc>
          <w:tcPr>
            <w:tcW w:w="214" w:type="dxa"/>
            <w:tcBorders>
              <w:top w:val="nil" w:sz="6" w:space="0" w:color="auto"/>
              <w:left w:val="nil" w:sz="6" w:space="0" w:color="auto"/>
              <w:bottom w:val="nil" w:sz="6" w:space="0" w:color="auto"/>
              <w:right w:val="nil" w:sz="6" w:space="0" w:color="auto"/>
            </w:tcBorders>
          </w:tcPr>
          <w:p>
            <w:pPr/>
          </w:p>
        </w:tc>
        <w:tc>
          <w:tcPr>
            <w:tcW w:w="855"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71.65%</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288,447.03</w:t>
            </w:r>
          </w:p>
        </w:tc>
      </w:tr>
      <w:tr>
        <w:trPr>
          <w:trHeight w:val="340"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3,349,004.02</w:t>
            </w:r>
          </w:p>
        </w:tc>
        <w:tc>
          <w:tcPr>
            <w:tcW w:w="214"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37.04%</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spacing w:val="-1"/>
                <w:sz w:val="18"/>
              </w:rPr>
              <w:t>334,900.40</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1,907,412.00</w:t>
            </w:r>
          </w:p>
        </w:tc>
        <w:tc>
          <w:tcPr>
            <w:tcW w:w="214"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23.69%</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190,741.20</w:t>
            </w:r>
          </w:p>
        </w:tc>
      </w:tr>
      <w:tr>
        <w:trPr>
          <w:trHeight w:val="341"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1,610,495.07</w:t>
            </w:r>
          </w:p>
        </w:tc>
        <w:tc>
          <w:tcPr>
            <w:tcW w:w="214"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17.81%</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322,099.01</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131,800.00</w:t>
            </w:r>
          </w:p>
        </w:tc>
        <w:tc>
          <w:tcPr>
            <w:tcW w:w="214"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1.64%</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26,360.00</w:t>
            </w:r>
          </w:p>
        </w:tc>
      </w:tr>
      <w:tr>
        <w:trPr>
          <w:trHeight w:val="297"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5"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362,931.94</w:t>
            </w:r>
          </w:p>
        </w:tc>
        <w:tc>
          <w:tcPr>
            <w:tcW w:w="214"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4.01%</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181,465.97</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242,931.94</w:t>
            </w:r>
          </w:p>
        </w:tc>
        <w:tc>
          <w:tcPr>
            <w:tcW w:w="214"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3.02%</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121,465.97</w:t>
            </w:r>
          </w:p>
        </w:tc>
      </w:tr>
      <w:tr>
        <w:trPr>
          <w:trHeight w:val="374"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59"/>
              <w:jc w:val="right"/>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388"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9,041,689.07</w:t>
            </w:r>
          </w:p>
        </w:tc>
        <w:tc>
          <w:tcPr>
            <w:tcW w:w="214" w:type="dxa"/>
            <w:tcBorders>
              <w:top w:val="nil" w:sz="6" w:space="0" w:color="auto"/>
              <w:left w:val="nil" w:sz="6" w:space="0" w:color="auto"/>
              <w:bottom w:val="nil" w:sz="6" w:space="0" w:color="auto"/>
              <w:right w:val="nil" w:sz="6" w:space="0" w:color="auto"/>
            </w:tcBorders>
          </w:tcPr>
          <w:p>
            <w:pPr/>
          </w:p>
        </w:tc>
        <w:tc>
          <w:tcPr>
            <w:tcW w:w="85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115" w:right="0"/>
              <w:jc w:val="left"/>
              <w:rPr>
                <w:rFonts w:ascii="宋体" w:hAnsi="宋体" w:cs="宋体" w:eastAsia="宋体" w:hint="default"/>
                <w:sz w:val="18"/>
                <w:szCs w:val="18"/>
              </w:rPr>
            </w:pPr>
            <w:r>
              <w:rPr>
                <w:rFonts w:ascii="宋体"/>
                <w:sz w:val="18"/>
              </w:rPr>
              <w:t>100.00%</w:t>
            </w:r>
          </w:p>
        </w:tc>
        <w:tc>
          <w:tcPr>
            <w:tcW w:w="228" w:type="dxa"/>
            <w:tcBorders>
              <w:top w:val="nil" w:sz="6" w:space="0" w:color="auto"/>
              <w:left w:val="nil" w:sz="6" w:space="0" w:color="auto"/>
              <w:bottom w:val="nil" w:sz="6" w:space="0" w:color="auto"/>
              <w:right w:val="nil" w:sz="6" w:space="0" w:color="auto"/>
            </w:tcBorders>
          </w:tcPr>
          <w:p>
            <w:pPr/>
          </w:p>
        </w:tc>
        <w:tc>
          <w:tcPr>
            <w:tcW w:w="1304"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1,024,428.28</w:t>
            </w:r>
          </w:p>
        </w:tc>
        <w:tc>
          <w:tcPr>
            <w:tcW w:w="274"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8,051,084.32</w:t>
            </w:r>
          </w:p>
        </w:tc>
        <w:tc>
          <w:tcPr>
            <w:tcW w:w="214" w:type="dxa"/>
            <w:tcBorders>
              <w:top w:val="nil" w:sz="6" w:space="0" w:color="auto"/>
              <w:left w:val="nil" w:sz="6" w:space="0" w:color="auto"/>
              <w:bottom w:val="nil" w:sz="6" w:space="0" w:color="auto"/>
              <w:right w:val="nil" w:sz="6" w:space="0" w:color="auto"/>
            </w:tcBorders>
          </w:tcPr>
          <w:p>
            <w:pPr/>
          </w:p>
        </w:tc>
        <w:tc>
          <w:tcPr>
            <w:tcW w:w="855"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left="115" w:right="0"/>
              <w:jc w:val="left"/>
              <w:rPr>
                <w:rFonts w:ascii="宋体" w:hAnsi="宋体" w:cs="宋体" w:eastAsia="宋体" w:hint="default"/>
                <w:sz w:val="18"/>
                <w:szCs w:val="18"/>
              </w:rPr>
            </w:pPr>
            <w:r>
              <w:rPr>
                <w:rFonts w:ascii="宋体"/>
                <w:sz w:val="18"/>
              </w:rPr>
              <w:t>100.00%</w:t>
            </w:r>
          </w:p>
        </w:tc>
        <w:tc>
          <w:tcPr>
            <w:tcW w:w="214" w:type="dxa"/>
            <w:tcBorders>
              <w:top w:val="nil" w:sz="6" w:space="0" w:color="auto"/>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627,014.20</w:t>
            </w:r>
          </w:p>
        </w:tc>
      </w:tr>
    </w:tbl>
    <w:p>
      <w:pPr>
        <w:spacing w:line="240" w:lineRule="auto" w:before="3"/>
        <w:rPr>
          <w:rFonts w:ascii="宋体" w:hAnsi="宋体" w:cs="宋体" w:eastAsia="宋体" w:hint="default"/>
          <w:sz w:val="12"/>
          <w:szCs w:val="12"/>
        </w:rPr>
      </w:pPr>
    </w:p>
    <w:p>
      <w:pPr>
        <w:pStyle w:val="BodyText"/>
        <w:tabs>
          <w:tab w:pos="1180" w:val="left" w:leader="none"/>
        </w:tabs>
        <w:spacing w:line="304" w:lineRule="auto" w:before="26"/>
        <w:ind w:left="206" w:right="1282" w:firstLine="477"/>
        <w:jc w:val="left"/>
      </w:pPr>
      <w:r>
        <w:rPr/>
        <w:t>⑷</w:t>
        <w:tab/>
        <w:t>本报告期其他应收款中无持有公司 </w:t>
      </w:r>
      <w:r>
        <w:rPr>
          <w:rFonts w:ascii="宋体" w:hAnsi="宋体" w:cs="宋体" w:eastAsia="宋体" w:hint="default"/>
        </w:rPr>
        <w:t>5%</w:t>
      </w:r>
      <w:r>
        <w:rPr/>
        <w:t>（含 </w:t>
      </w:r>
      <w:r>
        <w:rPr>
          <w:rFonts w:ascii="宋体" w:hAnsi="宋体" w:cs="宋体" w:eastAsia="宋体" w:hint="default"/>
        </w:rPr>
        <w:t>5%</w:t>
      </w:r>
      <w:r>
        <w:rPr/>
        <w:t>）以上表决权股份的股东单位</w:t>
      </w:r>
      <w:r>
        <w:rPr>
          <w:rFonts w:ascii="宋体" w:hAnsi="宋体" w:cs="宋体" w:eastAsia="宋体" w:hint="default"/>
        </w:rPr>
        <w:t>. </w:t>
      </w:r>
      <w:r>
        <w:rPr/>
        <w:t>款项。</w:t>
      </w:r>
    </w:p>
    <w:p>
      <w:pPr>
        <w:pStyle w:val="BodyText"/>
        <w:spacing w:line="240" w:lineRule="auto" w:before="168"/>
        <w:ind w:left="700" w:right="1276"/>
        <w:jc w:val="left"/>
      </w:pPr>
      <w:r>
        <w:rPr/>
        <w:t>⑸ 其他应收款金额前五名单位情况</w:t>
      </w:r>
    </w:p>
    <w:p>
      <w:pPr>
        <w:spacing w:line="240" w:lineRule="auto" w:before="4"/>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964"/>
        <w:gridCol w:w="425"/>
        <w:gridCol w:w="1512"/>
        <w:gridCol w:w="228"/>
        <w:gridCol w:w="1601"/>
        <w:gridCol w:w="240"/>
        <w:gridCol w:w="1049"/>
        <w:gridCol w:w="233"/>
        <w:gridCol w:w="946"/>
      </w:tblGrid>
      <w:tr>
        <w:trPr>
          <w:trHeight w:val="285" w:hRule="exact"/>
        </w:trPr>
        <w:tc>
          <w:tcPr>
            <w:tcW w:w="2964"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其他应收单位前五名</w:t>
            </w:r>
          </w:p>
        </w:tc>
        <w:tc>
          <w:tcPr>
            <w:tcW w:w="425"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8" w:space="0" w:color="000000"/>
              <w:right w:val="nil" w:sz="6" w:space="0" w:color="auto"/>
            </w:tcBorders>
          </w:tcPr>
          <w:p>
            <w:pPr>
              <w:pStyle w:val="TableParagraph"/>
              <w:spacing w:line="245" w:lineRule="exact"/>
              <w:ind w:left="124" w:right="0"/>
              <w:jc w:val="left"/>
              <w:rPr>
                <w:rFonts w:ascii="宋体" w:hAnsi="宋体" w:cs="宋体" w:eastAsia="宋体" w:hint="default"/>
                <w:sz w:val="21"/>
                <w:szCs w:val="21"/>
              </w:rPr>
            </w:pPr>
            <w:r>
              <w:rPr>
                <w:rFonts w:ascii="宋体" w:hAnsi="宋体" w:cs="宋体" w:eastAsia="宋体" w:hint="default"/>
                <w:sz w:val="21"/>
                <w:szCs w:val="21"/>
              </w:rPr>
              <w:t>与本集团关系</w:t>
            </w:r>
          </w:p>
        </w:tc>
        <w:tc>
          <w:tcPr>
            <w:tcW w:w="22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8" w:space="0" w:color="000000"/>
              <w:right w:val="nil" w:sz="6" w:space="0" w:color="auto"/>
            </w:tcBorders>
          </w:tcPr>
          <w:p>
            <w:pPr>
              <w:pStyle w:val="TableParagraph"/>
              <w:spacing w:line="245"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8" w:space="0" w:color="000000"/>
              <w:right w:val="nil" w:sz="6" w:space="0" w:color="auto"/>
            </w:tcBorders>
          </w:tcPr>
          <w:p>
            <w:pPr>
              <w:pStyle w:val="TableParagraph"/>
              <w:spacing w:line="245" w:lineRule="exact"/>
              <w:ind w:left="312"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8" w:space="0" w:color="000000"/>
              <w:right w:val="nil" w:sz="6" w:space="0" w:color="auto"/>
            </w:tcBorders>
          </w:tcPr>
          <w:p>
            <w:pPr>
              <w:pStyle w:val="TableParagraph"/>
              <w:spacing w:line="245" w:lineRule="exact"/>
              <w:ind w:left="2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67" w:hRule="exact"/>
        </w:trPr>
        <w:tc>
          <w:tcPr>
            <w:tcW w:w="2964"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425" w:type="dxa"/>
            <w:tcBorders>
              <w:top w:val="nil" w:sz="6" w:space="0" w:color="auto"/>
              <w:left w:val="nil" w:sz="6" w:space="0" w:color="auto"/>
              <w:bottom w:val="nil" w:sz="6" w:space="0" w:color="auto"/>
              <w:right w:val="nil" w:sz="6" w:space="0" w:color="auto"/>
            </w:tcBorders>
          </w:tcPr>
          <w:p>
            <w:pPr/>
          </w:p>
        </w:tc>
        <w:tc>
          <w:tcPr>
            <w:tcW w:w="1512"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228" w:type="dxa"/>
            <w:tcBorders>
              <w:top w:val="nil" w:sz="6" w:space="0" w:color="auto"/>
              <w:left w:val="nil" w:sz="6" w:space="0" w:color="auto"/>
              <w:bottom w:val="nil" w:sz="6" w:space="0" w:color="auto"/>
              <w:right w:val="nil" w:sz="6" w:space="0" w:color="auto"/>
            </w:tcBorders>
          </w:tcPr>
          <w:p>
            <w:pPr/>
          </w:p>
        </w:tc>
        <w:tc>
          <w:tcPr>
            <w:tcW w:w="160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1,230,000.00</w:t>
            </w:r>
          </w:p>
        </w:tc>
        <w:tc>
          <w:tcPr>
            <w:tcW w:w="240" w:type="dxa"/>
            <w:tcBorders>
              <w:top w:val="nil" w:sz="6" w:space="0" w:color="auto"/>
              <w:left w:val="nil" w:sz="6" w:space="0" w:color="auto"/>
              <w:bottom w:val="nil" w:sz="6" w:space="0" w:color="auto"/>
              <w:right w:val="nil" w:sz="6" w:space="0" w:color="auto"/>
            </w:tcBorders>
          </w:tcPr>
          <w:p>
            <w:pPr/>
          </w:p>
        </w:tc>
        <w:tc>
          <w:tcPr>
            <w:tcW w:w="104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206" w:right="0"/>
              <w:jc w:val="left"/>
              <w:rPr>
                <w:rFonts w:ascii="宋体" w:hAnsi="宋体" w:cs="宋体" w:eastAsia="宋体" w:hint="default"/>
                <w:sz w:val="21"/>
                <w:szCs w:val="21"/>
              </w:rPr>
            </w:pPr>
            <w:r>
              <w:rPr>
                <w:rFonts w:ascii="宋体"/>
                <w:sz w:val="21"/>
              </w:rPr>
              <w:t>13.60%</w:t>
            </w:r>
          </w:p>
        </w:tc>
      </w:tr>
      <w:tr>
        <w:trPr>
          <w:trHeight w:val="34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425"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22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宋体" w:hAnsi="宋体" w:cs="宋体" w:eastAsia="宋体" w:hint="default"/>
                <w:sz w:val="21"/>
                <w:szCs w:val="21"/>
              </w:rPr>
            </w:pPr>
            <w:r>
              <w:rPr>
                <w:rFonts w:ascii="宋体"/>
                <w:spacing w:val="-1"/>
                <w:sz w:val="21"/>
              </w:rPr>
              <w:t>982,540.00</w:t>
            </w:r>
          </w:p>
        </w:tc>
        <w:tc>
          <w:tcPr>
            <w:tcW w:w="24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6" w:right="0"/>
              <w:jc w:val="left"/>
              <w:rPr>
                <w:rFonts w:ascii="宋体" w:hAnsi="宋体" w:cs="宋体" w:eastAsia="宋体" w:hint="default"/>
                <w:sz w:val="21"/>
                <w:szCs w:val="21"/>
              </w:rPr>
            </w:pPr>
            <w:r>
              <w:rPr>
                <w:rFonts w:ascii="宋体"/>
                <w:sz w:val="21"/>
              </w:rPr>
              <w:t>10.87%</w:t>
            </w:r>
          </w:p>
        </w:tc>
      </w:tr>
      <w:tr>
        <w:trPr>
          <w:trHeight w:val="341"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425"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政府部门</w:t>
            </w:r>
          </w:p>
        </w:tc>
        <w:tc>
          <w:tcPr>
            <w:tcW w:w="22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21"/>
                <w:szCs w:val="21"/>
              </w:rPr>
            </w:pPr>
            <w:r>
              <w:rPr>
                <w:rFonts w:ascii="宋体"/>
                <w:spacing w:val="-1"/>
                <w:sz w:val="21"/>
              </w:rPr>
              <w:t>855,000.00</w:t>
            </w:r>
          </w:p>
        </w:tc>
        <w:tc>
          <w:tcPr>
            <w:tcW w:w="24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2" w:right="0"/>
              <w:jc w:val="left"/>
              <w:rPr>
                <w:rFonts w:ascii="宋体" w:hAnsi="宋体" w:cs="宋体" w:eastAsia="宋体" w:hint="default"/>
                <w:sz w:val="21"/>
                <w:szCs w:val="21"/>
              </w:rPr>
            </w:pPr>
            <w:r>
              <w:rPr>
                <w:rFonts w:ascii="宋体"/>
                <w:sz w:val="21"/>
              </w:rPr>
              <w:t>9.46%</w:t>
            </w:r>
          </w:p>
        </w:tc>
      </w:tr>
      <w:tr>
        <w:trPr>
          <w:trHeight w:val="34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425"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22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21"/>
                <w:szCs w:val="21"/>
              </w:rPr>
            </w:pPr>
            <w:r>
              <w:rPr>
                <w:rFonts w:ascii="宋体"/>
                <w:spacing w:val="-1"/>
                <w:sz w:val="21"/>
              </w:rPr>
              <w:t>179,495.07</w:t>
            </w:r>
          </w:p>
        </w:tc>
        <w:tc>
          <w:tcPr>
            <w:tcW w:w="24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2" w:right="0"/>
              <w:jc w:val="left"/>
              <w:rPr>
                <w:rFonts w:ascii="宋体" w:hAnsi="宋体" w:cs="宋体" w:eastAsia="宋体" w:hint="default"/>
                <w:sz w:val="21"/>
                <w:szCs w:val="21"/>
              </w:rPr>
            </w:pPr>
            <w:r>
              <w:rPr>
                <w:rFonts w:ascii="宋体"/>
                <w:sz w:val="21"/>
              </w:rPr>
              <w:t>1.99%</w:t>
            </w:r>
          </w:p>
        </w:tc>
      </w:tr>
      <w:tr>
        <w:trPr>
          <w:trHeight w:val="329"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425"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员工</w:t>
            </w:r>
          </w:p>
        </w:tc>
        <w:tc>
          <w:tcPr>
            <w:tcW w:w="22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3"/>
              <w:jc w:val="right"/>
              <w:rPr>
                <w:rFonts w:ascii="宋体" w:hAnsi="宋体" w:cs="宋体" w:eastAsia="宋体" w:hint="default"/>
                <w:sz w:val="21"/>
                <w:szCs w:val="21"/>
              </w:rPr>
            </w:pPr>
            <w:r>
              <w:rPr>
                <w:rFonts w:ascii="宋体"/>
                <w:spacing w:val="-1"/>
                <w:sz w:val="21"/>
              </w:rPr>
              <w:t>350,000.00</w:t>
            </w:r>
          </w:p>
        </w:tc>
        <w:tc>
          <w:tcPr>
            <w:tcW w:w="24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312" w:right="0"/>
              <w:jc w:val="left"/>
              <w:rPr>
                <w:rFonts w:ascii="宋体" w:hAnsi="宋体" w:cs="宋体" w:eastAsia="宋体" w:hint="default"/>
                <w:sz w:val="21"/>
                <w:szCs w:val="21"/>
              </w:rPr>
            </w:pPr>
            <w:r>
              <w:rPr>
                <w:rFonts w:ascii="宋体"/>
                <w:sz w:val="21"/>
              </w:rPr>
              <w:t>3.87%</w:t>
            </w:r>
          </w:p>
        </w:tc>
      </w:tr>
      <w:tr>
        <w:trPr>
          <w:trHeight w:val="37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425"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3,597,035.07</w:t>
            </w:r>
          </w:p>
        </w:tc>
        <w:tc>
          <w:tcPr>
            <w:tcW w:w="240"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left="206" w:right="0"/>
              <w:jc w:val="left"/>
              <w:rPr>
                <w:rFonts w:ascii="宋体" w:hAnsi="宋体" w:cs="宋体" w:eastAsia="宋体" w:hint="default"/>
                <w:sz w:val="21"/>
                <w:szCs w:val="21"/>
              </w:rPr>
            </w:pPr>
            <w:r>
              <w:rPr>
                <w:rFonts w:ascii="宋体"/>
                <w:sz w:val="21"/>
              </w:rPr>
              <w:t>39.79%</w:t>
            </w:r>
          </w:p>
        </w:tc>
      </w:tr>
    </w:tbl>
    <w:p>
      <w:pPr>
        <w:spacing w:line="240" w:lineRule="auto" w:before="2"/>
        <w:rPr>
          <w:rFonts w:ascii="宋体" w:hAnsi="宋体" w:cs="宋体" w:eastAsia="宋体" w:hint="default"/>
          <w:sz w:val="23"/>
          <w:szCs w:val="23"/>
        </w:rPr>
      </w:pPr>
    </w:p>
    <w:p>
      <w:pPr>
        <w:pStyle w:val="Heading3"/>
        <w:spacing w:line="367" w:lineRule="exact"/>
        <w:ind w:left="702" w:right="1276"/>
        <w:jc w:val="left"/>
        <w:rPr>
          <w:b w:val="0"/>
          <w:bCs w:val="0"/>
        </w:rPr>
      </w:pPr>
      <w:r>
        <w:rPr>
          <w:rFonts w:ascii="Times New Roman" w:hAnsi="Times New Roman" w:cs="Times New Roman" w:eastAsia="Times New Roman" w:hint="default"/>
        </w:rPr>
        <w:t>3</w:t>
      </w:r>
      <w:r>
        <w:rPr/>
        <w:t>、长期股权投资</w:t>
      </w:r>
      <w:r>
        <w:rPr>
          <w:b w:val="0"/>
          <w:bCs w:val="0"/>
        </w:rPr>
      </w:r>
    </w:p>
    <w:p>
      <w:pPr>
        <w:pStyle w:val="BodyText"/>
        <w:tabs>
          <w:tab w:pos="1180" w:val="left" w:leader="none"/>
        </w:tabs>
        <w:spacing w:line="240" w:lineRule="auto" w:before="203"/>
        <w:ind w:left="700" w:right="1276"/>
        <w:jc w:val="left"/>
      </w:pPr>
      <w:r>
        <w:rPr/>
        <w:t>⑴</w:t>
        <w:tab/>
        <w:t>长期股权投资分类</w:t>
      </w:r>
    </w:p>
    <w:p>
      <w:pPr>
        <w:spacing w:line="240" w:lineRule="auto" w:before="11"/>
        <w:rPr>
          <w:rFonts w:ascii="宋体" w:hAnsi="宋体" w:cs="宋体" w:eastAsia="宋体" w:hint="default"/>
          <w:sz w:val="10"/>
          <w:szCs w:val="10"/>
        </w:rPr>
      </w:pPr>
    </w:p>
    <w:tbl>
      <w:tblPr>
        <w:tblW w:w="0" w:type="auto"/>
        <w:jc w:val="left"/>
        <w:tblInd w:w="256" w:type="dxa"/>
        <w:tblLayout w:type="fixed"/>
        <w:tblCellMar>
          <w:top w:w="0" w:type="dxa"/>
          <w:left w:w="0" w:type="dxa"/>
          <w:bottom w:w="0" w:type="dxa"/>
          <w:right w:w="0" w:type="dxa"/>
        </w:tblCellMar>
        <w:tblLook w:val="01E0"/>
      </w:tblPr>
      <w:tblGrid>
        <w:gridCol w:w="2312"/>
        <w:gridCol w:w="151"/>
        <w:gridCol w:w="1591"/>
        <w:gridCol w:w="146"/>
        <w:gridCol w:w="1592"/>
        <w:gridCol w:w="144"/>
        <w:gridCol w:w="1214"/>
        <w:gridCol w:w="171"/>
        <w:gridCol w:w="1702"/>
      </w:tblGrid>
      <w:tr>
        <w:trPr>
          <w:trHeight w:val="253" w:hRule="exact"/>
        </w:trPr>
        <w:tc>
          <w:tcPr>
            <w:tcW w:w="2312" w:type="dxa"/>
            <w:tcBorders>
              <w:top w:val="nil" w:sz="6" w:space="0" w:color="auto"/>
              <w:left w:val="nil" w:sz="6" w:space="0" w:color="auto"/>
              <w:bottom w:val="single" w:sz="8" w:space="0" w:color="000000"/>
              <w:right w:val="nil" w:sz="6" w:space="0" w:color="auto"/>
            </w:tcBorders>
          </w:tcPr>
          <w:p>
            <w:pPr>
              <w:pStyle w:val="TableParagraph"/>
              <w:tabs>
                <w:tab w:pos="525" w:val="left" w:leader="none"/>
              </w:tabs>
              <w:spacing w:line="211" w:lineRule="exact"/>
              <w:ind w:right="83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5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8" w:space="0" w:color="000000"/>
              <w:right w:val="nil" w:sz="6" w:space="0" w:color="auto"/>
            </w:tcBorders>
          </w:tcPr>
          <w:p>
            <w:pPr>
              <w:pStyle w:val="TableParagraph"/>
              <w:spacing w:line="211" w:lineRule="exact"/>
              <w:ind w:left="43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6"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8" w:space="0" w:color="000000"/>
              <w:right w:val="nil" w:sz="6" w:space="0" w:color="auto"/>
            </w:tcBorders>
          </w:tcPr>
          <w:p>
            <w:pPr>
              <w:pStyle w:val="TableParagraph"/>
              <w:spacing w:line="211" w:lineRule="exact"/>
              <w:ind w:right="101"/>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44"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8" w:space="0" w:color="000000"/>
              <w:right w:val="nil" w:sz="6" w:space="0" w:color="auto"/>
            </w:tcBorders>
          </w:tcPr>
          <w:p>
            <w:pPr>
              <w:pStyle w:val="TableParagraph"/>
              <w:spacing w:line="211" w:lineRule="exact"/>
              <w:ind w:left="139"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1"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8" w:space="0" w:color="000000"/>
              <w:right w:val="nil" w:sz="6" w:space="0" w:color="auto"/>
            </w:tcBorders>
          </w:tcPr>
          <w:p>
            <w:pPr>
              <w:pStyle w:val="TableParagraph"/>
              <w:spacing w:line="211" w:lineRule="exact"/>
              <w:ind w:left="484"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00" w:hRule="exact"/>
        </w:trPr>
        <w:tc>
          <w:tcPr>
            <w:tcW w:w="231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57"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1" w:type="dxa"/>
            <w:tcBorders>
              <w:top w:val="nil" w:sz="6" w:space="0" w:color="auto"/>
              <w:left w:val="nil" w:sz="6" w:space="0" w:color="auto"/>
              <w:bottom w:val="nil" w:sz="6" w:space="0" w:color="auto"/>
              <w:right w:val="nil" w:sz="6" w:space="0" w:color="auto"/>
            </w:tcBorders>
          </w:tcPr>
          <w:p>
            <w:pPr/>
          </w:p>
        </w:tc>
        <w:tc>
          <w:tcPr>
            <w:tcW w:w="1591"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50"/>
              <w:jc w:val="right"/>
              <w:rPr>
                <w:rFonts w:ascii="宋体" w:hAnsi="宋体" w:cs="宋体" w:eastAsia="宋体" w:hint="default"/>
                <w:sz w:val="21"/>
                <w:szCs w:val="21"/>
              </w:rPr>
            </w:pPr>
            <w:r>
              <w:rPr>
                <w:rFonts w:ascii="宋体"/>
                <w:spacing w:val="-1"/>
                <w:sz w:val="21"/>
              </w:rPr>
              <w:t>182,107,767.50</w:t>
            </w:r>
          </w:p>
        </w:tc>
        <w:tc>
          <w:tcPr>
            <w:tcW w:w="146" w:type="dxa"/>
            <w:tcBorders>
              <w:top w:val="nil" w:sz="6" w:space="0" w:color="auto"/>
              <w:left w:val="nil" w:sz="6" w:space="0" w:color="auto"/>
              <w:bottom w:val="nil" w:sz="6" w:space="0" w:color="auto"/>
              <w:right w:val="nil" w:sz="6" w:space="0" w:color="auto"/>
            </w:tcBorders>
          </w:tcPr>
          <w:p>
            <w:pPr/>
          </w:p>
        </w:tc>
        <w:tc>
          <w:tcPr>
            <w:tcW w:w="159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6" w:right="0"/>
              <w:jc w:val="center"/>
              <w:rPr>
                <w:rFonts w:ascii="宋体" w:hAnsi="宋体" w:cs="宋体" w:eastAsia="宋体" w:hint="default"/>
                <w:sz w:val="21"/>
                <w:szCs w:val="21"/>
              </w:rPr>
            </w:pPr>
            <w:r>
              <w:rPr>
                <w:rFonts w:ascii="宋体"/>
                <w:sz w:val="21"/>
              </w:rPr>
              <w:t>130,000,000.00</w:t>
            </w:r>
          </w:p>
        </w:tc>
        <w:tc>
          <w:tcPr>
            <w:tcW w:w="144" w:type="dxa"/>
            <w:tcBorders>
              <w:top w:val="nil" w:sz="6" w:space="0" w:color="auto"/>
              <w:left w:val="nil" w:sz="6" w:space="0" w:color="auto"/>
              <w:bottom w:val="nil" w:sz="6" w:space="0" w:color="auto"/>
              <w:right w:val="nil" w:sz="6" w:space="0" w:color="auto"/>
            </w:tcBorders>
          </w:tcPr>
          <w:p>
            <w:pPr/>
          </w:p>
        </w:tc>
        <w:tc>
          <w:tcPr>
            <w:tcW w:w="1214" w:type="dxa"/>
            <w:tcBorders>
              <w:top w:val="single" w:sz="8" w:space="0" w:color="000000"/>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70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53"/>
              <w:jc w:val="right"/>
              <w:rPr>
                <w:rFonts w:ascii="宋体" w:hAnsi="宋体" w:cs="宋体" w:eastAsia="宋体" w:hint="default"/>
                <w:sz w:val="21"/>
                <w:szCs w:val="21"/>
              </w:rPr>
            </w:pPr>
            <w:r>
              <w:rPr>
                <w:rFonts w:ascii="宋体"/>
                <w:spacing w:val="-1"/>
                <w:sz w:val="21"/>
              </w:rPr>
              <w:t>312,107,767.50</w:t>
            </w:r>
          </w:p>
        </w:tc>
      </w:tr>
      <w:tr>
        <w:trPr>
          <w:trHeight w:val="299" w:hRule="exact"/>
        </w:trPr>
        <w:tc>
          <w:tcPr>
            <w:tcW w:w="405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57"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46"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8"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8" w:space="0" w:color="000000"/>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8" w:space="0" w:color="000000"/>
              <w:right w:val="nil" w:sz="6" w:space="0" w:color="auto"/>
            </w:tcBorders>
          </w:tcPr>
          <w:p>
            <w:pPr/>
          </w:p>
        </w:tc>
      </w:tr>
      <w:tr>
        <w:trPr>
          <w:trHeight w:val="374" w:hRule="exact"/>
        </w:trPr>
        <w:tc>
          <w:tcPr>
            <w:tcW w:w="2312"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11"/>
              <w:ind w:right="83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1" w:type="dxa"/>
            <w:tcBorders>
              <w:top w:val="nil" w:sz="6" w:space="0" w:color="auto"/>
              <w:left w:val="nil" w:sz="6" w:space="0" w:color="auto"/>
              <w:bottom w:val="nil" w:sz="6" w:space="0" w:color="auto"/>
              <w:right w:val="nil" w:sz="6" w:space="0" w:color="auto"/>
            </w:tcBorders>
          </w:tcPr>
          <w:p>
            <w:pPr/>
          </w:p>
        </w:tc>
        <w:tc>
          <w:tcPr>
            <w:tcW w:w="1591"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50"/>
              <w:jc w:val="right"/>
              <w:rPr>
                <w:rFonts w:ascii="宋体" w:hAnsi="宋体" w:cs="宋体" w:eastAsia="宋体" w:hint="default"/>
                <w:sz w:val="21"/>
                <w:szCs w:val="21"/>
              </w:rPr>
            </w:pPr>
            <w:r>
              <w:rPr>
                <w:rFonts w:ascii="宋体"/>
                <w:spacing w:val="-1"/>
                <w:sz w:val="21"/>
              </w:rPr>
              <w:t>182,107,767.50</w:t>
            </w:r>
          </w:p>
        </w:tc>
        <w:tc>
          <w:tcPr>
            <w:tcW w:w="146" w:type="dxa"/>
            <w:tcBorders>
              <w:top w:val="nil" w:sz="6" w:space="0" w:color="auto"/>
              <w:left w:val="nil" w:sz="6" w:space="0" w:color="auto"/>
              <w:bottom w:val="nil" w:sz="6" w:space="0" w:color="auto"/>
              <w:right w:val="nil" w:sz="6" w:space="0" w:color="auto"/>
            </w:tcBorders>
          </w:tcPr>
          <w:p>
            <w:pPr/>
          </w:p>
        </w:tc>
        <w:tc>
          <w:tcPr>
            <w:tcW w:w="159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left="6" w:right="0"/>
              <w:jc w:val="center"/>
              <w:rPr>
                <w:rFonts w:ascii="宋体" w:hAnsi="宋体" w:cs="宋体" w:eastAsia="宋体" w:hint="default"/>
                <w:sz w:val="21"/>
                <w:szCs w:val="21"/>
              </w:rPr>
            </w:pPr>
            <w:r>
              <w:rPr>
                <w:rFonts w:ascii="宋体"/>
                <w:sz w:val="21"/>
              </w:rPr>
              <w:t>130,000,000.00</w:t>
            </w:r>
          </w:p>
        </w:tc>
        <w:tc>
          <w:tcPr>
            <w:tcW w:w="144" w:type="dxa"/>
            <w:tcBorders>
              <w:top w:val="nil" w:sz="6" w:space="0" w:color="auto"/>
              <w:left w:val="nil" w:sz="6" w:space="0" w:color="auto"/>
              <w:bottom w:val="nil" w:sz="6" w:space="0" w:color="auto"/>
              <w:right w:val="nil" w:sz="6" w:space="0" w:color="auto"/>
            </w:tcBorders>
          </w:tcPr>
          <w:p>
            <w:pPr/>
          </w:p>
        </w:tc>
        <w:tc>
          <w:tcPr>
            <w:tcW w:w="1214" w:type="dxa"/>
            <w:tcBorders>
              <w:top w:val="single" w:sz="8" w:space="0" w:color="000000"/>
              <w:left w:val="nil" w:sz="6" w:space="0" w:color="auto"/>
              <w:bottom w:val="single" w:sz="17" w:space="0" w:color="000000"/>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702"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53"/>
              <w:jc w:val="right"/>
              <w:rPr>
                <w:rFonts w:ascii="宋体" w:hAnsi="宋体" w:cs="宋体" w:eastAsia="宋体" w:hint="default"/>
                <w:sz w:val="21"/>
                <w:szCs w:val="21"/>
              </w:rPr>
            </w:pPr>
            <w:r>
              <w:rPr>
                <w:rFonts w:ascii="宋体"/>
                <w:spacing w:val="-1"/>
                <w:sz w:val="21"/>
              </w:rPr>
              <w:t>312,107,767.50</w:t>
            </w:r>
          </w:p>
        </w:tc>
      </w:tr>
    </w:tbl>
    <w:p>
      <w:pPr>
        <w:spacing w:after="0" w:line="240" w:lineRule="auto"/>
        <w:jc w:val="right"/>
        <w:rPr>
          <w:rFonts w:ascii="宋体" w:hAnsi="宋体" w:cs="宋体" w:eastAsia="宋体" w:hint="default"/>
          <w:sz w:val="21"/>
          <w:szCs w:val="21"/>
        </w:rPr>
        <w:sectPr>
          <w:pgSz w:w="11910" w:h="16840"/>
          <w:pgMar w:header="731" w:footer="956" w:top="1100" w:bottom="1140" w:left="1400" w:right="0"/>
        </w:sectPr>
      </w:pPr>
    </w:p>
    <w:p>
      <w:pPr>
        <w:spacing w:line="240" w:lineRule="auto" w:before="7"/>
        <w:rPr>
          <w:rFonts w:ascii="宋体" w:hAnsi="宋体" w:cs="宋体" w:eastAsia="宋体" w:hint="default"/>
          <w:sz w:val="6"/>
          <w:szCs w:val="6"/>
        </w:rPr>
      </w:pPr>
    </w:p>
    <w:p>
      <w:pPr>
        <w:spacing w:line="326" w:lineRule="exact"/>
        <w:ind w:left="111"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704.3pt;height:16.3500pt;mso-position-horizontal-relative:char;mso-position-vertical-relative:line" coordorigin="0,0" coordsize="14086,327">
            <v:group style="position:absolute;left:60;top:319;width:14018;height:2" coordorigin="60,319" coordsize="14018,2">
              <v:shape style="position:absolute;left:60;top:319;width:14018;height:2" coordorigin="60,319" coordsize="14018,0" path="m60,319l14078,319e" filled="false" stroked="true" strokeweight=".72pt" strokecolor="#000000">
                <v:path arrowok="t"/>
              </v:shape>
              <v:shape style="position:absolute;left:0;top:0;width:360;height:315" type="#_x0000_t75" stroked="false">
                <v:imagedata r:id="rId5" o:title=""/>
              </v:shape>
              <v:shape style="position:absolute;left:0;top:0;width:14086;height:327" type="#_x0000_t202" filled="false" stroked="false">
                <v:textbox inset="0,0,0,0">
                  <w:txbxContent>
                    <w:p>
                      <w:pPr>
                        <w:spacing w:before="29"/>
                        <w:ind w:left="9011"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0" w:val="left" w:leader="none"/>
        </w:tabs>
        <w:spacing w:line="240" w:lineRule="auto" w:before="166"/>
        <w:ind w:left="680" w:right="0"/>
        <w:jc w:val="left"/>
      </w:pPr>
      <w:r>
        <w:rPr/>
        <w:t>⑵</w:t>
        <w:tab/>
        <w:t>长期股权投资明细情况</w:t>
      </w:r>
    </w:p>
    <w:p>
      <w:pPr>
        <w:spacing w:line="240" w:lineRule="auto" w:before="3"/>
        <w:rPr>
          <w:rFonts w:ascii="宋体" w:hAnsi="宋体" w:cs="宋体" w:eastAsia="宋体" w:hint="default"/>
          <w:sz w:val="9"/>
          <w:szCs w:val="9"/>
        </w:rPr>
      </w:pPr>
    </w:p>
    <w:tbl>
      <w:tblPr>
        <w:tblW w:w="0" w:type="auto"/>
        <w:jc w:val="left"/>
        <w:tblInd w:w="185" w:type="dxa"/>
        <w:tblLayout w:type="fixed"/>
        <w:tblCellMar>
          <w:top w:w="0" w:type="dxa"/>
          <w:left w:w="0" w:type="dxa"/>
          <w:bottom w:w="0" w:type="dxa"/>
          <w:right w:w="0" w:type="dxa"/>
        </w:tblCellMar>
        <w:tblLook w:val="01E0"/>
      </w:tblPr>
      <w:tblGrid>
        <w:gridCol w:w="3303"/>
        <w:gridCol w:w="235"/>
        <w:gridCol w:w="1306"/>
        <w:gridCol w:w="238"/>
        <w:gridCol w:w="1476"/>
        <w:gridCol w:w="288"/>
        <w:gridCol w:w="2129"/>
        <w:gridCol w:w="228"/>
        <w:gridCol w:w="1824"/>
        <w:gridCol w:w="231"/>
        <w:gridCol w:w="2071"/>
      </w:tblGrid>
      <w:tr>
        <w:trPr>
          <w:trHeight w:val="217" w:hRule="exact"/>
        </w:trPr>
        <w:tc>
          <w:tcPr>
            <w:tcW w:w="3303" w:type="dxa"/>
            <w:tcBorders>
              <w:top w:val="nil" w:sz="6" w:space="0" w:color="auto"/>
              <w:left w:val="nil" w:sz="6" w:space="0" w:color="auto"/>
              <w:bottom w:val="single" w:sz="8"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8"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8"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8" w:space="0" w:color="000000"/>
              <w:right w:val="nil" w:sz="6" w:space="0" w:color="auto"/>
            </w:tcBorders>
          </w:tcPr>
          <w:p>
            <w:pPr>
              <w:pStyle w:val="TableParagraph"/>
              <w:spacing w:line="180" w:lineRule="exact"/>
              <w:ind w:left="55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single" w:sz="8"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17" w:hRule="exact"/>
        </w:trPr>
        <w:tc>
          <w:tcPr>
            <w:tcW w:w="3303"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88" w:right="0"/>
              <w:jc w:val="center"/>
              <w:rPr>
                <w:rFonts w:ascii="宋体" w:hAnsi="宋体" w:cs="宋体" w:eastAsia="宋体" w:hint="default"/>
                <w:sz w:val="18"/>
                <w:szCs w:val="18"/>
              </w:rPr>
            </w:pPr>
            <w:r>
              <w:rPr>
                <w:rFonts w:ascii="宋体"/>
                <w:sz w:val="18"/>
              </w:rPr>
              <w:t>17,336,055.00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17,336,055.00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single" w:sz="8"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17,336,055.00</w:t>
            </w:r>
          </w:p>
        </w:tc>
      </w:tr>
      <w:tr>
        <w:trPr>
          <w:trHeight w:val="283"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22,500,000.00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35,325,000.00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35,325,000.00</w:t>
            </w:r>
          </w:p>
        </w:tc>
      </w:tr>
      <w:tr>
        <w:trPr>
          <w:trHeight w:val="283"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2" w:lineRule="exact"/>
              <w:ind w:left="180" w:right="0"/>
              <w:jc w:val="center"/>
              <w:rPr>
                <w:rFonts w:ascii="宋体" w:hAnsi="宋体" w:cs="宋体" w:eastAsia="宋体" w:hint="default"/>
                <w:sz w:val="18"/>
                <w:szCs w:val="18"/>
              </w:rPr>
            </w:pPr>
            <w:r>
              <w:rPr>
                <w:rFonts w:ascii="宋体"/>
                <w:sz w:val="18"/>
              </w:rPr>
              <w:t>3,750,000.00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3,750,000.00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3,750,000.00</w:t>
            </w:r>
          </w:p>
        </w:tc>
      </w:tr>
      <w:tr>
        <w:trPr>
          <w:trHeight w:val="282"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22,500,000.00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22,500,000.00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22,500,000.00</w:t>
            </w:r>
          </w:p>
        </w:tc>
      </w:tr>
      <w:tr>
        <w:trPr>
          <w:trHeight w:val="282"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1" w:lineRule="exact"/>
              <w:ind w:left="88" w:right="0"/>
              <w:jc w:val="center"/>
              <w:rPr>
                <w:rFonts w:ascii="宋体" w:hAnsi="宋体" w:cs="宋体" w:eastAsia="宋体" w:hint="default"/>
                <w:sz w:val="18"/>
                <w:szCs w:val="18"/>
              </w:rPr>
            </w:pPr>
            <w:r>
              <w:rPr>
                <w:rFonts w:ascii="宋体"/>
                <w:sz w:val="18"/>
              </w:rPr>
              <w:t>15,000,000.00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pacing w:val="-1"/>
                <w:sz w:val="18"/>
              </w:rPr>
              <w:t>31,500,000.00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pacing w:val="-1"/>
                <w:sz w:val="18"/>
              </w:rPr>
              <w:t>31,500,000.00</w:t>
            </w:r>
          </w:p>
        </w:tc>
      </w:tr>
      <w:tr>
        <w:trPr>
          <w:trHeight w:val="283"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36,696,712.50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36,696,712.50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36,696,712.50</w:t>
            </w:r>
          </w:p>
        </w:tc>
      </w:tr>
      <w:tr>
        <w:trPr>
          <w:trHeight w:val="283"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30,000,000.00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30,000,000.00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30,000,000.00</w:t>
            </w:r>
          </w:p>
        </w:tc>
      </w:tr>
      <w:tr>
        <w:trPr>
          <w:trHeight w:val="283"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2" w:lineRule="exact"/>
              <w:ind w:left="180" w:right="0"/>
              <w:jc w:val="center"/>
              <w:rPr>
                <w:rFonts w:ascii="宋体" w:hAnsi="宋体" w:cs="宋体" w:eastAsia="宋体" w:hint="default"/>
                <w:sz w:val="18"/>
                <w:szCs w:val="18"/>
              </w:rPr>
            </w:pPr>
            <w:r>
              <w:rPr>
                <w:rFonts w:ascii="宋体"/>
                <w:sz w:val="18"/>
              </w:rPr>
              <w:t>5,000,000.00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5,000,000.00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5,000,000.00</w:t>
            </w:r>
          </w:p>
        </w:tc>
      </w:tr>
      <w:tr>
        <w:trPr>
          <w:trHeight w:val="269"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130,000,000.00</w:t>
            </w: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8"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8"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130,000,000.00</w:t>
            </w: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single" w:sz="8"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130,000,000.00</w:t>
            </w:r>
          </w:p>
        </w:tc>
      </w:tr>
      <w:tr>
        <w:trPr>
          <w:trHeight w:val="317"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29" w:type="dxa"/>
            <w:tcBorders>
              <w:top w:val="single" w:sz="8" w:space="0" w:color="000000"/>
              <w:left w:val="nil" w:sz="6" w:space="0" w:color="auto"/>
              <w:bottom w:val="single" w:sz="17"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pacing w:val="-1"/>
                <w:sz w:val="18"/>
              </w:rPr>
              <w:t>182,107,767.50</w:t>
            </w:r>
          </w:p>
        </w:tc>
        <w:tc>
          <w:tcPr>
            <w:tcW w:w="228" w:type="dxa"/>
            <w:tcBorders>
              <w:top w:val="nil" w:sz="6" w:space="0" w:color="auto"/>
              <w:left w:val="nil" w:sz="6" w:space="0" w:color="auto"/>
              <w:bottom w:val="nil" w:sz="6" w:space="0" w:color="auto"/>
              <w:right w:val="nil" w:sz="6" w:space="0" w:color="auto"/>
            </w:tcBorders>
          </w:tcPr>
          <w:p>
            <w:pPr/>
          </w:p>
        </w:tc>
        <w:tc>
          <w:tcPr>
            <w:tcW w:w="1824" w:type="dxa"/>
            <w:tcBorders>
              <w:top w:val="single" w:sz="8" w:space="0" w:color="000000"/>
              <w:left w:val="nil" w:sz="6" w:space="0" w:color="auto"/>
              <w:bottom w:val="single" w:sz="17"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pacing w:val="-1"/>
                <w:sz w:val="18"/>
              </w:rPr>
              <w:t>130,000,000.00</w:t>
            </w:r>
          </w:p>
        </w:tc>
        <w:tc>
          <w:tcPr>
            <w:tcW w:w="231" w:type="dxa"/>
            <w:tcBorders>
              <w:top w:val="nil" w:sz="6" w:space="0" w:color="auto"/>
              <w:left w:val="nil" w:sz="6" w:space="0" w:color="auto"/>
              <w:bottom w:val="nil" w:sz="6" w:space="0" w:color="auto"/>
              <w:right w:val="nil" w:sz="6" w:space="0" w:color="auto"/>
            </w:tcBorders>
          </w:tcPr>
          <w:p>
            <w:pPr/>
          </w:p>
        </w:tc>
        <w:tc>
          <w:tcPr>
            <w:tcW w:w="2071" w:type="dxa"/>
            <w:tcBorders>
              <w:top w:val="single" w:sz="8" w:space="0" w:color="000000"/>
              <w:left w:val="nil" w:sz="6" w:space="0" w:color="auto"/>
              <w:bottom w:val="single" w:sz="17"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312,107,767.50</w:t>
            </w:r>
          </w:p>
        </w:tc>
      </w:tr>
    </w:tbl>
    <w:p>
      <w:pPr>
        <w:pStyle w:val="BodyText"/>
        <w:spacing w:line="240" w:lineRule="auto" w:before="72"/>
        <w:ind w:left="680" w:right="0"/>
        <w:jc w:val="left"/>
      </w:pPr>
      <w:r>
        <w:rPr/>
        <w:t>（续）</w:t>
      </w:r>
    </w:p>
    <w:p>
      <w:pPr>
        <w:spacing w:line="240" w:lineRule="auto" w:before="2"/>
        <w:rPr>
          <w:rFonts w:ascii="宋体" w:hAnsi="宋体" w:cs="宋体" w:eastAsia="宋体" w:hint="default"/>
          <w:sz w:val="6"/>
          <w:szCs w:val="6"/>
        </w:rPr>
      </w:pPr>
    </w:p>
    <w:tbl>
      <w:tblPr>
        <w:tblW w:w="0" w:type="auto"/>
        <w:jc w:val="left"/>
        <w:tblInd w:w="185" w:type="dxa"/>
        <w:tblLayout w:type="fixed"/>
        <w:tblCellMar>
          <w:top w:w="0" w:type="dxa"/>
          <w:left w:w="0" w:type="dxa"/>
          <w:bottom w:w="0" w:type="dxa"/>
          <w:right w:w="0" w:type="dxa"/>
        </w:tblCellMar>
        <w:tblLook w:val="01E0"/>
      </w:tblPr>
      <w:tblGrid>
        <w:gridCol w:w="3334"/>
        <w:gridCol w:w="235"/>
        <w:gridCol w:w="1270"/>
        <w:gridCol w:w="235"/>
        <w:gridCol w:w="974"/>
        <w:gridCol w:w="274"/>
        <w:gridCol w:w="2669"/>
        <w:gridCol w:w="228"/>
        <w:gridCol w:w="1805"/>
        <w:gridCol w:w="229"/>
        <w:gridCol w:w="2155"/>
      </w:tblGrid>
      <w:tr>
        <w:trPr>
          <w:trHeight w:val="918" w:hRule="exact"/>
        </w:trPr>
        <w:tc>
          <w:tcPr>
            <w:tcW w:w="333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34" w:lineRule="exact"/>
              <w:ind w:left="184" w:right="183"/>
              <w:jc w:val="center"/>
              <w:rPr>
                <w:rFonts w:ascii="宋体" w:hAnsi="宋体" w:cs="宋体" w:eastAsia="宋体" w:hint="default"/>
                <w:sz w:val="18"/>
                <w:szCs w:val="18"/>
              </w:rPr>
            </w:pPr>
            <w:r>
              <w:rPr>
                <w:rFonts w:ascii="宋体" w:hAnsi="宋体" w:cs="宋体" w:eastAsia="宋体" w:hint="default"/>
                <w:sz w:val="18"/>
                <w:szCs w:val="18"/>
              </w:rPr>
              <w:t>在被投资单 位持股比例</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single" w:sz="8" w:space="0" w:color="000000"/>
              <w:right w:val="nil" w:sz="6" w:space="0" w:color="auto"/>
            </w:tcBorders>
          </w:tcPr>
          <w:p>
            <w:pPr>
              <w:pStyle w:val="TableParagraph"/>
              <w:spacing w:line="179" w:lineRule="exact"/>
              <w:ind w:left="127" w:right="0"/>
              <w:jc w:val="both"/>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37" w:lineRule="auto"/>
              <w:ind w:left="127" w:right="125"/>
              <w:jc w:val="both"/>
              <w:rPr>
                <w:rFonts w:ascii="宋体" w:hAnsi="宋体" w:cs="宋体" w:eastAsia="宋体" w:hint="default"/>
                <w:sz w:val="18"/>
                <w:szCs w:val="18"/>
              </w:rPr>
            </w:pPr>
            <w:r>
              <w:rPr>
                <w:rFonts w:ascii="宋体" w:hAnsi="宋体" w:cs="宋体" w:eastAsia="宋体" w:hint="default"/>
                <w:sz w:val="18"/>
                <w:szCs w:val="18"/>
              </w:rPr>
              <w:t>单位享有 表决权比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23" w:right="165" w:hanging="360"/>
              <w:jc w:val="left"/>
              <w:rPr>
                <w:rFonts w:ascii="宋体" w:hAnsi="宋体" w:cs="宋体" w:eastAsia="宋体" w:hint="default"/>
                <w:sz w:val="18"/>
                <w:szCs w:val="18"/>
              </w:rPr>
            </w:pPr>
            <w:r>
              <w:rPr>
                <w:rFonts w:ascii="宋体" w:hAnsi="宋体" w:cs="宋体" w:eastAsia="宋体" w:hint="default"/>
                <w:sz w:val="18"/>
                <w:szCs w:val="18"/>
              </w:rPr>
              <w:t>在被投资单位持股比例与表决 权比例不一致的说明</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48" w:hRule="exact"/>
        </w:trPr>
        <w:tc>
          <w:tcPr>
            <w:tcW w:w="333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93.75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100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少数股东为本公司之子公司</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single" w:sz="8"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5,273,123.59</w:t>
            </w:r>
          </w:p>
        </w:tc>
      </w:tr>
      <w:tr>
        <w:trPr>
          <w:trHeight w:val="341"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75</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13,494,221.98</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93.75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少数股东为本公司之子公司</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443,775.22</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93.75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少数股东为本公司之子公司</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3,687,903.17</w:t>
            </w:r>
          </w:p>
        </w:tc>
      </w:tr>
      <w:tr>
        <w:trPr>
          <w:trHeight w:val="341"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75</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2,364,005.24</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75</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75</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5,410,257.95</w:t>
            </w:r>
          </w:p>
        </w:tc>
      </w:tr>
      <w:tr>
        <w:trPr>
          <w:trHeight w:val="34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宋体" w:hAnsi="宋体" w:cs="宋体" w:eastAsia="宋体" w:hint="default"/>
                <w:sz w:val="18"/>
                <w:szCs w:val="18"/>
              </w:rPr>
            </w:pPr>
            <w:r>
              <w:rPr>
                <w:rFonts w:ascii="宋体"/>
                <w:sz w:val="18"/>
              </w:rPr>
              <w:t>100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pacing w:val="-1"/>
                <w:sz w:val="18"/>
              </w:rPr>
              <w:t>3,542,926.69</w:t>
            </w:r>
          </w:p>
        </w:tc>
      </w:tr>
      <w:tr>
        <w:trPr>
          <w:trHeight w:val="341"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100</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3,316,865.68</w:t>
            </w:r>
          </w:p>
        </w:tc>
      </w:tr>
      <w:tr>
        <w:trPr>
          <w:trHeight w:val="350"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98.53</w:t>
            </w: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100</w:t>
            </w: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少数股东为本公司之子公司</w:t>
            </w: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8"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8" w:space="0" w:color="000000"/>
              <w:right w:val="nil" w:sz="6" w:space="0" w:color="auto"/>
            </w:tcBorders>
          </w:tcPr>
          <w:p>
            <w:pPr/>
          </w:p>
        </w:tc>
      </w:tr>
      <w:tr>
        <w:trPr>
          <w:trHeight w:val="374"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805" w:type="dxa"/>
            <w:tcBorders>
              <w:top w:val="single" w:sz="8" w:space="0" w:color="000000"/>
              <w:left w:val="nil" w:sz="6" w:space="0" w:color="auto"/>
              <w:bottom w:val="single" w:sz="17"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2155" w:type="dxa"/>
            <w:tcBorders>
              <w:top w:val="single" w:sz="8" w:space="0" w:color="000000"/>
              <w:left w:val="nil" w:sz="6" w:space="0" w:color="auto"/>
              <w:bottom w:val="single" w:sz="17"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37,533,079.52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7009" w:right="8242" w:firstLine="0"/>
        <w:jc w:val="center"/>
        <w:rPr>
          <w:rFonts w:ascii="Times New Roman" w:hAnsi="Times New Roman" w:cs="Times New Roman" w:eastAsia="Times New Roman" w:hint="default"/>
          <w:sz w:val="21"/>
          <w:szCs w:val="21"/>
        </w:rPr>
      </w:pPr>
      <w:r>
        <w:rPr/>
        <w:pict>
          <v:shape style="position:absolute;margin-left:740.650024pt;margin-top:.606484pt;width:101.25pt;height:57.75pt;mso-position-horizontal-relative:page;mso-position-vertical-relative:paragraph;z-index:3040" type="#_x0000_t75" stroked="false">
            <v:imagedata r:id="rId6" o:title=""/>
          </v:shape>
        </w:pict>
      </w:r>
      <w:r>
        <w:rPr>
          <w:rFonts w:ascii="Times New Roman"/>
          <w:spacing w:val="-3"/>
          <w:sz w:val="21"/>
        </w:rPr>
        <w:t>117</w:t>
      </w:r>
    </w:p>
    <w:p>
      <w:pPr>
        <w:spacing w:after="0"/>
        <w:jc w:val="center"/>
        <w:rPr>
          <w:rFonts w:ascii="Times New Roman" w:hAnsi="Times New Roman" w:cs="Times New Roman" w:eastAsia="Times New Roman" w:hint="default"/>
          <w:sz w:val="21"/>
          <w:szCs w:val="21"/>
        </w:rPr>
        <w:sectPr>
          <w:headerReference w:type="default" r:id="rId49"/>
          <w:footerReference w:type="default" r:id="rId50"/>
          <w:pgSz w:w="16840" w:h="11910" w:orient="landscape"/>
          <w:pgMar w:header="0" w:footer="0" w:top="700" w:bottom="0" w:left="1240" w:right="0"/>
        </w:sectPr>
      </w:pPr>
    </w:p>
    <w:p>
      <w:pPr>
        <w:spacing w:line="240" w:lineRule="auto" w:before="2"/>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Heading3"/>
        <w:spacing w:line="367" w:lineRule="exact"/>
        <w:ind w:left="620" w:right="1869"/>
        <w:jc w:val="left"/>
        <w:rPr>
          <w:b w:val="0"/>
          <w:bCs w:val="0"/>
        </w:rPr>
      </w:pPr>
      <w:r>
        <w:rPr>
          <w:rFonts w:ascii="Times New Roman" w:hAnsi="Times New Roman" w:cs="Times New Roman" w:eastAsia="Times New Roman" w:hint="default"/>
        </w:rPr>
        <w:t>4</w:t>
      </w:r>
      <w:r>
        <w:rPr/>
        <w:t>、营业收入和营业成本</w:t>
      </w:r>
      <w:r>
        <w:rPr>
          <w:b w:val="0"/>
          <w:bCs w:val="0"/>
        </w:rPr>
      </w:r>
    </w:p>
    <w:p>
      <w:pPr>
        <w:pStyle w:val="BodyText"/>
        <w:tabs>
          <w:tab w:pos="1097" w:val="left" w:leader="none"/>
        </w:tabs>
        <w:spacing w:line="240" w:lineRule="auto" w:before="177"/>
        <w:ind w:left="618" w:right="1869"/>
        <w:jc w:val="left"/>
      </w:pPr>
      <w:r>
        <w:rPr/>
        <w:t>⑴</w:t>
        <w:tab/>
        <w:t>营业收入及营业成本</w:t>
      </w:r>
    </w:p>
    <w:p>
      <w:pPr>
        <w:spacing w:line="240" w:lineRule="auto" w:before="1"/>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722"/>
        <w:gridCol w:w="226"/>
        <w:gridCol w:w="2708"/>
        <w:gridCol w:w="317"/>
        <w:gridCol w:w="2931"/>
      </w:tblGrid>
      <w:tr>
        <w:trPr>
          <w:trHeight w:val="253" w:hRule="exact"/>
        </w:trPr>
        <w:tc>
          <w:tcPr>
            <w:tcW w:w="2722" w:type="dxa"/>
            <w:tcBorders>
              <w:top w:val="nil" w:sz="6" w:space="0" w:color="auto"/>
              <w:left w:val="nil" w:sz="6" w:space="0" w:color="auto"/>
              <w:bottom w:val="single" w:sz="8"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8" w:space="0" w:color="000000"/>
              <w:right w:val="nil" w:sz="6" w:space="0" w:color="auto"/>
            </w:tcBorders>
          </w:tcPr>
          <w:p>
            <w:pPr>
              <w:pStyle w:val="TableParagraph"/>
              <w:spacing w:line="211" w:lineRule="exact"/>
              <w:ind w:left="83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single" w:sz="8" w:space="0" w:color="000000"/>
              <w:right w:val="nil" w:sz="6" w:space="0" w:color="auto"/>
            </w:tcBorders>
          </w:tcPr>
          <w:p>
            <w:pPr>
              <w:pStyle w:val="TableParagraph"/>
              <w:spacing w:line="211" w:lineRule="exact"/>
              <w:ind w:left="94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4" w:hRule="exact"/>
        </w:trPr>
        <w:tc>
          <w:tcPr>
            <w:tcW w:w="272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w w:val="95"/>
                <w:sz w:val="20"/>
              </w:rPr>
              <w:t>517,359,689.42</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w w:val="95"/>
                <w:sz w:val="20"/>
              </w:rPr>
              <w:t>460,107,001.24</w:t>
            </w:r>
            <w:r>
              <w:rPr>
                <w:rFonts w:ascii="宋体"/>
                <w:sz w:val="20"/>
              </w:rPr>
            </w:r>
          </w:p>
        </w:tc>
      </w:tr>
      <w:tr>
        <w:trPr>
          <w:trHeight w:val="31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7"/>
              <w:jc w:val="right"/>
              <w:rPr>
                <w:rFonts w:ascii="宋体" w:hAnsi="宋体" w:cs="宋体" w:eastAsia="宋体" w:hint="default"/>
                <w:sz w:val="20"/>
                <w:szCs w:val="20"/>
              </w:rPr>
            </w:pPr>
            <w:r>
              <w:rPr>
                <w:rFonts w:ascii="宋体"/>
                <w:w w:val="95"/>
                <w:sz w:val="20"/>
              </w:rPr>
              <w:t>23,103,556.58</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6"/>
              <w:jc w:val="right"/>
              <w:rPr>
                <w:rFonts w:ascii="宋体" w:hAnsi="宋体" w:cs="宋体" w:eastAsia="宋体" w:hint="default"/>
                <w:sz w:val="20"/>
                <w:szCs w:val="20"/>
              </w:rPr>
            </w:pPr>
            <w:r>
              <w:rPr>
                <w:rFonts w:ascii="宋体"/>
                <w:w w:val="95"/>
                <w:sz w:val="20"/>
              </w:rPr>
              <w:t>44,219,096.74</w:t>
            </w:r>
            <w:r>
              <w:rPr>
                <w:rFonts w:ascii="宋体"/>
                <w:sz w:val="20"/>
              </w:rPr>
            </w:r>
          </w:p>
        </w:tc>
      </w:tr>
      <w:tr>
        <w:trPr>
          <w:trHeight w:val="372"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0"/>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w w:val="95"/>
                <w:sz w:val="20"/>
              </w:rPr>
              <w:t>540,463,246.00</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w w:val="95"/>
                <w:sz w:val="20"/>
              </w:rPr>
              <w:t>504,326,097.98</w:t>
            </w:r>
            <w:r>
              <w:rPr>
                <w:rFonts w:ascii="宋体"/>
                <w:sz w:val="20"/>
              </w:rPr>
            </w:r>
          </w:p>
        </w:tc>
      </w:tr>
      <w:tr>
        <w:trPr>
          <w:trHeight w:val="398"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17"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20"/>
                <w:szCs w:val="20"/>
              </w:rPr>
            </w:pPr>
            <w:r>
              <w:rPr>
                <w:rFonts w:ascii="宋体"/>
                <w:w w:val="95"/>
                <w:sz w:val="20"/>
              </w:rPr>
              <w:t>390,124,668.36</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17" w:space="0" w:color="000000"/>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20"/>
                <w:szCs w:val="20"/>
              </w:rPr>
            </w:pPr>
            <w:r>
              <w:rPr>
                <w:rFonts w:ascii="宋体"/>
                <w:w w:val="95"/>
                <w:sz w:val="20"/>
              </w:rPr>
              <w:t>335,415,792.57</w:t>
            </w:r>
            <w:r>
              <w:rPr>
                <w:rFonts w:ascii="宋体"/>
                <w:sz w:val="20"/>
              </w:rPr>
            </w:r>
          </w:p>
        </w:tc>
      </w:tr>
      <w:tr>
        <w:trPr>
          <w:trHeight w:val="31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7"/>
              <w:jc w:val="right"/>
              <w:rPr>
                <w:rFonts w:ascii="宋体" w:hAnsi="宋体" w:cs="宋体" w:eastAsia="宋体" w:hint="default"/>
                <w:sz w:val="20"/>
                <w:szCs w:val="20"/>
              </w:rPr>
            </w:pPr>
            <w:r>
              <w:rPr>
                <w:rFonts w:ascii="宋体"/>
                <w:w w:val="95"/>
                <w:sz w:val="20"/>
              </w:rPr>
              <w:t>21,633,218.87</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5"/>
              <w:jc w:val="right"/>
              <w:rPr>
                <w:rFonts w:ascii="宋体" w:hAnsi="宋体" w:cs="宋体" w:eastAsia="宋体" w:hint="default"/>
                <w:sz w:val="20"/>
                <w:szCs w:val="20"/>
              </w:rPr>
            </w:pPr>
            <w:r>
              <w:rPr>
                <w:rFonts w:ascii="宋体"/>
                <w:w w:val="95"/>
                <w:sz w:val="20"/>
              </w:rPr>
              <w:t>43,000,242.31</w:t>
            </w:r>
            <w:r>
              <w:rPr>
                <w:rFonts w:ascii="宋体"/>
                <w:sz w:val="20"/>
              </w:rPr>
            </w:r>
          </w:p>
        </w:tc>
      </w:tr>
      <w:tr>
        <w:trPr>
          <w:trHeight w:val="37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0"/>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226" w:type="dxa"/>
            <w:tcBorders>
              <w:top w:val="nil" w:sz="6" w:space="0" w:color="auto"/>
              <w:left w:val="nil" w:sz="6" w:space="0" w:color="auto"/>
              <w:bottom w:val="nil" w:sz="6" w:space="0" w:color="auto"/>
              <w:right w:val="nil" w:sz="6" w:space="0" w:color="auto"/>
            </w:tcBorders>
          </w:tcPr>
          <w:p>
            <w:pPr/>
          </w:p>
        </w:tc>
        <w:tc>
          <w:tcPr>
            <w:tcW w:w="2708"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w w:val="95"/>
                <w:sz w:val="20"/>
              </w:rPr>
              <w:t>411,757,887.23</w:t>
            </w:r>
            <w:r>
              <w:rPr>
                <w:rFonts w:ascii="宋体"/>
                <w:sz w:val="20"/>
              </w:rPr>
            </w:r>
          </w:p>
        </w:tc>
        <w:tc>
          <w:tcPr>
            <w:tcW w:w="317" w:type="dxa"/>
            <w:tcBorders>
              <w:top w:val="nil" w:sz="6" w:space="0" w:color="auto"/>
              <w:left w:val="nil" w:sz="6" w:space="0" w:color="auto"/>
              <w:bottom w:val="nil" w:sz="6" w:space="0" w:color="auto"/>
              <w:right w:val="nil" w:sz="6" w:space="0" w:color="auto"/>
            </w:tcBorders>
          </w:tcPr>
          <w:p>
            <w:pPr/>
          </w:p>
        </w:tc>
        <w:tc>
          <w:tcPr>
            <w:tcW w:w="2931"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06"/>
              <w:jc w:val="right"/>
              <w:rPr>
                <w:rFonts w:ascii="宋体" w:hAnsi="宋体" w:cs="宋体" w:eastAsia="宋体" w:hint="default"/>
                <w:sz w:val="20"/>
                <w:szCs w:val="20"/>
              </w:rPr>
            </w:pPr>
            <w:r>
              <w:rPr>
                <w:rFonts w:ascii="宋体"/>
                <w:w w:val="95"/>
                <w:sz w:val="20"/>
              </w:rPr>
              <w:t>378,416,034.88</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1097" w:val="left" w:leader="none"/>
        </w:tabs>
        <w:spacing w:line="240" w:lineRule="auto" w:before="26"/>
        <w:ind w:left="618" w:right="1869"/>
        <w:jc w:val="left"/>
      </w:pPr>
      <w:r>
        <w:rPr/>
        <w:pict>
          <v:group style="position:absolute;margin-left:169.580002pt;margin-top:36.315628pt;width:180.2pt;height:1pt;mso-position-horizontal-relative:page;mso-position-vertical-relative:paragraph;z-index:-746104" coordorigin="3392,726" coordsize="3604,20">
            <v:group style="position:absolute;left:3401;top:736;width:1688;height:2" coordorigin="3401,736" coordsize="1688,2">
              <v:shape style="position:absolute;left:3401;top:736;width:1688;height:2" coordorigin="3401,736" coordsize="1688,0" path="m3401,736l5089,736e" filled="false" stroked="true" strokeweight=".95999pt" strokecolor="#000000">
                <v:path arrowok="t"/>
              </v:shape>
            </v:group>
            <v:group style="position:absolute;left:5089;top:736;width:20;height:2" coordorigin="5089,736" coordsize="20,2">
              <v:shape style="position:absolute;left:5089;top:736;width:20;height:2" coordorigin="5089,736" coordsize="20,0" path="m5089,736l5108,736e" filled="false" stroked="true" strokeweight=".95999pt" strokecolor="#000000">
                <v:path arrowok="t"/>
              </v:shape>
            </v:group>
            <v:group style="position:absolute;left:5108;top:736;width:262;height:2" coordorigin="5108,736" coordsize="262,2">
              <v:shape style="position:absolute;left:5108;top:736;width:262;height:2" coordorigin="5108,736" coordsize="262,0" path="m5108,736l5370,736e" filled="false" stroked="true" strokeweight=".95999pt" strokecolor="#000000">
                <v:path arrowok="t"/>
              </v:shape>
            </v:group>
            <v:group style="position:absolute;left:5370;top:736;width:20;height:2" coordorigin="5370,736" coordsize="20,2">
              <v:shape style="position:absolute;left:5370;top:736;width:20;height:2" coordorigin="5370,736" coordsize="20,0" path="m5370,736l5389,736e" filled="false" stroked="true" strokeweight=".95999pt" strokecolor="#000000">
                <v:path arrowok="t"/>
              </v:shape>
            </v:group>
            <v:group style="position:absolute;left:5389;top:736;width:1597;height:2" coordorigin="5389,736" coordsize="1597,2">
              <v:shape style="position:absolute;left:5389;top:736;width:1597;height:2" coordorigin="5389,736" coordsize="1597,0" path="m5389,736l6985,736e" filled="false" stroked="true" strokeweight=".95999pt" strokecolor="#000000">
                <v:path arrowok="t"/>
              </v:shape>
            </v:group>
            <w10:wrap type="none"/>
          </v:group>
        </w:pict>
      </w:r>
      <w:r>
        <w:rPr/>
        <w:pict>
          <v:group style="position:absolute;margin-left:360.910004pt;margin-top:36.315628pt;width:174.05pt;height:1pt;mso-position-horizontal-relative:page;mso-position-vertical-relative:paragraph;z-index:-746080" coordorigin="7218,726" coordsize="3481,20">
            <v:group style="position:absolute;left:7228;top:736;width:1599;height:2" coordorigin="7228,736" coordsize="1599,2">
              <v:shape style="position:absolute;left:7228;top:736;width:1599;height:2" coordorigin="7228,736" coordsize="1599,0" path="m7228,736l8827,736e" filled="false" stroked="true" strokeweight=".95999pt" strokecolor="#000000">
                <v:path arrowok="t"/>
              </v:shape>
            </v:group>
            <v:group style="position:absolute;left:8827;top:736;width:20;height:2" coordorigin="8827,736" coordsize="20,2">
              <v:shape style="position:absolute;left:8827;top:736;width:20;height:2" coordorigin="8827,736" coordsize="20,0" path="m8827,736l8846,736e" filled="false" stroked="true" strokeweight=".95999pt" strokecolor="#000000">
                <v:path arrowok="t"/>
              </v:shape>
            </v:group>
            <v:group style="position:absolute;left:8846;top:736;width:224;height:2" coordorigin="8846,736" coordsize="224,2">
              <v:shape style="position:absolute;left:8846;top:736;width:224;height:2" coordorigin="8846,736" coordsize="224,0" path="m8846,736l9069,736e" filled="false" stroked="true" strokeweight=".95999pt" strokecolor="#000000">
                <v:path arrowok="t"/>
              </v:shape>
            </v:group>
            <v:group style="position:absolute;left:9069;top:736;width:20;height:2" coordorigin="9069,736" coordsize="20,2">
              <v:shape style="position:absolute;left:9069;top:736;width:20;height:2" coordorigin="9069,736" coordsize="20,0" path="m9069,736l9088,736e" filled="false" stroked="true" strokeweight=".95999pt" strokecolor="#000000">
                <v:path arrowok="t"/>
              </v:shape>
            </v:group>
            <v:group style="position:absolute;left:9088;top:736;width:1601;height:2" coordorigin="9088,736" coordsize="1601,2">
              <v:shape style="position:absolute;left:9088;top:736;width:1601;height:2" coordorigin="9088,736" coordsize="1601,0" path="m9088,736l10689,736e" filled="false" stroked="true" strokeweight=".95999pt" strokecolor="#000000">
                <v:path arrowok="t"/>
              </v:shape>
            </v:group>
            <w10:wrap type="none"/>
          </v:group>
        </w:pict>
      </w:r>
      <w:r>
        <w:rPr/>
        <w:t>⑵</w:t>
        <w:tab/>
        <w:t>主营业务（分行业）</w:t>
      </w:r>
    </w:p>
    <w:p>
      <w:pPr>
        <w:spacing w:line="240" w:lineRule="auto" w:before="1"/>
        <w:rPr>
          <w:rFonts w:ascii="宋体" w:hAnsi="宋体" w:cs="宋体" w:eastAsia="宋体" w:hint="default"/>
          <w:sz w:val="11"/>
          <w:szCs w:val="11"/>
        </w:rPr>
      </w:pPr>
    </w:p>
    <w:tbl>
      <w:tblPr>
        <w:tblW w:w="0" w:type="auto"/>
        <w:jc w:val="left"/>
        <w:tblInd w:w="174" w:type="dxa"/>
        <w:tblLayout w:type="fixed"/>
        <w:tblCellMar>
          <w:top w:w="0" w:type="dxa"/>
          <w:left w:w="0" w:type="dxa"/>
          <w:bottom w:w="0" w:type="dxa"/>
          <w:right w:w="0" w:type="dxa"/>
        </w:tblCellMar>
        <w:tblLook w:val="01E0"/>
      </w:tblPr>
      <w:tblGrid>
        <w:gridCol w:w="1332"/>
        <w:gridCol w:w="228"/>
        <w:gridCol w:w="1695"/>
        <w:gridCol w:w="274"/>
        <w:gridCol w:w="1623"/>
        <w:gridCol w:w="235"/>
        <w:gridCol w:w="1606"/>
        <w:gridCol w:w="235"/>
        <w:gridCol w:w="1627"/>
      </w:tblGrid>
      <w:tr>
        <w:trPr>
          <w:trHeight w:val="359"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2"/>
              <w:jc w:val="right"/>
              <w:rPr>
                <w:rFonts w:ascii="宋体" w:hAnsi="宋体" w:cs="宋体" w:eastAsia="宋体" w:hint="default"/>
                <w:sz w:val="21"/>
                <w:szCs w:val="21"/>
              </w:rPr>
            </w:pPr>
            <w:r>
              <w:rPr>
                <w:rFonts w:ascii="宋体" w:hAnsi="宋体" w:cs="宋体" w:eastAsia="宋体" w:hint="default"/>
                <w:spacing w:val="-1"/>
                <w:sz w:val="21"/>
                <w:szCs w:val="21"/>
              </w:rPr>
              <w:t>行业名称</w:t>
            </w:r>
          </w:p>
        </w:tc>
        <w:tc>
          <w:tcPr>
            <w:tcW w:w="3819"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9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704"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4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252" w:hRule="exact"/>
        </w:trPr>
        <w:tc>
          <w:tcPr>
            <w:tcW w:w="1332" w:type="dxa"/>
            <w:tcBorders>
              <w:top w:val="nil" w:sz="6" w:space="0" w:color="auto"/>
              <w:left w:val="nil" w:sz="6" w:space="0" w:color="auto"/>
              <w:bottom w:val="single" w:sz="8"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12"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4"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single" w:sz="8" w:space="0" w:color="000000"/>
              <w:right w:val="nil" w:sz="6" w:space="0" w:color="auto"/>
            </w:tcBorders>
          </w:tcPr>
          <w:p>
            <w:pPr>
              <w:pStyle w:val="TableParagraph"/>
              <w:spacing w:line="212"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8" w:space="0" w:color="000000"/>
              <w:right w:val="nil" w:sz="6" w:space="0" w:color="auto"/>
            </w:tcBorders>
          </w:tcPr>
          <w:p>
            <w:pPr>
              <w:pStyle w:val="TableParagraph"/>
              <w:spacing w:line="212" w:lineRule="exact"/>
              <w:ind w:left="9"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8" w:space="0" w:color="000000"/>
              <w:right w:val="nil" w:sz="6" w:space="0" w:color="auto"/>
            </w:tcBorders>
          </w:tcPr>
          <w:p>
            <w:pPr>
              <w:pStyle w:val="TableParagraph"/>
              <w:spacing w:line="212" w:lineRule="exact"/>
              <w:ind w:left="39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0" w:hRule="exact"/>
        </w:trPr>
        <w:tc>
          <w:tcPr>
            <w:tcW w:w="1332"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218"/>
              <w:jc w:val="right"/>
              <w:rPr>
                <w:rFonts w:ascii="宋体" w:hAnsi="宋体" w:cs="宋体" w:eastAsia="宋体" w:hint="default"/>
                <w:sz w:val="21"/>
                <w:szCs w:val="21"/>
              </w:rPr>
            </w:pPr>
            <w:r>
              <w:rPr>
                <w:rFonts w:ascii="宋体" w:hAnsi="宋体" w:cs="宋体" w:eastAsia="宋体" w:hint="default"/>
                <w:spacing w:val="-1"/>
                <w:sz w:val="21"/>
                <w:szCs w:val="21"/>
              </w:rPr>
              <w:t>票证印刷业</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59"/>
              <w:jc w:val="right"/>
              <w:rPr>
                <w:rFonts w:ascii="宋体" w:hAnsi="宋体" w:cs="宋体" w:eastAsia="宋体" w:hint="default"/>
                <w:sz w:val="20"/>
                <w:szCs w:val="20"/>
              </w:rPr>
            </w:pPr>
            <w:r>
              <w:rPr>
                <w:rFonts w:ascii="宋体"/>
                <w:w w:val="95"/>
                <w:sz w:val="20"/>
              </w:rPr>
              <w:t>517,359,689.42</w:t>
            </w:r>
            <w:r>
              <w:rPr>
                <w:rFonts w:ascii="宋体"/>
                <w:sz w:val="20"/>
              </w:rPr>
            </w:r>
          </w:p>
        </w:tc>
        <w:tc>
          <w:tcPr>
            <w:tcW w:w="274" w:type="dxa"/>
            <w:tcBorders>
              <w:top w:val="nil" w:sz="6" w:space="0" w:color="auto"/>
              <w:left w:val="nil" w:sz="6" w:space="0" w:color="auto"/>
              <w:bottom w:val="nil" w:sz="6" w:space="0" w:color="auto"/>
              <w:right w:val="nil" w:sz="6" w:space="0" w:color="auto"/>
            </w:tcBorders>
          </w:tcPr>
          <w:p>
            <w:pPr/>
          </w:p>
        </w:tc>
        <w:tc>
          <w:tcPr>
            <w:tcW w:w="1623"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left="106" w:right="0"/>
              <w:jc w:val="center"/>
              <w:rPr>
                <w:rFonts w:ascii="宋体" w:hAnsi="宋体" w:cs="宋体" w:eastAsia="宋体" w:hint="default"/>
                <w:sz w:val="20"/>
                <w:szCs w:val="20"/>
              </w:rPr>
            </w:pPr>
            <w:r>
              <w:rPr>
                <w:rFonts w:ascii="宋体"/>
                <w:sz w:val="20"/>
              </w:rPr>
              <w:t>390,124,668.36</w:t>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left="90" w:right="0"/>
              <w:jc w:val="center"/>
              <w:rPr>
                <w:rFonts w:ascii="宋体" w:hAnsi="宋体" w:cs="宋体" w:eastAsia="宋体" w:hint="default"/>
                <w:sz w:val="20"/>
                <w:szCs w:val="20"/>
              </w:rPr>
            </w:pPr>
            <w:r>
              <w:rPr>
                <w:rFonts w:ascii="宋体"/>
                <w:sz w:val="20"/>
              </w:rPr>
              <w:t>460,107,001.24</w:t>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right="56"/>
              <w:jc w:val="right"/>
              <w:rPr>
                <w:rFonts w:ascii="宋体" w:hAnsi="宋体" w:cs="宋体" w:eastAsia="宋体" w:hint="default"/>
                <w:sz w:val="20"/>
                <w:szCs w:val="20"/>
              </w:rPr>
            </w:pPr>
            <w:r>
              <w:rPr>
                <w:rFonts w:ascii="宋体"/>
                <w:w w:val="95"/>
                <w:sz w:val="20"/>
              </w:rPr>
              <w:t>335,415,792.57</w:t>
            </w:r>
            <w:r>
              <w:rPr>
                <w:rFonts w:ascii="宋体"/>
                <w:sz w:val="20"/>
              </w:rPr>
            </w:r>
          </w:p>
        </w:tc>
      </w:tr>
      <w:tr>
        <w:trPr>
          <w:trHeight w:val="374"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59"/>
              <w:jc w:val="right"/>
              <w:rPr>
                <w:rFonts w:ascii="宋体" w:hAnsi="宋体" w:cs="宋体" w:eastAsia="宋体" w:hint="default"/>
                <w:sz w:val="20"/>
                <w:szCs w:val="20"/>
              </w:rPr>
            </w:pPr>
            <w:r>
              <w:rPr>
                <w:rFonts w:ascii="宋体"/>
                <w:w w:val="95"/>
                <w:sz w:val="20"/>
              </w:rPr>
              <w:t>517,359,689.42</w:t>
            </w:r>
            <w:r>
              <w:rPr>
                <w:rFonts w:ascii="宋体"/>
                <w:sz w:val="20"/>
              </w:rPr>
            </w:r>
          </w:p>
        </w:tc>
        <w:tc>
          <w:tcPr>
            <w:tcW w:w="274" w:type="dxa"/>
            <w:tcBorders>
              <w:top w:val="nil" w:sz="6" w:space="0" w:color="auto"/>
              <w:left w:val="nil" w:sz="6" w:space="0" w:color="auto"/>
              <w:bottom w:val="nil" w:sz="6" w:space="0" w:color="auto"/>
              <w:right w:val="nil" w:sz="6" w:space="0" w:color="auto"/>
            </w:tcBorders>
          </w:tcPr>
          <w:p>
            <w:pPr/>
          </w:p>
        </w:tc>
        <w:tc>
          <w:tcPr>
            <w:tcW w:w="1623"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left="106" w:right="0"/>
              <w:jc w:val="center"/>
              <w:rPr>
                <w:rFonts w:ascii="宋体" w:hAnsi="宋体" w:cs="宋体" w:eastAsia="宋体" w:hint="default"/>
                <w:sz w:val="20"/>
                <w:szCs w:val="20"/>
              </w:rPr>
            </w:pPr>
            <w:r>
              <w:rPr>
                <w:rFonts w:ascii="宋体"/>
                <w:sz w:val="20"/>
              </w:rPr>
              <w:t>390,124,668.36</w:t>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left="90" w:right="0"/>
              <w:jc w:val="center"/>
              <w:rPr>
                <w:rFonts w:ascii="宋体" w:hAnsi="宋体" w:cs="宋体" w:eastAsia="宋体" w:hint="default"/>
                <w:sz w:val="20"/>
                <w:szCs w:val="20"/>
              </w:rPr>
            </w:pPr>
            <w:r>
              <w:rPr>
                <w:rFonts w:ascii="宋体"/>
                <w:sz w:val="20"/>
              </w:rPr>
              <w:t>460,107,001.24</w:t>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56"/>
              <w:jc w:val="right"/>
              <w:rPr>
                <w:rFonts w:ascii="宋体" w:hAnsi="宋体" w:cs="宋体" w:eastAsia="宋体" w:hint="default"/>
                <w:sz w:val="20"/>
                <w:szCs w:val="20"/>
              </w:rPr>
            </w:pPr>
            <w:r>
              <w:rPr>
                <w:rFonts w:ascii="宋体"/>
                <w:w w:val="95"/>
                <w:sz w:val="20"/>
              </w:rPr>
              <w:t>335,415,792.57</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tabs>
          <w:tab w:pos="1097" w:val="left" w:leader="none"/>
        </w:tabs>
        <w:spacing w:line="240" w:lineRule="auto" w:before="26"/>
        <w:ind w:left="618" w:right="1869"/>
        <w:jc w:val="left"/>
      </w:pPr>
      <w:r>
        <w:rPr/>
        <w:t>⑶</w:t>
        <w:tab/>
        <w:t>主营业务（分产品）</w:t>
      </w:r>
    </w:p>
    <w:p>
      <w:pPr>
        <w:spacing w:line="240" w:lineRule="auto" w:before="12"/>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20"/>
        <w:gridCol w:w="238"/>
        <w:gridCol w:w="1764"/>
        <w:gridCol w:w="214"/>
        <w:gridCol w:w="1695"/>
        <w:gridCol w:w="276"/>
        <w:gridCol w:w="1695"/>
        <w:gridCol w:w="214"/>
        <w:gridCol w:w="1694"/>
      </w:tblGrid>
      <w:tr>
        <w:trPr>
          <w:trHeight w:val="251" w:hRule="exact"/>
        </w:trPr>
        <w:tc>
          <w:tcPr>
            <w:tcW w:w="5231"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286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879"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552"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22" w:hRule="exact"/>
        </w:trPr>
        <w:tc>
          <w:tcPr>
            <w:tcW w:w="132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46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 w:type="dxa"/>
            <w:tcBorders>
              <w:top w:val="single" w:sz="8" w:space="0" w:color="000000"/>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76"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4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 w:type="dxa"/>
            <w:tcBorders>
              <w:top w:val="single" w:sz="8" w:space="0" w:color="000000"/>
              <w:left w:val="nil" w:sz="6" w:space="0" w:color="auto"/>
              <w:bottom w:val="nil" w:sz="6" w:space="0" w:color="auto"/>
              <w:right w:val="nil" w:sz="6" w:space="0" w:color="auto"/>
            </w:tcBorders>
          </w:tcPr>
          <w:p>
            <w:pPr/>
          </w:p>
        </w:tc>
        <w:tc>
          <w:tcPr>
            <w:tcW w:w="1694"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0" w:hRule="exact"/>
        </w:trPr>
        <w:tc>
          <w:tcPr>
            <w:tcW w:w="1320" w:type="dxa"/>
            <w:tcBorders>
              <w:top w:val="single" w:sz="8" w:space="0" w:color="000000"/>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商业票证</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389,883,321.63</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286,961,387.79</w:t>
            </w:r>
          </w:p>
        </w:tc>
        <w:tc>
          <w:tcPr>
            <w:tcW w:w="276"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392,192,936.45</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single" w:sz="8" w:space="0" w:color="000000"/>
              <w:left w:val="nil" w:sz="6" w:space="0" w:color="auto"/>
              <w:bottom w:val="nil" w:sz="6" w:space="0" w:color="auto"/>
              <w:right w:val="nil" w:sz="6" w:space="0" w:color="auto"/>
            </w:tcBorders>
          </w:tcPr>
          <w:p>
            <w:pPr>
              <w:pStyle w:val="TableParagraph"/>
              <w:spacing w:line="253" w:lineRule="exact"/>
              <w:ind w:left="9" w:right="0"/>
              <w:jc w:val="center"/>
              <w:rPr>
                <w:rFonts w:ascii="宋体" w:hAnsi="宋体" w:cs="宋体" w:eastAsia="宋体" w:hint="default"/>
                <w:sz w:val="21"/>
                <w:szCs w:val="21"/>
              </w:rPr>
            </w:pPr>
            <w:r>
              <w:rPr>
                <w:rFonts w:ascii="宋体"/>
                <w:sz w:val="21"/>
              </w:rPr>
              <w:t>282,836,566.59</w:t>
            </w:r>
          </w:p>
        </w:tc>
      </w:tr>
      <w:tr>
        <w:trPr>
          <w:trHeight w:val="286"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标签</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40,258,697.59</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31,633,056.64</w:t>
            </w:r>
          </w:p>
        </w:tc>
        <w:tc>
          <w:tcPr>
            <w:tcW w:w="27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32,762,279.66</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8" w:lineRule="exact"/>
              <w:ind w:left="115" w:right="0"/>
              <w:jc w:val="center"/>
              <w:rPr>
                <w:rFonts w:ascii="宋体" w:hAnsi="宋体" w:cs="宋体" w:eastAsia="宋体" w:hint="default"/>
                <w:sz w:val="21"/>
                <w:szCs w:val="21"/>
              </w:rPr>
            </w:pPr>
            <w:r>
              <w:rPr>
                <w:rFonts w:ascii="宋体"/>
                <w:sz w:val="21"/>
              </w:rPr>
              <w:t>22,727,730.46</w:t>
            </w:r>
          </w:p>
        </w:tc>
      </w:tr>
      <w:tr>
        <w:trPr>
          <w:trHeight w:val="286"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数据产品</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40,836,761.32</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32,132,591.42</w:t>
            </w:r>
          </w:p>
        </w:tc>
        <w:tc>
          <w:tcPr>
            <w:tcW w:w="27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29,874,717.70</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8" w:lineRule="exact"/>
              <w:ind w:left="115" w:right="0"/>
              <w:jc w:val="center"/>
              <w:rPr>
                <w:rFonts w:ascii="宋体" w:hAnsi="宋体" w:cs="宋体" w:eastAsia="宋体" w:hint="default"/>
                <w:sz w:val="21"/>
                <w:szCs w:val="21"/>
              </w:rPr>
            </w:pPr>
            <w:r>
              <w:rPr>
                <w:rFonts w:ascii="宋体"/>
                <w:sz w:val="21"/>
              </w:rPr>
              <w:t>24,393,304.16</w:t>
            </w:r>
          </w:p>
        </w:tc>
      </w:tr>
      <w:tr>
        <w:trPr>
          <w:trHeight w:val="284"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彩印</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41,152,975.61</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31,217,201.48</w:t>
            </w:r>
          </w:p>
        </w:tc>
        <w:tc>
          <w:tcPr>
            <w:tcW w:w="27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5,277,067.43</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8" w:lineRule="exact"/>
              <w:ind w:left="220" w:right="0"/>
              <w:jc w:val="center"/>
              <w:rPr>
                <w:rFonts w:ascii="宋体" w:hAnsi="宋体" w:cs="宋体" w:eastAsia="宋体" w:hint="default"/>
                <w:sz w:val="21"/>
                <w:szCs w:val="21"/>
              </w:rPr>
            </w:pPr>
            <w:r>
              <w:rPr>
                <w:rFonts w:ascii="宋体"/>
                <w:sz w:val="21"/>
              </w:rPr>
              <w:t>5,458,191.36</w:t>
            </w:r>
          </w:p>
        </w:tc>
      </w:tr>
      <w:tr>
        <w:trPr>
          <w:trHeight w:val="289"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卡类产品</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8"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5,227,933.27</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47" w:lineRule="exact"/>
              <w:ind w:right="103"/>
              <w:jc w:val="right"/>
              <w:rPr>
                <w:rFonts w:ascii="宋体" w:hAnsi="宋体" w:cs="宋体" w:eastAsia="宋体" w:hint="default"/>
                <w:sz w:val="21"/>
                <w:szCs w:val="21"/>
              </w:rPr>
            </w:pPr>
            <w:r>
              <w:rPr>
                <w:rFonts w:ascii="宋体"/>
                <w:spacing w:val="-1"/>
                <w:sz w:val="21"/>
              </w:rPr>
              <w:t>8,180,431.03</w:t>
            </w:r>
          </w:p>
        </w:tc>
        <w:tc>
          <w:tcPr>
            <w:tcW w:w="27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8" w:space="0" w:color="000000"/>
              <w:right w:val="nil" w:sz="6" w:space="0" w:color="auto"/>
            </w:tcBorders>
          </w:tcPr>
          <w:p>
            <w:pPr/>
          </w:p>
        </w:tc>
      </w:tr>
      <w:tr>
        <w:trPr>
          <w:trHeight w:val="334"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single" w:sz="8" w:space="0" w:color="000000"/>
              <w:left w:val="nil" w:sz="6" w:space="0" w:color="auto"/>
              <w:bottom w:val="single" w:sz="17"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517,359,689.42</w:t>
            </w:r>
          </w:p>
        </w:tc>
        <w:tc>
          <w:tcPr>
            <w:tcW w:w="214"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390,124,668.36</w:t>
            </w:r>
          </w:p>
        </w:tc>
        <w:tc>
          <w:tcPr>
            <w:tcW w:w="276"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7" w:space="0" w:color="000000"/>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spacing w:val="-1"/>
                <w:sz w:val="21"/>
              </w:rPr>
              <w:t>460,107,001.24</w:t>
            </w:r>
          </w:p>
        </w:tc>
        <w:tc>
          <w:tcPr>
            <w:tcW w:w="214" w:type="dxa"/>
            <w:tcBorders>
              <w:top w:val="nil" w:sz="6" w:space="0" w:color="auto"/>
              <w:left w:val="nil" w:sz="6" w:space="0" w:color="auto"/>
              <w:bottom w:val="nil" w:sz="6" w:space="0" w:color="auto"/>
              <w:right w:val="nil" w:sz="6" w:space="0" w:color="auto"/>
            </w:tcBorders>
          </w:tcPr>
          <w:p>
            <w:pPr/>
          </w:p>
        </w:tc>
        <w:tc>
          <w:tcPr>
            <w:tcW w:w="1694" w:type="dxa"/>
            <w:tcBorders>
              <w:top w:val="single" w:sz="8" w:space="0" w:color="000000"/>
              <w:left w:val="nil" w:sz="6" w:space="0" w:color="auto"/>
              <w:bottom w:val="single" w:sz="17"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335,415,792.57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tabs>
          <w:tab w:pos="1097" w:val="left" w:leader="none"/>
        </w:tabs>
        <w:spacing w:line="240" w:lineRule="auto" w:before="26"/>
        <w:ind w:left="618" w:right="1869"/>
        <w:jc w:val="left"/>
      </w:pPr>
      <w:r>
        <w:rPr/>
        <w:t>⑷</w:t>
        <w:tab/>
        <w:t>主营业务（分地区）</w:t>
      </w:r>
    </w:p>
    <w:p>
      <w:pPr>
        <w:spacing w:line="240" w:lineRule="auto" w:before="11"/>
        <w:rPr>
          <w:rFonts w:ascii="宋体" w:hAnsi="宋体" w:cs="宋体" w:eastAsia="宋体" w:hint="default"/>
          <w:sz w:val="6"/>
          <w:szCs w:val="6"/>
        </w:rPr>
      </w:pPr>
    </w:p>
    <w:tbl>
      <w:tblPr>
        <w:tblW w:w="0" w:type="auto"/>
        <w:jc w:val="left"/>
        <w:tblInd w:w="174" w:type="dxa"/>
        <w:tblLayout w:type="fixed"/>
        <w:tblCellMar>
          <w:top w:w="0" w:type="dxa"/>
          <w:left w:w="0" w:type="dxa"/>
          <w:bottom w:w="0" w:type="dxa"/>
          <w:right w:w="0" w:type="dxa"/>
        </w:tblCellMar>
        <w:tblLook w:val="01E0"/>
      </w:tblPr>
      <w:tblGrid>
        <w:gridCol w:w="1385"/>
        <w:gridCol w:w="218"/>
        <w:gridCol w:w="1596"/>
        <w:gridCol w:w="228"/>
        <w:gridCol w:w="1716"/>
        <w:gridCol w:w="230"/>
        <w:gridCol w:w="1603"/>
        <w:gridCol w:w="229"/>
        <w:gridCol w:w="1649"/>
      </w:tblGrid>
      <w:tr>
        <w:trPr>
          <w:trHeight w:val="253" w:hRule="exact"/>
        </w:trPr>
        <w:tc>
          <w:tcPr>
            <w:tcW w:w="5144"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284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711"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44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74" w:hRule="exact"/>
        </w:trPr>
        <w:tc>
          <w:tcPr>
            <w:tcW w:w="138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 w:type="dxa"/>
            <w:tcBorders>
              <w:top w:val="single" w:sz="8" w:space="0" w:color="000000"/>
              <w:left w:val="nil" w:sz="6" w:space="0" w:color="auto"/>
              <w:bottom w:val="nil" w:sz="6" w:space="0" w:color="auto"/>
              <w:right w:val="nil" w:sz="6" w:space="0" w:color="auto"/>
            </w:tcBorders>
          </w:tcPr>
          <w:p>
            <w:pPr/>
          </w:p>
        </w:tc>
        <w:tc>
          <w:tcPr>
            <w:tcW w:w="1716"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9" w:type="dxa"/>
            <w:tcBorders>
              <w:top w:val="single" w:sz="8" w:space="0" w:color="000000"/>
              <w:left w:val="nil" w:sz="6" w:space="0" w:color="auto"/>
              <w:bottom w:val="nil" w:sz="6" w:space="0" w:color="auto"/>
              <w:right w:val="nil" w:sz="6" w:space="0" w:color="auto"/>
            </w:tcBorders>
          </w:tcPr>
          <w:p>
            <w:pPr/>
          </w:p>
        </w:tc>
        <w:tc>
          <w:tcPr>
            <w:tcW w:w="1649"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385" w:type="dxa"/>
            <w:tcBorders>
              <w:top w:val="single" w:sz="8" w:space="0" w:color="000000"/>
              <w:left w:val="nil" w:sz="6" w:space="0" w:color="auto"/>
              <w:bottom w:val="nil" w:sz="6" w:space="0" w:color="auto"/>
              <w:right w:val="nil" w:sz="6" w:space="0" w:color="auto"/>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nil" w:sz="6" w:space="0" w:color="auto"/>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515,614,314.42</w:t>
            </w:r>
          </w:p>
        </w:tc>
        <w:tc>
          <w:tcPr>
            <w:tcW w:w="228" w:type="dxa"/>
            <w:tcBorders>
              <w:top w:val="nil" w:sz="6" w:space="0" w:color="auto"/>
              <w:left w:val="nil" w:sz="6" w:space="0" w:color="auto"/>
              <w:bottom w:val="nil" w:sz="6" w:space="0" w:color="auto"/>
              <w:right w:val="nil" w:sz="6" w:space="0" w:color="auto"/>
            </w:tcBorders>
          </w:tcPr>
          <w:p>
            <w:pPr/>
          </w:p>
        </w:tc>
        <w:tc>
          <w:tcPr>
            <w:tcW w:w="1716" w:type="dxa"/>
            <w:tcBorders>
              <w:top w:val="single" w:sz="8" w:space="0" w:color="000000"/>
              <w:left w:val="nil" w:sz="6" w:space="0" w:color="auto"/>
              <w:bottom w:val="nil" w:sz="6" w:space="0" w:color="auto"/>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388,565,410.21</w:t>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single" w:sz="8" w:space="0" w:color="000000"/>
              <w:left w:val="nil" w:sz="6" w:space="0" w:color="auto"/>
              <w:bottom w:val="nil" w:sz="6" w:space="0" w:color="auto"/>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458,773,195.63</w:t>
            </w:r>
          </w:p>
        </w:tc>
        <w:tc>
          <w:tcPr>
            <w:tcW w:w="229" w:type="dxa"/>
            <w:tcBorders>
              <w:top w:val="nil" w:sz="6" w:space="0" w:color="auto"/>
              <w:left w:val="nil" w:sz="6" w:space="0" w:color="auto"/>
              <w:bottom w:val="nil" w:sz="6" w:space="0" w:color="auto"/>
              <w:right w:val="nil" w:sz="6" w:space="0" w:color="auto"/>
            </w:tcBorders>
          </w:tcPr>
          <w:p>
            <w:pPr/>
          </w:p>
        </w:tc>
        <w:tc>
          <w:tcPr>
            <w:tcW w:w="1649" w:type="dxa"/>
            <w:tcBorders>
              <w:top w:val="single" w:sz="8" w:space="0" w:color="000000"/>
              <w:left w:val="nil" w:sz="6" w:space="0" w:color="auto"/>
              <w:bottom w:val="nil" w:sz="6" w:space="0" w:color="auto"/>
              <w:right w:val="nil" w:sz="6" w:space="0" w:color="auto"/>
            </w:tcBorders>
          </w:tcPr>
          <w:p>
            <w:pPr>
              <w:pStyle w:val="TableParagraph"/>
              <w:spacing w:line="242" w:lineRule="exact"/>
              <w:ind w:right="56"/>
              <w:jc w:val="right"/>
              <w:rPr>
                <w:rFonts w:ascii="宋体" w:hAnsi="宋体" w:cs="宋体" w:eastAsia="宋体" w:hint="default"/>
                <w:sz w:val="20"/>
                <w:szCs w:val="20"/>
              </w:rPr>
            </w:pPr>
            <w:r>
              <w:rPr>
                <w:rFonts w:ascii="宋体"/>
                <w:w w:val="95"/>
                <w:sz w:val="20"/>
              </w:rPr>
              <w:t>334,455,160.68</w:t>
            </w:r>
            <w:r>
              <w:rPr>
                <w:rFonts w:ascii="宋体"/>
                <w:sz w:val="20"/>
              </w:rPr>
            </w:r>
          </w:p>
        </w:tc>
      </w:tr>
      <w:tr>
        <w:trPr>
          <w:trHeight w:val="288"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8" w:lineRule="exact"/>
              <w:ind w:left="4"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8" w:space="0" w:color="000000"/>
              <w:right w:val="nil" w:sz="6" w:space="0" w:color="auto"/>
            </w:tcBorders>
          </w:tcPr>
          <w:p>
            <w:pPr>
              <w:pStyle w:val="TableParagraph"/>
              <w:spacing w:line="248" w:lineRule="exact"/>
              <w:ind w:right="53"/>
              <w:jc w:val="right"/>
              <w:rPr>
                <w:rFonts w:ascii="宋体" w:hAnsi="宋体" w:cs="宋体" w:eastAsia="宋体" w:hint="default"/>
                <w:sz w:val="21"/>
                <w:szCs w:val="21"/>
              </w:rPr>
            </w:pPr>
            <w:r>
              <w:rPr>
                <w:rFonts w:ascii="宋体"/>
                <w:spacing w:val="-1"/>
                <w:sz w:val="21"/>
              </w:rPr>
              <w:t>1,745,375.00</w:t>
            </w:r>
          </w:p>
        </w:tc>
        <w:tc>
          <w:tcPr>
            <w:tcW w:w="228"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8" w:space="0" w:color="000000"/>
              <w:right w:val="nil" w:sz="6" w:space="0" w:color="auto"/>
            </w:tcBorders>
          </w:tcPr>
          <w:p>
            <w:pPr>
              <w:pStyle w:val="TableParagraph"/>
              <w:spacing w:line="248" w:lineRule="exact"/>
              <w:ind w:right="53"/>
              <w:jc w:val="right"/>
              <w:rPr>
                <w:rFonts w:ascii="宋体" w:hAnsi="宋体" w:cs="宋体" w:eastAsia="宋体" w:hint="default"/>
                <w:sz w:val="21"/>
                <w:szCs w:val="21"/>
              </w:rPr>
            </w:pPr>
            <w:r>
              <w:rPr>
                <w:rFonts w:ascii="宋体"/>
                <w:spacing w:val="-1"/>
                <w:sz w:val="21"/>
              </w:rPr>
              <w:t>1,559,258.15</w:t>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8" w:space="0" w:color="000000"/>
              <w:right w:val="nil" w:sz="6" w:space="0" w:color="auto"/>
            </w:tcBorders>
          </w:tcPr>
          <w:p>
            <w:pPr>
              <w:pStyle w:val="TableParagraph"/>
              <w:spacing w:line="248" w:lineRule="exact"/>
              <w:ind w:right="53"/>
              <w:jc w:val="right"/>
              <w:rPr>
                <w:rFonts w:ascii="宋体" w:hAnsi="宋体" w:cs="宋体" w:eastAsia="宋体" w:hint="default"/>
                <w:sz w:val="21"/>
                <w:szCs w:val="21"/>
              </w:rPr>
            </w:pPr>
            <w:r>
              <w:rPr>
                <w:rFonts w:ascii="宋体"/>
                <w:spacing w:val="-1"/>
                <w:sz w:val="21"/>
              </w:rPr>
              <w:t>1,333,805.61</w:t>
            </w:r>
          </w:p>
        </w:tc>
        <w:tc>
          <w:tcPr>
            <w:tcW w:w="22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8" w:space="0" w:color="000000"/>
              <w:right w:val="nil" w:sz="6" w:space="0" w:color="auto"/>
            </w:tcBorders>
          </w:tcPr>
          <w:p>
            <w:pPr>
              <w:pStyle w:val="TableParagraph"/>
              <w:spacing w:line="249" w:lineRule="exact"/>
              <w:ind w:right="55"/>
              <w:jc w:val="right"/>
              <w:rPr>
                <w:rFonts w:ascii="宋体" w:hAnsi="宋体" w:cs="宋体" w:eastAsia="宋体" w:hint="default"/>
                <w:sz w:val="20"/>
                <w:szCs w:val="20"/>
              </w:rPr>
            </w:pPr>
            <w:r>
              <w:rPr>
                <w:rFonts w:ascii="宋体"/>
                <w:w w:val="95"/>
                <w:sz w:val="20"/>
              </w:rPr>
              <w:t>960,631.89</w:t>
            </w:r>
            <w:r>
              <w:rPr>
                <w:rFonts w:ascii="宋体"/>
                <w:sz w:val="20"/>
              </w:rPr>
            </w:r>
          </w:p>
        </w:tc>
      </w:tr>
      <w:tr>
        <w:trPr>
          <w:trHeight w:val="319"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8"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single" w:sz="17" w:space="0" w:color="000000"/>
              <w:right w:val="nil" w:sz="6" w:space="0" w:color="auto"/>
            </w:tcBorders>
          </w:tcPr>
          <w:p>
            <w:pPr>
              <w:pStyle w:val="TableParagraph"/>
              <w:spacing w:line="255" w:lineRule="exact"/>
              <w:ind w:right="53"/>
              <w:jc w:val="right"/>
              <w:rPr>
                <w:rFonts w:ascii="宋体" w:hAnsi="宋体" w:cs="宋体" w:eastAsia="宋体" w:hint="default"/>
                <w:sz w:val="21"/>
                <w:szCs w:val="21"/>
              </w:rPr>
            </w:pPr>
            <w:r>
              <w:rPr>
                <w:rFonts w:ascii="宋体"/>
                <w:spacing w:val="-1"/>
                <w:sz w:val="21"/>
              </w:rPr>
              <w:t>517,359,689.42</w:t>
            </w:r>
          </w:p>
        </w:tc>
        <w:tc>
          <w:tcPr>
            <w:tcW w:w="228" w:type="dxa"/>
            <w:tcBorders>
              <w:top w:val="nil" w:sz="6" w:space="0" w:color="auto"/>
              <w:left w:val="nil" w:sz="6" w:space="0" w:color="auto"/>
              <w:bottom w:val="nil" w:sz="6" w:space="0" w:color="auto"/>
              <w:right w:val="nil" w:sz="6" w:space="0" w:color="auto"/>
            </w:tcBorders>
          </w:tcPr>
          <w:p>
            <w:pPr/>
          </w:p>
        </w:tc>
        <w:tc>
          <w:tcPr>
            <w:tcW w:w="1716" w:type="dxa"/>
            <w:tcBorders>
              <w:top w:val="single" w:sz="8" w:space="0" w:color="000000"/>
              <w:left w:val="nil" w:sz="6" w:space="0" w:color="auto"/>
              <w:bottom w:val="single" w:sz="17" w:space="0" w:color="000000"/>
              <w:right w:val="nil" w:sz="6" w:space="0" w:color="auto"/>
            </w:tcBorders>
          </w:tcPr>
          <w:p>
            <w:pPr>
              <w:pStyle w:val="TableParagraph"/>
              <w:spacing w:line="255" w:lineRule="exact"/>
              <w:ind w:right="53"/>
              <w:jc w:val="right"/>
              <w:rPr>
                <w:rFonts w:ascii="宋体" w:hAnsi="宋体" w:cs="宋体" w:eastAsia="宋体" w:hint="default"/>
                <w:sz w:val="21"/>
                <w:szCs w:val="21"/>
              </w:rPr>
            </w:pPr>
            <w:r>
              <w:rPr>
                <w:rFonts w:ascii="宋体"/>
                <w:spacing w:val="-1"/>
                <w:sz w:val="21"/>
              </w:rPr>
              <w:t>390,124,668.36</w:t>
            </w:r>
          </w:p>
        </w:tc>
        <w:tc>
          <w:tcPr>
            <w:tcW w:w="230" w:type="dxa"/>
            <w:tcBorders>
              <w:top w:val="nil" w:sz="6" w:space="0" w:color="auto"/>
              <w:left w:val="nil" w:sz="6" w:space="0" w:color="auto"/>
              <w:bottom w:val="nil" w:sz="6" w:space="0" w:color="auto"/>
              <w:right w:val="nil" w:sz="6" w:space="0" w:color="auto"/>
            </w:tcBorders>
          </w:tcPr>
          <w:p>
            <w:pPr/>
          </w:p>
        </w:tc>
        <w:tc>
          <w:tcPr>
            <w:tcW w:w="1603" w:type="dxa"/>
            <w:tcBorders>
              <w:top w:val="single" w:sz="8" w:space="0" w:color="000000"/>
              <w:left w:val="nil" w:sz="6" w:space="0" w:color="auto"/>
              <w:bottom w:val="single" w:sz="17" w:space="0" w:color="000000"/>
              <w:right w:val="nil" w:sz="6" w:space="0" w:color="auto"/>
            </w:tcBorders>
          </w:tcPr>
          <w:p>
            <w:pPr>
              <w:pStyle w:val="TableParagraph"/>
              <w:spacing w:line="255" w:lineRule="exact"/>
              <w:ind w:right="53"/>
              <w:jc w:val="right"/>
              <w:rPr>
                <w:rFonts w:ascii="宋体" w:hAnsi="宋体" w:cs="宋体" w:eastAsia="宋体" w:hint="default"/>
                <w:sz w:val="21"/>
                <w:szCs w:val="21"/>
              </w:rPr>
            </w:pPr>
            <w:r>
              <w:rPr>
                <w:rFonts w:ascii="宋体"/>
                <w:spacing w:val="-1"/>
                <w:sz w:val="21"/>
              </w:rPr>
              <w:t>460,107,001.24</w:t>
            </w:r>
          </w:p>
        </w:tc>
        <w:tc>
          <w:tcPr>
            <w:tcW w:w="229" w:type="dxa"/>
            <w:tcBorders>
              <w:top w:val="nil" w:sz="6" w:space="0" w:color="auto"/>
              <w:left w:val="nil" w:sz="6" w:space="0" w:color="auto"/>
              <w:bottom w:val="nil" w:sz="6" w:space="0" w:color="auto"/>
              <w:right w:val="nil" w:sz="6" w:space="0" w:color="auto"/>
            </w:tcBorders>
          </w:tcPr>
          <w:p>
            <w:pPr/>
          </w:p>
        </w:tc>
        <w:tc>
          <w:tcPr>
            <w:tcW w:w="1649" w:type="dxa"/>
            <w:tcBorders>
              <w:top w:val="single" w:sz="8" w:space="0" w:color="000000"/>
              <w:left w:val="nil" w:sz="6" w:space="0" w:color="auto"/>
              <w:bottom w:val="single" w:sz="17" w:space="0" w:color="000000"/>
              <w:right w:val="nil" w:sz="6" w:space="0" w:color="auto"/>
            </w:tcBorders>
          </w:tcPr>
          <w:p>
            <w:pPr>
              <w:pStyle w:val="TableParagraph"/>
              <w:spacing w:line="255" w:lineRule="exact"/>
              <w:ind w:right="53"/>
              <w:jc w:val="right"/>
              <w:rPr>
                <w:rFonts w:ascii="宋体" w:hAnsi="宋体" w:cs="宋体" w:eastAsia="宋体" w:hint="default"/>
                <w:sz w:val="21"/>
                <w:szCs w:val="21"/>
              </w:rPr>
            </w:pPr>
            <w:r>
              <w:rPr>
                <w:rFonts w:ascii="宋体"/>
                <w:spacing w:val="-1"/>
                <w:sz w:val="21"/>
              </w:rPr>
              <w:t>335,415,792.57</w:t>
            </w:r>
          </w:p>
        </w:tc>
      </w:tr>
    </w:tbl>
    <w:p>
      <w:pPr>
        <w:spacing w:after="0" w:line="255" w:lineRule="exact"/>
        <w:jc w:val="right"/>
        <w:rPr>
          <w:rFonts w:ascii="宋体" w:hAnsi="宋体" w:cs="宋体" w:eastAsia="宋体" w:hint="default"/>
          <w:sz w:val="21"/>
          <w:szCs w:val="21"/>
        </w:rPr>
        <w:sectPr>
          <w:headerReference w:type="default" r:id="rId51"/>
          <w:footerReference w:type="default" r:id="rId52"/>
          <w:pgSz w:w="11910" w:h="16840"/>
          <w:pgMar w:header="798" w:footer="956" w:top="1100" w:bottom="1140" w:left="1660" w:right="0"/>
          <w:pgNumType w:start="118"/>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3"/>
        <w:ind w:left="618" w:right="1869"/>
        <w:jc w:val="left"/>
      </w:pPr>
      <w:r>
        <w:rPr/>
        <w:t>⑸ 公司前五名客户的营业收入情况</w:t>
      </w:r>
    </w:p>
    <w:p>
      <w:pPr>
        <w:spacing w:line="240" w:lineRule="auto" w:before="6"/>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045"/>
        <w:gridCol w:w="221"/>
        <w:gridCol w:w="3363"/>
        <w:gridCol w:w="223"/>
        <w:gridCol w:w="2708"/>
      </w:tblGrid>
      <w:tr>
        <w:trPr>
          <w:trHeight w:val="254" w:hRule="exact"/>
        </w:trPr>
        <w:tc>
          <w:tcPr>
            <w:tcW w:w="2045" w:type="dxa"/>
            <w:tcBorders>
              <w:top w:val="nil" w:sz="6" w:space="0" w:color="auto"/>
              <w:left w:val="nil" w:sz="6" w:space="0" w:color="auto"/>
              <w:bottom w:val="single" w:sz="8" w:space="0" w:color="000000"/>
              <w:right w:val="nil" w:sz="6" w:space="0" w:color="auto"/>
            </w:tcBorders>
          </w:tcPr>
          <w:p>
            <w:pPr>
              <w:pStyle w:val="TableParagraph"/>
              <w:spacing w:line="211" w:lineRule="exact"/>
              <w:ind w:left="210" w:right="0"/>
              <w:jc w:val="center"/>
              <w:rPr>
                <w:rFonts w:ascii="宋体" w:hAnsi="宋体" w:cs="宋体" w:eastAsia="宋体" w:hint="default"/>
                <w:sz w:val="21"/>
                <w:szCs w:val="21"/>
              </w:rPr>
            </w:pPr>
            <w:r>
              <w:rPr>
                <w:rFonts w:ascii="宋体" w:hAnsi="宋体" w:cs="宋体" w:eastAsia="宋体" w:hint="default"/>
                <w:sz w:val="21"/>
                <w:szCs w:val="21"/>
              </w:rPr>
              <w:t>期间</w:t>
            </w:r>
          </w:p>
        </w:tc>
        <w:tc>
          <w:tcPr>
            <w:tcW w:w="221" w:type="dxa"/>
            <w:tcBorders>
              <w:top w:val="nil" w:sz="6" w:space="0" w:color="auto"/>
              <w:left w:val="nil" w:sz="6" w:space="0" w:color="auto"/>
              <w:bottom w:val="nil" w:sz="6" w:space="0" w:color="auto"/>
              <w:right w:val="nil" w:sz="6" w:space="0" w:color="auto"/>
            </w:tcBorders>
          </w:tcPr>
          <w:p>
            <w:pPr/>
          </w:p>
        </w:tc>
        <w:tc>
          <w:tcPr>
            <w:tcW w:w="3363" w:type="dxa"/>
            <w:tcBorders>
              <w:top w:val="nil" w:sz="6" w:space="0" w:color="auto"/>
              <w:left w:val="nil" w:sz="6" w:space="0" w:color="auto"/>
              <w:bottom w:val="single" w:sz="8" w:space="0" w:color="000000"/>
              <w:right w:val="nil" w:sz="6" w:space="0" w:color="auto"/>
            </w:tcBorders>
          </w:tcPr>
          <w:p>
            <w:pPr>
              <w:pStyle w:val="TableParagraph"/>
              <w:spacing w:line="211" w:lineRule="exact"/>
              <w:ind w:left="525" w:right="0"/>
              <w:jc w:val="left"/>
              <w:rPr>
                <w:rFonts w:ascii="宋体" w:hAnsi="宋体" w:cs="宋体" w:eastAsia="宋体" w:hint="default"/>
                <w:sz w:val="21"/>
                <w:szCs w:val="21"/>
              </w:rPr>
            </w:pPr>
            <w:r>
              <w:rPr>
                <w:rFonts w:ascii="宋体" w:hAnsi="宋体" w:cs="宋体" w:eastAsia="宋体" w:hint="default"/>
                <w:sz w:val="21"/>
                <w:szCs w:val="21"/>
              </w:rPr>
              <w:t>前五名客户营业收入合计</w:t>
            </w:r>
          </w:p>
        </w:tc>
        <w:tc>
          <w:tcPr>
            <w:tcW w:w="22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8" w:space="0" w:color="000000"/>
              <w:right w:val="nil" w:sz="6" w:space="0" w:color="auto"/>
            </w:tcBorders>
          </w:tcPr>
          <w:p>
            <w:pPr>
              <w:pStyle w:val="TableParagraph"/>
              <w:spacing w:line="211" w:lineRule="exact"/>
              <w:ind w:left="931" w:right="0"/>
              <w:jc w:val="left"/>
              <w:rPr>
                <w:rFonts w:ascii="宋体" w:hAnsi="宋体" w:cs="宋体" w:eastAsia="宋体" w:hint="default"/>
                <w:sz w:val="21"/>
                <w:szCs w:val="21"/>
              </w:rPr>
            </w:pPr>
            <w:r>
              <w:rPr>
                <w:rFonts w:ascii="宋体" w:hAnsi="宋体" w:cs="宋体" w:eastAsia="宋体" w:hint="default"/>
                <w:sz w:val="21"/>
                <w:szCs w:val="21"/>
              </w:rPr>
              <w:t>占收入比例</w:t>
            </w:r>
          </w:p>
        </w:tc>
      </w:tr>
      <w:tr>
        <w:trPr>
          <w:trHeight w:val="405" w:hRule="exact"/>
        </w:trPr>
        <w:tc>
          <w:tcPr>
            <w:tcW w:w="2045"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3363"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81,848,409.64</w:t>
            </w:r>
          </w:p>
        </w:tc>
        <w:tc>
          <w:tcPr>
            <w:tcW w:w="223" w:type="dxa"/>
            <w:tcBorders>
              <w:top w:val="nil" w:sz="6" w:space="0" w:color="auto"/>
              <w:left w:val="nil" w:sz="6" w:space="0" w:color="auto"/>
              <w:bottom w:val="nil" w:sz="6" w:space="0" w:color="auto"/>
              <w:right w:val="nil" w:sz="6" w:space="0" w:color="auto"/>
            </w:tcBorders>
          </w:tcPr>
          <w:p>
            <w:pPr/>
          </w:p>
        </w:tc>
        <w:tc>
          <w:tcPr>
            <w:tcW w:w="2708"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15.82%</w:t>
            </w:r>
          </w:p>
        </w:tc>
      </w:tr>
      <w:tr>
        <w:trPr>
          <w:trHeight w:val="304"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1" w:type="dxa"/>
            <w:tcBorders>
              <w:top w:val="nil" w:sz="6" w:space="0" w:color="auto"/>
              <w:left w:val="nil" w:sz="6" w:space="0" w:color="auto"/>
              <w:bottom w:val="nil" w:sz="6" w:space="0" w:color="auto"/>
              <w:right w:val="nil" w:sz="6" w:space="0" w:color="auto"/>
            </w:tcBorders>
          </w:tcPr>
          <w:p>
            <w:pPr/>
          </w:p>
        </w:tc>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69,612,947.77</w:t>
            </w:r>
          </w:p>
        </w:tc>
        <w:tc>
          <w:tcPr>
            <w:tcW w:w="22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15.13%</w:t>
            </w:r>
          </w:p>
        </w:tc>
      </w:tr>
    </w:tbl>
    <w:p>
      <w:pPr>
        <w:spacing w:line="240" w:lineRule="auto" w:before="8"/>
        <w:rPr>
          <w:rFonts w:ascii="宋体" w:hAnsi="宋体" w:cs="宋体" w:eastAsia="宋体" w:hint="default"/>
          <w:sz w:val="26"/>
          <w:szCs w:val="26"/>
        </w:rPr>
      </w:pPr>
    </w:p>
    <w:p>
      <w:pPr>
        <w:pStyle w:val="Heading3"/>
        <w:spacing w:line="367" w:lineRule="exact"/>
        <w:ind w:left="620" w:right="1869"/>
        <w:jc w:val="left"/>
        <w:rPr>
          <w:b w:val="0"/>
          <w:bCs w:val="0"/>
        </w:rPr>
      </w:pPr>
      <w:r>
        <w:rPr>
          <w:rFonts w:ascii="Times New Roman" w:hAnsi="Times New Roman" w:cs="Times New Roman" w:eastAsia="Times New Roman" w:hint="default"/>
        </w:rPr>
        <w:t>5</w:t>
      </w:r>
      <w:r>
        <w:rPr/>
        <w:t>、投资收益</w:t>
      </w:r>
      <w:r>
        <w:rPr>
          <w:b w:val="0"/>
          <w:bCs w:val="0"/>
        </w:rPr>
      </w:r>
    </w:p>
    <w:p>
      <w:pPr>
        <w:pStyle w:val="BodyText"/>
        <w:tabs>
          <w:tab w:pos="1097" w:val="left" w:leader="none"/>
        </w:tabs>
        <w:spacing w:line="240" w:lineRule="auto" w:before="177"/>
        <w:ind w:left="618" w:right="1869"/>
        <w:jc w:val="left"/>
      </w:pPr>
      <w:r>
        <w:rPr/>
        <w:t>⑴</w:t>
        <w:tab/>
        <w:t>投资收益项目明细</w:t>
      </w:r>
    </w:p>
    <w:p>
      <w:pPr>
        <w:spacing w:line="240" w:lineRule="auto" w:before="6"/>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4229"/>
        <w:gridCol w:w="433"/>
        <w:gridCol w:w="1968"/>
        <w:gridCol w:w="252"/>
        <w:gridCol w:w="2088"/>
      </w:tblGrid>
      <w:tr>
        <w:trPr>
          <w:trHeight w:val="258" w:hRule="exact"/>
        </w:trPr>
        <w:tc>
          <w:tcPr>
            <w:tcW w:w="4229" w:type="dxa"/>
            <w:tcBorders>
              <w:top w:val="nil" w:sz="6" w:space="0" w:color="auto"/>
              <w:left w:val="nil" w:sz="6" w:space="0" w:color="auto"/>
              <w:bottom w:val="single" w:sz="8" w:space="0" w:color="000000"/>
              <w:right w:val="nil" w:sz="6" w:space="0" w:color="auto"/>
            </w:tcBorders>
          </w:tcPr>
          <w:p>
            <w:pPr>
              <w:pStyle w:val="TableParagraph"/>
              <w:spacing w:line="211" w:lineRule="exact"/>
              <w:ind w:left="137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433"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8" w:space="0" w:color="000000"/>
              <w:right w:val="nil" w:sz="6" w:space="0" w:color="auto"/>
            </w:tcBorders>
          </w:tcPr>
          <w:p>
            <w:pPr>
              <w:pStyle w:val="TableParagraph"/>
              <w:spacing w:line="216" w:lineRule="exact"/>
              <w:ind w:left="46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52"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8" w:space="0" w:color="000000"/>
              <w:right w:val="nil" w:sz="6" w:space="0" w:color="auto"/>
            </w:tcBorders>
          </w:tcPr>
          <w:p>
            <w:pPr>
              <w:pStyle w:val="TableParagraph"/>
              <w:spacing w:line="216" w:lineRule="exact"/>
              <w:ind w:left="52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05" w:hRule="exact"/>
        </w:trPr>
        <w:tc>
          <w:tcPr>
            <w:tcW w:w="4229" w:type="dxa"/>
            <w:tcBorders>
              <w:top w:val="single" w:sz="8" w:space="0" w:color="000000"/>
              <w:left w:val="nil" w:sz="6" w:space="0" w:color="auto"/>
              <w:bottom w:val="nil" w:sz="6" w:space="0" w:color="auto"/>
              <w:right w:val="nil" w:sz="6" w:space="0" w:color="auto"/>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433" w:type="dxa"/>
            <w:tcBorders>
              <w:top w:val="nil" w:sz="6" w:space="0" w:color="auto"/>
              <w:left w:val="nil" w:sz="6" w:space="0" w:color="auto"/>
              <w:bottom w:val="nil" w:sz="6" w:space="0" w:color="auto"/>
              <w:right w:val="nil" w:sz="6" w:space="0" w:color="auto"/>
            </w:tcBorders>
          </w:tcPr>
          <w:p>
            <w:pPr/>
          </w:p>
        </w:tc>
        <w:tc>
          <w:tcPr>
            <w:tcW w:w="1968" w:type="dxa"/>
            <w:tcBorders>
              <w:top w:val="single" w:sz="8" w:space="0" w:color="000000"/>
              <w:left w:val="nil" w:sz="6" w:space="0" w:color="auto"/>
              <w:bottom w:val="single" w:sz="8" w:space="0" w:color="000000"/>
              <w:right w:val="nil" w:sz="6" w:space="0" w:color="auto"/>
            </w:tcBorders>
          </w:tcPr>
          <w:p>
            <w:pPr>
              <w:pStyle w:val="TableParagraph"/>
              <w:spacing w:line="253" w:lineRule="exact"/>
              <w:ind w:left="494" w:right="0"/>
              <w:jc w:val="left"/>
              <w:rPr>
                <w:rFonts w:ascii="宋体" w:hAnsi="宋体" w:cs="宋体" w:eastAsia="宋体" w:hint="default"/>
                <w:sz w:val="21"/>
                <w:szCs w:val="21"/>
              </w:rPr>
            </w:pPr>
            <w:r>
              <w:rPr>
                <w:rFonts w:ascii="宋体"/>
                <w:sz w:val="21"/>
              </w:rPr>
              <w:t>37,533,079.52</w:t>
            </w:r>
          </w:p>
        </w:tc>
        <w:tc>
          <w:tcPr>
            <w:tcW w:w="252" w:type="dxa"/>
            <w:tcBorders>
              <w:top w:val="nil" w:sz="6" w:space="0" w:color="auto"/>
              <w:left w:val="nil" w:sz="6" w:space="0" w:color="auto"/>
              <w:bottom w:val="nil" w:sz="6" w:space="0" w:color="auto"/>
              <w:right w:val="nil" w:sz="6" w:space="0" w:color="auto"/>
            </w:tcBorders>
          </w:tcPr>
          <w:p>
            <w:pPr/>
          </w:p>
        </w:tc>
        <w:tc>
          <w:tcPr>
            <w:tcW w:w="2088" w:type="dxa"/>
            <w:tcBorders>
              <w:top w:val="single" w:sz="8" w:space="0" w:color="000000"/>
              <w:left w:val="nil" w:sz="6" w:space="0" w:color="auto"/>
              <w:bottom w:val="single" w:sz="8"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22,317,483.76</w:t>
            </w:r>
          </w:p>
        </w:tc>
      </w:tr>
      <w:tr>
        <w:trPr>
          <w:trHeight w:val="319" w:hRule="exact"/>
        </w:trPr>
        <w:tc>
          <w:tcPr>
            <w:tcW w:w="4229"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433" w:type="dxa"/>
            <w:tcBorders>
              <w:top w:val="nil" w:sz="6" w:space="0" w:color="auto"/>
              <w:left w:val="nil" w:sz="6" w:space="0" w:color="auto"/>
              <w:bottom w:val="nil" w:sz="6" w:space="0" w:color="auto"/>
              <w:right w:val="nil" w:sz="6" w:space="0" w:color="auto"/>
            </w:tcBorders>
          </w:tcPr>
          <w:p>
            <w:pPr/>
          </w:p>
        </w:tc>
        <w:tc>
          <w:tcPr>
            <w:tcW w:w="1968" w:type="dxa"/>
            <w:tcBorders>
              <w:top w:val="single" w:sz="8" w:space="0" w:color="000000"/>
              <w:left w:val="nil" w:sz="6" w:space="0" w:color="auto"/>
              <w:bottom w:val="single" w:sz="17" w:space="0" w:color="000000"/>
              <w:right w:val="nil" w:sz="6" w:space="0" w:color="auto"/>
            </w:tcBorders>
          </w:tcPr>
          <w:p>
            <w:pPr>
              <w:pStyle w:val="TableParagraph"/>
              <w:spacing w:line="253" w:lineRule="exact"/>
              <w:ind w:left="494" w:right="0"/>
              <w:jc w:val="left"/>
              <w:rPr>
                <w:rFonts w:ascii="宋体" w:hAnsi="宋体" w:cs="宋体" w:eastAsia="宋体" w:hint="default"/>
                <w:sz w:val="21"/>
                <w:szCs w:val="21"/>
              </w:rPr>
            </w:pPr>
            <w:r>
              <w:rPr>
                <w:rFonts w:ascii="宋体"/>
                <w:sz w:val="21"/>
              </w:rPr>
              <w:t>37,533,079.52</w:t>
            </w:r>
          </w:p>
        </w:tc>
        <w:tc>
          <w:tcPr>
            <w:tcW w:w="252" w:type="dxa"/>
            <w:tcBorders>
              <w:top w:val="nil" w:sz="6" w:space="0" w:color="auto"/>
              <w:left w:val="nil" w:sz="6" w:space="0" w:color="auto"/>
              <w:bottom w:val="nil" w:sz="6" w:space="0" w:color="auto"/>
              <w:right w:val="nil" w:sz="6" w:space="0" w:color="auto"/>
            </w:tcBorders>
          </w:tcPr>
          <w:p>
            <w:pPr/>
          </w:p>
        </w:tc>
        <w:tc>
          <w:tcPr>
            <w:tcW w:w="2088" w:type="dxa"/>
            <w:tcBorders>
              <w:top w:val="single" w:sz="8" w:space="0" w:color="000000"/>
              <w:left w:val="nil" w:sz="6" w:space="0" w:color="auto"/>
              <w:bottom w:val="single" w:sz="17"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22,317,483.76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097" w:val="left" w:leader="none"/>
        </w:tabs>
        <w:spacing w:line="240" w:lineRule="auto" w:before="26"/>
        <w:ind w:left="618" w:right="1869"/>
        <w:jc w:val="left"/>
      </w:pPr>
      <w:r>
        <w:rPr/>
        <w:t>⑵</w:t>
        <w:tab/>
        <w:t>按成本法核算的长期股权投资收益</w:t>
      </w:r>
    </w:p>
    <w:p>
      <w:pPr>
        <w:spacing w:line="240" w:lineRule="auto" w:before="1"/>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4232"/>
        <w:gridCol w:w="387"/>
        <w:gridCol w:w="2064"/>
        <w:gridCol w:w="250"/>
        <w:gridCol w:w="2031"/>
      </w:tblGrid>
      <w:tr>
        <w:trPr>
          <w:trHeight w:val="253" w:hRule="exact"/>
        </w:trPr>
        <w:tc>
          <w:tcPr>
            <w:tcW w:w="4232" w:type="dxa"/>
            <w:tcBorders>
              <w:top w:val="nil" w:sz="6" w:space="0" w:color="auto"/>
              <w:left w:val="nil" w:sz="6" w:space="0" w:color="auto"/>
              <w:bottom w:val="single" w:sz="8" w:space="0" w:color="000000"/>
              <w:right w:val="nil" w:sz="6" w:space="0" w:color="auto"/>
            </w:tcBorders>
          </w:tcPr>
          <w:p>
            <w:pPr>
              <w:pStyle w:val="TableParagraph"/>
              <w:spacing w:line="211" w:lineRule="exact"/>
              <w:ind w:left="1379"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8" w:space="0" w:color="000000"/>
              <w:right w:val="nil" w:sz="6" w:space="0" w:color="auto"/>
            </w:tcBorders>
          </w:tcPr>
          <w:p>
            <w:pPr>
              <w:pStyle w:val="TableParagraph"/>
              <w:spacing w:line="211" w:lineRule="exact"/>
              <w:ind w:left="50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8" w:space="0" w:color="000000"/>
              <w:right w:val="nil" w:sz="6" w:space="0" w:color="auto"/>
            </w:tcBorders>
          </w:tcPr>
          <w:p>
            <w:pPr>
              <w:pStyle w:val="TableParagraph"/>
              <w:spacing w:line="211" w:lineRule="exact"/>
              <w:ind w:left="492"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3" w:hRule="exact"/>
        </w:trPr>
        <w:tc>
          <w:tcPr>
            <w:tcW w:w="423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郑州东港安全印刷有限公司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5,273,123.59</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1,430,587.97</w:t>
            </w:r>
          </w:p>
        </w:tc>
      </w:tr>
      <w:tr>
        <w:trPr>
          <w:trHeight w:val="341"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北京东港安全印刷有限公司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13,494,221.98</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2,927,386.44</w:t>
            </w:r>
          </w:p>
        </w:tc>
      </w:tr>
      <w:tr>
        <w:trPr>
          <w:trHeight w:val="340"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新疆东港安全印刷有限公司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443,775.22</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641,743.95</w:t>
            </w:r>
          </w:p>
        </w:tc>
      </w:tr>
      <w:tr>
        <w:trPr>
          <w:trHeight w:val="340"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上海东港安全印刷有限公司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3,687,903.17</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5,584,726.12</w:t>
            </w:r>
          </w:p>
        </w:tc>
      </w:tr>
      <w:tr>
        <w:trPr>
          <w:trHeight w:val="341"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广州东港安全印刷有限公司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2,364,005.24</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2,684,222.65</w:t>
            </w:r>
          </w:p>
        </w:tc>
      </w:tr>
      <w:tr>
        <w:trPr>
          <w:trHeight w:val="340"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北京东港嘉华安全信息技术有限公司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5,410,257.95</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9,048,816.63</w:t>
            </w:r>
          </w:p>
        </w:tc>
      </w:tr>
      <w:tr>
        <w:trPr>
          <w:trHeight w:val="340"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成都东港安全印刷有限公司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3,316,865.68</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r>
        <w:trPr>
          <w:trHeight w:val="316"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山东东港数据处理有限公司</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spacing w:val="-1"/>
                <w:sz w:val="21"/>
              </w:rPr>
              <w:t>3,542,926.69</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8" w:space="0" w:color="000000"/>
              <w:right w:val="nil" w:sz="6" w:space="0" w:color="auto"/>
            </w:tcBorders>
          </w:tcPr>
          <w:p>
            <w:pPr/>
          </w:p>
        </w:tc>
      </w:tr>
      <w:tr>
        <w:trPr>
          <w:trHeight w:val="375" w:hRule="exact"/>
        </w:trPr>
        <w:tc>
          <w:tcPr>
            <w:tcW w:w="4232"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87" w:type="dxa"/>
            <w:tcBorders>
              <w:top w:val="nil" w:sz="6" w:space="0" w:color="auto"/>
              <w:left w:val="nil" w:sz="6" w:space="0" w:color="auto"/>
              <w:bottom w:val="nil" w:sz="6" w:space="0" w:color="auto"/>
              <w:right w:val="nil" w:sz="6" w:space="0" w:color="auto"/>
            </w:tcBorders>
          </w:tcPr>
          <w:p>
            <w:pPr/>
          </w:p>
        </w:tc>
        <w:tc>
          <w:tcPr>
            <w:tcW w:w="2064"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spacing w:val="-1"/>
                <w:sz w:val="21"/>
              </w:rPr>
              <w:t>37,533,079.52</w:t>
            </w:r>
          </w:p>
        </w:tc>
        <w:tc>
          <w:tcPr>
            <w:tcW w:w="250" w:type="dxa"/>
            <w:tcBorders>
              <w:top w:val="nil" w:sz="6" w:space="0" w:color="auto"/>
              <w:left w:val="nil" w:sz="6" w:space="0" w:color="auto"/>
              <w:bottom w:val="nil" w:sz="6" w:space="0" w:color="auto"/>
              <w:right w:val="nil" w:sz="6" w:space="0" w:color="auto"/>
            </w:tcBorders>
          </w:tcPr>
          <w:p>
            <w:pPr/>
          </w:p>
        </w:tc>
        <w:tc>
          <w:tcPr>
            <w:tcW w:w="2031"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spacing w:val="-1"/>
                <w:sz w:val="21"/>
              </w:rPr>
              <w:t>22,317,483.76</w:t>
            </w:r>
          </w:p>
        </w:tc>
      </w:tr>
    </w:tbl>
    <w:p>
      <w:pPr>
        <w:spacing w:after="0" w:line="240" w:lineRule="auto"/>
        <w:jc w:val="right"/>
        <w:rPr>
          <w:rFonts w:ascii="宋体" w:hAnsi="宋体" w:cs="宋体" w:eastAsia="宋体" w:hint="default"/>
          <w:sz w:val="21"/>
          <w:szCs w:val="21"/>
        </w:rPr>
        <w:sectPr>
          <w:pgSz w:w="11910" w:h="16840"/>
          <w:pgMar w:header="798" w:footer="956" w:top="1100" w:bottom="1140" w:left="1660" w:right="0"/>
        </w:sectPr>
      </w:pPr>
    </w:p>
    <w:p>
      <w:pPr>
        <w:pStyle w:val="Heading3"/>
        <w:spacing w:line="240" w:lineRule="auto" w:before="13"/>
        <w:ind w:left="620" w:right="1869"/>
        <w:jc w:val="left"/>
        <w:rPr>
          <w:b w:val="0"/>
          <w:bCs w:val="0"/>
        </w:rPr>
      </w:pPr>
      <w:r>
        <w:rPr/>
        <w:pict>
          <v:group style="position:absolute;margin-left:88.463997pt;margin-top:2.163663pt;width:418.55pt;height:.1pt;mso-position-horizontal-relative:page;mso-position-vertical-relative:paragraph;z-index:-746032" coordorigin="1769,43" coordsize="8371,2">
            <v:shape style="position:absolute;left:1769;top:43;width:8371;height:2" coordorigin="1769,43" coordsize="8371,0" path="m1769,43l10139,43e" filled="false" stroked="true" strokeweight=".72pt" strokecolor="#000000">
              <v:path arrowok="t"/>
            </v:shape>
            <w10:wrap type="none"/>
          </v:group>
        </w:pict>
      </w:r>
      <w:r>
        <w:rPr>
          <w:rFonts w:ascii="Times New Roman" w:hAnsi="Times New Roman" w:cs="Times New Roman" w:eastAsia="Times New Roman" w:hint="default"/>
        </w:rPr>
        <w:t>6</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5209"/>
        <w:gridCol w:w="245"/>
        <w:gridCol w:w="1757"/>
        <w:gridCol w:w="147"/>
        <w:gridCol w:w="1646"/>
      </w:tblGrid>
      <w:tr>
        <w:trPr>
          <w:trHeight w:val="249" w:hRule="exact"/>
        </w:trPr>
        <w:tc>
          <w:tcPr>
            <w:tcW w:w="5209" w:type="dxa"/>
            <w:tcBorders>
              <w:top w:val="nil" w:sz="6" w:space="0" w:color="auto"/>
              <w:left w:val="nil" w:sz="6" w:space="0" w:color="auto"/>
              <w:bottom w:val="single" w:sz="4" w:space="0" w:color="000000"/>
              <w:right w:val="nil" w:sz="6" w:space="0" w:color="auto"/>
            </w:tcBorders>
          </w:tcPr>
          <w:p>
            <w:pPr>
              <w:pStyle w:val="TableParagraph"/>
              <w:tabs>
                <w:tab w:pos="527"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11" w:lineRule="exact"/>
              <w:ind w:left="35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11" w:lineRule="exact"/>
              <w:ind w:left="29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8" w:hRule="exact"/>
        </w:trPr>
        <w:tc>
          <w:tcPr>
            <w:tcW w:w="5209" w:type="dxa"/>
            <w:tcBorders>
              <w:top w:val="single" w:sz="4" w:space="0" w:color="000000"/>
              <w:left w:val="nil" w:sz="6" w:space="0" w:color="auto"/>
              <w:bottom w:val="nil" w:sz="6" w:space="0" w:color="auto"/>
              <w:right w:val="nil" w:sz="6" w:space="0" w:color="auto"/>
            </w:tcBorders>
          </w:tcPr>
          <w:p>
            <w:pPr>
              <w:pStyle w:val="TableParagraph"/>
              <w:spacing w:line="332" w:lineRule="exact"/>
              <w:ind w:left="28" w:right="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300"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80,273,150.39</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58,283,735.73</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411,866.04</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967,069.41</w:t>
            </w:r>
          </w:p>
        </w:tc>
      </w:tr>
      <w:tr>
        <w:trPr>
          <w:trHeight w:val="341"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固定资产折旧、油气资产折耗、生产性生物资产折旧</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37,296,063.81</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32,152,961.97</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1,247,296.76</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1,698,013.53</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312,229.66</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207,381.72</w:t>
            </w:r>
          </w:p>
        </w:tc>
      </w:tr>
      <w:tr>
        <w:trPr>
          <w:trHeight w:val="341"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处臵固定资产、无形资产和其他长期资产的损失</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324,618.10</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208,454.68</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41"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-158,603.18</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3,387,984.37</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-37,533,079.52</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-22,317,483.76</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-299,306.25</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417,716.94</w:t>
            </w:r>
          </w:p>
        </w:tc>
      </w:tr>
      <w:tr>
        <w:trPr>
          <w:trHeight w:val="341"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451,402.29</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-3,397,182.65</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-8,317,571.84</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15,219,528.64</w:t>
            </w:r>
          </w:p>
        </w:tc>
      </w:tr>
      <w:tr>
        <w:trPr>
          <w:trHeight w:val="341"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-34,206,161.18</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89,260,707.79</w:t>
            </w:r>
          </w:p>
        </w:tc>
      </w:tr>
      <w:tr>
        <w:trPr>
          <w:trHeight w:val="313"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781,500.00</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6" w:space="0" w:color="000000"/>
              <w:right w:val="nil" w:sz="6" w:space="0" w:color="auto"/>
            </w:tcBorders>
          </w:tcPr>
          <w:p>
            <w:pPr/>
          </w:p>
        </w:tc>
      </w:tr>
      <w:tr>
        <w:trPr>
          <w:trHeight w:val="37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341" w:lineRule="exact"/>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single" w:sz="6" w:space="0" w:color="000000"/>
              <w:left w:val="nil" w:sz="6" w:space="0" w:color="auto"/>
              <w:bottom w:val="single" w:sz="17"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40,583,405.08</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single" w:sz="6" w:space="0" w:color="000000"/>
              <w:left w:val="nil" w:sz="6" w:space="0" w:color="auto"/>
              <w:bottom w:val="single" w:sz="17" w:space="0" w:color="000000"/>
              <w:right w:val="nil" w:sz="6" w:space="0" w:color="auto"/>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176,088,888.37</w:t>
            </w:r>
          </w:p>
        </w:tc>
      </w:tr>
      <w:tr>
        <w:trPr>
          <w:trHeight w:val="397"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356" w:lineRule="exact"/>
              <w:ind w:left="28" w:right="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single" w:sz="17" w:space="0" w:color="000000"/>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single" w:sz="17" w:space="0" w:color="000000"/>
              <w:left w:val="nil" w:sz="6" w:space="0" w:color="auto"/>
              <w:bottom w:val="nil" w:sz="6" w:space="0" w:color="auto"/>
              <w:right w:val="nil" w:sz="6" w:space="0" w:color="auto"/>
            </w:tcBorders>
          </w:tcPr>
          <w:p>
            <w:pP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41"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300" w:lineRule="exact"/>
              <w:ind w:left="28" w:right="0"/>
              <w:jc w:val="left"/>
              <w:rPr>
                <w:rFonts w:ascii="Microsoft JhengHei" w:hAnsi="Microsoft JhengHei" w:cs="Microsoft JhengHei" w:eastAsia="Microsoft JhengHei" w:hint="default"/>
                <w:sz w:val="21"/>
                <w:szCs w:val="21"/>
              </w:rPr>
            </w:pPr>
            <w:r>
              <w:rPr>
                <w:rFonts w:ascii="Trebuchet MS" w:hAnsi="Trebuchet MS" w:cs="Trebuchet MS" w:eastAsia="Trebuchet MS"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275,917,341.63</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384,017,489.26</w:t>
            </w:r>
          </w:p>
        </w:tc>
      </w:tr>
      <w:tr>
        <w:trPr>
          <w:trHeight w:val="341"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384,017,489.26</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4"/>
              <w:jc w:val="right"/>
              <w:rPr>
                <w:rFonts w:ascii="宋体" w:hAnsi="宋体" w:cs="宋体" w:eastAsia="宋体" w:hint="default"/>
                <w:sz w:val="21"/>
                <w:szCs w:val="21"/>
              </w:rPr>
            </w:pPr>
            <w:r>
              <w:rPr>
                <w:rFonts w:ascii="宋体"/>
                <w:spacing w:val="-1"/>
                <w:sz w:val="21"/>
              </w:rPr>
              <w:t>110,965,959.88</w:t>
            </w:r>
          </w:p>
        </w:tc>
      </w:tr>
      <w:tr>
        <w:trPr>
          <w:trHeight w:val="34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315"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6" w:space="0" w:color="000000"/>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6" w:space="0" w:color="000000"/>
              <w:right w:val="nil" w:sz="6" w:space="0" w:color="auto"/>
            </w:tcBorders>
          </w:tcPr>
          <w:p>
            <w:pPr/>
          </w:p>
        </w:tc>
      </w:tr>
      <w:tr>
        <w:trPr>
          <w:trHeight w:val="372"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4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5" w:type="dxa"/>
            <w:tcBorders>
              <w:top w:val="nil" w:sz="6" w:space="0" w:color="auto"/>
              <w:left w:val="nil" w:sz="6" w:space="0" w:color="auto"/>
              <w:bottom w:val="nil" w:sz="6" w:space="0" w:color="auto"/>
              <w:right w:val="nil" w:sz="6" w:space="0" w:color="auto"/>
            </w:tcBorders>
          </w:tcPr>
          <w:p>
            <w:pPr/>
          </w:p>
        </w:tc>
        <w:tc>
          <w:tcPr>
            <w:tcW w:w="1757" w:type="dxa"/>
            <w:tcBorders>
              <w:top w:val="single" w:sz="6" w:space="0" w:color="000000"/>
              <w:left w:val="nil" w:sz="6" w:space="0" w:color="auto"/>
              <w:bottom w:val="single" w:sz="17" w:space="0" w:color="000000"/>
              <w:right w:val="nil" w:sz="6" w:space="0" w:color="auto"/>
            </w:tcBorders>
          </w:tcPr>
          <w:p>
            <w:pPr>
              <w:pStyle w:val="TableParagraph"/>
              <w:spacing w:line="240" w:lineRule="auto" w:before="33"/>
              <w:ind w:right="24"/>
              <w:jc w:val="right"/>
              <w:rPr>
                <w:rFonts w:ascii="宋体" w:hAnsi="宋体" w:cs="宋体" w:eastAsia="宋体" w:hint="default"/>
                <w:sz w:val="21"/>
                <w:szCs w:val="21"/>
              </w:rPr>
            </w:pPr>
            <w:r>
              <w:rPr>
                <w:rFonts w:ascii="宋体"/>
                <w:spacing w:val="-1"/>
                <w:sz w:val="21"/>
              </w:rPr>
              <w:t>-108,100,147.63</w:t>
            </w:r>
          </w:p>
        </w:tc>
        <w:tc>
          <w:tcPr>
            <w:tcW w:w="147" w:type="dxa"/>
            <w:tcBorders>
              <w:top w:val="nil" w:sz="6" w:space="0" w:color="auto"/>
              <w:left w:val="nil" w:sz="6" w:space="0" w:color="auto"/>
              <w:bottom w:val="nil" w:sz="6" w:space="0" w:color="auto"/>
              <w:right w:val="nil" w:sz="6" w:space="0" w:color="auto"/>
            </w:tcBorders>
          </w:tcPr>
          <w:p>
            <w:pPr/>
          </w:p>
        </w:tc>
        <w:tc>
          <w:tcPr>
            <w:tcW w:w="1646" w:type="dxa"/>
            <w:tcBorders>
              <w:top w:val="single" w:sz="6" w:space="0" w:color="000000"/>
              <w:left w:val="nil" w:sz="6" w:space="0" w:color="auto"/>
              <w:bottom w:val="single" w:sz="17" w:space="0" w:color="000000"/>
              <w:right w:val="nil" w:sz="6" w:space="0" w:color="auto"/>
            </w:tcBorders>
          </w:tcPr>
          <w:p>
            <w:pPr>
              <w:pStyle w:val="TableParagraph"/>
              <w:spacing w:line="240" w:lineRule="auto" w:before="33"/>
              <w:ind w:right="24"/>
              <w:jc w:val="right"/>
              <w:rPr>
                <w:rFonts w:ascii="宋体" w:hAnsi="宋体" w:cs="宋体" w:eastAsia="宋体" w:hint="default"/>
                <w:sz w:val="21"/>
                <w:szCs w:val="21"/>
              </w:rPr>
            </w:pPr>
            <w:r>
              <w:rPr>
                <w:rFonts w:ascii="宋体"/>
                <w:spacing w:val="-1"/>
                <w:sz w:val="21"/>
              </w:rPr>
              <w:t>273,051,529.38</w:t>
            </w:r>
          </w:p>
        </w:tc>
      </w:tr>
    </w:tbl>
    <w:p>
      <w:pPr>
        <w:spacing w:after="0" w:line="240" w:lineRule="auto"/>
        <w:jc w:val="right"/>
        <w:rPr>
          <w:rFonts w:ascii="宋体" w:hAnsi="宋体" w:cs="宋体" w:eastAsia="宋体" w:hint="default"/>
          <w:sz w:val="21"/>
          <w:szCs w:val="21"/>
        </w:rPr>
        <w:sectPr>
          <w:pgSz w:w="11910" w:h="16840"/>
          <w:pgMar w:header="798" w:footer="956" w:top="1100" w:bottom="1140" w:left="166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12"/>
        <w:rPr>
          <w:rFonts w:ascii="Microsoft JhengHei" w:hAnsi="Microsoft JhengHei" w:cs="Microsoft JhengHei" w:eastAsia="Microsoft JhengHei" w:hint="default"/>
          <w:b/>
          <w:bCs/>
          <w:sz w:val="9"/>
          <w:szCs w:val="9"/>
        </w:rPr>
      </w:pPr>
    </w:p>
    <w:p>
      <w:pPr>
        <w:pStyle w:val="Heading3"/>
        <w:spacing w:line="367" w:lineRule="exact"/>
        <w:ind w:left="620" w:right="1869"/>
        <w:jc w:val="left"/>
        <w:rPr>
          <w:b w:val="0"/>
          <w:bCs w:val="0"/>
        </w:rPr>
      </w:pPr>
      <w:r>
        <w:rPr/>
        <w:t>十五、 补充资料</w:t>
      </w:r>
      <w:r>
        <w:rPr>
          <w:b w:val="0"/>
          <w:bCs w:val="0"/>
        </w:rPr>
      </w:r>
    </w:p>
    <w:p>
      <w:pPr>
        <w:pStyle w:val="Heading3"/>
        <w:spacing w:line="240" w:lineRule="auto" w:before="55"/>
        <w:ind w:left="620" w:right="1869"/>
        <w:jc w:val="left"/>
        <w:rPr>
          <w:b w:val="0"/>
          <w:bCs w:val="0"/>
        </w:rPr>
      </w:pPr>
      <w:r>
        <w:rPr>
          <w:rFonts w:ascii="Times New Roman" w:hAnsi="Times New Roman" w:cs="Times New Roman" w:eastAsia="Times New Roman" w:hint="default"/>
        </w:rPr>
        <w:t>1</w:t>
      </w:r>
      <w:r>
        <w:rPr/>
        <w:t>、非经常性损益明细表</w:t>
      </w:r>
      <w:r>
        <w:rPr>
          <w:b w:val="0"/>
          <w:bCs w:val="0"/>
        </w:rPr>
      </w:r>
    </w:p>
    <w:p>
      <w:pPr>
        <w:spacing w:line="240" w:lineRule="auto" w:before="4"/>
        <w:rPr>
          <w:rFonts w:ascii="Microsoft JhengHei" w:hAnsi="Microsoft JhengHei" w:cs="Microsoft JhengHei" w:eastAsia="Microsoft JhengHei" w:hint="default"/>
          <w:b/>
          <w:bCs/>
          <w:sz w:val="7"/>
          <w:szCs w:val="7"/>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5504"/>
        <w:gridCol w:w="187"/>
        <w:gridCol w:w="1407"/>
        <w:gridCol w:w="324"/>
        <w:gridCol w:w="1524"/>
      </w:tblGrid>
      <w:tr>
        <w:trPr>
          <w:trHeight w:val="249" w:hRule="exact"/>
        </w:trPr>
        <w:tc>
          <w:tcPr>
            <w:tcW w:w="5504" w:type="dxa"/>
            <w:tcBorders>
              <w:top w:val="nil" w:sz="6" w:space="0" w:color="auto"/>
              <w:left w:val="nil" w:sz="6" w:space="0" w:color="auto"/>
              <w:bottom w:val="single" w:sz="4" w:space="0" w:color="000000"/>
              <w:right w:val="nil" w:sz="6" w:space="0" w:color="auto"/>
            </w:tcBorders>
          </w:tcPr>
          <w:p>
            <w:pPr>
              <w:pStyle w:val="TableParagraph"/>
              <w:tabs>
                <w:tab w:pos="424"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11" w:lineRule="exact"/>
              <w:ind w:left="18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11" w:lineRule="exact"/>
              <w:ind w:left="23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15" w:hRule="exact"/>
        </w:trPr>
        <w:tc>
          <w:tcPr>
            <w:tcW w:w="5504" w:type="dxa"/>
            <w:tcBorders>
              <w:top w:val="single" w:sz="4" w:space="0" w:color="000000"/>
              <w:left w:val="nil" w:sz="6" w:space="0" w:color="auto"/>
              <w:bottom w:val="nil" w:sz="6" w:space="0" w:color="auto"/>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非流动性资产处臵损益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nil" w:sz="6" w:space="0" w:color="auto"/>
              <w:right w:val="nil" w:sz="6" w:space="0" w:color="auto"/>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-455,159.53</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-323,504.89</w:t>
            </w:r>
          </w:p>
        </w:tc>
      </w:tr>
      <w:tr>
        <w:trPr>
          <w:trHeight w:val="305"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69"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2" w:lineRule="exact" w:before="7"/>
              <w:ind w:left="28" w:right="22"/>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家统一标准定额或定量享受的政府补助除外）</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
              <w:jc w:val="right"/>
              <w:rPr>
                <w:rFonts w:ascii="宋体" w:hAnsi="宋体" w:cs="宋体" w:eastAsia="宋体" w:hint="default"/>
                <w:sz w:val="21"/>
                <w:szCs w:val="21"/>
              </w:rPr>
            </w:pPr>
            <w:r>
              <w:rPr>
                <w:rFonts w:ascii="宋体"/>
                <w:spacing w:val="-1"/>
                <w:sz w:val="21"/>
              </w:rPr>
              <w:t>2,030,186.94</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宋体" w:hAnsi="宋体" w:cs="宋体" w:eastAsia="宋体" w:hint="default"/>
                <w:sz w:val="21"/>
                <w:szCs w:val="21"/>
              </w:rPr>
            </w:pPr>
            <w:r>
              <w:rPr>
                <w:rFonts w:ascii="宋体"/>
                <w:spacing w:val="-1"/>
                <w:sz w:val="21"/>
              </w:rPr>
              <w:t>1,356,370.00</w:t>
            </w:r>
          </w:p>
        </w:tc>
      </w:tr>
      <w:tr>
        <w:trPr>
          <w:trHeight w:val="295"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54"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838"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2" w:lineRule="exact" w:before="4"/>
              <w:ind w:left="28" w:right="18"/>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投资时应享有被投资单位可辨认净资产公允价值产生的收</w:t>
            </w:r>
            <w:r>
              <w:rPr>
                <w:rFonts w:ascii="宋体" w:hAnsi="宋体" w:cs="宋体" w:eastAsia="宋体" w:hint="default"/>
                <w:sz w:val="21"/>
                <w:szCs w:val="21"/>
              </w:rPr>
            </w:r>
          </w:p>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52"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65"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4" w:lineRule="exact" w:before="2"/>
              <w:ind w:left="28" w:right="22"/>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因不可抗力因素，如遭受自然灾害而计提的各项资产减值准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备</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52"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1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企业重组费用，如安臵职工的支出、整合费用等</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65"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4" w:lineRule="exact" w:before="2"/>
              <w:ind w:left="28" w:right="18"/>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同一控制下企业合并产生的子公司期初至合并日的当期净</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29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52"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1110"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0" w:lineRule="exact"/>
              <w:ind w:left="28" w:right="0"/>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w:t>
            </w:r>
          </w:p>
          <w:p>
            <w:pPr>
              <w:pStyle w:val="TableParagraph"/>
              <w:spacing w:line="237" w:lineRule="auto" w:before="2"/>
              <w:ind w:left="28" w:right="7"/>
              <w:jc w:val="both"/>
              <w:rPr>
                <w:rFonts w:ascii="宋体" w:hAnsi="宋体" w:cs="宋体" w:eastAsia="宋体" w:hint="default"/>
                <w:sz w:val="21"/>
                <w:szCs w:val="21"/>
              </w:rPr>
            </w:pPr>
            <w:r>
              <w:rPr>
                <w:rFonts w:ascii="宋体" w:hAnsi="宋体" w:cs="宋体" w:eastAsia="宋体" w:hint="default"/>
                <w:spacing w:val="-2"/>
                <w:sz w:val="21"/>
                <w:szCs w:val="21"/>
              </w:rPr>
              <w:t>易性金融资产、交易性金融负债产生的公允价值变动损益，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以及处臵交易性金融资产、交易性金融负债和可供出售金融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资产取得的投资收益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52"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54"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74" w:lineRule="exact" w:before="2"/>
              <w:ind w:left="28" w:right="18"/>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采用公允价值模式进行后续计量的投资性房地产公允价值</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变动产生的损益</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554"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0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51"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12"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673,011.30</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568,510.19</w:t>
            </w:r>
          </w:p>
        </w:tc>
      </w:tr>
      <w:tr>
        <w:trPr>
          <w:trHeight w:val="318"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w w:val="100"/>
                <w:sz w:val="21"/>
              </w:rPr>
              <w:t>-</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
        </w:tc>
      </w:tr>
      <w:tr>
        <w:trPr>
          <w:trHeight w:val="339"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single" w:sz="17"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2,248,038.71</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1,601,375.30</w:t>
            </w:r>
          </w:p>
        </w:tc>
      </w:tr>
      <w:tr>
        <w:trPr>
          <w:trHeight w:val="334"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single" w:sz="17" w:space="0" w:color="000000"/>
              <w:left w:val="nil" w:sz="6" w:space="0" w:color="auto"/>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333,489.84</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single" w:sz="17" w:space="0" w:color="000000"/>
              <w:left w:val="nil" w:sz="6" w:space="0" w:color="auto"/>
              <w:bottom w:val="nil" w:sz="6" w:space="0" w:color="auto"/>
              <w:right w:val="nil" w:sz="6" w:space="0" w:color="auto"/>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259,546.29</w:t>
            </w:r>
          </w:p>
        </w:tc>
      </w:tr>
      <w:tr>
        <w:trPr>
          <w:trHeight w:val="318"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128,432.35</w:t>
            </w:r>
          </w:p>
        </w:tc>
        <w:tc>
          <w:tcPr>
            <w:tcW w:w="324"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81,494.93</w:t>
            </w:r>
          </w:p>
        </w:tc>
      </w:tr>
      <w:tr>
        <w:trPr>
          <w:trHeight w:val="341"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87"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single" w:sz="17"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1,786,116.52</w:t>
            </w:r>
          </w:p>
        </w:tc>
        <w:tc>
          <w:tcPr>
            <w:tcW w:w="324" w:type="dxa"/>
            <w:tcBorders>
              <w:top w:val="nil" w:sz="6" w:space="0" w:color="auto"/>
              <w:left w:val="nil" w:sz="6" w:space="0" w:color="auto"/>
              <w:bottom w:val="single" w:sz="4" w:space="0" w:color="000000"/>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1,260,334.08</w:t>
            </w:r>
          </w:p>
        </w:tc>
      </w:tr>
    </w:tbl>
    <w:p>
      <w:pPr>
        <w:spacing w:line="240" w:lineRule="auto" w:before="12"/>
        <w:rPr>
          <w:rFonts w:ascii="宋体" w:hAnsi="宋体" w:cs="宋体" w:eastAsia="宋体" w:hint="default"/>
          <w:sz w:val="4"/>
          <w:szCs w:val="4"/>
        </w:rPr>
      </w:pPr>
    </w:p>
    <w:p>
      <w:pPr>
        <w:spacing w:before="44"/>
        <w:ind w:left="678" w:right="1869"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w:t>
      </w:r>
      <w:r>
        <w:rPr>
          <w:rFonts w:ascii="Times New Roman" w:hAnsi="Times New Roman" w:cs="Times New Roman" w:eastAsia="Times New Roman" w:hint="default"/>
          <w:sz w:val="18"/>
          <w:szCs w:val="18"/>
        </w:rPr>
        <w:t>“+”</w:t>
      </w:r>
      <w:r>
        <w:rPr>
          <w:rFonts w:ascii="宋体" w:hAnsi="宋体" w:cs="宋体" w:eastAsia="宋体" w:hint="default"/>
          <w:sz w:val="18"/>
          <w:szCs w:val="18"/>
        </w:rPr>
        <w:t>表示收益及收入</w:t>
      </w:r>
      <w:r>
        <w:rPr>
          <w:rFonts w:ascii="Times New Roman" w:hAnsi="Times New Roman" w:cs="Times New Roman" w:eastAsia="Times New Roman" w:hint="default"/>
          <w:sz w:val="18"/>
          <w:szCs w:val="18"/>
        </w:rPr>
        <w:t>,"-"</w:t>
      </w:r>
      <w:r>
        <w:rPr>
          <w:rFonts w:ascii="宋体" w:hAnsi="宋体" w:cs="宋体" w:eastAsia="宋体" w:hint="default"/>
          <w:sz w:val="18"/>
          <w:szCs w:val="18"/>
        </w:rPr>
        <w:t>表示损失或支出。</w:t>
      </w:r>
    </w:p>
    <w:p>
      <w:pPr>
        <w:pStyle w:val="BodyText"/>
        <w:spacing w:line="304" w:lineRule="auto" w:before="81"/>
        <w:ind w:left="138" w:right="1869" w:firstLine="539"/>
        <w:jc w:val="left"/>
      </w:pPr>
      <w:r>
        <w:rPr/>
        <w:t>本集团对非经常性损益项目的确认依照《公开发行证券的公司信息披露解 </w:t>
      </w:r>
      <w:r>
        <w:rPr>
          <w:spacing w:val="-4"/>
        </w:rPr>
        <w:t>释性公告第</w:t>
      </w:r>
      <w:r>
        <w:rPr>
          <w:rFonts w:ascii="宋体" w:hAnsi="宋体" w:cs="宋体" w:eastAsia="宋体" w:hint="default"/>
          <w:spacing w:val="-4"/>
        </w:rPr>
        <w:t>1</w:t>
      </w:r>
      <w:r>
        <w:rPr>
          <w:spacing w:val="-4"/>
        </w:rPr>
        <w:t>号——非经常性损益》（证监会公告</w:t>
      </w:r>
      <w:r>
        <w:rPr>
          <w:rFonts w:ascii="宋体" w:hAnsi="宋体" w:cs="宋体" w:eastAsia="宋体" w:hint="default"/>
          <w:spacing w:val="-4"/>
        </w:rPr>
        <w:t>[2008]43</w:t>
      </w:r>
      <w:r>
        <w:rPr>
          <w:spacing w:val="-4"/>
        </w:rPr>
        <w:t>号）的规定执行。</w:t>
      </w:r>
    </w:p>
    <w:p>
      <w:pPr>
        <w:spacing w:after="0" w:line="304" w:lineRule="auto"/>
        <w:jc w:val="left"/>
        <w:sectPr>
          <w:pgSz w:w="11910" w:h="16840"/>
          <w:pgMar w:header="798" w:footer="956" w:top="1100" w:bottom="1140" w:left="1660" w:right="0"/>
        </w:sectPr>
      </w:pPr>
    </w:p>
    <w:p>
      <w:pPr>
        <w:pStyle w:val="Heading3"/>
        <w:spacing w:line="240" w:lineRule="auto" w:before="47"/>
        <w:ind w:left="1180" w:right="79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Microsoft JhengHei" w:hAnsi="Microsoft JhengHei" w:cs="Microsoft JhengHei" w:eastAsia="Microsoft JhengHei" w:hint="default"/>
          <w:b/>
          <w:bCs/>
          <w:sz w:val="7"/>
          <w:szCs w:val="7"/>
        </w:rPr>
      </w:pPr>
    </w:p>
    <w:tbl>
      <w:tblPr>
        <w:tblW w:w="0" w:type="auto"/>
        <w:jc w:val="left"/>
        <w:tblInd w:w="114" w:type="dxa"/>
        <w:tblLayout w:type="fixed"/>
        <w:tblCellMar>
          <w:top w:w="0" w:type="dxa"/>
          <w:left w:w="0" w:type="dxa"/>
          <w:bottom w:w="0" w:type="dxa"/>
          <w:right w:w="0" w:type="dxa"/>
        </w:tblCellMar>
        <w:tblLook w:val="01E0"/>
      </w:tblPr>
      <w:tblGrid>
        <w:gridCol w:w="4803"/>
        <w:gridCol w:w="238"/>
        <w:gridCol w:w="1232"/>
        <w:gridCol w:w="190"/>
        <w:gridCol w:w="1378"/>
        <w:gridCol w:w="166"/>
        <w:gridCol w:w="1474"/>
      </w:tblGrid>
      <w:tr>
        <w:trPr>
          <w:trHeight w:val="246" w:hRule="exact"/>
        </w:trPr>
        <w:tc>
          <w:tcPr>
            <w:tcW w:w="4803" w:type="dxa"/>
            <w:tcBorders>
              <w:top w:val="nil" w:sz="6" w:space="0" w:color="auto"/>
              <w:left w:val="nil" w:sz="6" w:space="0" w:color="auto"/>
              <w:bottom w:val="nil" w:sz="6" w:space="0" w:color="auto"/>
              <w:right w:val="nil" w:sz="6" w:space="0" w:color="auto"/>
            </w:tcBorders>
          </w:tcPr>
          <w:p>
            <w:pPr/>
          </w:p>
        </w:tc>
        <w:tc>
          <w:tcPr>
            <w:tcW w:w="238" w:type="dxa"/>
            <w:vMerge w:val="restart"/>
            <w:tcBorders>
              <w:top w:val="nil" w:sz="6" w:space="0" w:color="auto"/>
              <w:left w:val="nil" w:sz="6" w:space="0" w:color="auto"/>
              <w:right w:val="nil" w:sz="6" w:space="0" w:color="auto"/>
            </w:tcBorders>
          </w:tcPr>
          <w:p>
            <w:pPr/>
          </w:p>
        </w:tc>
        <w:tc>
          <w:tcPr>
            <w:tcW w:w="1232" w:type="dxa"/>
            <w:vMerge w:val="restart"/>
            <w:tcBorders>
              <w:top w:val="nil" w:sz="6" w:space="0" w:color="auto"/>
              <w:left w:val="nil" w:sz="6" w:space="0" w:color="auto"/>
              <w:right w:val="nil" w:sz="6" w:space="0" w:color="auto"/>
            </w:tcBorders>
          </w:tcPr>
          <w:p>
            <w:pPr>
              <w:pStyle w:val="TableParagraph"/>
              <w:spacing w:line="240" w:lineRule="auto" w:before="13"/>
              <w:ind w:left="91" w:right="84"/>
              <w:jc w:val="left"/>
              <w:rPr>
                <w:rFonts w:ascii="宋体" w:hAnsi="宋体" w:cs="宋体" w:eastAsia="宋体" w:hint="default"/>
                <w:sz w:val="21"/>
                <w:szCs w:val="21"/>
              </w:rPr>
            </w:pPr>
            <w:r>
              <w:rPr>
                <w:rFonts w:ascii="宋体" w:hAnsi="宋体" w:cs="宋体" w:eastAsia="宋体" w:hint="default"/>
                <w:spacing w:val="-1"/>
                <w:sz w:val="21"/>
                <w:szCs w:val="21"/>
              </w:rPr>
              <w:t>加权平均净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资产收益率</w:t>
            </w:r>
          </w:p>
        </w:tc>
        <w:tc>
          <w:tcPr>
            <w:tcW w:w="190" w:type="dxa"/>
            <w:vMerge w:val="restart"/>
            <w:tcBorders>
              <w:top w:val="nil" w:sz="6" w:space="0" w:color="auto"/>
              <w:left w:val="nil" w:sz="6" w:space="0" w:color="auto"/>
              <w:right w:val="nil" w:sz="6" w:space="0" w:color="auto"/>
            </w:tcBorders>
          </w:tcPr>
          <w:p>
            <w:pPr/>
          </w:p>
        </w:tc>
        <w:tc>
          <w:tcPr>
            <w:tcW w:w="3017" w:type="dxa"/>
            <w:gridSpan w:val="3"/>
            <w:tcBorders>
              <w:top w:val="nil" w:sz="6" w:space="0" w:color="auto"/>
              <w:left w:val="nil" w:sz="6" w:space="0" w:color="auto"/>
              <w:bottom w:val="single" w:sz="4" w:space="0" w:color="000000"/>
              <w:right w:val="nil" w:sz="6" w:space="0" w:color="auto"/>
            </w:tcBorders>
          </w:tcPr>
          <w:p>
            <w:pPr>
              <w:pStyle w:val="TableParagraph"/>
              <w:spacing w:line="211" w:lineRule="exact"/>
              <w:ind w:left="614"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宋体" w:hAnsi="宋体" w:cs="宋体" w:eastAsia="宋体" w:hint="default"/>
                <w:sz w:val="21"/>
                <w:szCs w:val="21"/>
              </w:rPr>
              <w:t>/</w:t>
            </w:r>
            <w:r>
              <w:rPr>
                <w:rFonts w:ascii="宋体" w:hAnsi="宋体" w:cs="宋体" w:eastAsia="宋体" w:hint="default"/>
                <w:sz w:val="21"/>
                <w:szCs w:val="21"/>
              </w:rPr>
              <w:t>股）</w:t>
            </w:r>
          </w:p>
        </w:tc>
      </w:tr>
      <w:tr>
        <w:trPr>
          <w:trHeight w:val="350" w:hRule="exact"/>
        </w:trPr>
        <w:tc>
          <w:tcPr>
            <w:tcW w:w="480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38" w:type="dxa"/>
            <w:vMerge/>
            <w:tcBorders>
              <w:left w:val="nil" w:sz="6" w:space="0" w:color="auto"/>
              <w:bottom w:val="nil" w:sz="6" w:space="0" w:color="auto"/>
              <w:right w:val="nil" w:sz="6" w:space="0" w:color="auto"/>
            </w:tcBorders>
          </w:tcPr>
          <w:p>
            <w:pPr/>
          </w:p>
        </w:tc>
        <w:tc>
          <w:tcPr>
            <w:tcW w:w="1232" w:type="dxa"/>
            <w:vMerge/>
            <w:tcBorders>
              <w:left w:val="nil" w:sz="6" w:space="0" w:color="auto"/>
              <w:bottom w:val="single" w:sz="4" w:space="0" w:color="000000"/>
              <w:right w:val="nil" w:sz="6" w:space="0" w:color="auto"/>
            </w:tcBorders>
          </w:tcPr>
          <w:p>
            <w:pPr/>
          </w:p>
        </w:tc>
        <w:tc>
          <w:tcPr>
            <w:tcW w:w="190" w:type="dxa"/>
            <w:vMerge/>
            <w:tcBorders>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53"/>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66" w:type="dxa"/>
            <w:tcBorders>
              <w:top w:val="single" w:sz="4" w:space="0" w:color="000000"/>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45" w:hRule="exact"/>
        </w:trPr>
        <w:tc>
          <w:tcPr>
            <w:tcW w:w="4803" w:type="dxa"/>
            <w:tcBorders>
              <w:top w:val="single" w:sz="4" w:space="0" w:color="000000"/>
              <w:left w:val="nil" w:sz="6" w:space="0" w:color="auto"/>
              <w:bottom w:val="nil" w:sz="6" w:space="0" w:color="auto"/>
              <w:right w:val="nil" w:sz="6" w:space="0" w:color="auto"/>
            </w:tcBorders>
          </w:tcPr>
          <w:p>
            <w:pPr>
              <w:pStyle w:val="TableParagraph"/>
              <w:tabs>
                <w:tab w:pos="3180" w:val="left" w:leader="none"/>
              </w:tabs>
              <w:spacing w:line="240" w:lineRule="auto" w:before="2"/>
              <w:ind w:left="28" w:right="0"/>
              <w:jc w:val="left"/>
              <w:rPr>
                <w:rFonts w:ascii="宋体" w:hAnsi="宋体" w:cs="宋体" w:eastAsia="宋体" w:hint="default"/>
                <w:sz w:val="21"/>
                <w:szCs w:val="21"/>
              </w:rPr>
            </w:pPr>
            <w:r>
              <w:rPr>
                <w:rFonts w:ascii="宋体" w:hAnsi="宋体" w:cs="宋体" w:eastAsia="宋体" w:hint="default"/>
                <w:spacing w:val="-2"/>
                <w:sz w:val="21"/>
                <w:szCs w:val="21"/>
              </w:rPr>
              <w:t>归属于公司普通股股东的净利润</w:t>
              <w:tab/>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238"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23"/>
              <w:jc w:val="right"/>
              <w:rPr>
                <w:rFonts w:ascii="宋体" w:hAnsi="宋体" w:cs="宋体" w:eastAsia="宋体" w:hint="default"/>
                <w:sz w:val="20"/>
                <w:szCs w:val="20"/>
              </w:rPr>
            </w:pPr>
            <w:r>
              <w:rPr>
                <w:rFonts w:ascii="宋体"/>
                <w:w w:val="95"/>
                <w:sz w:val="20"/>
              </w:rPr>
              <w:t>8.74%</w:t>
            </w:r>
            <w:r>
              <w:rPr>
                <w:rFonts w:ascii="宋体"/>
                <w:sz w:val="20"/>
              </w:rPr>
            </w:r>
          </w:p>
        </w:tc>
        <w:tc>
          <w:tcPr>
            <w:tcW w:w="190"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2"/>
              <w:jc w:val="right"/>
              <w:rPr>
                <w:rFonts w:ascii="宋体" w:hAnsi="宋体" w:cs="宋体" w:eastAsia="宋体" w:hint="default"/>
                <w:sz w:val="21"/>
                <w:szCs w:val="21"/>
              </w:rPr>
            </w:pPr>
            <w:r>
              <w:rPr>
                <w:rFonts w:ascii="宋体"/>
                <w:sz w:val="21"/>
              </w:rPr>
              <w:t>0.70</w:t>
            </w:r>
          </w:p>
        </w:tc>
        <w:tc>
          <w:tcPr>
            <w:tcW w:w="166"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z w:val="21"/>
              </w:rPr>
              <w:t>0.70</w:t>
            </w:r>
          </w:p>
        </w:tc>
      </w:tr>
      <w:tr>
        <w:trPr>
          <w:trHeight w:val="275" w:hRule="exact"/>
        </w:trPr>
        <w:tc>
          <w:tcPr>
            <w:tcW w:w="4803"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扣除非经常损益后归属于普通股股东的净利润 注</w:t>
            </w:r>
            <w:r>
              <w:rPr>
                <w:rFonts w:ascii="宋体" w:hAnsi="宋体" w:cs="宋体" w:eastAsia="宋体" w:hint="default"/>
                <w:spacing w:val="-56"/>
                <w:sz w:val="21"/>
                <w:szCs w:val="21"/>
              </w:rPr>
              <w:t> </w:t>
            </w:r>
            <w:r>
              <w:rPr>
                <w:rFonts w:ascii="宋体" w:hAnsi="宋体" w:cs="宋体" w:eastAsia="宋体" w:hint="default"/>
                <w:sz w:val="21"/>
                <w:szCs w:val="21"/>
              </w:rPr>
              <w:t>2</w:t>
            </w:r>
          </w:p>
        </w:tc>
        <w:tc>
          <w:tcPr>
            <w:tcW w:w="23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3"/>
              <w:jc w:val="right"/>
              <w:rPr>
                <w:rFonts w:ascii="宋体" w:hAnsi="宋体" w:cs="宋体" w:eastAsia="宋体" w:hint="default"/>
                <w:sz w:val="20"/>
                <w:szCs w:val="20"/>
              </w:rPr>
            </w:pPr>
            <w:r>
              <w:rPr>
                <w:rFonts w:ascii="宋体"/>
                <w:w w:val="95"/>
                <w:sz w:val="20"/>
              </w:rPr>
              <w:t>8.56%</w:t>
            </w:r>
            <w:r>
              <w:rPr>
                <w:rFonts w:ascii="宋体"/>
                <w:sz w:val="20"/>
              </w:rPr>
            </w:r>
          </w:p>
        </w:tc>
        <w:tc>
          <w:tcPr>
            <w:tcW w:w="19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22"/>
              <w:jc w:val="right"/>
              <w:rPr>
                <w:rFonts w:ascii="宋体" w:hAnsi="宋体" w:cs="宋体" w:eastAsia="宋体" w:hint="default"/>
                <w:sz w:val="21"/>
                <w:szCs w:val="21"/>
              </w:rPr>
            </w:pPr>
            <w:r>
              <w:rPr>
                <w:rFonts w:ascii="宋体"/>
                <w:sz w:val="21"/>
              </w:rPr>
              <w:t>0.68</w:t>
            </w:r>
          </w:p>
        </w:tc>
        <w:tc>
          <w:tcPr>
            <w:tcW w:w="166"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z w:val="21"/>
              </w:rPr>
              <w:t>0.68</w:t>
            </w:r>
          </w:p>
        </w:tc>
      </w:tr>
    </w:tbl>
    <w:p>
      <w:pPr>
        <w:spacing w:line="240" w:lineRule="auto" w:before="10"/>
        <w:rPr>
          <w:rFonts w:ascii="Microsoft JhengHei" w:hAnsi="Microsoft JhengHei" w:cs="Microsoft JhengHei" w:eastAsia="Microsoft JhengHei" w:hint="default"/>
          <w:b/>
          <w:bCs/>
          <w:sz w:val="4"/>
          <w:szCs w:val="4"/>
        </w:rPr>
      </w:pPr>
    </w:p>
    <w:p>
      <w:pPr>
        <w:pStyle w:val="BodyText"/>
        <w:spacing w:line="240" w:lineRule="auto" w:before="26"/>
        <w:ind w:left="698" w:right="794"/>
        <w:jc w:val="left"/>
      </w:pPr>
      <w:r>
        <w:rPr>
          <w:rFonts w:ascii="宋体" w:hAnsi="宋体" w:cs="宋体" w:eastAsia="宋体" w:hint="default"/>
        </w:rPr>
        <w:t>(1)</w:t>
      </w:r>
      <w:r>
        <w:rPr>
          <w:rFonts w:ascii="宋体" w:hAnsi="宋体" w:cs="宋体" w:eastAsia="宋体" w:hint="default"/>
          <w:spacing w:val="-1"/>
        </w:rPr>
        <w:t> </w:t>
      </w:r>
      <w:r>
        <w:rPr/>
        <w:t>加权平均净资产收益率</w:t>
      </w:r>
    </w:p>
    <w:p>
      <w:pPr>
        <w:pStyle w:val="BodyText"/>
        <w:spacing w:line="240" w:lineRule="auto" w:before="84"/>
        <w:ind w:left="698" w:right="794"/>
        <w:jc w:val="left"/>
      </w:pPr>
      <w:r>
        <w:rPr/>
        <w:t>注 </w:t>
      </w:r>
      <w:r>
        <w:rPr>
          <w:rFonts w:ascii="宋体" w:hAnsi="宋体" w:cs="宋体" w:eastAsia="宋体" w:hint="default"/>
        </w:rPr>
        <w:t>1</w:t>
      </w:r>
      <w:r>
        <w:rPr>
          <w:rFonts w:ascii="宋体" w:hAnsi="宋体" w:cs="宋体" w:eastAsia="宋体" w:hint="default"/>
          <w:spacing w:val="-61"/>
        </w:rPr>
        <w:t> </w:t>
      </w:r>
      <w:r>
        <w:rPr/>
        <w:t>加权平均净资产收益率</w:t>
      </w:r>
    </w:p>
    <w:p>
      <w:pPr>
        <w:pStyle w:val="BodyText"/>
        <w:spacing w:line="240" w:lineRule="auto" w:before="86"/>
        <w:ind w:left="698" w:right="794"/>
        <w:jc w:val="left"/>
        <w:rPr>
          <w:rFonts w:ascii="宋体" w:hAnsi="宋体" w:cs="宋体" w:eastAsia="宋体" w:hint="default"/>
        </w:rPr>
      </w:pPr>
      <w:r>
        <w:rPr>
          <w:rFonts w:ascii="宋体" w:hAnsi="宋体" w:cs="宋体" w:eastAsia="宋体" w:hint="default"/>
        </w:rPr>
        <w:t>=86,964,360.30/(964,284,418.3+86,964,360.30/2+22,281,700</w:t>
      </w:r>
      <w:r>
        <w:rPr>
          <w:rFonts w:ascii="宋体" w:hAnsi="宋体" w:cs="宋体" w:eastAsia="宋体" w:hint="default"/>
        </w:rPr>
        <w:t>×</w:t>
      </w:r>
      <w:r>
        <w:rPr>
          <w:rFonts w:ascii="宋体" w:hAnsi="宋体" w:cs="宋体" w:eastAsia="宋体" w:hint="default"/>
        </w:rPr>
        <w:t>2/12-24,824</w:t>
      </w:r>
    </w:p>
    <w:p>
      <w:pPr>
        <w:pStyle w:val="BodyText"/>
        <w:spacing w:line="240" w:lineRule="auto" w:before="86"/>
        <w:ind w:left="698" w:right="794"/>
        <w:jc w:val="left"/>
        <w:rPr>
          <w:rFonts w:ascii="宋体" w:hAnsi="宋体" w:cs="宋体" w:eastAsia="宋体" w:hint="default"/>
        </w:rPr>
      </w:pPr>
      <w:r>
        <w:rPr>
          <w:rFonts w:ascii="宋体" w:hAnsi="宋体" w:cs="宋体" w:eastAsia="宋体" w:hint="default"/>
        </w:rPr>
        <w:t>,834.4</w:t>
      </w:r>
      <w:r>
        <w:rPr>
          <w:rFonts w:ascii="宋体" w:hAnsi="宋体" w:cs="宋体" w:eastAsia="宋体" w:hint="default"/>
        </w:rPr>
        <w:t>×</w:t>
      </w:r>
      <w:r>
        <w:rPr>
          <w:rFonts w:ascii="宋体" w:hAnsi="宋体" w:cs="宋体" w:eastAsia="宋体" w:hint="default"/>
        </w:rPr>
        <w:t>8/12)=8.74%</w:t>
      </w:r>
    </w:p>
    <w:p>
      <w:pPr>
        <w:pStyle w:val="BodyText"/>
        <w:spacing w:line="240" w:lineRule="auto" w:before="5"/>
        <w:ind w:left="698" w:right="794"/>
        <w:jc w:val="left"/>
      </w:pPr>
      <w:r>
        <w:rPr/>
        <w:t>注</w:t>
      </w:r>
      <w:r>
        <w:rPr>
          <w:spacing w:val="-61"/>
        </w:rPr>
        <w:t> </w:t>
      </w:r>
      <w:r>
        <w:rPr>
          <w:rFonts w:ascii="宋体" w:hAnsi="宋体" w:cs="宋体" w:eastAsia="宋体" w:hint="default"/>
        </w:rPr>
        <w:t>2</w:t>
      </w:r>
      <w:r>
        <w:rPr>
          <w:rFonts w:ascii="宋体" w:hAnsi="宋体" w:cs="宋体" w:eastAsia="宋体" w:hint="default"/>
          <w:spacing w:val="-60"/>
        </w:rPr>
        <w:t> </w:t>
      </w:r>
      <w:r>
        <w:rPr/>
        <w:t>扣除非经常性损益的加权平均净资产收益率</w:t>
      </w:r>
    </w:p>
    <w:p>
      <w:pPr>
        <w:pStyle w:val="BodyText"/>
        <w:spacing w:line="290" w:lineRule="auto" w:before="77"/>
        <w:ind w:left="698" w:right="1793"/>
        <w:jc w:val="left"/>
        <w:rPr>
          <w:rFonts w:ascii="宋体" w:hAnsi="宋体" w:cs="宋体" w:eastAsia="宋体" w:hint="default"/>
        </w:rPr>
      </w:pPr>
      <w:r>
        <w:rPr>
          <w:rFonts w:ascii="宋体" w:hAnsi="宋体" w:cs="宋体" w:eastAsia="宋体" w:hint="default"/>
        </w:rPr>
        <w:t>=85,178,243.78/(964,284,418.3+86,964,360.30/2+22,281,700</w:t>
      </w:r>
      <w:r>
        <w:rPr>
          <w:rFonts w:ascii="Times New Roman" w:hAnsi="Times New Roman" w:cs="Times New Roman" w:eastAsia="Times New Roman" w:hint="default"/>
        </w:rPr>
        <w:t>×</w:t>
      </w:r>
      <w:r>
        <w:rPr>
          <w:rFonts w:ascii="宋体" w:hAnsi="宋体" w:cs="宋体" w:eastAsia="宋体" w:hint="default"/>
        </w:rPr>
        <w:t>2/12-24,824, 834.4</w:t>
      </w:r>
      <w:r>
        <w:rPr>
          <w:rFonts w:ascii="Times New Roman" w:hAnsi="Times New Roman" w:cs="Times New Roman" w:eastAsia="Times New Roman" w:hint="default"/>
        </w:rPr>
        <w:t>×</w:t>
      </w:r>
      <w:r>
        <w:rPr>
          <w:rFonts w:ascii="宋体" w:hAnsi="宋体" w:cs="宋体" w:eastAsia="宋体" w:hint="default"/>
        </w:rPr>
        <w:t>8/12)=8.56%</w:t>
      </w:r>
    </w:p>
    <w:p>
      <w:pPr>
        <w:spacing w:line="240" w:lineRule="auto" w:before="5"/>
        <w:rPr>
          <w:rFonts w:ascii="宋体" w:hAnsi="宋体" w:cs="宋体" w:eastAsia="宋体" w:hint="default"/>
          <w:sz w:val="31"/>
          <w:szCs w:val="31"/>
        </w:rPr>
      </w:pPr>
    </w:p>
    <w:p>
      <w:pPr>
        <w:pStyle w:val="BodyText"/>
        <w:spacing w:line="240" w:lineRule="auto" w:before="0"/>
        <w:ind w:left="1178" w:right="794"/>
        <w:jc w:val="left"/>
      </w:pPr>
      <w:r>
        <w:rPr/>
        <w:t>⑵</w:t>
      </w:r>
      <w:r>
        <w:rPr>
          <w:spacing w:val="1"/>
        </w:rPr>
        <w:t> </w:t>
      </w:r>
      <w:r>
        <w:rPr/>
        <w:t>基本每股收益和稀释每股收益的计算见附注七、</w:t>
      </w:r>
      <w:r>
        <w:rPr>
          <w:rFonts w:ascii="宋体" w:hAnsi="宋体" w:cs="宋体" w:eastAsia="宋体" w:hint="default"/>
        </w:rPr>
        <w:t>39</w:t>
      </w:r>
      <w:r>
        <w:rPr/>
        <w:t>。</w:t>
      </w:r>
    </w:p>
    <w:p>
      <w:pPr>
        <w:pStyle w:val="Heading3"/>
        <w:spacing w:line="240" w:lineRule="auto" w:before="44"/>
        <w:ind w:left="1180" w:right="794"/>
        <w:jc w:val="left"/>
        <w:rPr>
          <w:b w:val="0"/>
          <w:bCs w:val="0"/>
        </w:rPr>
      </w:pPr>
      <w:r>
        <w:rPr>
          <w:rFonts w:ascii="Times New Roman" w:hAnsi="Times New Roman" w:cs="Times New Roman" w:eastAsia="Times New Roman" w:hint="default"/>
        </w:rPr>
        <w:t>3</w:t>
      </w:r>
      <w:r>
        <w:rPr/>
        <w:t>、本集团合并财务报表主要项目的异常情况及原因的说明</w:t>
      </w:r>
      <w:r>
        <w:rPr>
          <w:b w:val="0"/>
          <w:bCs w:val="0"/>
        </w:rPr>
      </w:r>
    </w:p>
    <w:p>
      <w:pPr>
        <w:pStyle w:val="BodyText"/>
        <w:spacing w:line="304" w:lineRule="auto" w:before="184"/>
        <w:ind w:left="753" w:right="1794" w:firstLine="448"/>
        <w:jc w:val="both"/>
      </w:pPr>
      <w:r>
        <w:rPr/>
        <w:t>⑴</w:t>
      </w:r>
      <w:r>
        <w:rPr>
          <w:spacing w:val="96"/>
        </w:rPr>
        <w:t> </w:t>
      </w:r>
      <w:r>
        <w:rPr/>
        <w:t>应收账款</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日期末数为</w:t>
      </w:r>
      <w:r>
        <w:rPr>
          <w:spacing w:val="-60"/>
        </w:rPr>
        <w:t> </w:t>
      </w:r>
      <w:r>
        <w:rPr>
          <w:rFonts w:ascii="宋体" w:hAnsi="宋体" w:cs="宋体" w:eastAsia="宋体" w:hint="default"/>
        </w:rPr>
        <w:t>102,999,782.68</w:t>
      </w:r>
      <w:r>
        <w:rPr>
          <w:rFonts w:ascii="宋体" w:hAnsi="宋体" w:cs="宋体" w:eastAsia="宋体" w:hint="default"/>
          <w:spacing w:val="-60"/>
        </w:rPr>
        <w:t> </w:t>
      </w:r>
      <w:r>
        <w:rPr>
          <w:spacing w:val="-13"/>
        </w:rPr>
        <w:t>元，比期初数增</w:t>
      </w:r>
      <w:r>
        <w:rPr/>
        <w:t> 加</w:t>
      </w:r>
      <w:r>
        <w:rPr>
          <w:spacing w:val="-69"/>
        </w:rPr>
        <w:t> </w:t>
      </w:r>
      <w:r>
        <w:rPr>
          <w:rFonts w:ascii="宋体" w:hAnsi="宋体" w:cs="宋体" w:eastAsia="宋体" w:hint="default"/>
          <w:sz w:val="22"/>
          <w:szCs w:val="22"/>
        </w:rPr>
        <w:t>70.98%</w:t>
      </w:r>
      <w:r>
        <w:rPr/>
        <w:t>，主要原因是本公司</w:t>
      </w:r>
      <w:r>
        <w:rPr>
          <w:spacing w:val="-68"/>
        </w:rPr>
        <w:t> </w:t>
      </w:r>
      <w:r>
        <w:rPr>
          <w:rFonts w:ascii="宋体" w:hAnsi="宋体" w:cs="宋体" w:eastAsia="宋体" w:hint="default"/>
        </w:rPr>
        <w:t>2011</w:t>
      </w:r>
      <w:r>
        <w:rPr>
          <w:rFonts w:ascii="宋体" w:hAnsi="宋体" w:cs="宋体" w:eastAsia="宋体" w:hint="default"/>
          <w:spacing w:val="-68"/>
        </w:rPr>
        <w:t> </w:t>
      </w:r>
      <w:r>
        <w:rPr/>
        <w:t>年度销售收入较上年有所增长，同时部分大 客户未到付款期所致；</w:t>
      </w:r>
    </w:p>
    <w:p>
      <w:pPr>
        <w:pStyle w:val="BodyText"/>
        <w:tabs>
          <w:tab w:pos="1657" w:val="left" w:leader="none"/>
        </w:tabs>
        <w:spacing w:line="307" w:lineRule="auto" w:before="142"/>
        <w:ind w:left="753" w:right="1673" w:firstLine="448"/>
        <w:jc w:val="left"/>
      </w:pPr>
      <w:r>
        <w:rPr/>
        <w:t>⑵</w:t>
        <w:tab/>
        <w:t>在建工程</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日期末数为</w:t>
      </w:r>
      <w:r>
        <w:rPr>
          <w:spacing w:val="-56"/>
        </w:rPr>
        <w:t> </w:t>
      </w:r>
      <w:r>
        <w:rPr>
          <w:rFonts w:ascii="宋体" w:hAnsi="宋体" w:cs="宋体" w:eastAsia="宋体" w:hint="default"/>
        </w:rPr>
        <w:t>17,128,603.68</w:t>
      </w:r>
      <w:r>
        <w:rPr>
          <w:rFonts w:ascii="宋体" w:hAnsi="宋体" w:cs="宋体" w:eastAsia="宋体" w:hint="default"/>
          <w:spacing w:val="-57"/>
        </w:rPr>
        <w:t> </w:t>
      </w:r>
      <w:r>
        <w:rPr/>
        <w:t>元，比期初数减 少</w:t>
      </w:r>
      <w:r>
        <w:rPr>
          <w:spacing w:val="-94"/>
        </w:rPr>
        <w:t> </w:t>
      </w:r>
      <w:r>
        <w:rPr>
          <w:rFonts w:ascii="宋体" w:hAnsi="宋体" w:cs="宋体" w:eastAsia="宋体" w:hint="default"/>
          <w:sz w:val="22"/>
          <w:szCs w:val="22"/>
        </w:rPr>
        <w:t>82.60</w:t>
      </w:r>
      <w:r>
        <w:rPr>
          <w:rFonts w:ascii="宋体" w:hAnsi="宋体" w:cs="宋体" w:eastAsia="宋体" w:hint="default"/>
        </w:rPr>
        <w:t>%</w:t>
      </w:r>
      <w:r>
        <w:rPr/>
        <w:t>，其主要原因为济南临港生产基地（一期）一车间及办公楼转固所致；</w:t>
      </w:r>
    </w:p>
    <w:p>
      <w:pPr>
        <w:pStyle w:val="BodyText"/>
        <w:spacing w:line="307" w:lineRule="auto" w:before="137"/>
        <w:ind w:left="753" w:right="1834" w:firstLine="448"/>
        <w:jc w:val="both"/>
      </w:pPr>
      <w:r>
        <w:rPr/>
        <w:t>⑶</w:t>
      </w:r>
      <w:r>
        <w:rPr>
          <w:spacing w:val="99"/>
        </w:rPr>
        <w:t> </w:t>
      </w:r>
      <w:r>
        <w:rPr/>
        <w:t>开发支出期末金额</w:t>
      </w:r>
      <w:r>
        <w:rPr>
          <w:spacing w:val="-60"/>
        </w:rPr>
        <w:t> </w:t>
      </w:r>
      <w:r>
        <w:rPr>
          <w:rFonts w:ascii="宋体" w:hAnsi="宋体" w:cs="宋体" w:eastAsia="宋体" w:hint="default"/>
        </w:rPr>
        <w:t>6,220,791.03</w:t>
      </w:r>
      <w:r>
        <w:rPr>
          <w:rFonts w:ascii="宋体" w:hAnsi="宋体" w:cs="宋体" w:eastAsia="宋体" w:hint="default"/>
          <w:spacing w:val="-60"/>
        </w:rPr>
        <w:t> </w:t>
      </w:r>
      <w:r>
        <w:rPr>
          <w:spacing w:val="-7"/>
        </w:rPr>
        <w:t>元，比期初增长</w:t>
      </w:r>
      <w:r>
        <w:rPr>
          <w:spacing w:val="-60"/>
        </w:rPr>
        <w:t> </w:t>
      </w:r>
      <w:r>
        <w:rPr>
          <w:rFonts w:ascii="宋体" w:hAnsi="宋体" w:cs="宋体" w:eastAsia="宋体" w:hint="default"/>
        </w:rPr>
        <w:t>6,220,791.03</w:t>
      </w:r>
      <w:r>
        <w:rPr>
          <w:rFonts w:ascii="宋体" w:hAnsi="宋体" w:cs="宋体" w:eastAsia="宋体" w:hint="default"/>
          <w:spacing w:val="-60"/>
        </w:rPr>
        <w:t> </w:t>
      </w:r>
      <w:r>
        <w:rPr>
          <w:spacing w:val="-30"/>
        </w:rPr>
        <w:t>元，原</w:t>
      </w:r>
      <w:r>
        <w:rPr>
          <w:spacing w:val="-44"/>
        </w:rPr>
        <w:t> </w:t>
      </w:r>
      <w:r>
        <w:rPr/>
        <w:t>因为部分研发项目拟申请专利，记入资本化支出所致；</w:t>
      </w:r>
    </w:p>
    <w:p>
      <w:pPr>
        <w:pStyle w:val="BodyText"/>
        <w:spacing w:line="304" w:lineRule="auto" w:before="139"/>
        <w:ind w:left="753" w:right="1793" w:firstLine="448"/>
        <w:jc w:val="both"/>
      </w:pPr>
      <w:r>
        <w:rPr/>
        <w:t>⑷</w:t>
      </w:r>
      <w:r>
        <w:rPr>
          <w:spacing w:val="86"/>
        </w:rPr>
        <w:t> </w:t>
      </w:r>
      <w:r>
        <w:rPr/>
        <w:t>短期借款</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日余额为零，比年初数减少</w:t>
      </w:r>
      <w:r>
        <w:rPr>
          <w:spacing w:val="-63"/>
        </w:rPr>
        <w:t> </w:t>
      </w:r>
      <w:r>
        <w:rPr>
          <w:rFonts w:ascii="宋体" w:hAnsi="宋体" w:cs="宋体" w:eastAsia="宋体" w:hint="default"/>
        </w:rPr>
        <w:t>100%</w:t>
      </w:r>
      <w:r>
        <w:rPr/>
        <w:t>，主要原因 为本公司偿还银行贷款所致；</w:t>
      </w:r>
    </w:p>
    <w:p>
      <w:pPr>
        <w:pStyle w:val="BodyText"/>
        <w:spacing w:line="307" w:lineRule="auto" w:before="142"/>
        <w:ind w:left="753" w:right="1791" w:firstLine="448"/>
        <w:jc w:val="both"/>
      </w:pPr>
      <w:r>
        <w:rPr/>
        <w:t>⑸</w:t>
      </w:r>
      <w:r>
        <w:rPr>
          <w:spacing w:val="95"/>
        </w:rPr>
        <w:t> </w:t>
      </w:r>
      <w:r>
        <w:rPr/>
        <w:t>预收账款</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日期末数为</w:t>
      </w:r>
      <w:r>
        <w:rPr>
          <w:spacing w:val="-56"/>
        </w:rPr>
        <w:t> </w:t>
      </w:r>
      <w:r>
        <w:rPr>
          <w:rFonts w:ascii="宋体" w:hAnsi="宋体" w:cs="宋体" w:eastAsia="宋体" w:hint="default"/>
        </w:rPr>
        <w:t>22,315,644.85</w:t>
      </w:r>
      <w:r>
        <w:rPr>
          <w:rFonts w:ascii="宋体" w:hAnsi="宋体" w:cs="宋体" w:eastAsia="宋体" w:hint="default"/>
          <w:spacing w:val="-57"/>
        </w:rPr>
        <w:t> </w:t>
      </w:r>
      <w:r>
        <w:rPr/>
        <w:t>元，比期初数增 加</w:t>
      </w:r>
      <w:r>
        <w:rPr>
          <w:spacing w:val="-61"/>
        </w:rPr>
        <w:t> </w:t>
      </w:r>
      <w:r>
        <w:rPr>
          <w:rFonts w:ascii="宋体" w:hAnsi="宋体" w:cs="宋体" w:eastAsia="宋体" w:hint="default"/>
        </w:rPr>
        <w:t>7,990,304.14</w:t>
      </w:r>
      <w:r>
        <w:rPr/>
        <w:t>，其主要原因是部分销售合同收到预收款但尚不能确认收入；</w:t>
      </w:r>
    </w:p>
    <w:p>
      <w:pPr>
        <w:pStyle w:val="BodyText"/>
        <w:spacing w:line="307" w:lineRule="auto" w:before="137"/>
        <w:ind w:left="753" w:right="1791" w:firstLine="448"/>
        <w:jc w:val="both"/>
      </w:pPr>
      <w:r>
        <w:rPr/>
        <w:t>⑹</w:t>
      </w:r>
      <w:r>
        <w:rPr>
          <w:spacing w:val="-25"/>
        </w:rPr>
        <w:t> </w:t>
      </w:r>
      <w:r>
        <w:rPr/>
        <w:t>应交税费</w:t>
      </w:r>
      <w:r>
        <w:rPr>
          <w:spacing w:val="-57"/>
        </w:rPr>
        <w:t> </w:t>
      </w:r>
      <w:r>
        <w:rPr>
          <w:rFonts w:ascii="宋体" w:hAnsi="宋体" w:cs="宋体" w:eastAsia="宋体" w:hint="default"/>
        </w:rPr>
        <w:t>2011</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日期末数为</w:t>
      </w:r>
      <w:r>
        <w:rPr>
          <w:spacing w:val="-56"/>
        </w:rPr>
        <w:t> </w:t>
      </w:r>
      <w:r>
        <w:rPr>
          <w:rFonts w:ascii="宋体" w:hAnsi="宋体" w:cs="宋体" w:eastAsia="宋体" w:hint="default"/>
        </w:rPr>
        <w:t>6,708,203.71</w:t>
      </w:r>
      <w:r>
        <w:rPr>
          <w:rFonts w:ascii="宋体" w:hAnsi="宋体" w:cs="宋体" w:eastAsia="宋体" w:hint="default"/>
          <w:spacing w:val="-57"/>
        </w:rPr>
        <w:t> </w:t>
      </w:r>
      <w:r>
        <w:rPr/>
        <w:t>元，比期初数增加 </w:t>
      </w:r>
      <w:r>
        <w:rPr>
          <w:rFonts w:ascii="宋体" w:hAnsi="宋体" w:cs="宋体" w:eastAsia="宋体" w:hint="default"/>
          <w:sz w:val="22"/>
          <w:szCs w:val="22"/>
        </w:rPr>
        <w:t>623.22%</w:t>
      </w:r>
      <w:r>
        <w:rPr/>
        <w:t>，其主要原因为公司营业收入较上年同期增长，同时固定资产采购可抵</w:t>
      </w:r>
      <w:r>
        <w:rPr>
          <w:spacing w:val="-77"/>
        </w:rPr>
        <w:t> </w:t>
      </w:r>
      <w:r>
        <w:rPr>
          <w:spacing w:val="-77"/>
        </w:rPr>
      </w:r>
      <w:r>
        <w:rPr/>
        <w:t>扣的增值税进项税减少，造成应交税费余额大幅增长；</w:t>
      </w:r>
    </w:p>
    <w:p>
      <w:pPr>
        <w:pStyle w:val="BodyText"/>
        <w:spacing w:line="307" w:lineRule="auto" w:before="137"/>
        <w:ind w:left="753" w:right="1791" w:firstLine="448"/>
        <w:jc w:val="both"/>
      </w:pPr>
      <w:r>
        <w:rPr/>
        <w:t>⑺</w:t>
      </w:r>
      <w:r>
        <w:rPr>
          <w:spacing w:val="94"/>
        </w:rPr>
        <w:t> </w:t>
      </w:r>
      <w:r>
        <w:rPr/>
        <w:t>其他应付款</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日期末数为</w:t>
      </w:r>
      <w:r>
        <w:rPr>
          <w:spacing w:val="-56"/>
        </w:rPr>
        <w:t> </w:t>
      </w:r>
      <w:r>
        <w:rPr>
          <w:rFonts w:ascii="宋体" w:hAnsi="宋体" w:cs="宋体" w:eastAsia="宋体" w:hint="default"/>
        </w:rPr>
        <w:t>25,746,036.13</w:t>
      </w:r>
      <w:r>
        <w:rPr>
          <w:rFonts w:ascii="宋体" w:hAnsi="宋体" w:cs="宋体" w:eastAsia="宋体" w:hint="default"/>
          <w:spacing w:val="-57"/>
        </w:rPr>
        <w:t> </w:t>
      </w:r>
      <w:r>
        <w:rPr/>
        <w:t>元，比期初数 减少</w:t>
      </w:r>
      <w:r>
        <w:rPr>
          <w:spacing w:val="-62"/>
        </w:rPr>
        <w:t> </w:t>
      </w:r>
      <w:r>
        <w:rPr>
          <w:rFonts w:ascii="宋体" w:hAnsi="宋体" w:cs="宋体" w:eastAsia="宋体" w:hint="default"/>
          <w:sz w:val="22"/>
          <w:szCs w:val="22"/>
        </w:rPr>
        <w:t>53.44</w:t>
      </w:r>
      <w:r>
        <w:rPr>
          <w:rFonts w:ascii="宋体" w:hAnsi="宋体" w:cs="宋体" w:eastAsia="宋体" w:hint="default"/>
        </w:rPr>
        <w:t>%</w:t>
      </w:r>
      <w:r>
        <w:rPr/>
        <w:t>，其主要原因为本期支付未结算的工程款所致。</w:t>
      </w:r>
    </w:p>
    <w:p>
      <w:pPr>
        <w:spacing w:after="0" w:line="307" w:lineRule="auto"/>
        <w:jc w:val="both"/>
        <w:sectPr>
          <w:pgSz w:w="11910" w:h="16840"/>
          <w:pgMar w:header="798" w:footer="956" w:top="1100" w:bottom="1140" w:left="11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1"/>
        <w:tabs>
          <w:tab w:pos="4295" w:val="left" w:leader="none"/>
        </w:tabs>
        <w:spacing w:line="240" w:lineRule="auto"/>
        <w:ind w:left="2485" w:right="1869"/>
        <w:jc w:val="left"/>
        <w:rPr>
          <w:b w:val="0"/>
          <w:bCs w:val="0"/>
        </w:rPr>
      </w:pPr>
      <w:bookmarkStart w:name="_TOC_250000" w:id="12"/>
      <w:r>
        <w:rPr>
          <w:w w:val="95"/>
        </w:rPr>
        <w:t>第十二节</w:t>
        <w:tab/>
      </w:r>
      <w:r>
        <w:rPr/>
        <w:t>备查文件目录</w:t>
      </w:r>
      <w:bookmarkEnd w:id="12"/>
      <w:r>
        <w:rPr>
          <w:b w:val="0"/>
          <w:bCs w:val="0"/>
        </w:rPr>
      </w:r>
    </w:p>
    <w:p>
      <w:pPr>
        <w:spacing w:line="240" w:lineRule="auto" w:before="0"/>
        <w:rPr>
          <w:rFonts w:ascii="宋体" w:hAnsi="宋体" w:cs="宋体" w:eastAsia="宋体" w:hint="default"/>
          <w:b/>
          <w:bCs/>
          <w:sz w:val="30"/>
          <w:szCs w:val="30"/>
        </w:rPr>
      </w:pPr>
    </w:p>
    <w:p>
      <w:pPr>
        <w:spacing w:line="240" w:lineRule="auto" w:before="9"/>
        <w:rPr>
          <w:rFonts w:ascii="宋体" w:hAnsi="宋体" w:cs="宋体" w:eastAsia="宋体" w:hint="default"/>
          <w:b/>
          <w:bCs/>
          <w:sz w:val="22"/>
          <w:szCs w:val="22"/>
        </w:rPr>
      </w:pPr>
    </w:p>
    <w:p>
      <w:pPr>
        <w:spacing w:before="0"/>
        <w:ind w:left="138" w:right="1869" w:firstLine="0"/>
        <w:jc w:val="left"/>
        <w:rPr>
          <w:rFonts w:ascii="宋体" w:hAnsi="宋体" w:cs="宋体" w:eastAsia="宋体" w:hint="default"/>
          <w:sz w:val="21"/>
          <w:szCs w:val="21"/>
        </w:rPr>
      </w:pPr>
      <w:r>
        <w:rPr>
          <w:rFonts w:ascii="宋体" w:hAnsi="宋体" w:cs="宋体" w:eastAsia="宋体" w:hint="default"/>
          <w:sz w:val="21"/>
          <w:szCs w:val="21"/>
        </w:rPr>
        <w:t>（一）载有公司负责人、财务负责人、会计机构负责人签名并盖章的会计报表。</w:t>
      </w:r>
    </w:p>
    <w:p>
      <w:pPr>
        <w:spacing w:line="240" w:lineRule="auto" w:before="8"/>
        <w:rPr>
          <w:rFonts w:ascii="宋体" w:hAnsi="宋体" w:cs="宋体" w:eastAsia="宋体" w:hint="default"/>
          <w:sz w:val="20"/>
          <w:szCs w:val="20"/>
        </w:rPr>
      </w:pPr>
    </w:p>
    <w:p>
      <w:pPr>
        <w:spacing w:before="0"/>
        <w:ind w:left="138" w:right="1869" w:firstLine="0"/>
        <w:jc w:val="left"/>
        <w:rPr>
          <w:rFonts w:ascii="宋体" w:hAnsi="宋体" w:cs="宋体" w:eastAsia="宋体" w:hint="default"/>
          <w:sz w:val="21"/>
          <w:szCs w:val="21"/>
        </w:rPr>
      </w:pPr>
      <w:r>
        <w:rPr>
          <w:rFonts w:ascii="宋体" w:hAnsi="宋体" w:cs="宋体" w:eastAsia="宋体" w:hint="default"/>
          <w:sz w:val="21"/>
          <w:szCs w:val="21"/>
        </w:rPr>
        <w:t>（二）载有会计师事务所盖章、注册会计师签名并盖章的审计报告原件。</w:t>
      </w:r>
    </w:p>
    <w:p>
      <w:pPr>
        <w:spacing w:line="240" w:lineRule="auto" w:before="8"/>
        <w:rPr>
          <w:rFonts w:ascii="宋体" w:hAnsi="宋体" w:cs="宋体" w:eastAsia="宋体" w:hint="default"/>
          <w:sz w:val="20"/>
          <w:szCs w:val="20"/>
        </w:rPr>
      </w:pPr>
    </w:p>
    <w:p>
      <w:pPr>
        <w:spacing w:before="0"/>
        <w:ind w:left="138" w:right="1869" w:firstLine="0"/>
        <w:jc w:val="left"/>
        <w:rPr>
          <w:rFonts w:ascii="宋体" w:hAnsi="宋体" w:cs="宋体" w:eastAsia="宋体" w:hint="default"/>
          <w:sz w:val="21"/>
          <w:szCs w:val="21"/>
        </w:rPr>
      </w:pPr>
      <w:r>
        <w:rPr>
          <w:rFonts w:ascii="宋体" w:hAnsi="宋体" w:cs="宋体" w:eastAsia="宋体" w:hint="default"/>
          <w:spacing w:val="-10"/>
          <w:sz w:val="21"/>
          <w:szCs w:val="21"/>
        </w:rPr>
        <w:t>（三）报告期内，在中国证监会指定报纸上公开披露过的所有文件正本及公告原稿。</w:t>
      </w:r>
    </w:p>
    <w:p>
      <w:pPr>
        <w:spacing w:line="240" w:lineRule="auto" w:before="8"/>
        <w:rPr>
          <w:rFonts w:ascii="宋体" w:hAnsi="宋体" w:cs="宋体" w:eastAsia="宋体" w:hint="default"/>
          <w:sz w:val="20"/>
          <w:szCs w:val="20"/>
        </w:rPr>
      </w:pPr>
    </w:p>
    <w:p>
      <w:pPr>
        <w:spacing w:before="0"/>
        <w:ind w:left="138" w:right="1869" w:firstLine="0"/>
        <w:jc w:val="left"/>
        <w:rPr>
          <w:rFonts w:ascii="宋体" w:hAnsi="宋体" w:cs="宋体" w:eastAsia="宋体" w:hint="default"/>
          <w:sz w:val="21"/>
          <w:szCs w:val="21"/>
        </w:rPr>
      </w:pPr>
      <w:r>
        <w:rPr>
          <w:rFonts w:ascii="宋体" w:hAnsi="宋体" w:cs="宋体" w:eastAsia="宋体" w:hint="default"/>
          <w:sz w:val="21"/>
          <w:szCs w:val="21"/>
        </w:rPr>
        <w:t>（四）以上备查文件的备置地点：公司证券办公室。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607" w:lineRule="auto" w:before="0"/>
        <w:ind w:left="5392" w:right="2598" w:hanging="644"/>
        <w:jc w:val="left"/>
        <w:rPr>
          <w:rFonts w:ascii="宋体" w:hAnsi="宋体" w:cs="宋体" w:eastAsia="宋体" w:hint="default"/>
        </w:rPr>
      </w:pPr>
      <w:r>
        <w:rPr>
          <w:rFonts w:ascii="宋体" w:hAnsi="宋体" w:cs="宋体" w:eastAsia="宋体" w:hint="default"/>
        </w:rPr>
        <w:t>东港安全印刷股份有限公司 董事长： 谷望江</w:t>
      </w:r>
    </w:p>
    <w:p>
      <w:pPr>
        <w:pStyle w:val="BodyText"/>
        <w:spacing w:line="240" w:lineRule="auto" w:before="128"/>
        <w:ind w:left="5164" w:right="1869"/>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28</w:t>
      </w:r>
      <w:r>
        <w:rPr>
          <w:rFonts w:ascii="宋体" w:hAnsi="宋体" w:cs="宋体" w:eastAsia="宋体" w:hint="default"/>
          <w:spacing w:val="-60"/>
        </w:rPr>
        <w:t> </w:t>
      </w:r>
      <w:r>
        <w:rPr>
          <w:rFonts w:ascii="宋体" w:hAnsi="宋体" w:cs="宋体" w:eastAsia="宋体" w:hint="default"/>
        </w:rPr>
        <w:t>日</w:t>
      </w:r>
    </w:p>
    <w:sectPr>
      <w:pgSz w:w="11910" w:h="16840"/>
      <w:pgMar w:header="798" w:footer="956" w:top="1100" w:bottom="114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8120" type="#_x0000_t75" stroked="false">
          <v:imagedata r:id="rId1" o:title=""/>
        </v:shape>
      </w:pict>
    </w:r>
    <w:r>
      <w:rPr/>
      <w:pict>
        <v:shape style="position:absolute;margin-left:299.609985pt;margin-top:773.293945pt;width:13.15pt;height:11pt;mso-position-horizontal-relative:page;mso-position-vertical-relative:page;z-index:-748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304" type="#_x0000_t75" stroked="false">
          <v:imagedata r:id="rId1" o:title=""/>
        </v:shape>
      </w:pict>
    </w:r>
    <w:r>
      <w:rPr/>
      <w:pict>
        <v:shape style="position:absolute;margin-left:298.649994pt;margin-top:773.293945pt;width:13.15pt;height:11pt;mso-position-horizontal-relative:page;mso-position-vertical-relative:page;z-index:-747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160" type="#_x0000_t75" stroked="false">
          <v:imagedata r:id="rId1" o:title=""/>
        </v:shape>
      </w:pict>
    </w:r>
    <w:r>
      <w:rPr/>
      <w:pict>
        <v:shape style="position:absolute;margin-left:292.890015pt;margin-top:783.798645pt;width:14.6pt;height:12.6pt;mso-position-horizontal-relative:page;mso-position-vertical-relative:page;z-index:-747136" type="#_x0000_t202" filled="false" stroked="false">
          <v:textbox inset="0,0,0,0">
            <w:txbxContent>
              <w:p>
                <w:pPr>
                  <w:spacing w:line="235" w:lineRule="exact" w:before="0"/>
                  <w:ind w:left="40" w:right="0" w:firstLine="0"/>
                  <w:jc w:val="left"/>
                  <w:rPr>
                    <w:rFonts w:ascii="Times New Roman" w:hAnsi="Times New Roman" w:cs="Times New Roman" w:eastAsia="Times New Roman" w:hint="default"/>
                    <w:sz w:val="21"/>
                    <w:szCs w:val="21"/>
                  </w:rPr>
                </w:pPr>
                <w:r>
                  <w:rPr>
                    <w:rFonts w:ascii="Times New Roman"/>
                    <w:w w:val="100"/>
                    <w:sz w:val="21"/>
                  </w:rPr>
                </w:r>
                <w:r>
                  <w:rPr/>
                  <w:fldChar w:fldCharType="begin"/>
                </w:r>
                <w:r>
                  <w:rPr>
                    <w:rFonts w:ascii="Times New Roman"/>
                    <w:sz w:val="21"/>
                  </w:rPr>
                  <w:instrText> PAGE </w:instrText>
                </w:r>
                <w:r>
                  <w:rPr/>
                  <w:fldChar w:fldCharType="separate"/>
                </w:r>
                <w:r>
                  <w:rPr/>
                  <w:t>97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064" type="#_x0000_t75" stroked="false">
          <v:imagedata r:id="rId1" o:title=""/>
        </v:shape>
      </w:pict>
    </w:r>
    <w:r>
      <w:rPr/>
      <w:pict>
        <v:shape style="position:absolute;margin-left:291.25pt;margin-top:783.798645pt;width:17.850pt;height:12.6pt;mso-position-horizontal-relative:page;mso-position-vertical-relative:page;z-index:-747040" type="#_x0000_t202" filled="false" stroked="false">
          <v:textbox inset="0,0,0,0">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016" type="#_x0000_t75" stroked="false">
          <v:imagedata r:id="rId1" o:title=""/>
        </v:shape>
      </w:pict>
    </w:r>
    <w:r>
      <w:rPr/>
      <w:pict>
        <v:shape style="position:absolute;margin-left:290.25pt;margin-top:783.798645pt;width:19.850pt;height:12.6pt;mso-position-horizontal-relative:page;mso-position-vertical-relative:page;z-index:-746992" type="#_x0000_t202" filled="false" stroked="false">
          <v:textbox inset="0,0,0,0">
            <w:txbxContent>
              <w:p>
                <w:pPr>
                  <w:spacing w:line="235" w:lineRule="exact" w:before="0"/>
                  <w:ind w:left="40" w:right="0" w:firstLine="0"/>
                  <w:jc w:val="left"/>
                  <w:rPr>
                    <w:rFonts w:ascii="Times New Roman" w:hAnsi="Times New Roman" w:cs="Times New Roman" w:eastAsia="Times New Roman" w:hint="default"/>
                    <w:sz w:val="21"/>
                    <w:szCs w:val="21"/>
                  </w:rPr>
                </w:pPr>
                <w:r>
                  <w:rPr>
                    <w:rFonts w:ascii="Times New Roman"/>
                    <w:w w:val="100"/>
                    <w:sz w:val="21"/>
                  </w:rPr>
                </w: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6944" type="#_x0000_t75" stroked="false">
          <v:imagedata r:id="rId1" o:title=""/>
        </v:shape>
      </w:pict>
    </w:r>
    <w:r>
      <w:rPr/>
      <w:pict>
        <v:shape style="position:absolute;margin-left:296.130005pt;margin-top:783.798645pt;width:19.850pt;height:12.6pt;mso-position-horizontal-relative:page;mso-position-vertical-relative:page;z-index:-746920" type="#_x0000_t202" filled="false" stroked="false">
          <v:textbox inset="0,0,0,0">
            <w:txbxContent>
              <w:p>
                <w:pPr>
                  <w:spacing w:line="235" w:lineRule="exact" w:before="0"/>
                  <w:ind w:left="40" w:right="0" w:firstLine="0"/>
                  <w:jc w:val="left"/>
                  <w:rPr>
                    <w:rFonts w:ascii="Times New Roman" w:hAnsi="Times New Roman" w:cs="Times New Roman" w:eastAsia="Times New Roman" w:hint="default"/>
                    <w:sz w:val="21"/>
                    <w:szCs w:val="21"/>
                  </w:rPr>
                </w:pPr>
                <w:r>
                  <w:rPr>
                    <w:rFonts w:ascii="Times New Roman"/>
                    <w:w w:val="100"/>
                    <w:sz w:val="21"/>
                  </w:rPr>
                </w:r>
                <w:r>
                  <w:rPr/>
                  <w:fldChar w:fldCharType="begin"/>
                </w:r>
                <w:r>
                  <w:rPr>
                    <w:rFonts w:ascii="Times New Roman"/>
                    <w:sz w:val="21"/>
                  </w:rPr>
                  <w:instrText> PAGE </w:instrText>
                </w:r>
                <w:r>
                  <w:rPr/>
                  <w:fldChar w:fldCharType="separate"/>
                </w:r>
                <w:r>
                  <w:rPr/>
                  <w:t>105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6776" type="#_x0000_t75" stroked="false">
          <v:imagedata r:id="rId1" o:title=""/>
        </v:shape>
      </w:pict>
    </w:r>
    <w:r>
      <w:rPr/>
      <w:pict>
        <v:shape style="position:absolute;margin-left:287.850006pt;margin-top:789.013916pt;width:19.850pt;height:14.45pt;mso-position-horizontal-relative:page;mso-position-vertical-relative:page;z-index:-746752" type="#_x0000_t202" filled="false" stroked="false">
          <v:textbox inset="0,0,0,0">
            <w:txbxContent>
              <w:p>
                <w:pPr>
                  <w:spacing w:before="31"/>
                  <w:ind w:left="40" w:right="0" w:firstLine="0"/>
                  <w:jc w:val="left"/>
                  <w:rPr>
                    <w:rFonts w:ascii="Times New Roman" w:hAnsi="Times New Roman" w:cs="Times New Roman" w:eastAsia="Times New Roman" w:hint="default"/>
                    <w:sz w:val="21"/>
                    <w:szCs w:val="21"/>
                  </w:rPr>
                </w:pPr>
                <w:r>
                  <w:rPr>
                    <w:rFonts w:ascii="Times New Roman"/>
                    <w:w w:val="100"/>
                    <w:sz w:val="21"/>
                  </w:rPr>
                </w: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8072" type="#_x0000_t75" stroked="false">
          <v:imagedata r:id="rId1" o:title=""/>
        </v:shape>
      </w:pict>
    </w:r>
    <w:r>
      <w:rPr/>
      <w:pict>
        <v:shape style="position:absolute;margin-left:299.609985pt;margin-top:773.293945pt;width:13.15pt;height:11pt;mso-position-horizontal-relative:page;mso-position-vertical-relative:page;z-index:-748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8024" type="#_x0000_t75" stroked="false">
          <v:imagedata r:id="rId1" o:title=""/>
        </v:shape>
      </w:pict>
    </w:r>
    <w:r>
      <w:rPr/>
      <w:pict>
        <v:shape style="position:absolute;margin-left:299.609985pt;margin-top:773.293945pt;width:13.15pt;height:11pt;mso-position-horizontal-relative:page;mso-position-vertical-relative:page;z-index:-748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976" type="#_x0000_t75" stroked="false">
          <v:imagedata r:id="rId1" o:title=""/>
        </v:shape>
      </w:pict>
    </w:r>
    <w:r>
      <w:rPr/>
      <w:pict>
        <v:shape style="position:absolute;margin-left:299.609985pt;margin-top:773.293945pt;width:13.15pt;height:11pt;mso-position-horizontal-relative:page;mso-position-vertical-relative:page;z-index:-747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47832" type="#_x0000_t75" stroked="false">
          <v:imagedata r:id="rId1" o:title=""/>
        </v:shape>
      </w:pict>
    </w:r>
    <w:r>
      <w:rPr/>
      <w:pict>
        <v:shape style="position:absolute;margin-left:414.450012pt;margin-top:526.69397pt;width:13.15pt;height:11pt;mso-position-horizontal-relative:page;mso-position-vertical-relative:page;z-index:-747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736" type="#_x0000_t75" stroked="false">
          <v:imagedata r:id="rId1" o:title=""/>
        </v:shape>
      </w:pict>
    </w:r>
    <w:r>
      <w:rPr/>
      <w:pict>
        <v:shape style="position:absolute;margin-left:299.609985pt;margin-top:773.293945pt;width:13.15pt;height:11pt;mso-position-horizontal-relative:page;mso-position-vertical-relative:page;z-index:-747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47640" type="#_x0000_t75" stroked="false">
          <v:imagedata r:id="rId1" o:title=""/>
        </v:shape>
      </w:pict>
    </w:r>
    <w:r>
      <w:rPr/>
      <w:pict>
        <v:shape style="position:absolute;margin-left:414.450012pt;margin-top:526.69397pt;width:13.15pt;height:11pt;mso-position-horizontal-relative:page;mso-position-vertical-relative:page;z-index:-747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544" type="#_x0000_t75" stroked="false">
          <v:imagedata r:id="rId1" o:title=""/>
        </v:shape>
      </w:pict>
    </w:r>
    <w:r>
      <w:rPr/>
      <w:pict>
        <v:shape style="position:absolute;margin-left:299.609985pt;margin-top:773.293945pt;width:13.15pt;height:11pt;mso-position-horizontal-relative:page;mso-position-vertical-relative:page;z-index:-747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47448" type="#_x0000_t75" stroked="false">
          <v:imagedata r:id="rId1" o:title=""/>
        </v:shape>
      </w:pict>
    </w:r>
    <w:r>
      <w:rPr/>
      <w:pict>
        <v:shape style="position:absolute;margin-left:414.450012pt;margin-top:526.69397pt;width:13.15pt;height:11pt;mso-position-horizontal-relative:page;mso-position-vertical-relative:page;z-index:-747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699997pt;margin-top:36.849983pt;width:18pt;height:15.75pt;mso-position-horizontal-relative:page;mso-position-vertical-relative:page;z-index:-748168" type="#_x0000_t75" stroked="false">
          <v:imagedata r:id="rId1" o:title=""/>
        </v:shape>
      </w:pict>
    </w:r>
    <w:r>
      <w:rPr/>
      <w:pict>
        <v:shape style="position:absolute;margin-left:98.143997pt;margin-top:42.865608pt;width:416pt;height:11.5pt;mso-position-horizontal-relative:page;mso-position-vertical-relative:page;z-index:-748144" type="#_x0000_t202" filled="false" stroked="false">
          <v:textbox inset="0,0,0,0">
            <w:txbxContent>
              <w:p>
                <w:pPr>
                  <w:tabs>
                    <w:tab w:pos="623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45"/>
                    <w:sz w:val="18"/>
                    <w:szCs w:val="18"/>
                    <w:u w:val="single" w:color="000000"/>
                  </w:rPr>
                  <w:t> </w:t>
                </w:r>
                <w:r>
                  <w:rPr>
                    <w:rFonts w:ascii="Times New Roman" w:hAnsi="Times New Roman" w:cs="Times New Roman" w:eastAsia="Times New Roman" w:hint="default"/>
                    <w:spacing w:val="-3"/>
                    <w:sz w:val="18"/>
                    <w:szCs w:val="18"/>
                    <w:u w:val="single" w:color="000000"/>
                  </w:rPr>
                  <w:t>2011</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6.98999pt;margin-top:42.865608pt;width:103.45pt;height:11.5pt;mso-position-horizontal-relative:page;mso-position-vertical-relative:page;z-index:-747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349998pt;margin-top:40.549984pt;width:464.75pt;height:15.75pt;mso-position-horizontal-relative:page;mso-position-vertical-relative:page;z-index:-747232" coordorigin="1327,811" coordsize="9295,315">
          <v:group style="position:absolute;left:1594;top:1111;width:9021;height:2" coordorigin="1594,1111" coordsize="9021,2">
            <v:shape style="position:absolute;left:1594;top:1111;width:9021;height:2" coordorigin="1594,1111" coordsize="9021,0" path="m1594,1111l10615,1111e" filled="false" stroked="true" strokeweight=".72pt" strokecolor="#000000">
              <v:path arrowok="t"/>
            </v:shape>
            <v:shape style="position:absolute;left:1327;top:811;width:360;height:315" type="#_x0000_t75" stroked="false">
              <v:imagedata r:id="rId1" o:title=""/>
            </v:shape>
          </v:group>
          <w10:wrap type="none"/>
        </v:group>
      </w:pict>
    </w:r>
    <w:r>
      <w:rPr/>
      <w:pict>
        <v:shape style="position:absolute;margin-left:426.98999pt;margin-top:42.865608pt;width:103.45pt;height:11.5pt;mso-position-horizontal-relative:page;mso-position-vertical-relative:page;z-index:-747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98999pt;margin-top:42.865608pt;width:105.25pt;height:11.5pt;mso-position-horizontal-relative:page;mso-position-vertical-relative:page;z-index:-747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400002pt;margin-top:40.549984pt;width:478.4pt;height:15.75pt;mso-position-horizontal-relative:page;mso-position-vertical-relative:page;z-index:-747112" coordorigin="1088,811" coordsize="9568,315">
          <v:group style="position:absolute;left:1354;top:1111;width:9295;height:2" coordorigin="1354,1111" coordsize="9295,2">
            <v:shape style="position:absolute;left:1354;top:1111;width:9295;height:2" coordorigin="1354,1111" coordsize="9295,0" path="m1354,1111l10648,1111e" filled="false" stroked="true" strokeweight=".72pt" strokecolor="#000000">
              <v:path arrowok="t"/>
            </v:shape>
            <v:shape style="position:absolute;left:1088;top:811;width:360;height:315" type="#_x0000_t75" stroked="false">
              <v:imagedata r:id="rId1" o:title=""/>
            </v:shape>
          </v:group>
          <w10:wrap type="none"/>
        </v:group>
      </w:pict>
    </w:r>
    <w:r>
      <w:rPr/>
      <w:pict>
        <v:shape style="position:absolute;margin-left:414.98999pt;margin-top:42.865608pt;width:105.25pt;height:11.5pt;mso-position-horizontal-relative:page;mso-position-vertical-relative:page;z-index:-747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429993pt;margin-top:42.865608pt;width:105.25pt;height:11.5pt;mso-position-horizontal-relative:page;mso-position-vertical-relative:page;z-index:-746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400002pt;margin-top:36.549984pt;width:18pt;height:15.75pt;mso-position-horizontal-relative:page;mso-position-vertical-relative:page;z-index:-746896" type="#_x0000_t75" stroked="false">
          <v:imagedata r:id="rId1" o:title=""/>
        </v:shape>
      </w:pict>
    </w:r>
    <w:r>
      <w:rPr/>
      <w:pict>
        <v:group style="position:absolute;margin-left:79.584pt;margin-top:55.559982pt;width:452.95pt;height:.1pt;mso-position-horizontal-relative:page;mso-position-vertical-relative:page;z-index:-746872" coordorigin="1592,1111" coordsize="9059,2">
          <v:shape style="position:absolute;left:1592;top:1111;width:9059;height:2" coordorigin="1592,1111" coordsize="9059,0" path="m1592,1111l10651,1111e" filled="false" stroked="true" strokeweight=".72pt" strokecolor="#000000">
            <v:path arrowok="t"/>
          </v:shape>
          <w10:wrap type="none"/>
        </v:group>
      </w:pict>
    </w:r>
    <w:r>
      <w:rPr/>
      <w:pict>
        <v:shape style="position:absolute;margin-left:422.429993pt;margin-top:42.865608pt;width:105.25pt;height:11.5pt;mso-position-horizontal-relative:page;mso-position-vertical-relative:page;z-index:-746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150002pt;margin-top:39.899982pt;width:18pt;height:15.75pt;mso-position-horizontal-relative:page;mso-position-vertical-relative:page;z-index:-746824" type="#_x0000_t75" stroked="false">
          <v:imagedata r:id="rId1" o:title=""/>
        </v:shape>
      </w:pict>
    </w:r>
    <w:r>
      <w:rPr/>
      <w:pict>
        <v:shape style="position:absolute;margin-left:399.75pt;margin-top:45.26561pt;width:105.15pt;height:11.5pt;mso-position-horizontal-relative:page;mso-position-vertical-relative:page;z-index:-746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699997pt;margin-top:46.399982pt;width:18pt;height:15.75pt;mso-position-horizontal-relative:page;mso-position-vertical-relative:page;z-index:-747928" type="#_x0000_t75" stroked="false">
          <v:imagedata r:id="rId1" o:title=""/>
        </v:shape>
      </w:pict>
    </w:r>
    <w:r>
      <w:rPr/>
      <w:pict>
        <v:shape style="position:absolute;margin-left:80.143997pt;margin-top:53.185608pt;width:452.1pt;height:11.5pt;mso-position-horizontal-relative:page;mso-position-vertical-relative:page;z-index:-747904" type="#_x0000_t202" filled="false" stroked="false">
          <v:textbox inset="0,0,0,0">
            <w:txbxContent>
              <w:p>
                <w:pPr>
                  <w:tabs>
                    <w:tab w:pos="695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49"/>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4"/>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599998pt;margin-top:46.400009pt;width:18pt;height:15.75pt;mso-position-horizontal-relative:page;mso-position-vertical-relative:page;z-index:-747880" type="#_x0000_t75" stroked="false">
          <v:imagedata r:id="rId1" o:title=""/>
        </v:shape>
      </w:pict>
    </w:r>
    <w:r>
      <w:rPr/>
      <w:pict>
        <v:shape style="position:absolute;margin-left:194.979996pt;margin-top:53.185631pt;width:452.05pt;height:11.5pt;mso-position-horizontal-relative:page;mso-position-vertical-relative:page;z-index:-747856" type="#_x0000_t202" filled="false" stroked="false">
          <v:textbox inset="0,0,0,0">
            <w:txbxContent>
              <w:p>
                <w:pPr>
                  <w:tabs>
                    <w:tab w:pos="695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50"/>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699997pt;margin-top:46.399982pt;width:18pt;height:15.75pt;mso-position-horizontal-relative:page;mso-position-vertical-relative:page;z-index:-747784" type="#_x0000_t75" stroked="false">
          <v:imagedata r:id="rId1" o:title=""/>
        </v:shape>
      </w:pict>
    </w:r>
    <w:r>
      <w:rPr/>
      <w:pict>
        <v:shape style="position:absolute;margin-left:80.143997pt;margin-top:53.185608pt;width:452.1pt;height:11.5pt;mso-position-horizontal-relative:page;mso-position-vertical-relative:page;z-index:-747760" type="#_x0000_t202" filled="false" stroked="false">
          <v:textbox inset="0,0,0,0">
            <w:txbxContent>
              <w:p>
                <w:pPr>
                  <w:tabs>
                    <w:tab w:pos="695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49"/>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4"/>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599998pt;margin-top:46.400009pt;width:18pt;height:15.75pt;mso-position-horizontal-relative:page;mso-position-vertical-relative:page;z-index:-747688" type="#_x0000_t75" stroked="false">
          <v:imagedata r:id="rId1" o:title=""/>
        </v:shape>
      </w:pict>
    </w:r>
    <w:r>
      <w:rPr/>
      <w:pict>
        <v:shape style="position:absolute;margin-left:194.979996pt;margin-top:53.185631pt;width:452.05pt;height:11.5pt;mso-position-horizontal-relative:page;mso-position-vertical-relative:page;z-index:-747664" type="#_x0000_t202" filled="false" stroked="false">
          <v:textbox inset="0,0,0,0">
            <w:txbxContent>
              <w:p>
                <w:pPr>
                  <w:tabs>
                    <w:tab w:pos="695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50"/>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699997pt;margin-top:46.399982pt;width:18pt;height:15.75pt;mso-position-horizontal-relative:page;mso-position-vertical-relative:page;z-index:-747592" type="#_x0000_t75" stroked="false">
          <v:imagedata r:id="rId1" o:title=""/>
        </v:shape>
      </w:pict>
    </w:r>
    <w:r>
      <w:rPr/>
      <w:pict>
        <v:shape style="position:absolute;margin-left:80.143997pt;margin-top:53.185608pt;width:452.1pt;height:11.5pt;mso-position-horizontal-relative:page;mso-position-vertical-relative:page;z-index:-747568" type="#_x0000_t202" filled="false" stroked="false">
          <v:textbox inset="0,0,0,0">
            <w:txbxContent>
              <w:p>
                <w:pPr>
                  <w:tabs>
                    <w:tab w:pos="695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49"/>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4"/>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44.550007pt;width:18pt;height:15.75pt;mso-position-horizontal-relative:page;mso-position-vertical-relative:page;z-index:-747496" type="#_x0000_t75" stroked="false">
          <v:imagedata r:id="rId1" o:title=""/>
        </v:shape>
      </w:pict>
    </w:r>
    <w:r>
      <w:rPr/>
      <w:pict>
        <v:shape style="position:absolute;margin-left:194.979996pt;margin-top:53.185631pt;width:452.05pt;height:11.5pt;mso-position-horizontal-relative:page;mso-position-vertical-relative:page;z-index:-747472" type="#_x0000_t202" filled="false" stroked="false">
          <v:textbox inset="0,0,0,0">
            <w:txbxContent>
              <w:p>
                <w:pPr>
                  <w:tabs>
                    <w:tab w:pos="695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50"/>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150002pt;margin-top:44.550007pt;width:18pt;height:15.75pt;mso-position-horizontal-relative:page;mso-position-vertical-relative:page;z-index:-747400" type="#_x0000_t75" stroked="false">
          <v:imagedata r:id="rId1" o:title=""/>
        </v:shape>
      </w:pict>
    </w:r>
    <w:r>
      <w:rPr/>
      <w:pict>
        <v:shape style="position:absolute;margin-left:194.979996pt;margin-top:53.185631pt;width:452.05pt;height:11.5pt;mso-position-horizontal-relative:page;mso-position-vertical-relative:page;z-index:-747376" type="#_x0000_t202" filled="false" stroked="false">
          <v:textbox inset="0,0,0,0">
            <w:txbxContent>
              <w:p>
                <w:pPr>
                  <w:tabs>
                    <w:tab w:pos="695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东港股份</w:t>
                </w:r>
                <w:r>
                  <w:rPr>
                    <w:rFonts w:ascii="宋体" w:hAnsi="宋体" w:cs="宋体" w:eastAsia="宋体" w:hint="default"/>
                    <w:spacing w:val="-50"/>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349998pt;margin-top:40.549984pt;width:464.75pt;height:15.75pt;mso-position-horizontal-relative:page;mso-position-vertical-relative:page;z-index:-747352" coordorigin="1327,811" coordsize="9295,315">
          <v:group style="position:absolute;left:1594;top:1111;width:9021;height:2" coordorigin="1594,1111" coordsize="9021,2">
            <v:shape style="position:absolute;left:1594;top:1111;width:9021;height:2" coordorigin="1594,1111" coordsize="9021,0" path="m1594,1111l10615,1111e" filled="false" stroked="true" strokeweight=".72pt" strokecolor="#000000">
              <v:path arrowok="t"/>
            </v:shape>
            <v:shape style="position:absolute;left:1327;top:811;width:360;height:315" type="#_x0000_t75" stroked="false">
              <v:imagedata r:id="rId1" o:title=""/>
            </v:shape>
          </v:group>
          <w10:wrap type="none"/>
        </v:group>
      </w:pict>
    </w:r>
    <w:r>
      <w:rPr/>
      <w:pict>
        <v:shape style="position:absolute;margin-left:426.98999pt;margin-top:42.865608pt;width:103.45pt;height:11.5pt;mso-position-horizontal-relative:page;mso-position-vertical-relative:page;z-index:-747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7"/>
      <w:ind w:left="122"/>
    </w:pPr>
    <w:rPr>
      <w:rFonts w:ascii="宋体" w:hAnsi="宋体" w:eastAsia="宋体"/>
      <w:b/>
      <w:bCs/>
      <w:sz w:val="28"/>
      <w:szCs w:val="28"/>
    </w:rPr>
  </w:style>
  <w:style w:styleId="BodyText" w:type="paragraph">
    <w:name w:val="Body Text"/>
    <w:basedOn w:val="Normal"/>
    <w:uiPriority w:val="1"/>
    <w:qFormat/>
    <w:pPr>
      <w:spacing w:before="22"/>
      <w:ind w:left="122"/>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b/>
      <w:bCs/>
      <w:sz w:val="30"/>
      <w:szCs w:val="30"/>
    </w:rPr>
  </w:style>
  <w:style w:styleId="Heading2" w:type="paragraph">
    <w:name w:val="Heading 2"/>
    <w:basedOn w:val="Normal"/>
    <w:uiPriority w:val="1"/>
    <w:qFormat/>
    <w:pPr>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882"/>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Qi-liguo@tungkong.com.cn" TargetMode="External"/><Relationship Id="rId10" Type="http://schemas.openxmlformats.org/officeDocument/2006/relationships/hyperlink" Target="mailto:Ruan-yongcheng@tungkong.com.cn" TargetMode="External"/><Relationship Id="rId11" Type="http://schemas.openxmlformats.org/officeDocument/2006/relationships/hyperlink" Target="http://www.tungkong.com/" TargetMode="External"/><Relationship Id="rId12" Type="http://schemas.openxmlformats.org/officeDocument/2006/relationships/hyperlink" Target="mailto:dggf@tungkong.com.cn"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hyperlink" Target="http://www.mapabc.com/detail/0531/B021306VFJ.htm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cninfo.com.cn/finalpage/2011-10-18/60069545.PDF" TargetMode="External"/><Relationship Id="rId19" Type="http://schemas.openxmlformats.org/officeDocument/2006/relationships/hyperlink" Target="http://www.cninfo.com.cn/finalpage/2011-03-02/59064239.PDF"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header" Target="header4.xml"/><Relationship Id="rId27" Type="http://schemas.openxmlformats.org/officeDocument/2006/relationships/footer" Target="footer6.xml"/><Relationship Id="rId28" Type="http://schemas.openxmlformats.org/officeDocument/2006/relationships/header" Target="header5.xml"/><Relationship Id="rId29" Type="http://schemas.openxmlformats.org/officeDocument/2006/relationships/footer" Target="footer7.xml"/><Relationship Id="rId30" Type="http://schemas.openxmlformats.org/officeDocument/2006/relationships/header" Target="header6.xml"/><Relationship Id="rId31" Type="http://schemas.openxmlformats.org/officeDocument/2006/relationships/footer" Target="footer8.xml"/><Relationship Id="rId32" Type="http://schemas.openxmlformats.org/officeDocument/2006/relationships/header" Target="header7.xml"/><Relationship Id="rId33" Type="http://schemas.openxmlformats.org/officeDocument/2006/relationships/footer" Target="footer9.xml"/><Relationship Id="rId34" Type="http://schemas.openxmlformats.org/officeDocument/2006/relationships/header" Target="header8.xml"/><Relationship Id="rId35" Type="http://schemas.openxmlformats.org/officeDocument/2006/relationships/header" Target="header9.xml"/><Relationship Id="rId36" Type="http://schemas.openxmlformats.org/officeDocument/2006/relationships/footer" Target="footer10.xm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footer" Target="footer11.xml"/><Relationship Id="rId41" Type="http://schemas.openxmlformats.org/officeDocument/2006/relationships/header" Target="header13.xml"/><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header" Target="header14.xml"/><Relationship Id="rId45" Type="http://schemas.openxmlformats.org/officeDocument/2006/relationships/footer" Target="footer14.xml"/><Relationship Id="rId46" Type="http://schemas.openxmlformats.org/officeDocument/2006/relationships/header" Target="header15.xml"/><Relationship Id="rId47" Type="http://schemas.openxmlformats.org/officeDocument/2006/relationships/footer" Target="footer15.xml"/><Relationship Id="rId48" Type="http://schemas.openxmlformats.org/officeDocument/2006/relationships/header" Target="header16.xml"/><Relationship Id="rId49" Type="http://schemas.openxmlformats.org/officeDocument/2006/relationships/header" Target="header17.xml"/><Relationship Id="rId50" Type="http://schemas.openxmlformats.org/officeDocument/2006/relationships/footer" Target="footer16.xml"/><Relationship Id="rId51" Type="http://schemas.openxmlformats.org/officeDocument/2006/relationships/header" Target="header18.xml"/><Relationship Id="rId52" Type="http://schemas.openxmlformats.org/officeDocument/2006/relationships/footer" Target="footer1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2020-05-03T13:34:18Z</dcterms:created>
  <dcterms:modified xsi:type="dcterms:W3CDTF">2020-05-03T13:34:18Z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2012-02-29T00:00:00Z</vt:filetime>
  </property>
  <property fmtid="{D5CDD505-2E9C-101B-9397-08002B2CF9AE}" pid="3" name="Creator">
    <vt:lpwstr>Microsoft® Office Word 2007</vt:lpwstr>
  </property>
  <property fmtid="{D5CDD505-2E9C-101B-9397-08002B2CF9AE}" pid="4" name="LastSaved">
    <vt:filetime>2020-05-03T00:00:00Z</vt:filetime>
  </property>
</Properties>
</file>