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0.xml" ContentType="application/vnd.openxmlformats-officedocument.wordprocessingml.head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header12.xml" ContentType="application/vnd.openxmlformats-officedocument.wordprocessingml.header+xml"/>
  <Override PartName="/word/footer22.xml" ContentType="application/vnd.openxmlformats-officedocument.wordprocessingml.footer+xml"/>
  <Override PartName="/word/header1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4.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15.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157" w:lineRule="exact"/>
        <w:ind w:left="426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983369" cy="73475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983369" cy="734758"/>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1"/>
        <w:rPr>
          <w:rFonts w:ascii="Times New Roman" w:hAnsi="Times New Roman" w:cs="Times New Roman" w:eastAsia="Times New Roman" w:hint="default"/>
          <w:sz w:val="13"/>
          <w:szCs w:val="13"/>
        </w:rPr>
      </w:pPr>
    </w:p>
    <w:p>
      <w:pPr>
        <w:spacing w:line="460" w:lineRule="exact" w:before="0"/>
        <w:ind w:left="3506" w:right="4488" w:firstLine="0"/>
        <w:jc w:val="center"/>
        <w:rPr>
          <w:rFonts w:ascii="宋体" w:hAnsi="宋体" w:cs="宋体" w:eastAsia="宋体" w:hint="default"/>
          <w:sz w:val="36"/>
          <w:szCs w:val="36"/>
        </w:rPr>
      </w:pPr>
      <w:r>
        <w:rPr>
          <w:rFonts w:ascii="宋体" w:hAnsi="宋体" w:cs="宋体" w:eastAsia="宋体" w:hint="default"/>
          <w:b/>
          <w:bCs/>
          <w:sz w:val="36"/>
          <w:szCs w:val="36"/>
        </w:rPr>
        <w:t>东港股份有限公司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506" w:right="448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8"/>
          <w:szCs w:val="48"/>
        </w:rPr>
      </w:pPr>
    </w:p>
    <w:p>
      <w:pPr>
        <w:spacing w:before="0"/>
        <w:ind w:left="3506" w:right="448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1340" w:top="1060" w:bottom="154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0"/>
        <w:jc w:val="left"/>
        <w:rPr>
          <w:b w:val="0"/>
          <w:bCs w:val="0"/>
        </w:rPr>
      </w:pPr>
      <w:bookmarkStart w:name="_TOC_250010"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before="162"/>
        <w:ind w:left="71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公司负责人董事长王爱先、主管会计工作负责人史建中及会计机构负责人</w:t>
      </w:r>
      <w:r>
        <w:rPr>
          <w:rFonts w:ascii="宋体" w:hAnsi="宋体" w:cs="宋体" w:eastAsia="宋体" w:hint="default"/>
          <w:spacing w:val="2"/>
          <w:sz w:val="28"/>
          <w:szCs w:val="28"/>
        </w:rPr>
      </w:r>
    </w:p>
    <w:p>
      <w:pPr>
        <w:spacing w:line="240" w:lineRule="auto" w:before="10"/>
        <w:rPr>
          <w:rFonts w:ascii="宋体" w:hAnsi="宋体" w:cs="宋体" w:eastAsia="宋体" w:hint="default"/>
          <w:b/>
          <w:bCs/>
          <w:sz w:val="19"/>
          <w:szCs w:val="19"/>
        </w:rPr>
      </w:pPr>
    </w:p>
    <w:p>
      <w:pPr>
        <w:spacing w:line="460" w:lineRule="auto" w:before="0"/>
        <w:ind w:left="714" w:right="1123" w:hanging="563"/>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会计主管人员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郑理声明：保证年度报告中财务报告的真实、准确、完整。</w:t>
      </w:r>
      <w:r>
        <w:rPr>
          <w:rFonts w:ascii="宋体" w:hAnsi="宋体" w:cs="宋体" w:eastAsia="宋体" w:hint="default"/>
          <w:b/>
          <w:bCs/>
          <w:w w:val="99"/>
          <w:sz w:val="28"/>
          <w:szCs w:val="28"/>
        </w:rPr>
        <w:t> </w:t>
      </w: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2013 </w:t>
      </w:r>
      <w:r>
        <w:rPr>
          <w:rFonts w:ascii="宋体" w:hAnsi="宋体" w:cs="宋体" w:eastAsia="宋体" w:hint="default"/>
          <w:b/>
          <w:bCs/>
          <w:sz w:val="28"/>
          <w:szCs w:val="28"/>
        </w:rPr>
        <w:t>年</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01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39" w:lineRule="exact"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司总股本为基数，向全体股东每</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2</w:t>
      </w:r>
      <w:r>
        <w:rPr>
          <w:rFonts w:ascii="Times New Roman" w:hAnsi="Times New Roman" w:cs="Times New Roman" w:eastAsia="Times New Roman" w:hint="default"/>
          <w:b/>
          <w:bCs/>
          <w:spacing w:val="-5"/>
          <w:sz w:val="28"/>
          <w:szCs w:val="28"/>
        </w:rPr>
        <w:t> </w:t>
      </w:r>
      <w:r>
        <w:rPr>
          <w:rFonts w:ascii="宋体" w:hAnsi="宋体" w:cs="宋体" w:eastAsia="宋体" w:hint="default"/>
          <w:b/>
          <w:bCs/>
          <w:spacing w:val="-5"/>
          <w:sz w:val="28"/>
          <w:szCs w:val="28"/>
        </w:rPr>
        <w:t>元（含税），送红股</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（含税），以资本公积金向全体股东每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1340" w:header="745" w:top="1060" w:bottom="154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3506" w:right="448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3" w:val="right" w:leader="dot"/>
            </w:tabs>
            <w:spacing w:line="240" w:lineRule="auto" w:before="235"/>
            <w:ind w:right="0"/>
            <w:jc w:val="left"/>
            <w:rPr>
              <w:rFonts w:ascii="黑体" w:hAnsi="黑体" w:cs="黑体" w:eastAsia="黑体" w:hint="default"/>
            </w:rPr>
          </w:pPr>
          <w:r>
            <w:fldChar w:fldCharType="begin"/>
          </w:r>
          <w:r>
            <w:instrText>TOC \o "1-1" \h \z \u </w:instrText>
          </w:r>
          <w:r>
            <w:fldChar w:fldCharType="separate"/>
          </w:r>
          <w:hyperlink w:history="true" w:anchor="_TOC_250010">
            <w:r>
              <w:rPr/>
              <w:t>第一节 重要提示、目录和释义</w:t>
            </w:r>
            <w:r>
              <w:rPr>
                <w:rFonts w:ascii="黑体" w:hAnsi="黑体" w:cs="黑体" w:eastAsia="黑体" w:hint="default"/>
              </w:rPr>
              <w:tab/>
              <w:t>2</w:t>
            </w:r>
          </w:hyperlink>
        </w:p>
        <w:p>
          <w:pPr>
            <w:pStyle w:val="TOC1"/>
            <w:tabs>
              <w:tab w:pos="9783" w:val="right" w:leader="dot"/>
            </w:tabs>
            <w:spacing w:line="240" w:lineRule="auto" w:before="351"/>
            <w:ind w:right="0"/>
            <w:jc w:val="left"/>
            <w:rPr>
              <w:rFonts w:ascii="黑体" w:hAnsi="黑体" w:cs="黑体" w:eastAsia="黑体" w:hint="default"/>
            </w:rPr>
          </w:pPr>
          <w:hyperlink w:history="true" w:anchor="_TOC_250009">
            <w:r>
              <w:rPr/>
              <w:t>第二节 公司简介</w:t>
            </w:r>
            <w:r>
              <w:rPr>
                <w:rFonts w:ascii="黑体" w:hAnsi="黑体" w:cs="黑体" w:eastAsia="黑体" w:hint="default"/>
              </w:rPr>
              <w:tab/>
              <w:t>6</w:t>
            </w:r>
          </w:hyperlink>
        </w:p>
        <w:p>
          <w:pPr>
            <w:pStyle w:val="TOC1"/>
            <w:tabs>
              <w:tab w:pos="9783" w:val="right" w:leader="dot"/>
            </w:tabs>
            <w:spacing w:line="240" w:lineRule="auto" w:before="348"/>
            <w:ind w:right="0"/>
            <w:jc w:val="left"/>
            <w:rPr>
              <w:rFonts w:ascii="黑体" w:hAnsi="黑体" w:cs="黑体" w:eastAsia="黑体" w:hint="default"/>
            </w:rPr>
          </w:pPr>
          <w:hyperlink w:history="true" w:anchor="_TOC_250008">
            <w:r>
              <w:rPr/>
              <w:t>第三节 会计数据和财务指标摘要</w:t>
            </w:r>
            <w:r>
              <w:rPr>
                <w:rFonts w:ascii="黑体" w:hAnsi="黑体" w:cs="黑体" w:eastAsia="黑体" w:hint="default"/>
              </w:rPr>
              <w:tab/>
              <w:t>8</w:t>
            </w:r>
          </w:hyperlink>
        </w:p>
        <w:p>
          <w:pPr>
            <w:pStyle w:val="TOC1"/>
            <w:tabs>
              <w:tab w:pos="9783" w:val="right" w:leader="dot"/>
            </w:tabs>
            <w:spacing w:line="240" w:lineRule="auto"/>
            <w:ind w:right="0"/>
            <w:jc w:val="left"/>
            <w:rPr>
              <w:rFonts w:ascii="黑体" w:hAnsi="黑体" w:cs="黑体" w:eastAsia="黑体" w:hint="default"/>
            </w:rPr>
          </w:pPr>
          <w:hyperlink w:history="true" w:anchor="_TOC_250007">
            <w:r>
              <w:rPr/>
              <w:t>第四节 董事会报告</w:t>
            </w:r>
            <w:r>
              <w:rPr>
                <w:rFonts w:ascii="黑体" w:hAnsi="黑体" w:cs="黑体" w:eastAsia="黑体" w:hint="default"/>
              </w:rPr>
              <w:tab/>
              <w:t>10</w:t>
            </w:r>
          </w:hyperlink>
        </w:p>
        <w:p>
          <w:pPr>
            <w:pStyle w:val="TOC1"/>
            <w:tabs>
              <w:tab w:pos="9783" w:val="right" w:leader="dot"/>
            </w:tabs>
            <w:spacing w:line="240" w:lineRule="auto"/>
            <w:ind w:right="0"/>
            <w:jc w:val="left"/>
            <w:rPr>
              <w:rFonts w:ascii="黑体" w:hAnsi="黑体" w:cs="黑体" w:eastAsia="黑体" w:hint="default"/>
            </w:rPr>
          </w:pPr>
          <w:hyperlink w:history="true" w:anchor="_TOC_250006">
            <w:r>
              <w:rPr/>
              <w:t>第五节 重要事项</w:t>
            </w:r>
            <w:r>
              <w:rPr>
                <w:rFonts w:ascii="黑体" w:hAnsi="黑体" w:cs="黑体" w:eastAsia="黑体" w:hint="default"/>
              </w:rPr>
              <w:tab/>
              <w:t>25</w:t>
            </w:r>
          </w:hyperlink>
        </w:p>
        <w:p>
          <w:pPr>
            <w:pStyle w:val="TOC1"/>
            <w:tabs>
              <w:tab w:pos="9783" w:val="right" w:leader="dot"/>
            </w:tabs>
            <w:spacing w:line="240" w:lineRule="auto" w:before="348"/>
            <w:ind w:right="0"/>
            <w:jc w:val="left"/>
            <w:rPr>
              <w:rFonts w:ascii="黑体" w:hAnsi="黑体" w:cs="黑体" w:eastAsia="黑体" w:hint="default"/>
            </w:rPr>
          </w:pPr>
          <w:hyperlink w:history="true" w:anchor="_TOC_250005">
            <w:r>
              <w:rPr/>
              <w:t>第六节 股份变动及股东情况</w:t>
            </w:r>
            <w:r>
              <w:rPr>
                <w:rFonts w:ascii="黑体" w:hAnsi="黑体" w:cs="黑体" w:eastAsia="黑体" w:hint="default"/>
              </w:rPr>
              <w:tab/>
              <w:t>29</w:t>
            </w:r>
          </w:hyperlink>
        </w:p>
        <w:p>
          <w:pPr>
            <w:pStyle w:val="TOC1"/>
            <w:tabs>
              <w:tab w:pos="9783" w:val="right" w:leader="dot"/>
            </w:tabs>
            <w:spacing w:line="240" w:lineRule="auto" w:before="351"/>
            <w:ind w:right="0"/>
            <w:jc w:val="left"/>
            <w:rPr>
              <w:rFonts w:ascii="黑体" w:hAnsi="黑体" w:cs="黑体" w:eastAsia="黑体" w:hint="default"/>
            </w:rPr>
          </w:pPr>
          <w:hyperlink w:history="true" w:anchor="_TOC_250004">
            <w:r>
              <w:rPr/>
              <w:t>第七节 董事、监事、高级管理人员和员工情况</w:t>
            </w:r>
            <w:r>
              <w:rPr>
                <w:rFonts w:ascii="黑体" w:hAnsi="黑体" w:cs="黑体" w:eastAsia="黑体" w:hint="default"/>
              </w:rPr>
              <w:tab/>
              <w:t>35</w:t>
            </w:r>
          </w:hyperlink>
        </w:p>
        <w:p>
          <w:pPr>
            <w:pStyle w:val="TOC1"/>
            <w:tabs>
              <w:tab w:pos="9783" w:val="right" w:leader="dot"/>
            </w:tabs>
            <w:spacing w:line="240" w:lineRule="auto"/>
            <w:ind w:right="0"/>
            <w:jc w:val="left"/>
            <w:rPr>
              <w:rFonts w:ascii="黑体" w:hAnsi="黑体" w:cs="黑体" w:eastAsia="黑体" w:hint="default"/>
            </w:rPr>
          </w:pPr>
          <w:hyperlink w:history="true" w:anchor="_TOC_250003">
            <w:r>
              <w:rPr/>
              <w:t>第八节 公司治理</w:t>
            </w:r>
            <w:r>
              <w:rPr>
                <w:rFonts w:ascii="黑体" w:hAnsi="黑体" w:cs="黑体" w:eastAsia="黑体" w:hint="default"/>
              </w:rPr>
              <w:tab/>
              <w:t>42</w:t>
            </w:r>
          </w:hyperlink>
        </w:p>
        <w:p>
          <w:pPr>
            <w:pStyle w:val="TOC1"/>
            <w:tabs>
              <w:tab w:pos="9783" w:val="right" w:leader="dot"/>
            </w:tabs>
            <w:spacing w:line="240" w:lineRule="auto" w:before="348"/>
            <w:ind w:right="0"/>
            <w:jc w:val="left"/>
            <w:rPr>
              <w:rFonts w:ascii="黑体" w:hAnsi="黑体" w:cs="黑体" w:eastAsia="黑体" w:hint="default"/>
            </w:rPr>
          </w:pPr>
          <w:hyperlink w:history="true" w:anchor="_TOC_250002">
            <w:r>
              <w:rPr/>
              <w:t>第九节 内部控制</w:t>
            </w:r>
            <w:r>
              <w:rPr>
                <w:rFonts w:ascii="黑体" w:hAnsi="黑体" w:cs="黑体" w:eastAsia="黑体" w:hint="default"/>
              </w:rPr>
              <w:tab/>
              <w:t>47</w:t>
            </w:r>
          </w:hyperlink>
        </w:p>
        <w:p>
          <w:pPr>
            <w:pStyle w:val="TOC1"/>
            <w:tabs>
              <w:tab w:pos="9783" w:val="right" w:leader="dot"/>
            </w:tabs>
            <w:spacing w:line="240" w:lineRule="auto"/>
            <w:ind w:right="0"/>
            <w:jc w:val="left"/>
            <w:rPr>
              <w:rFonts w:ascii="黑体" w:hAnsi="黑体" w:cs="黑体" w:eastAsia="黑体" w:hint="default"/>
            </w:rPr>
          </w:pPr>
          <w:hyperlink w:history="true" w:anchor="_TOC_250001">
            <w:r>
              <w:rPr/>
              <w:t>第十节 财务报告</w:t>
            </w:r>
            <w:r>
              <w:rPr>
                <w:rFonts w:ascii="黑体" w:hAnsi="黑体" w:cs="黑体" w:eastAsia="黑体" w:hint="default"/>
              </w:rPr>
              <w:tab/>
              <w:t>49</w:t>
            </w:r>
          </w:hyperlink>
        </w:p>
        <w:p>
          <w:pPr>
            <w:pStyle w:val="TOC1"/>
            <w:tabs>
              <w:tab w:pos="9783" w:val="right" w:leader="dot"/>
            </w:tabs>
            <w:spacing w:line="240" w:lineRule="auto"/>
            <w:ind w:right="0"/>
            <w:jc w:val="left"/>
            <w:rPr>
              <w:rFonts w:ascii="黑体" w:hAnsi="黑体" w:cs="黑体" w:eastAsia="黑体" w:hint="default"/>
            </w:rPr>
          </w:pPr>
          <w:hyperlink w:history="true" w:anchor="_TOC_250000">
            <w:r>
              <w:rPr/>
              <w:t>第十一节 备查文件目录</w:t>
            </w:r>
            <w:r>
              <w:rPr>
                <w:rFonts w:ascii="黑体" w:hAnsi="黑体" w:cs="黑体" w:eastAsia="黑体" w:hint="default"/>
              </w:rPr>
              <w:tab/>
              <w:t>135</w:t>
            </w:r>
          </w:hyperlink>
        </w:p>
        <w:p>
          <w:pPr/>
          <w:r>
            <w:fldChar w:fldCharType="end"/>
          </w:r>
        </w:p>
      </w:sdtContent>
    </w:sdt>
    <w:p>
      <w:pPr>
        <w:spacing w:after="0"/>
        <w:sectPr>
          <w:pgSz w:w="11910" w:h="16840"/>
          <w:pgMar w:header="745" w:footer="1340" w:top="1060" w:bottom="1540" w:left="980" w:right="0"/>
        </w:sectPr>
      </w:pPr>
    </w:p>
    <w:p>
      <w:pPr>
        <w:spacing w:before="945"/>
        <w:ind w:left="3506" w:right="448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东港股份有限公司</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3506" w:right="4484"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26"/>
          <w:szCs w:val="26"/>
        </w:rPr>
      </w:pPr>
    </w:p>
    <w:p>
      <w:pPr>
        <w:spacing w:line="398" w:lineRule="auto" w:before="0"/>
        <w:ind w:left="152" w:right="1128"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公司面临宏观经济增速放缓、市场竞争加剧，以及新业务仍需积累经验等</w:t>
      </w:r>
      <w:r>
        <w:rPr>
          <w:rFonts w:ascii="宋体" w:hAnsi="宋体" w:cs="宋体" w:eastAsia="宋体" w:hint="default"/>
          <w:b/>
          <w:bCs/>
          <w:w w:val="99"/>
          <w:sz w:val="28"/>
          <w:szCs w:val="28"/>
        </w:rPr>
        <w:t> </w:t>
      </w:r>
      <w:r>
        <w:rPr>
          <w:rFonts w:ascii="宋体" w:hAnsi="宋体" w:cs="宋体" w:eastAsia="宋体" w:hint="default"/>
          <w:b/>
          <w:bCs/>
          <w:spacing w:val="2"/>
          <w:sz w:val="28"/>
          <w:szCs w:val="28"/>
        </w:rPr>
        <w:t>风险，敬请广大投资者注意投资风险。详细内容见本报告</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第四节</w:t>
      </w:r>
      <w:r>
        <w:rPr>
          <w:rFonts w:ascii="宋体" w:hAnsi="宋体" w:cs="宋体" w:eastAsia="宋体" w:hint="default"/>
          <w:b/>
          <w:bCs/>
          <w:spacing w:val="14"/>
          <w:sz w:val="28"/>
          <w:szCs w:val="28"/>
        </w:rPr>
        <w:t> </w:t>
      </w:r>
      <w:r>
        <w:rPr>
          <w:rFonts w:ascii="宋体" w:hAnsi="宋体" w:cs="宋体" w:eastAsia="宋体" w:hint="default"/>
          <w:b/>
          <w:bCs/>
          <w:sz w:val="28"/>
          <w:szCs w:val="28"/>
        </w:rPr>
        <w:t>七、公司未</w:t>
      </w:r>
      <w:r>
        <w:rPr>
          <w:rFonts w:ascii="宋体" w:hAnsi="宋体" w:cs="宋体" w:eastAsia="宋体" w:hint="default"/>
          <w:b/>
          <w:bCs/>
          <w:spacing w:val="2"/>
          <w:w w:val="99"/>
          <w:sz w:val="28"/>
          <w:szCs w:val="28"/>
        </w:rPr>
        <w:t> </w:t>
      </w:r>
      <w:r>
        <w:rPr>
          <w:rFonts w:ascii="宋体" w:hAnsi="宋体" w:cs="宋体" w:eastAsia="宋体" w:hint="default"/>
          <w:b/>
          <w:bCs/>
          <w:sz w:val="28"/>
          <w:szCs w:val="28"/>
        </w:rPr>
        <w:t>来发展的展望</w:t>
      </w:r>
      <w:r>
        <w:rPr>
          <w:rFonts w:ascii="宋体" w:hAnsi="宋体" w:cs="宋体" w:eastAsia="宋体" w:hint="default"/>
          <w:b/>
          <w:bCs/>
          <w:spacing w:val="138"/>
          <w:sz w:val="28"/>
          <w:szCs w:val="28"/>
        </w:rPr>
        <w:t> </w:t>
      </w: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、公司面临的风险及应对措施</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after="0" w:line="398" w:lineRule="auto"/>
        <w:jc w:val="both"/>
        <w:rPr>
          <w:rFonts w:ascii="宋体" w:hAnsi="宋体" w:cs="宋体" w:eastAsia="宋体" w:hint="default"/>
          <w:sz w:val="28"/>
          <w:szCs w:val="28"/>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4482"/>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5"/>
        <w:gridCol w:w="2188"/>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东港股份</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002117</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东港股份有限公司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东港股份</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TUNGKONG</w:t>
            </w:r>
            <w:r>
              <w:rPr>
                <w:rFonts w:ascii="Times New Roman"/>
                <w:spacing w:val="-6"/>
                <w:sz w:val="18"/>
              </w:rPr>
              <w:t> </w:t>
            </w:r>
            <w:r>
              <w:rPr>
                <w:rFonts w:ascii="Times New Roman"/>
                <w:sz w:val="18"/>
              </w:rPr>
              <w:t>INC.</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王爱先</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济南市山大北路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250100</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济南市山大北路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250100</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www.tungkong.com.cn</w:t>
              </w:r>
            </w:hyperlink>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2">
              <w:r>
                <w:rPr>
                  <w:rFonts w:ascii="Times New Roman"/>
                  <w:sz w:val="18"/>
                </w:rPr>
                <w:t>dggf@tungkong.com.cn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阮永城</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济南市山大北路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济南市山大北路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0531-88904590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0531-88904590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0531-82672218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0531-82672218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Qi-liguo@tungkong.com.cn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4">
              <w:r>
                <w:rPr>
                  <w:rFonts w:ascii="Times New Roman"/>
                  <w:sz w:val="18"/>
                </w:rPr>
                <w:t>Ruan-yongcheng@tungkong.com.cn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5">
              <w:r>
                <w:rPr>
                  <w:rFonts w:ascii="Times New Roman"/>
                  <w:sz w:val="18"/>
                </w:rPr>
                <w:t>http://www.cninfo.com.cn</w:t>
              </w:r>
            </w:hyperlink>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pict>
          <v:group style="position:absolute;margin-left:460.320007pt;margin-top:69.375626pt;width:135pt;height:77pt;mso-position-horizontal-relative:page;mso-position-vertical-relative:paragraph;z-index:-754960" coordorigin="9206,1388" coordsize="2700,1540">
            <v:shape style="position:absolute;left:9206;top:1388;width:2700;height:1540" type="#_x0000_t75" stroked="false">
              <v:imagedata r:id="rId16" o:title=""/>
            </v:shape>
            <v:shape style="position:absolute;left:10682;top:1748;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w:t>
                    </w:r>
                  </w:p>
                </w:txbxContent>
              </v:textbox>
              <w10:wrap type="none"/>
            </v:shape>
            <w10:wrap type="none"/>
          </v:group>
        </w:pict>
      </w: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bl>
    <w:p>
      <w:pPr>
        <w:spacing w:after="0" w:line="240" w:lineRule="auto"/>
        <w:jc w:val="left"/>
        <w:rPr>
          <w:rFonts w:ascii="宋体" w:hAnsi="宋体" w:cs="宋体" w:eastAsia="宋体" w:hint="default"/>
          <w:sz w:val="18"/>
          <w:szCs w:val="18"/>
        </w:rPr>
        <w:sectPr>
          <w:headerReference w:type="default" r:id="rId9"/>
          <w:footerReference w:type="default" r:id="rId10"/>
          <w:pgSz w:w="11910" w:h="16840"/>
          <w:pgMar w:header="877" w:footer="0" w:top="1060" w:bottom="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spacing w:line="240" w:lineRule="auto" w:before="44"/>
        <w:ind w:left="0" w:right="1144"/>
        <w:jc w:val="right"/>
      </w:pPr>
      <w:r>
        <w:rPr/>
        <w:pict>
          <v:shape style="position:absolute;margin-left:57pt;margin-top:-150.148285pt;width:478.55pt;height:252.5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74"/>
                    <w:gridCol w:w="1605"/>
                    <w:gridCol w:w="1594"/>
                    <w:gridCol w:w="1596"/>
                    <w:gridCol w:w="1594"/>
                    <w:gridCol w:w="1594"/>
                  </w:tblGrid>
                  <w:tr>
                    <w:trPr>
                      <w:trHeight w:val="161" w:hRule="exact"/>
                    </w:trPr>
                    <w:tc>
                      <w:tcPr>
                        <w:tcW w:w="15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5"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济南市山大北路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企合鲁济总字第</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003515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370112613207311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6130731-12</w:t>
                        </w:r>
                      </w:p>
                    </w:tc>
                  </w:tr>
                  <w:tr>
                    <w:trPr>
                      <w:trHeight w:val="392" w:hRule="exact"/>
                    </w:trPr>
                    <w:tc>
                      <w:tcPr>
                        <w:tcW w:w="15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605"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5"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3" w:hRule="exact"/>
                    </w:trPr>
                    <w:tc>
                      <w:tcPr>
                        <w:tcW w:w="15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5"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济南市山大北路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370000400000101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370112613207311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6130731-12</w:t>
                        </w:r>
                      </w:p>
                    </w:tc>
                  </w:tr>
                  <w:tr>
                    <w:trPr>
                      <w:trHeight w:val="391" w:hRule="exact"/>
                    </w:trPr>
                    <w:tc>
                      <w:tcPr>
                        <w:tcW w:w="15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605"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5"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253" w:hRule="exact"/>
                    </w:trPr>
                    <w:tc>
                      <w:tcPr>
                        <w:tcW w:w="317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10" w:space="0" w:color="D2D2D2"/>
                          <w:right w:val="single" w:sz="4" w:space="0" w:color="000000"/>
                        </w:tcBorders>
                      </w:tcPr>
                      <w:p>
                        <w:pPr>
                          <w:pStyle w:val="TableParagraph"/>
                          <w:spacing w:line="307" w:lineRule="auto" w:before="49"/>
                          <w:ind w:left="1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月，公司经营范围变更为：出版物、包装装潢印刷品、其他类印刷 品印刷。</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月，公司经营范围变更为：出版物、包装装潢印刷品、其 他类印刷品印刷；纸制品的生产销售、高档防伪纸张的防伪处理、销售；数据打 印系统的开发、生产；科技信息咨询服务；</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卡产品和智能标签产品的生产、销 售。</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月，公司经营范围变更为：出版物、包装装潢印刷品、其他印 </w:t>
                        </w:r>
                        <w:r>
                          <w:rPr>
                            <w:rFonts w:ascii="宋体" w:hAnsi="宋体" w:cs="宋体" w:eastAsia="宋体" w:hint="default"/>
                            <w:spacing w:val="-3"/>
                            <w:sz w:val="18"/>
                            <w:szCs w:val="18"/>
                          </w:rPr>
                          <w:t>刷品印刷，办公用纸、纸制品的生产、销售，高档纸张的防伪处理、销售，磁卡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卡、智能卡、识别卡和智能标签的开发、生产、销售，印刷器材、电子设备及 产品、办公自动化设备及产品、电子元器件的开发、生产、销售，软件产品的开 发、生产、销售，信息系统集成工程及技术服务，数据及信息处理服务，科技信 息咨询服务，商品和技术的进出口，自有房屋租赁。</w:t>
                        </w:r>
                      </w:p>
                    </w:tc>
                  </w:tr>
                  <w:tr>
                    <w:trPr>
                      <w:trHeight w:val="703" w:hRule="exact"/>
                    </w:trPr>
                    <w:tc>
                      <w:tcPr>
                        <w:tcW w:w="317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vMerge/>
                        <w:tcBorders>
                          <w:left w:val="single" w:sz="10" w:space="0" w:color="D2D2D2"/>
                          <w:right w:val="single" w:sz="4" w:space="0" w:color="000000"/>
                        </w:tcBorders>
                      </w:tcPr>
                      <w:p>
                        <w:pPr/>
                      </w:p>
                    </w:tc>
                  </w:tr>
                  <w:tr>
                    <w:trPr>
                      <w:trHeight w:val="1253" w:hRule="exact"/>
                    </w:trPr>
                    <w:tc>
                      <w:tcPr>
                        <w:tcW w:w="317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10" w:space="0" w:color="D2D2D2"/>
                          <w:bottom w:val="single" w:sz="4" w:space="0" w:color="000000"/>
                          <w:right w:val="single" w:sz="4" w:space="0" w:color="000000"/>
                        </w:tcBorders>
                      </w:tcPr>
                      <w:p>
                        <w:pPr/>
                      </w:p>
                    </w:tc>
                  </w:tr>
                  <w:tr>
                    <w:trPr>
                      <w:trHeight w:val="403" w:hRule="exact"/>
                    </w:trPr>
                    <w:tc>
                      <w:tcPr>
                        <w:tcW w:w="31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8"/>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806-812</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罗军 </w:t>
            </w:r>
            <w:r>
              <w:rPr>
                <w:rFonts w:ascii="宋体" w:hAnsi="宋体" w:cs="宋体" w:eastAsia="宋体" w:hint="default"/>
                <w:spacing w:val="2"/>
                <w:sz w:val="18"/>
                <w:szCs w:val="18"/>
              </w:rPr>
              <w:t> </w:t>
            </w:r>
            <w:r>
              <w:rPr>
                <w:rFonts w:ascii="宋体" w:hAnsi="宋体" w:cs="宋体" w:eastAsia="宋体" w:hint="default"/>
                <w:sz w:val="18"/>
                <w:szCs w:val="18"/>
              </w:rPr>
              <w:t>崔迎</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东方花旗证券有限公司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上海市中山南路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李旭巍 </w:t>
            </w:r>
            <w:r>
              <w:rPr>
                <w:rFonts w:ascii="宋体" w:hAnsi="宋体" w:cs="宋体" w:eastAsia="宋体" w:hint="default"/>
                <w:spacing w:val="2"/>
                <w:sz w:val="18"/>
                <w:szCs w:val="18"/>
              </w:rPr>
              <w:t> </w:t>
            </w:r>
            <w:r>
              <w:rPr>
                <w:rFonts w:ascii="宋体" w:hAnsi="宋体" w:cs="宋体" w:eastAsia="宋体" w:hint="default"/>
                <w:sz w:val="18"/>
                <w:szCs w:val="18"/>
              </w:rPr>
              <w:t>刘丽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月至募集资金使用 完毕。</w:t>
            </w:r>
          </w:p>
        </w:tc>
      </w:tr>
    </w:tbl>
    <w:p>
      <w:pPr>
        <w:pStyle w:val="BodyText"/>
        <w:spacing w:line="240" w:lineRule="auto" w:before="49"/>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东方花旗证券有限公司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上海市中山南路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李旭巍 </w:t>
            </w:r>
            <w:r>
              <w:rPr>
                <w:rFonts w:ascii="宋体" w:hAnsi="宋体" w:cs="宋体" w:eastAsia="宋体" w:hint="default"/>
                <w:spacing w:val="2"/>
                <w:sz w:val="18"/>
                <w:szCs w:val="18"/>
              </w:rPr>
              <w:t> </w:t>
            </w:r>
            <w:r>
              <w:rPr>
                <w:rFonts w:ascii="宋体" w:hAnsi="宋体" w:cs="宋体" w:eastAsia="宋体" w:hint="default"/>
                <w:sz w:val="18"/>
                <w:szCs w:val="18"/>
              </w:rPr>
              <w:t>刘丽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footerReference w:type="default" r:id="rId17"/>
          <w:pgSz w:w="11910" w:h="16840"/>
          <w:pgMar w:footer="1330" w:header="877" w:top="1060" w:bottom="1520" w:left="980" w:right="0"/>
          <w:pgNumType w:start="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0"/>
        <w:jc w:val="left"/>
        <w:rPr>
          <w:b w:val="0"/>
          <w:bCs w:val="0"/>
        </w:rPr>
      </w:pPr>
      <w:bookmarkStart w:name="_TOC_250008"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6"/>
        <w:gridCol w:w="1749"/>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817,400,719.25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781,765,641.17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712,233,094.92</w:t>
            </w:r>
          </w:p>
        </w:tc>
      </w:tr>
      <w:tr>
        <w:trPr>
          <w:trHeight w:val="716"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103,008,617.89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86,964,360.30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18.4492%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79,194,442.06</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95,471,949.85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85,178,243.78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12.0849%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77,934,107.98</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210,397,502.02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177,821,817.48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18.3193%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179,535,678.40</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17.1429%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0.35</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17.1429%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0.35</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11.8%</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96"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1,453,688,606.50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1,350,120,870.59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1,337,336,997.69</w:t>
            </w:r>
          </w:p>
        </w:tc>
      </w:tr>
      <w:tr>
        <w:trPr>
          <w:trHeight w:val="10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4"/>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 权益）（元）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1,106,204,826.63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1,049,541,852.54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964,284,418.30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-55,563.46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-455,159.53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-323,504.89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9,802,002.05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2,030,186.94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1,356,370.00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217,848.77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673,011.30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568,510.19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1,558,785.58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333,489.84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259,546.29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868,833.74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128,432.35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81,494.93</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3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34"/>
        <w:gridCol w:w="1699"/>
      </w:tblGrid>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2" w:right="0"/>
              <w:jc w:val="left"/>
              <w:rPr>
                <w:rFonts w:ascii="Times New Roman" w:hAnsi="Times New Roman" w:cs="Times New Roman" w:eastAsia="Times New Roman" w:hint="default"/>
                <w:sz w:val="18"/>
                <w:szCs w:val="18"/>
              </w:rPr>
            </w:pPr>
            <w:r>
              <w:rPr>
                <w:rFonts w:ascii="Times New Roman"/>
                <w:sz w:val="18"/>
              </w:rPr>
              <w:t>7,536,668.04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2" w:right="0"/>
              <w:jc w:val="left"/>
              <w:rPr>
                <w:rFonts w:ascii="Times New Roman" w:hAnsi="Times New Roman" w:cs="Times New Roman" w:eastAsia="Times New Roman" w:hint="default"/>
                <w:sz w:val="18"/>
                <w:szCs w:val="18"/>
              </w:rPr>
            </w:pPr>
            <w:r>
              <w:rPr>
                <w:rFonts w:ascii="Times New Roman"/>
                <w:sz w:val="18"/>
              </w:rPr>
              <w:t>1,786,116.52</w:t>
            </w:r>
          </w:p>
        </w:tc>
        <w:tc>
          <w:tcPr>
            <w:tcW w:w="153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44" w:right="0"/>
              <w:jc w:val="left"/>
              <w:rPr>
                <w:rFonts w:ascii="Times New Roman" w:hAnsi="Times New Roman" w:cs="Times New Roman" w:eastAsia="Times New Roman" w:hint="default"/>
                <w:sz w:val="18"/>
                <w:szCs w:val="18"/>
              </w:rPr>
            </w:pPr>
            <w:r>
              <w:rPr>
                <w:rFonts w:ascii="Times New Roman"/>
                <w:sz w:val="18"/>
              </w:rPr>
              <w:t>1,260,334.08</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33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0"/>
        <w:jc w:val="left"/>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一、概述</w:t>
      </w:r>
      <w:r>
        <w:rPr>
          <w:b w:val="0"/>
          <w:bCs w:val="0"/>
        </w:rPr>
      </w:r>
    </w:p>
    <w:p>
      <w:pPr>
        <w:spacing w:line="240" w:lineRule="auto" w:before="4"/>
        <w:rPr>
          <w:rFonts w:ascii="宋体" w:hAnsi="宋体" w:cs="宋体" w:eastAsia="宋体" w:hint="default"/>
          <w:b/>
          <w:bCs/>
          <w:sz w:val="32"/>
          <w:szCs w:val="32"/>
        </w:rPr>
      </w:pPr>
    </w:p>
    <w:p>
      <w:pPr>
        <w:pStyle w:val="BodyText"/>
        <w:spacing w:line="477" w:lineRule="auto"/>
        <w:ind w:right="0" w:firstLine="480"/>
        <w:jc w:val="left"/>
      </w:pPr>
      <w:r>
        <w:rPr/>
        <w:t>报告期内，我国的宏观经济增速回落、制造业不景气等因素，给公司生产经营带来了较大困难，导致公司</w:t>
      </w:r>
      <w:r>
        <w:rPr>
          <w:rFonts w:ascii="宋体" w:hAnsi="宋体" w:cs="宋体" w:eastAsia="宋体" w:hint="default"/>
        </w:rPr>
        <w:t>1-6</w:t>
      </w:r>
      <w:r>
        <w:rPr/>
        <w:t>月份的 </w:t>
      </w:r>
      <w:r>
        <w:rPr>
          <w:spacing w:val="-2"/>
        </w:rPr>
        <w:t>销售收入和净利润同比下降。为扭转这一局面，自三季度起，公司对外加强了高毛利产品和新产品的销售力度，努力提升产</w:t>
      </w:r>
      <w:r>
        <w:rPr>
          <w:spacing w:val="-65"/>
        </w:rPr>
        <w:t> </w:t>
      </w:r>
      <w:r>
        <w:rPr>
          <w:spacing w:val="-65"/>
        </w:rPr>
      </w:r>
      <w:r>
        <w:rPr>
          <w:spacing w:val="-2"/>
        </w:rPr>
        <w:t>品的盈利能力；对内加强成本费用控制，降低产品生产成本。上述措施，取得了明显的效果，伴随着国家宏观经济形势的回</w:t>
      </w:r>
      <w:r>
        <w:rPr>
          <w:spacing w:val="-67"/>
        </w:rPr>
        <w:t> </w:t>
      </w:r>
      <w:r>
        <w:rPr>
          <w:spacing w:val="-67"/>
        </w:rPr>
      </w:r>
      <w:r>
        <w:rPr>
          <w:spacing w:val="-2"/>
        </w:rPr>
        <w:t>暖，公司</w:t>
      </w:r>
      <w:r>
        <w:rPr>
          <w:rFonts w:ascii="宋体" w:hAnsi="宋体" w:cs="宋体" w:eastAsia="宋体" w:hint="default"/>
          <w:spacing w:val="-2"/>
        </w:rPr>
        <w:t>2012</w:t>
      </w:r>
      <w:r>
        <w:rPr>
          <w:spacing w:val="-2"/>
        </w:rPr>
        <w:t>年</w:t>
      </w:r>
      <w:r>
        <w:rPr>
          <w:rFonts w:ascii="宋体" w:hAnsi="宋体" w:cs="宋体" w:eastAsia="宋体" w:hint="default"/>
          <w:spacing w:val="-2"/>
        </w:rPr>
        <w:t>3</w:t>
      </w:r>
      <w:r>
        <w:rPr>
          <w:spacing w:val="-2"/>
        </w:rPr>
        <w:t>、</w:t>
      </w:r>
      <w:r>
        <w:rPr>
          <w:rFonts w:ascii="宋体" w:hAnsi="宋体" w:cs="宋体" w:eastAsia="宋体" w:hint="default"/>
          <w:spacing w:val="-2"/>
        </w:rPr>
        <w:t>4</w:t>
      </w:r>
      <w:r>
        <w:rPr>
          <w:spacing w:val="-2"/>
        </w:rPr>
        <w:t>季度的经营业绩较往年有了较大增长，实现了营业收入和净利润的稳步增长。报告期内，公司实现营业</w:t>
      </w:r>
      <w:r>
        <w:rPr>
          <w:spacing w:val="-64"/>
        </w:rPr>
        <w:t> </w:t>
      </w:r>
      <w:r>
        <w:rPr>
          <w:spacing w:val="-64"/>
        </w:rPr>
      </w:r>
      <w:r>
        <w:rPr/>
        <w:t>总收入</w:t>
      </w:r>
      <w:r>
        <w:rPr>
          <w:rFonts w:ascii="宋体" w:hAnsi="宋体" w:cs="宋体" w:eastAsia="宋体" w:hint="default"/>
        </w:rPr>
        <w:t>8.17</w:t>
      </w:r>
      <w:r>
        <w:rPr/>
        <w:t>亿元，实现归属于上市公司股东的净利润</w:t>
      </w:r>
      <w:r>
        <w:rPr>
          <w:rFonts w:ascii="宋体" w:hAnsi="宋体" w:cs="宋体" w:eastAsia="宋体" w:hint="default"/>
        </w:rPr>
        <w:t>1.03</w:t>
      </w:r>
      <w:r>
        <w:rPr/>
        <w:t>亿元，分别比去年同期增长</w:t>
      </w:r>
      <w:r>
        <w:rPr>
          <w:rFonts w:ascii="宋体" w:hAnsi="宋体" w:cs="宋体" w:eastAsia="宋体" w:hint="default"/>
        </w:rPr>
        <w:t>4.56%</w:t>
      </w:r>
      <w:r>
        <w:rPr/>
        <w:t>和</w:t>
      </w:r>
      <w:r>
        <w:rPr>
          <w:rFonts w:ascii="宋体" w:hAnsi="宋体" w:cs="宋体" w:eastAsia="宋体" w:hint="default"/>
        </w:rPr>
        <w:t>18.45%</w:t>
      </w:r>
      <w:r>
        <w:rPr/>
        <w:t>。</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二、主营业务分析</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1"/>
        <w:rPr>
          <w:rFonts w:ascii="宋体" w:hAnsi="宋体" w:cs="宋体" w:eastAsia="宋体" w:hint="default"/>
          <w:b/>
          <w:bCs/>
          <w:sz w:val="25"/>
          <w:szCs w:val="25"/>
        </w:rPr>
      </w:pPr>
    </w:p>
    <w:p>
      <w:pPr>
        <w:pStyle w:val="Heading4"/>
        <w:spacing w:line="240" w:lineRule="auto" w:before="0"/>
        <w:ind w:right="0"/>
        <w:jc w:val="left"/>
      </w:pPr>
      <w:r>
        <w:rPr/>
        <w:t>主要财务数据变动及其原因</w:t>
      </w:r>
    </w:p>
    <w:p>
      <w:pPr>
        <w:spacing w:line="240" w:lineRule="auto" w:before="12"/>
        <w:rPr>
          <w:rFonts w:ascii="宋体" w:hAnsi="宋体" w:cs="宋体" w:eastAsia="宋体" w:hint="default"/>
          <w:sz w:val="6"/>
          <w:szCs w:val="6"/>
        </w:rPr>
      </w:pPr>
    </w:p>
    <w:tbl>
      <w:tblPr>
        <w:tblW w:w="0" w:type="auto"/>
        <w:jc w:val="left"/>
        <w:tblInd w:w="157" w:type="dxa"/>
        <w:tblLayout w:type="fixed"/>
        <w:tblCellMar>
          <w:top w:w="0" w:type="dxa"/>
          <w:left w:w="0" w:type="dxa"/>
          <w:bottom w:w="0" w:type="dxa"/>
          <w:right w:w="0" w:type="dxa"/>
        </w:tblCellMar>
        <w:tblLook w:val="01E0"/>
      </w:tblPr>
      <w:tblGrid>
        <w:gridCol w:w="2869"/>
        <w:gridCol w:w="1939"/>
        <w:gridCol w:w="1942"/>
        <w:gridCol w:w="2079"/>
      </w:tblGrid>
      <w:tr>
        <w:trPr>
          <w:trHeight w:val="338" w:hRule="exact"/>
        </w:trPr>
        <w:tc>
          <w:tcPr>
            <w:tcW w:w="2869" w:type="dxa"/>
            <w:tcBorders>
              <w:top w:val="nil" w:sz="6" w:space="0" w:color="auto"/>
              <w:left w:val="nil" w:sz="6" w:space="0" w:color="auto"/>
              <w:bottom w:val="single" w:sz="6" w:space="0" w:color="000000"/>
              <w:right w:val="single" w:sz="6" w:space="0" w:color="000000"/>
            </w:tcBorders>
            <w:shd w:val="clear" w:color="auto" w:fill="D9D9D9"/>
          </w:tcPr>
          <w:p>
            <w:pPr>
              <w:pStyle w:val="TableParagraph"/>
              <w:spacing w:line="240" w:lineRule="auto" w:before="1"/>
              <w:ind w:right="4"/>
              <w:jc w:val="center"/>
              <w:rPr>
                <w:rFonts w:ascii="宋体" w:hAnsi="宋体" w:cs="宋体" w:eastAsia="宋体" w:hint="default"/>
                <w:sz w:val="20"/>
                <w:szCs w:val="20"/>
              </w:rPr>
            </w:pPr>
            <w:r>
              <w:rPr>
                <w:rFonts w:ascii="宋体" w:hAnsi="宋体" w:cs="宋体" w:eastAsia="宋体" w:hint="default"/>
                <w:sz w:val="20"/>
                <w:szCs w:val="20"/>
              </w:rPr>
              <w:t>项目</w:t>
            </w:r>
          </w:p>
        </w:tc>
        <w:tc>
          <w:tcPr>
            <w:tcW w:w="1939"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1"/>
              <w:ind w:left="7"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p>
        </w:tc>
        <w:tc>
          <w:tcPr>
            <w:tcW w:w="1942"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1"/>
              <w:ind w:left="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宋体" w:hAnsi="宋体" w:cs="宋体" w:eastAsia="宋体" w:hint="default"/>
                <w:sz w:val="20"/>
                <w:szCs w:val="20"/>
              </w:rPr>
              <w:t>年</w:t>
            </w:r>
          </w:p>
        </w:tc>
        <w:tc>
          <w:tcPr>
            <w:tcW w:w="2079"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r>
      <w:tr>
        <w:trPr>
          <w:trHeight w:val="338" w:hRule="exact"/>
        </w:trPr>
        <w:tc>
          <w:tcPr>
            <w:tcW w:w="2869" w:type="dxa"/>
            <w:tcBorders>
              <w:top w:val="single" w:sz="6" w:space="0" w:color="000000"/>
              <w:left w:val="nil" w:sz="6" w:space="0" w:color="auto"/>
              <w:bottom w:val="single" w:sz="6" w:space="0" w:color="000000"/>
              <w:right w:val="single" w:sz="6" w:space="0" w:color="000000"/>
            </w:tcBorders>
          </w:tcPr>
          <w:p>
            <w:pPr>
              <w:pStyle w:val="TableParagraph"/>
              <w:spacing w:line="254" w:lineRule="exact"/>
              <w:ind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65" w:right="0"/>
              <w:jc w:val="left"/>
              <w:rPr>
                <w:rFonts w:ascii="Times New Roman" w:hAnsi="Times New Roman" w:cs="Times New Roman" w:eastAsia="Times New Roman" w:hint="default"/>
                <w:sz w:val="20"/>
                <w:szCs w:val="20"/>
              </w:rPr>
            </w:pPr>
            <w:r>
              <w:rPr>
                <w:rFonts w:ascii="Times New Roman"/>
                <w:sz w:val="20"/>
              </w:rPr>
              <w:t>817,400,719.25</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510"/>
              <w:jc w:val="right"/>
              <w:rPr>
                <w:rFonts w:ascii="Times New Roman" w:hAnsi="Times New Roman" w:cs="Times New Roman" w:eastAsia="Times New Roman" w:hint="default"/>
                <w:sz w:val="20"/>
                <w:szCs w:val="20"/>
              </w:rPr>
            </w:pPr>
            <w:r>
              <w:rPr>
                <w:rFonts w:ascii="Times New Roman"/>
                <w:w w:val="95"/>
                <w:sz w:val="20"/>
              </w:rPr>
              <w:t>781,765,641.17</w:t>
            </w:r>
            <w:r>
              <w:rPr>
                <w:rFonts w:ascii="Times New Roman"/>
                <w:sz w:val="20"/>
              </w:rPr>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sz w:val="20"/>
              </w:rPr>
              <w:t>4.56%</w:t>
            </w:r>
          </w:p>
        </w:tc>
      </w:tr>
      <w:tr>
        <w:trPr>
          <w:trHeight w:val="336" w:hRule="exact"/>
        </w:trPr>
        <w:tc>
          <w:tcPr>
            <w:tcW w:w="2869" w:type="dxa"/>
            <w:tcBorders>
              <w:top w:val="single" w:sz="6" w:space="0" w:color="000000"/>
              <w:left w:val="nil" w:sz="6" w:space="0" w:color="auto"/>
              <w:bottom w:val="single" w:sz="6" w:space="0" w:color="000000"/>
              <w:right w:val="single" w:sz="6" w:space="0" w:color="000000"/>
            </w:tcBorders>
          </w:tcPr>
          <w:p>
            <w:pPr>
              <w:pStyle w:val="TableParagraph"/>
              <w:spacing w:line="254" w:lineRule="exact"/>
              <w:ind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65" w:right="0"/>
              <w:jc w:val="left"/>
              <w:rPr>
                <w:rFonts w:ascii="Times New Roman" w:hAnsi="Times New Roman" w:cs="Times New Roman" w:eastAsia="Times New Roman" w:hint="default"/>
                <w:sz w:val="20"/>
                <w:szCs w:val="20"/>
              </w:rPr>
            </w:pPr>
            <w:r>
              <w:rPr>
                <w:rFonts w:ascii="Times New Roman"/>
                <w:sz w:val="20"/>
              </w:rPr>
              <w:t>500,682,616.49</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510"/>
              <w:jc w:val="right"/>
              <w:rPr>
                <w:rFonts w:ascii="Times New Roman" w:hAnsi="Times New Roman" w:cs="Times New Roman" w:eastAsia="Times New Roman" w:hint="default"/>
                <w:sz w:val="20"/>
                <w:szCs w:val="20"/>
              </w:rPr>
            </w:pPr>
            <w:r>
              <w:rPr>
                <w:rFonts w:ascii="Times New Roman"/>
                <w:w w:val="95"/>
                <w:sz w:val="20"/>
              </w:rPr>
              <w:t>510,572,616.08</w:t>
            </w:r>
            <w:r>
              <w:rPr>
                <w:rFonts w:ascii="Times New Roman"/>
                <w:sz w:val="20"/>
              </w:rPr>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w w:val="95"/>
                <w:sz w:val="20"/>
              </w:rPr>
              <w:t>-1.94%</w:t>
            </w:r>
            <w:r>
              <w:rPr>
                <w:rFonts w:ascii="Times New Roman"/>
                <w:sz w:val="20"/>
              </w:rPr>
            </w:r>
          </w:p>
        </w:tc>
      </w:tr>
      <w:tr>
        <w:trPr>
          <w:trHeight w:val="336" w:hRule="exact"/>
        </w:trPr>
        <w:tc>
          <w:tcPr>
            <w:tcW w:w="2869" w:type="dxa"/>
            <w:tcBorders>
              <w:top w:val="single" w:sz="6" w:space="0" w:color="000000"/>
              <w:left w:val="nil" w:sz="6" w:space="0" w:color="auto"/>
              <w:bottom w:val="single" w:sz="6" w:space="0" w:color="000000"/>
              <w:right w:val="single" w:sz="6" w:space="0" w:color="000000"/>
            </w:tcBorders>
          </w:tcPr>
          <w:p>
            <w:pPr>
              <w:pStyle w:val="TableParagraph"/>
              <w:spacing w:line="254" w:lineRule="exact"/>
              <w:ind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47" w:right="0"/>
              <w:jc w:val="left"/>
              <w:rPr>
                <w:rFonts w:ascii="Times New Roman" w:hAnsi="Times New Roman" w:cs="Times New Roman" w:eastAsia="Times New Roman" w:hint="default"/>
                <w:sz w:val="20"/>
                <w:szCs w:val="20"/>
              </w:rPr>
            </w:pPr>
            <w:r>
              <w:rPr>
                <w:rFonts w:ascii="Times New Roman"/>
                <w:sz w:val="20"/>
              </w:rPr>
              <w:t>-7,305,835.64</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563"/>
              <w:jc w:val="right"/>
              <w:rPr>
                <w:rFonts w:ascii="Times New Roman" w:hAnsi="Times New Roman" w:cs="Times New Roman" w:eastAsia="Times New Roman" w:hint="default"/>
                <w:sz w:val="20"/>
                <w:szCs w:val="20"/>
              </w:rPr>
            </w:pPr>
            <w:r>
              <w:rPr>
                <w:rFonts w:ascii="Times New Roman"/>
                <w:w w:val="95"/>
                <w:sz w:val="20"/>
              </w:rPr>
              <w:t>-3,318,551.13</w:t>
            </w:r>
            <w:r>
              <w:rPr>
                <w:rFonts w:ascii="Times New Roman"/>
                <w:sz w:val="20"/>
              </w:rPr>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w w:val="95"/>
                <w:sz w:val="20"/>
              </w:rPr>
              <w:t>-120.15%</w:t>
            </w:r>
            <w:r>
              <w:rPr>
                <w:rFonts w:ascii="Times New Roman"/>
                <w:sz w:val="20"/>
              </w:rPr>
            </w:r>
          </w:p>
        </w:tc>
      </w:tr>
      <w:tr>
        <w:trPr>
          <w:trHeight w:val="338" w:hRule="exact"/>
        </w:trPr>
        <w:tc>
          <w:tcPr>
            <w:tcW w:w="2869"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65" w:right="0"/>
              <w:jc w:val="left"/>
              <w:rPr>
                <w:rFonts w:ascii="Times New Roman" w:hAnsi="Times New Roman" w:cs="Times New Roman" w:eastAsia="Times New Roman" w:hint="default"/>
                <w:sz w:val="20"/>
                <w:szCs w:val="20"/>
              </w:rPr>
            </w:pPr>
            <w:r>
              <w:rPr>
                <w:rFonts w:ascii="Times New Roman"/>
                <w:sz w:val="20"/>
              </w:rPr>
              <w:t>110,197,807.06</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531"/>
              <w:jc w:val="right"/>
              <w:rPr>
                <w:rFonts w:ascii="Times New Roman" w:hAnsi="Times New Roman" w:cs="Times New Roman" w:eastAsia="Times New Roman" w:hint="default"/>
                <w:sz w:val="20"/>
                <w:szCs w:val="20"/>
              </w:rPr>
            </w:pPr>
            <w:r>
              <w:rPr>
                <w:rFonts w:ascii="Times New Roman"/>
                <w:spacing w:val="-1"/>
                <w:sz w:val="20"/>
              </w:rPr>
              <w:t>88,107,773.05</w:t>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z w:val="20"/>
              </w:rPr>
              <w:t>25.07%</w:t>
            </w:r>
          </w:p>
        </w:tc>
      </w:tr>
      <w:tr>
        <w:trPr>
          <w:trHeight w:val="336" w:hRule="exact"/>
        </w:trPr>
        <w:tc>
          <w:tcPr>
            <w:tcW w:w="2869" w:type="dxa"/>
            <w:tcBorders>
              <w:top w:val="single" w:sz="6" w:space="0" w:color="000000"/>
              <w:left w:val="nil" w:sz="6" w:space="0" w:color="auto"/>
              <w:bottom w:val="single" w:sz="6" w:space="0" w:color="000000"/>
              <w:right w:val="single" w:sz="6" w:space="0" w:color="000000"/>
            </w:tcBorders>
          </w:tcPr>
          <w:p>
            <w:pPr>
              <w:pStyle w:val="TableParagraph"/>
              <w:spacing w:line="254" w:lineRule="exact"/>
              <w:ind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47" w:right="0"/>
              <w:jc w:val="left"/>
              <w:rPr>
                <w:rFonts w:ascii="Times New Roman" w:hAnsi="Times New Roman" w:cs="Times New Roman" w:eastAsia="Times New Roman" w:hint="default"/>
                <w:sz w:val="20"/>
                <w:szCs w:val="20"/>
              </w:rPr>
            </w:pPr>
            <w:r>
              <w:rPr>
                <w:rFonts w:ascii="Times New Roman"/>
                <w:sz w:val="20"/>
              </w:rPr>
              <w:t>77,801,746.08</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531"/>
              <w:jc w:val="right"/>
              <w:rPr>
                <w:rFonts w:ascii="Times New Roman" w:hAnsi="Times New Roman" w:cs="Times New Roman" w:eastAsia="Times New Roman" w:hint="default"/>
                <w:sz w:val="20"/>
                <w:szCs w:val="20"/>
              </w:rPr>
            </w:pPr>
            <w:r>
              <w:rPr>
                <w:rFonts w:ascii="Times New Roman"/>
                <w:spacing w:val="-1"/>
                <w:sz w:val="20"/>
              </w:rPr>
              <w:t>66,493,066.60</w:t>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sz w:val="20"/>
              </w:rPr>
              <w:t>17.01%</w:t>
            </w:r>
          </w:p>
        </w:tc>
      </w:tr>
      <w:tr>
        <w:trPr>
          <w:trHeight w:val="338" w:hRule="exact"/>
        </w:trPr>
        <w:tc>
          <w:tcPr>
            <w:tcW w:w="2869"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right="0"/>
              <w:jc w:val="left"/>
              <w:rPr>
                <w:rFonts w:ascii="宋体" w:hAnsi="宋体" w:cs="宋体" w:eastAsia="宋体" w:hint="default"/>
                <w:sz w:val="20"/>
                <w:szCs w:val="20"/>
              </w:rPr>
            </w:pPr>
            <w:r>
              <w:rPr>
                <w:rFonts w:ascii="宋体" w:hAnsi="宋体" w:cs="宋体" w:eastAsia="宋体" w:hint="default"/>
                <w:sz w:val="20"/>
                <w:szCs w:val="20"/>
              </w:rPr>
              <w:t>研发支出</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47" w:right="0"/>
              <w:jc w:val="left"/>
              <w:rPr>
                <w:rFonts w:ascii="Times New Roman" w:hAnsi="Times New Roman" w:cs="Times New Roman" w:eastAsia="Times New Roman" w:hint="default"/>
                <w:sz w:val="20"/>
                <w:szCs w:val="20"/>
              </w:rPr>
            </w:pPr>
            <w:r>
              <w:rPr>
                <w:rFonts w:ascii="Times New Roman"/>
                <w:sz w:val="20"/>
              </w:rPr>
              <w:t>47,281,984.18</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531"/>
              <w:jc w:val="right"/>
              <w:rPr>
                <w:rFonts w:ascii="Times New Roman" w:hAnsi="Times New Roman" w:cs="Times New Roman" w:eastAsia="Times New Roman" w:hint="default"/>
                <w:sz w:val="20"/>
                <w:szCs w:val="20"/>
              </w:rPr>
            </w:pPr>
            <w:r>
              <w:rPr>
                <w:rFonts w:ascii="Times New Roman"/>
                <w:spacing w:val="-1"/>
                <w:sz w:val="20"/>
              </w:rPr>
              <w:t>35,951,400.51</w:t>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z w:val="20"/>
              </w:rPr>
              <w:t>31.52%</w:t>
            </w:r>
          </w:p>
        </w:tc>
      </w:tr>
      <w:tr>
        <w:trPr>
          <w:trHeight w:val="336" w:hRule="exact"/>
        </w:trPr>
        <w:tc>
          <w:tcPr>
            <w:tcW w:w="2869" w:type="dxa"/>
            <w:tcBorders>
              <w:top w:val="single" w:sz="6" w:space="0" w:color="000000"/>
              <w:left w:val="nil" w:sz="6" w:space="0" w:color="auto"/>
              <w:bottom w:val="single" w:sz="6" w:space="0" w:color="000000"/>
              <w:right w:val="single" w:sz="6" w:space="0" w:color="000000"/>
            </w:tcBorders>
          </w:tcPr>
          <w:p>
            <w:pPr>
              <w:pStyle w:val="TableParagraph"/>
              <w:spacing w:line="254" w:lineRule="exact"/>
              <w:ind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65" w:right="0"/>
              <w:jc w:val="left"/>
              <w:rPr>
                <w:rFonts w:ascii="Times New Roman" w:hAnsi="Times New Roman" w:cs="Times New Roman" w:eastAsia="Times New Roman" w:hint="default"/>
                <w:sz w:val="20"/>
                <w:szCs w:val="20"/>
              </w:rPr>
            </w:pPr>
            <w:r>
              <w:rPr>
                <w:rFonts w:ascii="Times New Roman"/>
                <w:sz w:val="20"/>
              </w:rPr>
              <w:t>210,397,502.02</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510"/>
              <w:jc w:val="right"/>
              <w:rPr>
                <w:rFonts w:ascii="Times New Roman" w:hAnsi="Times New Roman" w:cs="Times New Roman" w:eastAsia="Times New Roman" w:hint="default"/>
                <w:sz w:val="20"/>
                <w:szCs w:val="20"/>
              </w:rPr>
            </w:pPr>
            <w:r>
              <w:rPr>
                <w:rFonts w:ascii="Times New Roman"/>
                <w:w w:val="95"/>
                <w:sz w:val="20"/>
              </w:rPr>
              <w:t>177,821,817.48</w:t>
            </w:r>
            <w:r>
              <w:rPr>
                <w:rFonts w:ascii="Times New Roman"/>
                <w:sz w:val="20"/>
              </w:rPr>
            </w:r>
          </w:p>
        </w:tc>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sz w:val="20"/>
              </w:rPr>
              <w:t>18.32%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477" w:lineRule="auto"/>
        <w:ind w:left="513" w:right="4093" w:hanging="361"/>
        <w:jc w:val="left"/>
      </w:pPr>
      <w:r>
        <w:rPr/>
        <w:t>主要变动说明： 财务费用大幅度减少原因是：公司通过统筹安排资金运用，增加利息收入所致。</w:t>
      </w:r>
    </w:p>
    <w:p>
      <w:pPr>
        <w:pStyle w:val="BodyText"/>
        <w:spacing w:line="477" w:lineRule="auto" w:before="54"/>
        <w:ind w:right="1123" w:firstLine="360"/>
        <w:jc w:val="left"/>
      </w:pPr>
      <w:r>
        <w:rPr/>
        <w:t>研发支出增加的原因是：</w:t>
      </w:r>
      <w:r>
        <w:rPr>
          <w:spacing w:val="1"/>
        </w:rPr>
        <w:t> </w:t>
      </w:r>
      <w:r>
        <w:rPr/>
        <w:t>报告期内公司为提升产品的科技含量，增加了研发投入，大力发展智能卡等新产品，致使研</w:t>
      </w:r>
      <w:r>
        <w:rPr/>
        <w:t> 发支出增加。</w:t>
      </w:r>
    </w:p>
    <w:p>
      <w:pPr>
        <w:spacing w:line="477" w:lineRule="auto" w:before="55"/>
        <w:ind w:left="606" w:right="1120" w:hanging="455"/>
        <w:jc w:val="left"/>
        <w:rPr>
          <w:rFonts w:ascii="宋体" w:hAnsi="宋体" w:cs="宋体" w:eastAsia="宋体" w:hint="default"/>
          <w:sz w:val="18"/>
          <w:szCs w:val="18"/>
        </w:rPr>
      </w:pPr>
      <w:r>
        <w:rPr>
          <w:rFonts w:ascii="宋体" w:hAnsi="宋体" w:cs="宋体" w:eastAsia="宋体" w:hint="default"/>
          <w:b/>
          <w:bCs/>
          <w:sz w:val="18"/>
          <w:szCs w:val="18"/>
        </w:rPr>
        <w:t>公司回顾总结前期披露的发展战略和经营计划在报告期内的进展情况：</w:t>
      </w:r>
      <w:r>
        <w:rPr>
          <w:rFonts w:ascii="宋体" w:hAnsi="宋体" w:cs="宋体" w:eastAsia="宋体" w:hint="default"/>
          <w:b/>
          <w:bCs/>
          <w:w w:val="99"/>
          <w:sz w:val="18"/>
          <w:szCs w:val="18"/>
        </w:rPr>
        <w:t> </w:t>
      </w:r>
      <w:r>
        <w:rPr>
          <w:rFonts w:ascii="宋体" w:hAnsi="宋体" w:cs="宋体" w:eastAsia="宋体" w:hint="default"/>
          <w:sz w:val="18"/>
          <w:szCs w:val="18"/>
        </w:rPr>
        <w:t>当前公司的发展规划是，在保持商业票证产品市场份额的基础上，大力发展智能卡、个性化彩印、数据处理打印等新</w:t>
      </w:r>
    </w:p>
    <w:p>
      <w:pPr>
        <w:pStyle w:val="BodyText"/>
        <w:spacing w:line="477" w:lineRule="auto" w:before="54"/>
        <w:ind w:right="1132"/>
        <w:jc w:val="both"/>
      </w:pPr>
      <w:r>
        <w:rPr>
          <w:spacing w:val="-2"/>
        </w:rPr>
        <w:t>产品，形成多品种产品战略格局，保持经济效益稳步增长。</w:t>
      </w:r>
      <w:r>
        <w:rPr>
          <w:rFonts w:ascii="宋体" w:hAnsi="宋体" w:cs="宋体" w:eastAsia="宋体" w:hint="default"/>
          <w:spacing w:val="-2"/>
        </w:rPr>
        <w:t>2012</w:t>
      </w:r>
      <w:r>
        <w:rPr>
          <w:spacing w:val="-2"/>
        </w:rPr>
        <w:t>年，公司传统的票据产品受宏观经济不景气的影响较大，致</w:t>
      </w:r>
      <w:r>
        <w:rPr>
          <w:spacing w:val="-61"/>
        </w:rPr>
        <w:t> </w:t>
      </w:r>
      <w:r>
        <w:rPr>
          <w:spacing w:val="-61"/>
        </w:rPr>
      </w:r>
      <w:r>
        <w:rPr>
          <w:spacing w:val="-2"/>
        </w:rPr>
        <w:t>使销售收入与去年同期基本持平；公司的彩印、数据、标签等新产品保持了较快增长的态势，成为公司业绩新的增长点。近</w:t>
      </w:r>
      <w:r>
        <w:rPr>
          <w:spacing w:val="-65"/>
        </w:rPr>
        <w:t> </w:t>
      </w:r>
      <w:r>
        <w:rPr>
          <w:spacing w:val="-65"/>
        </w:rPr>
      </w:r>
      <w:r>
        <w:rPr>
          <w:spacing w:val="-2"/>
        </w:rPr>
        <w:t>年来，彩色数字印刷、账单打印、</w:t>
      </w:r>
      <w:r>
        <w:rPr>
          <w:rFonts w:ascii="宋体" w:hAnsi="宋体" w:cs="宋体" w:eastAsia="宋体" w:hint="default"/>
          <w:spacing w:val="-2"/>
        </w:rPr>
        <w:t>RFID</w:t>
      </w:r>
      <w:r>
        <w:rPr>
          <w:spacing w:val="-2"/>
        </w:rPr>
        <w:t>标签的市场规模增长较快，未来几年内，公司仍将发展的重点放在新产品的发展，以</w:t>
      </w:r>
    </w:p>
    <w:p>
      <w:pPr>
        <w:pStyle w:val="BodyText"/>
        <w:spacing w:line="240" w:lineRule="auto" w:before="54"/>
        <w:ind w:right="0"/>
        <w:jc w:val="left"/>
      </w:pPr>
      <w:r>
        <w:rPr/>
        <w:t>保持稳定的业绩增长和可持续发展。</w:t>
      </w:r>
    </w:p>
    <w:p>
      <w:pPr>
        <w:spacing w:after="0" w:line="240" w:lineRule="auto"/>
        <w:jc w:val="left"/>
        <w:sectPr>
          <w:pgSz w:w="11910" w:h="16840"/>
          <w:pgMar w:header="877" w:footer="1330" w:top="1060" w:bottom="15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0"/>
        <w:jc w:val="left"/>
      </w:pPr>
      <w:r>
        <w:rPr/>
        <w:t>公司实际经营业绩较曾公开披露过的本年度盈利预测低于或高于</w:t>
      </w:r>
      <w:r>
        <w:rPr>
          <w:spacing w:val="-43"/>
        </w:rPr>
        <w:t> </w:t>
      </w:r>
      <w:r>
        <w:rPr>
          <w:rFonts w:ascii="Times New Roman" w:hAnsi="Times New Roman" w:cs="Times New Roman" w:eastAsia="Times New Roman" w:hint="default"/>
        </w:rPr>
        <w:t>20%</w:t>
      </w:r>
      <w:r>
        <w:rPr/>
        <w:t>以上的差异原因</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说明：</w:t>
      </w:r>
    </w:p>
    <w:p>
      <w:pPr>
        <w:spacing w:line="240" w:lineRule="auto" w:before="0"/>
        <w:rPr>
          <w:rFonts w:ascii="宋体" w:hAnsi="宋体" w:cs="宋体" w:eastAsia="宋体" w:hint="default"/>
          <w:sz w:val="15"/>
          <w:szCs w:val="15"/>
        </w:rPr>
      </w:pPr>
    </w:p>
    <w:p>
      <w:pPr>
        <w:pStyle w:val="BodyText"/>
        <w:spacing w:line="477" w:lineRule="auto"/>
        <w:ind w:right="1130" w:firstLine="360"/>
        <w:jc w:val="both"/>
      </w:pPr>
      <w:r>
        <w:rPr>
          <w:spacing w:val="-2"/>
        </w:rPr>
        <w:t>报告期内，公司营业收入呈稳步增长态势，在各类产品中，票据产品仍为公司主要产品，其营业收入占公司总体营业收</w:t>
      </w:r>
      <w:r>
        <w:rPr/>
        <w:t> 入的</w:t>
      </w:r>
      <w:r>
        <w:rPr>
          <w:spacing w:val="-46"/>
        </w:rPr>
        <w:t> </w:t>
      </w:r>
      <w:r>
        <w:rPr>
          <w:rFonts w:ascii="宋体" w:hAnsi="宋体" w:cs="宋体" w:eastAsia="宋体" w:hint="default"/>
        </w:rPr>
        <w:t>77.42%</w:t>
      </w:r>
      <w:r>
        <w:rPr/>
        <w:t>，彩印产品、标签产品、数据产品保持了较快的增长态势，智能卡产品目前还处于市场开拓期，营业收入占比 较小。具体收入变化情况如下：</w:t>
      </w:r>
    </w:p>
    <w:p>
      <w:pPr>
        <w:pStyle w:val="BodyText"/>
        <w:spacing w:line="240" w:lineRule="auto" w:before="14"/>
        <w:ind w:left="4747" w:right="0"/>
        <w:jc w:val="left"/>
      </w:pPr>
      <w:r>
        <w:rPr/>
        <w:t>单位：元</w:t>
      </w:r>
    </w:p>
    <w:p>
      <w:pPr>
        <w:spacing w:line="240" w:lineRule="auto" w:before="3"/>
        <w:rPr>
          <w:rFonts w:ascii="宋体" w:hAnsi="宋体" w:cs="宋体" w:eastAsia="宋体" w:hint="default"/>
          <w:sz w:val="15"/>
          <w:szCs w:val="15"/>
        </w:rPr>
      </w:pPr>
    </w:p>
    <w:p>
      <w:pPr>
        <w:spacing w:line="1920" w:lineRule="exact"/>
        <w:ind w:left="184" w:right="0" w:firstLine="0"/>
        <w:rPr>
          <w:rFonts w:ascii="宋体" w:hAnsi="宋体" w:cs="宋体" w:eastAsia="宋体" w:hint="default"/>
          <w:sz w:val="20"/>
          <w:szCs w:val="20"/>
        </w:rPr>
      </w:pPr>
      <w:r>
        <w:rPr>
          <w:rFonts w:ascii="宋体" w:hAnsi="宋体" w:cs="宋体" w:eastAsia="宋体" w:hint="default"/>
          <w:position w:val="-37"/>
          <w:sz w:val="20"/>
          <w:szCs w:val="20"/>
        </w:rPr>
        <w:drawing>
          <wp:inline distT="0" distB="0" distL="0" distR="0">
            <wp:extent cx="3495675" cy="121920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0" cstate="print"/>
                    <a:stretch>
                      <a:fillRect/>
                    </a:stretch>
                  </pic:blipFill>
                  <pic:spPr>
                    <a:xfrm>
                      <a:off x="0" y="0"/>
                      <a:ext cx="3495675" cy="1219200"/>
                    </a:xfrm>
                    <a:prstGeom prst="rect">
                      <a:avLst/>
                    </a:prstGeom>
                  </pic:spPr>
                </pic:pic>
              </a:graphicData>
            </a:graphic>
          </wp:inline>
        </w:drawing>
      </w:r>
      <w:r>
        <w:rPr>
          <w:rFonts w:ascii="宋体" w:hAnsi="宋体" w:cs="宋体" w:eastAsia="宋体" w:hint="default"/>
          <w:position w:val="-37"/>
          <w:sz w:val="20"/>
          <w:szCs w:val="20"/>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BodyText"/>
        <w:spacing w:line="240" w:lineRule="auto"/>
        <w:ind w:right="0"/>
        <w:jc w:val="left"/>
      </w:pPr>
      <w:r>
        <w:rPr/>
        <w:t>公司实物销售收入是否大于劳务收入</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240" w:lineRule="auto" w:before="101"/>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3"/>
          <w:szCs w:val="13"/>
        </w:rPr>
      </w:pPr>
    </w:p>
    <w:p>
      <w:pPr>
        <w:pStyle w:val="BodyText"/>
        <w:spacing w:line="477" w:lineRule="auto"/>
        <w:ind w:right="1128" w:firstLine="360"/>
        <w:jc w:val="both"/>
      </w:pPr>
      <w:r>
        <w:rPr>
          <w:spacing w:val="-2"/>
        </w:rPr>
        <w:t>报告期内，数据产品营业收入增加</w:t>
      </w:r>
      <w:r>
        <w:rPr/>
        <w:t> </w:t>
      </w:r>
      <w:r>
        <w:rPr>
          <w:rFonts w:ascii="宋体" w:hAnsi="宋体" w:cs="宋体" w:eastAsia="宋体" w:hint="default"/>
          <w:spacing w:val="-2"/>
        </w:rPr>
        <w:t>37.72%</w:t>
      </w:r>
      <w:r>
        <w:rPr>
          <w:spacing w:val="-2"/>
        </w:rPr>
        <w:t>，主要是由于业务量增加所致。卡类产品营业收入增加</w:t>
      </w:r>
      <w:r>
        <w:rPr>
          <w:spacing w:val="-66"/>
        </w:rPr>
        <w:t> </w:t>
      </w:r>
      <w:r>
        <w:rPr>
          <w:rFonts w:ascii="宋体" w:hAnsi="宋体" w:cs="宋体" w:eastAsia="宋体" w:hint="default"/>
          <w:spacing w:val="-2"/>
        </w:rPr>
        <w:t>259.92%</w:t>
      </w:r>
      <w:r>
        <w:rPr>
          <w:spacing w:val="-2"/>
        </w:rPr>
        <w:t>，主要是由于</w:t>
      </w:r>
      <w:r>
        <w:rPr/>
        <w:t> 去年同期卡类产品尚处于资质认证和试生产阶段，营业收入基数较小所致。</w:t>
      </w:r>
    </w:p>
    <w:p>
      <w:pPr>
        <w:pStyle w:val="BodyText"/>
        <w:spacing w:line="240" w:lineRule="auto" w:before="13"/>
        <w:ind w:right="0"/>
        <w:jc w:val="left"/>
      </w:pPr>
      <w:r>
        <w:rPr/>
        <w:t>公司重大的在手订单情况</w:t>
      </w:r>
    </w:p>
    <w:p>
      <w:pPr>
        <w:pStyle w:val="BodyText"/>
        <w:spacing w:line="340" w:lineRule="auto" w:before="117"/>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公司报告期内产品或服务发生重大变化或调整有关情况</w:t>
      </w:r>
    </w:p>
    <w:p>
      <w:pPr>
        <w:pStyle w:val="BodyText"/>
        <w:spacing w:line="340" w:lineRule="auto" w:before="39"/>
        <w:ind w:right="8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公司主要销售客户情况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109,412,139.10</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13.39%</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1"/>
        <w:ind w:right="0"/>
        <w:jc w:val="left"/>
      </w:pPr>
      <w:r>
        <w:rPr/>
        <w:pict>
          <v:group style="position:absolute;margin-left:460.320007pt;margin-top:101.301727pt;width:135pt;height:77pt;mso-position-horizontal-relative:page;mso-position-vertical-relative:paragraph;z-index:-754888" coordorigin="9206,2026" coordsize="2700,1540">
            <v:shape style="position:absolute;left:9206;top:2026;width:2700;height:1540" type="#_x0000_t75" stroked="false">
              <v:imagedata r:id="rId16" o:title=""/>
            </v:shape>
            <v:shape style="position:absolute;left:10593;top:2386;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11</w:t>
                    </w:r>
                  </w:p>
                </w:txbxContent>
              </v:textbox>
              <w10:wrap type="none"/>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40,974,170.93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20,809,812.82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17,929,089.99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w:t>
            </w:r>
          </w:p>
        </w:tc>
      </w:tr>
    </w:tbl>
    <w:p>
      <w:pPr>
        <w:spacing w:after="0" w:line="240" w:lineRule="auto"/>
        <w:jc w:val="right"/>
        <w:rPr>
          <w:rFonts w:ascii="Times New Roman" w:hAnsi="Times New Roman" w:cs="Times New Roman" w:eastAsia="Times New Roman" w:hint="default"/>
          <w:sz w:val="18"/>
          <w:szCs w:val="18"/>
        </w:rPr>
        <w:sectPr>
          <w:headerReference w:type="default" r:id="rId18"/>
          <w:footerReference w:type="default" r:id="rId19"/>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754840" coordorigin="9206,15298" coordsize="2700,1540">
            <v:shape style="position:absolute;left:9206;top:15298;width:2700;height:1540" type="#_x0000_t75" stroked="false">
              <v:imagedata r:id="rId16"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w:t>
                    </w:r>
                  </w:p>
                </w:txbxContent>
              </v:textbox>
              <w10:wrap type="none"/>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15,195,075.56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14,503,989.80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109,412,139.10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13.39%</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行业分类</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6"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289,055,029.64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300,222,767.19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w:t>
            </w:r>
          </w:p>
        </w:tc>
      </w:tr>
      <w:tr>
        <w:trPr>
          <w:trHeight w:val="403"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40,438,031.87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40,454,466.31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118,156,458.58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110,190,426.52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其他辅料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49,520,133.43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46,561,762.37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0.6%</w:t>
            </w:r>
          </w:p>
        </w:tc>
      </w:tr>
    </w:tbl>
    <w:p>
      <w:pPr>
        <w:pStyle w:val="BodyText"/>
        <w:spacing w:line="240" w:lineRule="auto" w:before="49"/>
        <w:ind w:right="0"/>
        <w:jc w:val="left"/>
      </w:pPr>
      <w:r>
        <w:rPr/>
        <w:t>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票据产品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229,666,717.61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246,369,196.24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r>
      <w:tr>
        <w:trPr>
          <w:trHeight w:val="403"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28,286,693.09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31,892,527.71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-0.39%</w:t>
            </w:r>
          </w:p>
        </w:tc>
      </w:tr>
      <w:tr>
        <w:trPr>
          <w:trHeight w:val="401"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73,177,408.37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78,296,375.03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其他辅料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36,494,156.89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38,351,599.55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r>
      <w:tr>
        <w:trPr>
          <w:trHeight w:val="401"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彩印产品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15,634,356.94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18,133,684.28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-8.35%</w:t>
            </w:r>
          </w:p>
        </w:tc>
      </w:tr>
      <w:tr>
        <w:trPr>
          <w:trHeight w:val="403"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3,900,826.37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4,193,286.46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w:t>
            </w:r>
          </w:p>
        </w:tc>
      </w:tr>
      <w:tr>
        <w:trPr>
          <w:trHeight w:val="401"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8,230,612.96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6,132,473.09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6.38%</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其他辅料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4,212,388.21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3,219,402.98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w:t>
            </w:r>
          </w:p>
        </w:tc>
      </w:tr>
      <w:tr>
        <w:trPr>
          <w:trHeight w:val="401"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标签产品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18,561,179.99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19,079,922.82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w:t>
            </w:r>
          </w:p>
        </w:tc>
      </w:tr>
      <w:tr>
        <w:trPr>
          <w:trHeight w:val="403"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3,683,970.47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3,129,471.83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w:t>
            </w:r>
          </w:p>
        </w:tc>
      </w:tr>
      <w:tr>
        <w:trPr>
          <w:trHeight w:val="401"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6,820,819.82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5,744,174.66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其他辅料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4,069,523.98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3,849,253.67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r>
      <w:tr>
        <w:trPr>
          <w:trHeight w:val="401"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数据产品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21,219,561.96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16,002,402.80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w:t>
            </w:r>
          </w:p>
        </w:tc>
      </w:tr>
      <w:tr>
        <w:trPr>
          <w:trHeight w:val="403"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879,115.93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295,030.16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w:t>
            </w:r>
          </w:p>
        </w:tc>
      </w:tr>
      <w:tr>
        <w:trPr>
          <w:trHeight w:val="401"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17,126,946.69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14,317,960.72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其他辅料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425,471.22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250,075.50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r>
    </w:tbl>
    <w:p>
      <w:pPr>
        <w:spacing w:after="0" w:line="240" w:lineRule="auto"/>
        <w:jc w:val="right"/>
        <w:rPr>
          <w:rFonts w:ascii="Times New Roman" w:hAnsi="Times New Roman" w:cs="Times New Roman" w:eastAsia="Times New Roman" w:hint="default"/>
          <w:sz w:val="18"/>
          <w:szCs w:val="18"/>
        </w:rPr>
        <w:sectPr>
          <w:headerReference w:type="default" r:id="rId21"/>
          <w:footerReference w:type="default" r:id="rId22"/>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卡类产品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6,412,580.12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1,462,084.62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w:t>
            </w:r>
          </w:p>
        </w:tc>
      </w:tr>
      <w:tr>
        <w:trPr>
          <w:trHeight w:val="403"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3,965,897.07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1,234,949.28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0.89%</w:t>
            </w:r>
          </w:p>
        </w:tc>
      </w:tr>
      <w:tr>
        <w:trPr>
          <w:trHeight w:val="401" w:hRule="exact"/>
        </w:trPr>
        <w:tc>
          <w:tcPr>
            <w:tcW w:w="1368" w:type="dxa"/>
            <w:vMerge/>
            <w:tcBorders>
              <w:left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9,506,124.90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4,270,269.69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-13.89%</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其他辅料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4,895,300.91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1,205,281.29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5.01%</w:t>
            </w:r>
          </w:p>
        </w:tc>
      </w:tr>
    </w:tbl>
    <w:p>
      <w:pPr>
        <w:pStyle w:val="BodyText"/>
        <w:spacing w:line="240" w:lineRule="auto" w:before="49"/>
        <w:ind w:right="0"/>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152,850,299.03</w:t>
            </w:r>
          </w:p>
        </w:tc>
      </w:tr>
      <w:tr>
        <w:trPr>
          <w:trHeight w:val="403"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38.51%</w:t>
            </w:r>
          </w:p>
        </w:tc>
      </w:tr>
    </w:tbl>
    <w:p>
      <w:pPr>
        <w:pStyle w:val="BodyText"/>
        <w:spacing w:line="240" w:lineRule="auto" w:before="49"/>
        <w:ind w:right="0"/>
        <w:jc w:val="left"/>
      </w:pPr>
      <w:r>
        <w:rPr/>
        <w:pict>
          <v:shape style="position:absolute;margin-left:263.570007pt;margin-top:-20.158270pt;width:270.2pt;height:19.6pt;mso-position-horizontal-relative:page;mso-position-vertical-relative:paragraph;z-index:-754816"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71.010010pt;margin-top:-20.158270pt;width:262.75pt;height:19.6pt;mso-position-horizontal-relative:page;mso-position-vertical-relative:paragraph;z-index:-754792" coordorigin="5420,-403" coordsize="5255,392">
            <v:shape style="position:absolute;left:5420;top:-403;width:5255;height:392" coordorigin="5420,-403" coordsize="5255,392" path="m5420,-12l10675,-12,10675,-403,5420,-403,5420,-12xe" filled="true" fillcolor="#ffffff" stroked="false">
              <v:path arrowok="t"/>
              <v:fill type="solid"/>
            </v:shape>
            <w10:wrap type="none"/>
          </v:group>
        </w:pict>
      </w: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24"/>
        <w:gridCol w:w="3181"/>
        <w:gridCol w:w="2321"/>
        <w:gridCol w:w="3145"/>
      </w:tblGrid>
      <w:tr>
        <w:trPr>
          <w:trHeight w:val="401"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河南江河纸业股份有限公司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62,019,176.24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15.63%</w:t>
            </w:r>
          </w:p>
        </w:tc>
      </w:tr>
      <w:tr>
        <w:trPr>
          <w:trHeight w:val="401"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36,175,350.68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9.12%</w:t>
            </w:r>
          </w:p>
        </w:tc>
      </w:tr>
      <w:tr>
        <w:trPr>
          <w:trHeight w:val="161" w:hRule="exact"/>
        </w:trPr>
        <w:tc>
          <w:tcPr>
            <w:tcW w:w="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1" w:type="dxa"/>
            <w:vMerge w:val="restart"/>
            <w:tcBorders>
              <w:top w:val="single" w:sz="4" w:space="0" w:color="000000"/>
              <w:left w:val="single" w:sz="10" w:space="0" w:color="D2D2D2"/>
              <w:right w:val="single" w:sz="4" w:space="0" w:color="000000"/>
            </w:tcBorders>
          </w:tcPr>
          <w:p>
            <w:pPr>
              <w:pStyle w:val="TableParagraph"/>
              <w:spacing w:line="316" w:lineRule="auto" w:before="49"/>
              <w:ind w:left="28" w:right="74"/>
              <w:jc w:val="left"/>
              <w:rPr>
                <w:rFonts w:ascii="宋体" w:hAnsi="宋体" w:cs="宋体" w:eastAsia="宋体" w:hint="default"/>
                <w:sz w:val="18"/>
                <w:szCs w:val="18"/>
              </w:rPr>
            </w:pPr>
            <w:r>
              <w:rPr>
                <w:rFonts w:ascii="宋体" w:hAnsi="宋体" w:cs="宋体" w:eastAsia="宋体" w:hint="default"/>
                <w:sz w:val="18"/>
                <w:szCs w:val="18"/>
              </w:rPr>
              <w:t>广东冠豪高新技术股份有限公司北京销 售分公司</w:t>
            </w:r>
          </w:p>
        </w:tc>
        <w:tc>
          <w:tcPr>
            <w:tcW w:w="23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5" w:right="0"/>
              <w:jc w:val="left"/>
              <w:rPr>
                <w:rFonts w:ascii="Times New Roman" w:hAnsi="Times New Roman" w:cs="Times New Roman" w:eastAsia="Times New Roman" w:hint="default"/>
                <w:sz w:val="18"/>
                <w:szCs w:val="18"/>
              </w:rPr>
            </w:pPr>
            <w:r>
              <w:rPr>
                <w:rFonts w:ascii="Times New Roman"/>
                <w:sz w:val="18"/>
              </w:rPr>
              <w:t>28,859,168.99</w:t>
            </w:r>
          </w:p>
        </w:tc>
        <w:tc>
          <w:tcPr>
            <w:tcW w:w="31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7.27%</w:t>
            </w:r>
          </w:p>
        </w:tc>
      </w:tr>
      <w:tr>
        <w:trPr>
          <w:trHeight w:val="394" w:hRule="exact"/>
        </w:trPr>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3</w:t>
            </w:r>
          </w:p>
        </w:tc>
        <w:tc>
          <w:tcPr>
            <w:tcW w:w="3181" w:type="dxa"/>
            <w:vMerge/>
            <w:tcBorders>
              <w:left w:val="single" w:sz="10" w:space="0" w:color="D2D2D2"/>
              <w:right w:val="single" w:sz="4" w:space="0" w:color="000000"/>
            </w:tcBorders>
          </w:tcPr>
          <w:p>
            <w:pPr/>
          </w:p>
        </w:tc>
        <w:tc>
          <w:tcPr>
            <w:tcW w:w="2321" w:type="dxa"/>
            <w:vMerge/>
            <w:tcBorders>
              <w:left w:val="single" w:sz="4" w:space="0" w:color="000000"/>
              <w:right w:val="single" w:sz="4" w:space="0" w:color="000000"/>
            </w:tcBorders>
          </w:tcPr>
          <w:p>
            <w:pPr/>
          </w:p>
        </w:tc>
        <w:tc>
          <w:tcPr>
            <w:tcW w:w="3145" w:type="dxa"/>
            <w:vMerge/>
            <w:tcBorders>
              <w:left w:val="single" w:sz="4" w:space="0" w:color="000000"/>
              <w:right w:val="single" w:sz="4" w:space="0" w:color="000000"/>
            </w:tcBorders>
          </w:tcPr>
          <w:p>
            <w:pPr/>
          </w:p>
        </w:tc>
      </w:tr>
      <w:tr>
        <w:trPr>
          <w:trHeight w:val="161" w:hRule="exact"/>
        </w:trPr>
        <w:tc>
          <w:tcPr>
            <w:tcW w:w="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1" w:type="dxa"/>
            <w:vMerge/>
            <w:tcBorders>
              <w:left w:val="single" w:sz="10" w:space="0" w:color="D2D2D2"/>
              <w:bottom w:val="single" w:sz="4" w:space="0" w:color="000000"/>
              <w:right w:val="single" w:sz="4" w:space="0" w:color="000000"/>
            </w:tcBorders>
          </w:tcPr>
          <w:p>
            <w:pPr/>
          </w:p>
        </w:tc>
        <w:tc>
          <w:tcPr>
            <w:tcW w:w="2321" w:type="dxa"/>
            <w:vMerge/>
            <w:tcBorders>
              <w:left w:val="single" w:sz="4" w:space="0" w:color="000000"/>
              <w:bottom w:val="single" w:sz="4" w:space="0" w:color="000000"/>
              <w:right w:val="single" w:sz="4" w:space="0" w:color="000000"/>
            </w:tcBorders>
          </w:tcPr>
          <w:p>
            <w:pPr/>
          </w:p>
        </w:tc>
        <w:tc>
          <w:tcPr>
            <w:tcW w:w="3145" w:type="dxa"/>
            <w:vMerge/>
            <w:tcBorders>
              <w:left w:val="single" w:sz="4" w:space="0" w:color="000000"/>
              <w:bottom w:val="single" w:sz="4" w:space="0" w:color="000000"/>
              <w:right w:val="single" w:sz="4" w:space="0" w:color="000000"/>
            </w:tcBorders>
          </w:tcPr>
          <w:p>
            <w:pPr/>
          </w:p>
        </w:tc>
      </w:tr>
      <w:tr>
        <w:trPr>
          <w:trHeight w:val="401"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濮阳龙丰纸业有限公司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13,707,981.33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w:t>
            </w:r>
          </w:p>
        </w:tc>
      </w:tr>
      <w:tr>
        <w:trPr>
          <w:trHeight w:val="403"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芬欧汇川（中国）有限公司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12,088,621.79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w:t>
            </w:r>
          </w:p>
        </w:tc>
      </w:tr>
      <w:tr>
        <w:trPr>
          <w:trHeight w:val="401"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152,850,299.03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38.51%</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8"/>
        <w:rPr>
          <w:rFonts w:ascii="宋体" w:hAnsi="宋体" w:cs="宋体" w:eastAsia="宋体" w:hint="default"/>
          <w:b/>
          <w:bCs/>
          <w:sz w:val="26"/>
          <w:szCs w:val="26"/>
        </w:rPr>
      </w:pPr>
    </w:p>
    <w:tbl>
      <w:tblPr>
        <w:tblW w:w="0" w:type="auto"/>
        <w:jc w:val="left"/>
        <w:tblInd w:w="549" w:type="dxa"/>
        <w:tblLayout w:type="fixed"/>
        <w:tblCellMar>
          <w:top w:w="0" w:type="dxa"/>
          <w:left w:w="0" w:type="dxa"/>
          <w:bottom w:w="0" w:type="dxa"/>
          <w:right w:w="0" w:type="dxa"/>
        </w:tblCellMar>
        <w:tblLook w:val="01E0"/>
      </w:tblPr>
      <w:tblGrid>
        <w:gridCol w:w="2873"/>
        <w:gridCol w:w="1942"/>
        <w:gridCol w:w="1939"/>
        <w:gridCol w:w="2081"/>
      </w:tblGrid>
      <w:tr>
        <w:trPr>
          <w:trHeight w:val="331" w:hRule="exact"/>
        </w:trPr>
        <w:tc>
          <w:tcPr>
            <w:tcW w:w="2873" w:type="dxa"/>
            <w:tcBorders>
              <w:top w:val="nil" w:sz="6" w:space="0" w:color="auto"/>
              <w:left w:val="nil" w:sz="6" w:space="0" w:color="auto"/>
              <w:bottom w:val="single" w:sz="8" w:space="0" w:color="000000"/>
              <w:right w:val="single" w:sz="8" w:space="0" w:color="000000"/>
            </w:tcBorders>
            <w:shd w:val="clear" w:color="auto" w:fill="D9D9D9"/>
          </w:tcPr>
          <w:p>
            <w:pPr>
              <w:pStyle w:val="TableParagraph"/>
              <w:spacing w:line="240" w:lineRule="auto" w:before="13"/>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2" w:type="dxa"/>
            <w:tcBorders>
              <w:top w:val="nil" w:sz="6" w:space="0" w:color="auto"/>
              <w:left w:val="single" w:sz="8" w:space="0" w:color="000000"/>
              <w:bottom w:val="single" w:sz="8" w:space="0" w:color="000000"/>
              <w:right w:val="single" w:sz="8" w:space="0" w:color="000000"/>
            </w:tcBorders>
            <w:shd w:val="clear" w:color="auto" w:fill="D9D9D9"/>
          </w:tcPr>
          <w:p>
            <w:pPr>
              <w:pStyle w:val="TableParagraph"/>
              <w:spacing w:line="240" w:lineRule="auto" w:before="1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939" w:type="dxa"/>
            <w:tcBorders>
              <w:top w:val="nil" w:sz="6" w:space="0" w:color="auto"/>
              <w:left w:val="single" w:sz="8" w:space="0" w:color="000000"/>
              <w:bottom w:val="single" w:sz="8" w:space="0" w:color="000000"/>
              <w:right w:val="single" w:sz="8"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2081" w:type="dxa"/>
            <w:tcBorders>
              <w:top w:val="nil" w:sz="6" w:space="0" w:color="auto"/>
              <w:left w:val="single" w:sz="8" w:space="0" w:color="000000"/>
              <w:bottom w:val="single" w:sz="8" w:space="0" w:color="000000"/>
              <w:right w:val="single" w:sz="8" w:space="0" w:color="000000"/>
            </w:tcBorders>
            <w:shd w:val="clear" w:color="auto" w:fill="D9D9D9"/>
          </w:tcPr>
          <w:p>
            <w:pPr>
              <w:pStyle w:val="TableParagraph"/>
              <w:spacing w:line="240" w:lineRule="auto" w:before="13"/>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本年比上年增减幅度</w:t>
            </w:r>
            <w:r>
              <w:rPr>
                <w:rFonts w:ascii="Times New Roman" w:hAnsi="Times New Roman" w:cs="Times New Roman" w:eastAsia="Times New Roman" w:hint="default"/>
                <w:sz w:val="18"/>
                <w:szCs w:val="18"/>
              </w:rPr>
              <w:t>%</w:t>
            </w:r>
          </w:p>
        </w:tc>
      </w:tr>
      <w:tr>
        <w:trPr>
          <w:trHeight w:val="348" w:hRule="exact"/>
        </w:trPr>
        <w:tc>
          <w:tcPr>
            <w:tcW w:w="2873" w:type="dxa"/>
            <w:tcBorders>
              <w:top w:val="single" w:sz="8" w:space="0" w:color="000000"/>
              <w:left w:val="nil" w:sz="6" w:space="0" w:color="auto"/>
              <w:bottom w:val="single" w:sz="8" w:space="0" w:color="000000"/>
              <w:right w:val="single" w:sz="8" w:space="0" w:color="000000"/>
            </w:tcBorders>
            <w:shd w:val="clear" w:color="auto" w:fill="D9D9D9"/>
          </w:tcPr>
          <w:p>
            <w:pPr>
              <w:pStyle w:val="TableParagraph"/>
              <w:spacing w:line="240" w:lineRule="auto" w:before="15"/>
              <w:ind w:left="6"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94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77,801,746.08</w:t>
            </w:r>
          </w:p>
        </w:tc>
        <w:tc>
          <w:tcPr>
            <w:tcW w:w="193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66,493,066.60</w:t>
            </w:r>
          </w:p>
        </w:tc>
        <w:tc>
          <w:tcPr>
            <w:tcW w:w="208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4"/>
              <w:jc w:val="right"/>
              <w:rPr>
                <w:rFonts w:ascii="Times New Roman" w:hAnsi="Times New Roman" w:cs="Times New Roman" w:eastAsia="Times New Roman" w:hint="default"/>
                <w:sz w:val="18"/>
                <w:szCs w:val="18"/>
              </w:rPr>
            </w:pPr>
            <w:r>
              <w:rPr>
                <w:rFonts w:ascii="Times New Roman"/>
                <w:sz w:val="18"/>
              </w:rPr>
              <w:t>17.01%</w:t>
            </w:r>
          </w:p>
        </w:tc>
      </w:tr>
      <w:tr>
        <w:trPr>
          <w:trHeight w:val="341" w:hRule="exact"/>
        </w:trPr>
        <w:tc>
          <w:tcPr>
            <w:tcW w:w="2873" w:type="dxa"/>
            <w:tcBorders>
              <w:top w:val="single" w:sz="8" w:space="0" w:color="000000"/>
              <w:left w:val="nil" w:sz="6" w:space="0" w:color="auto"/>
              <w:bottom w:val="single" w:sz="8" w:space="0" w:color="000000"/>
              <w:right w:val="single" w:sz="8" w:space="0" w:color="000000"/>
            </w:tcBorders>
            <w:shd w:val="clear" w:color="auto" w:fill="D9D9D9"/>
          </w:tcPr>
          <w:p>
            <w:pPr>
              <w:pStyle w:val="TableParagraph"/>
              <w:spacing w:line="240" w:lineRule="auto" w:before="8"/>
              <w:ind w:left="6"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110,197,807.06</w:t>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88,107,773.05</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25.07%</w:t>
            </w:r>
          </w:p>
        </w:tc>
      </w:tr>
      <w:tr>
        <w:trPr>
          <w:trHeight w:val="343" w:hRule="exact"/>
        </w:trPr>
        <w:tc>
          <w:tcPr>
            <w:tcW w:w="2873" w:type="dxa"/>
            <w:tcBorders>
              <w:top w:val="single" w:sz="8" w:space="0" w:color="000000"/>
              <w:left w:val="nil" w:sz="6" w:space="0" w:color="auto"/>
              <w:bottom w:val="single" w:sz="8" w:space="0" w:color="000000"/>
              <w:right w:val="single" w:sz="8" w:space="0" w:color="000000"/>
            </w:tcBorders>
            <w:shd w:val="clear" w:color="auto" w:fill="D9D9D9"/>
          </w:tcPr>
          <w:p>
            <w:pPr>
              <w:pStyle w:val="TableParagraph"/>
              <w:spacing w:line="240" w:lineRule="auto" w:before="10"/>
              <w:ind w:left="6"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-7,305,835.64</w:t>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-3,318,551.13</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-120.15%</w:t>
            </w:r>
          </w:p>
        </w:tc>
      </w:tr>
      <w:tr>
        <w:trPr>
          <w:trHeight w:val="343" w:hRule="exact"/>
        </w:trPr>
        <w:tc>
          <w:tcPr>
            <w:tcW w:w="2873" w:type="dxa"/>
            <w:tcBorders>
              <w:top w:val="single" w:sz="8" w:space="0" w:color="000000"/>
              <w:left w:val="nil" w:sz="6" w:space="0" w:color="auto"/>
              <w:bottom w:val="single" w:sz="8" w:space="0" w:color="000000"/>
              <w:right w:val="single" w:sz="8" w:space="0" w:color="000000"/>
            </w:tcBorders>
            <w:shd w:val="clear" w:color="auto" w:fill="D9D9D9"/>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所 得</w:t>
            </w:r>
            <w:r>
              <w:rPr>
                <w:rFonts w:ascii="宋体" w:hAnsi="宋体" w:cs="宋体" w:eastAsia="宋体" w:hint="default"/>
                <w:spacing w:val="-36"/>
                <w:sz w:val="18"/>
                <w:szCs w:val="18"/>
              </w:rPr>
              <w:t> </w:t>
            </w:r>
            <w:r>
              <w:rPr>
                <w:rFonts w:ascii="宋体" w:hAnsi="宋体" w:cs="宋体" w:eastAsia="宋体" w:hint="default"/>
                <w:sz w:val="18"/>
                <w:szCs w:val="18"/>
              </w:rPr>
              <w:t>税</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20,811,491.62</w:t>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17,080,900.35</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21.84%</w:t>
            </w:r>
          </w:p>
        </w:tc>
      </w:tr>
    </w:tbl>
    <w:p>
      <w:pPr>
        <w:spacing w:line="240" w:lineRule="auto" w:before="5"/>
        <w:rPr>
          <w:rFonts w:ascii="宋体" w:hAnsi="宋体" w:cs="宋体" w:eastAsia="宋体" w:hint="default"/>
          <w:b/>
          <w:bCs/>
          <w:sz w:val="6"/>
          <w:szCs w:val="6"/>
        </w:rPr>
      </w:pPr>
    </w:p>
    <w:p>
      <w:pPr>
        <w:pStyle w:val="BodyText"/>
        <w:spacing w:line="240" w:lineRule="auto" w:before="44"/>
        <w:ind w:left="513" w:right="0"/>
        <w:jc w:val="left"/>
      </w:pPr>
      <w:r>
        <w:rPr/>
        <w:t>财务费用大幅度减少原因是：公司通过统筹安排资金运用，增加利息收入所致。</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8"/>
        <w:rPr>
          <w:rFonts w:ascii="宋体" w:hAnsi="宋体" w:cs="宋体" w:eastAsia="宋体" w:hint="default"/>
          <w:b/>
          <w:bCs/>
          <w:sz w:val="26"/>
          <w:szCs w:val="26"/>
        </w:rPr>
      </w:pPr>
    </w:p>
    <w:tbl>
      <w:tblPr>
        <w:tblW w:w="0" w:type="auto"/>
        <w:jc w:val="left"/>
        <w:tblInd w:w="151" w:type="dxa"/>
        <w:tblLayout w:type="fixed"/>
        <w:tblCellMar>
          <w:top w:w="0" w:type="dxa"/>
          <w:left w:w="0" w:type="dxa"/>
          <w:bottom w:w="0" w:type="dxa"/>
          <w:right w:w="0" w:type="dxa"/>
        </w:tblCellMar>
        <w:tblLook w:val="01E0"/>
      </w:tblPr>
      <w:tblGrid>
        <w:gridCol w:w="2876"/>
        <w:gridCol w:w="1938"/>
        <w:gridCol w:w="2321"/>
        <w:gridCol w:w="2081"/>
      </w:tblGrid>
      <w:tr>
        <w:trPr>
          <w:trHeight w:val="329" w:hRule="exact"/>
        </w:trPr>
        <w:tc>
          <w:tcPr>
            <w:tcW w:w="2876" w:type="dxa"/>
            <w:tcBorders>
              <w:top w:val="nil" w:sz="6" w:space="0" w:color="auto"/>
              <w:left w:val="nil" w:sz="6" w:space="0" w:color="auto"/>
              <w:bottom w:val="single" w:sz="6" w:space="0" w:color="000000"/>
              <w:right w:val="single" w:sz="6" w:space="0" w:color="000000"/>
            </w:tcBorders>
            <w:shd w:val="clear" w:color="auto" w:fill="CCCCCC"/>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8" w:type="dxa"/>
            <w:tcBorders>
              <w:top w:val="nil" w:sz="6" w:space="0" w:color="auto"/>
              <w:left w:val="single" w:sz="6" w:space="0" w:color="000000"/>
              <w:bottom w:val="single" w:sz="6" w:space="0" w:color="000000"/>
              <w:right w:val="single" w:sz="6" w:space="0" w:color="000000"/>
            </w:tcBorders>
            <w:shd w:val="clear" w:color="auto" w:fill="CCCCCC"/>
          </w:tcPr>
          <w:p>
            <w:pPr>
              <w:pStyle w:val="TableParagraph"/>
              <w:spacing w:line="240" w:lineRule="auto" w:before="13"/>
              <w:ind w:left="423" w:right="0"/>
              <w:jc w:val="left"/>
              <w:rPr>
                <w:rFonts w:ascii="宋体" w:hAnsi="宋体" w:cs="宋体" w:eastAsia="宋体" w:hint="default"/>
                <w:sz w:val="18"/>
                <w:szCs w:val="18"/>
              </w:rPr>
            </w:pPr>
            <w:r>
              <w:rPr>
                <w:rFonts w:ascii="宋体" w:hAnsi="宋体" w:cs="宋体" w:eastAsia="宋体" w:hint="default"/>
                <w:sz w:val="18"/>
                <w:szCs w:val="18"/>
              </w:rPr>
              <w:t>研发支出金额</w:t>
            </w:r>
          </w:p>
        </w:tc>
        <w:tc>
          <w:tcPr>
            <w:tcW w:w="2321" w:type="dxa"/>
            <w:tcBorders>
              <w:top w:val="nil" w:sz="6" w:space="0" w:color="auto"/>
              <w:left w:val="single" w:sz="6" w:space="0" w:color="000000"/>
              <w:bottom w:val="single" w:sz="6" w:space="0" w:color="000000"/>
              <w:right w:val="single" w:sz="6" w:space="0" w:color="000000"/>
            </w:tcBorders>
            <w:shd w:val="clear" w:color="auto" w:fill="CCCCCC"/>
          </w:tcPr>
          <w:p>
            <w:pPr>
              <w:pStyle w:val="TableParagraph"/>
              <w:spacing w:line="240" w:lineRule="auto" w:before="13"/>
              <w:ind w:left="343" w:right="0"/>
              <w:jc w:val="left"/>
              <w:rPr>
                <w:rFonts w:ascii="宋体" w:hAnsi="宋体" w:cs="宋体" w:eastAsia="宋体" w:hint="default"/>
                <w:sz w:val="18"/>
                <w:szCs w:val="18"/>
              </w:rPr>
            </w:pPr>
            <w:r>
              <w:rPr>
                <w:rFonts w:ascii="宋体" w:hAnsi="宋体" w:cs="宋体" w:eastAsia="宋体" w:hint="default"/>
                <w:sz w:val="18"/>
                <w:szCs w:val="18"/>
              </w:rPr>
              <w:t>占期末净资产的比例</w:t>
            </w:r>
          </w:p>
        </w:tc>
        <w:tc>
          <w:tcPr>
            <w:tcW w:w="2081" w:type="dxa"/>
            <w:tcBorders>
              <w:top w:val="nil" w:sz="6" w:space="0" w:color="auto"/>
              <w:left w:val="single" w:sz="6" w:space="0" w:color="000000"/>
              <w:bottom w:val="single" w:sz="6" w:space="0" w:color="000000"/>
              <w:right w:val="single" w:sz="6" w:space="0" w:color="000000"/>
            </w:tcBorders>
            <w:shd w:val="clear" w:color="auto" w:fill="CCCCCC"/>
          </w:tcPr>
          <w:p>
            <w:pPr>
              <w:pStyle w:val="TableParagraph"/>
              <w:spacing w:line="240" w:lineRule="auto" w:before="13"/>
              <w:ind w:left="134" w:right="0"/>
              <w:jc w:val="left"/>
              <w:rPr>
                <w:rFonts w:ascii="宋体" w:hAnsi="宋体" w:cs="宋体" w:eastAsia="宋体" w:hint="default"/>
                <w:sz w:val="18"/>
                <w:szCs w:val="18"/>
              </w:rPr>
            </w:pPr>
            <w:r>
              <w:rPr>
                <w:rFonts w:ascii="宋体" w:hAnsi="宋体" w:cs="宋体" w:eastAsia="宋体" w:hint="default"/>
                <w:sz w:val="18"/>
                <w:szCs w:val="18"/>
              </w:rPr>
              <w:t>占当期营业收入的比例</w:t>
            </w:r>
          </w:p>
        </w:tc>
      </w:tr>
      <w:tr>
        <w:trPr>
          <w:trHeight w:val="341" w:hRule="exact"/>
        </w:trPr>
        <w:tc>
          <w:tcPr>
            <w:tcW w:w="2876" w:type="dxa"/>
            <w:tcBorders>
              <w:top w:val="single" w:sz="6" w:space="0" w:color="000000"/>
              <w:left w:val="nil" w:sz="6" w:space="0" w:color="auto"/>
              <w:bottom w:val="single" w:sz="6" w:space="0" w:color="000000"/>
              <w:right w:val="single" w:sz="6" w:space="0" w:color="000000"/>
            </w:tcBorders>
            <w:shd w:val="clear" w:color="auto" w:fill="CCCCCC"/>
          </w:tcPr>
          <w:p>
            <w:pPr>
              <w:pStyle w:val="TableParagraph"/>
              <w:spacing w:line="240" w:lineRule="auto" w:before="1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93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spacing w:val="-1"/>
                <w:sz w:val="20"/>
              </w:rPr>
              <w:t>47,281,984.18</w:t>
            </w:r>
          </w:p>
        </w:tc>
        <w:tc>
          <w:tcPr>
            <w:tcW w:w="232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sz w:val="20"/>
              </w:rPr>
              <w:t>4.27%</w:t>
            </w:r>
          </w:p>
        </w:tc>
        <w:tc>
          <w:tcPr>
            <w:tcW w:w="208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sz w:val="20"/>
              </w:rPr>
              <w:t>5.78%</w:t>
            </w:r>
          </w:p>
        </w:tc>
      </w:tr>
      <w:tr>
        <w:trPr>
          <w:trHeight w:val="338" w:hRule="exact"/>
        </w:trPr>
        <w:tc>
          <w:tcPr>
            <w:tcW w:w="2876" w:type="dxa"/>
            <w:tcBorders>
              <w:top w:val="single" w:sz="6" w:space="0" w:color="000000"/>
              <w:left w:val="nil" w:sz="6" w:space="0" w:color="auto"/>
              <w:bottom w:val="single" w:sz="6" w:space="0" w:color="000000"/>
              <w:right w:val="single" w:sz="6" w:space="0" w:color="000000"/>
            </w:tcBorders>
            <w:shd w:val="clear" w:color="auto" w:fill="CCCCCC"/>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pacing w:val="-1"/>
                <w:sz w:val="20"/>
              </w:rPr>
              <w:t>35,951,400.51</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z w:val="20"/>
              </w:rPr>
              <w:t>3.43%</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z w:val="20"/>
              </w:rPr>
              <w:t>4.60%</w:t>
            </w:r>
          </w:p>
        </w:tc>
      </w:tr>
      <w:tr>
        <w:trPr>
          <w:trHeight w:val="338" w:hRule="exact"/>
        </w:trPr>
        <w:tc>
          <w:tcPr>
            <w:tcW w:w="2876" w:type="dxa"/>
            <w:tcBorders>
              <w:top w:val="single" w:sz="6" w:space="0" w:color="000000"/>
              <w:left w:val="nil" w:sz="6" w:space="0" w:color="auto"/>
              <w:bottom w:val="single" w:sz="6" w:space="0" w:color="000000"/>
              <w:right w:val="single" w:sz="6" w:space="0" w:color="000000"/>
            </w:tcBorders>
            <w:shd w:val="clear" w:color="auto" w:fill="CCCCCC"/>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增减比例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0"/>
                <w:szCs w:val="20"/>
              </w:rPr>
            </w:pPr>
            <w:r>
              <w:rPr>
                <w:rFonts w:ascii="Times New Roman"/>
                <w:sz w:val="20"/>
              </w:rPr>
              <w:t>31.52%</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sz w:val="20"/>
              </w:rPr>
              <w:t>0.84%</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sz w:val="20"/>
              </w:rPr>
              <w:t>1.18%</w:t>
            </w:r>
          </w:p>
        </w:tc>
      </w:tr>
    </w:tbl>
    <w:p>
      <w:pPr>
        <w:pStyle w:val="BodyText"/>
        <w:spacing w:line="262" w:lineRule="exact"/>
        <w:ind w:left="498" w:right="0"/>
        <w:jc w:val="left"/>
        <w:rPr>
          <w:sz w:val="21"/>
          <w:szCs w:val="21"/>
        </w:rPr>
      </w:pPr>
      <w:r>
        <w:rPr/>
        <w:t>报告期内公司为提升产品的科技含量，增加了研发投入，大力发展智能卡等新产品，致使研发支出增加</w:t>
      </w:r>
      <w:r>
        <w:rPr>
          <w:sz w:val="21"/>
          <w:szCs w:val="21"/>
        </w:rPr>
        <w:t>。</w:t>
      </w:r>
    </w:p>
    <w:p>
      <w:pPr>
        <w:spacing w:after="0" w:line="262" w:lineRule="exact"/>
        <w:jc w:val="left"/>
        <w:rPr>
          <w:sz w:val="21"/>
          <w:szCs w:val="21"/>
        </w:rPr>
        <w:sectPr>
          <w:footerReference w:type="default" r:id="rId23"/>
          <w:pgSz w:w="11910" w:h="16840"/>
          <w:pgMar w:footer="1340" w:header="877" w:top="1060" w:bottom="1540" w:left="980" w:right="0"/>
          <w:pgNumType w:start="13"/>
        </w:sectPr>
      </w:pPr>
    </w:p>
    <w:p>
      <w:pPr>
        <w:spacing w:line="240" w:lineRule="auto" w:before="3"/>
        <w:rPr>
          <w:rFonts w:ascii="宋体" w:hAnsi="宋体" w:cs="宋体" w:eastAsia="宋体" w:hint="default"/>
          <w:sz w:val="25"/>
          <w:szCs w:val="25"/>
        </w:rPr>
      </w:pPr>
    </w:p>
    <w:p>
      <w:pPr>
        <w:pStyle w:val="Heading5"/>
        <w:spacing w:line="240" w:lineRule="auto" w:before="37"/>
        <w:ind w:right="0"/>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2243"/>
        <w:gridCol w:w="2393"/>
        <w:gridCol w:w="2393"/>
      </w:tblGrid>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1,001,695,145.88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878,293,347.41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14.0502%</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791,297,643.86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700,471,529.93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12.9664%</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210,397,502.02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177,821,817.48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18.3193%</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84,992.65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46.2868%</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268,342,456.08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110,138,776.84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143.6403%</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-268,257,463.43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-110,080,676.84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-143.6917%</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22,281,700.00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59,166,068.80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133,773,923.95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-55.7716%</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-59,166,068.80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-111,492,223.95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46.9326%</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-117,026,147.95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-43,752,173.53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-167.475%</w:t>
            </w:r>
            <w:r>
              <w:rPr>
                <w:rFonts w:ascii="Times New Roman"/>
                <w:sz w:val="18"/>
              </w:rPr>
            </w: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left="513" w:right="1123" w:hanging="361"/>
        <w:jc w:val="left"/>
      </w:pPr>
      <w:r>
        <w:rPr>
          <w:rFonts w:ascii="宋体" w:hAnsi="宋体" w:cs="宋体" w:eastAsia="宋体" w:hint="default"/>
        </w:rPr>
        <w:t>1. </w:t>
      </w:r>
      <w:r>
        <w:rPr/>
        <w:t>投资活动现金流入小计增加</w:t>
      </w:r>
      <w:r>
        <w:rPr>
          <w:rFonts w:ascii="Times New Roman" w:hAnsi="Times New Roman" w:cs="Times New Roman" w:eastAsia="Times New Roman" w:hint="default"/>
        </w:rPr>
        <w:t>46.2868%</w:t>
      </w:r>
      <w:r>
        <w:rPr/>
        <w:t>，主要是由于本期处置固定资产金额同比去年增加，使投资活动现金流入同比增 加所致。</w:t>
      </w:r>
    </w:p>
    <w:p>
      <w:pPr>
        <w:pStyle w:val="BodyText"/>
        <w:spacing w:line="240" w:lineRule="auto" w:before="72"/>
        <w:ind w:right="0"/>
        <w:jc w:val="left"/>
      </w:pPr>
      <w:r>
        <w:rPr>
          <w:rFonts w:ascii="宋体" w:hAnsi="宋体" w:cs="宋体" w:eastAsia="宋体" w:hint="default"/>
        </w:rPr>
        <w:t>2.</w:t>
      </w:r>
      <w:r>
        <w:rPr>
          <w:rFonts w:ascii="宋体" w:hAnsi="宋体" w:cs="宋体" w:eastAsia="宋体" w:hint="default"/>
          <w:spacing w:val="88"/>
        </w:rPr>
        <w:t> </w:t>
      </w:r>
      <w:r>
        <w:rPr/>
        <w:t>投资活动现金流出小计增加</w:t>
      </w:r>
      <w:r>
        <w:rPr>
          <w:rFonts w:ascii="Times New Roman" w:hAnsi="Times New Roman" w:cs="Times New Roman" w:eastAsia="Times New Roman" w:hint="default"/>
        </w:rPr>
        <w:t>143.6403%</w:t>
      </w:r>
      <w:r>
        <w:rPr/>
        <w:t>，主要是购买理财产品使投资活动现金流出增加所致。</w:t>
      </w:r>
    </w:p>
    <w:p>
      <w:pPr>
        <w:pStyle w:val="BodyText"/>
        <w:spacing w:line="240" w:lineRule="auto" w:before="101"/>
        <w:ind w:right="0"/>
        <w:jc w:val="left"/>
      </w:pPr>
      <w:r>
        <w:rPr>
          <w:rFonts w:ascii="宋体" w:hAnsi="宋体" w:cs="宋体" w:eastAsia="宋体" w:hint="default"/>
        </w:rPr>
        <w:t>3.</w:t>
      </w:r>
      <w:r>
        <w:rPr>
          <w:rFonts w:ascii="宋体" w:hAnsi="宋体" w:cs="宋体" w:eastAsia="宋体" w:hint="default"/>
          <w:spacing w:val="87"/>
        </w:rPr>
        <w:t> </w:t>
      </w:r>
      <w:r>
        <w:rPr/>
        <w:t>投资活动产生的现金流量净额减少</w:t>
      </w:r>
      <w:r>
        <w:rPr>
          <w:rFonts w:ascii="Times New Roman" w:hAnsi="Times New Roman" w:cs="Times New Roman" w:eastAsia="Times New Roman" w:hint="default"/>
        </w:rPr>
        <w:t>143.6917%</w:t>
      </w:r>
      <w:r>
        <w:rPr/>
        <w:t>，主要是由于购买理财产品支出增加所致。</w:t>
      </w:r>
    </w:p>
    <w:p>
      <w:pPr>
        <w:pStyle w:val="BodyText"/>
        <w:spacing w:line="240" w:lineRule="auto" w:before="104"/>
        <w:ind w:right="0"/>
        <w:jc w:val="left"/>
      </w:pPr>
      <w:r>
        <w:rPr>
          <w:rFonts w:ascii="宋体" w:hAnsi="宋体" w:cs="宋体" w:eastAsia="宋体" w:hint="default"/>
        </w:rPr>
        <w:t>4. </w:t>
      </w:r>
      <w:r>
        <w:rPr>
          <w:rFonts w:ascii="宋体" w:hAnsi="宋体" w:cs="宋体" w:eastAsia="宋体" w:hint="default"/>
          <w:spacing w:val="1"/>
        </w:rPr>
        <w:t> </w:t>
      </w:r>
      <w:r>
        <w:rPr/>
        <w:t>筹资活动现金流入小计减少</w:t>
      </w:r>
      <w:r>
        <w:rPr>
          <w:rFonts w:ascii="Times New Roman" w:hAnsi="Times New Roman" w:cs="Times New Roman" w:eastAsia="Times New Roman" w:hint="default"/>
        </w:rPr>
        <w:t>100%</w:t>
      </w:r>
      <w:r>
        <w:rPr/>
        <w:t>，主要是去年同期股权激励收到投资款，本年未发生相关现金流入所致。</w:t>
      </w:r>
    </w:p>
    <w:p>
      <w:pPr>
        <w:pStyle w:val="BodyText"/>
        <w:spacing w:line="240" w:lineRule="auto" w:before="103"/>
        <w:ind w:right="0"/>
        <w:jc w:val="left"/>
      </w:pPr>
      <w:r>
        <w:rPr>
          <w:rFonts w:ascii="宋体" w:hAnsi="宋体" w:cs="宋体" w:eastAsia="宋体" w:hint="default"/>
        </w:rPr>
        <w:t>5. </w:t>
      </w:r>
      <w:r>
        <w:rPr>
          <w:rFonts w:ascii="宋体" w:hAnsi="宋体" w:cs="宋体" w:eastAsia="宋体" w:hint="default"/>
          <w:spacing w:val="1"/>
        </w:rPr>
        <w:t> </w:t>
      </w:r>
      <w:r>
        <w:rPr/>
        <w:t>筹资活动现金流出小计减少</w:t>
      </w:r>
      <w:r>
        <w:rPr>
          <w:rFonts w:ascii="Times New Roman" w:hAnsi="Times New Roman" w:cs="Times New Roman" w:eastAsia="Times New Roman" w:hint="default"/>
        </w:rPr>
        <w:t>55.7716%</w:t>
      </w:r>
      <w:r>
        <w:rPr/>
        <w:t>，主要是去年同期偿还贷款所致。</w:t>
      </w:r>
    </w:p>
    <w:p>
      <w:pPr>
        <w:pStyle w:val="BodyText"/>
        <w:spacing w:line="240" w:lineRule="auto" w:before="101"/>
        <w:ind w:right="0"/>
        <w:jc w:val="left"/>
      </w:pPr>
      <w:r>
        <w:rPr>
          <w:rFonts w:ascii="宋体" w:hAnsi="宋体" w:cs="宋体" w:eastAsia="宋体" w:hint="default"/>
        </w:rPr>
        <w:t>6.</w:t>
      </w:r>
      <w:r>
        <w:rPr>
          <w:rFonts w:ascii="宋体" w:hAnsi="宋体" w:cs="宋体" w:eastAsia="宋体" w:hint="default"/>
          <w:spacing w:val="87"/>
        </w:rPr>
        <w:t> </w:t>
      </w:r>
      <w:r>
        <w:rPr/>
        <w:t>筹资活动产生的现金流量净额增加</w:t>
      </w:r>
      <w:r>
        <w:rPr>
          <w:rFonts w:ascii="Times New Roman" w:hAnsi="Times New Roman" w:cs="Times New Roman" w:eastAsia="Times New Roman" w:hint="default"/>
        </w:rPr>
        <w:t>46.9326%</w:t>
      </w:r>
      <w:r>
        <w:rPr/>
        <w:t>，主要是去年同期偿还贷款，使筹资活动产生的现金流量净额减少所致。</w:t>
      </w:r>
    </w:p>
    <w:p>
      <w:pPr>
        <w:pStyle w:val="BodyText"/>
        <w:spacing w:line="340" w:lineRule="auto" w:before="103"/>
        <w:ind w:right="4352"/>
        <w:jc w:val="left"/>
      </w:pPr>
      <w:r>
        <w:rPr>
          <w:rFonts w:ascii="宋体" w:hAnsi="宋体" w:cs="宋体" w:eastAsia="宋体" w:hint="default"/>
        </w:rPr>
        <w:t>7.</w:t>
      </w:r>
      <w:r>
        <w:rPr>
          <w:rFonts w:ascii="宋体" w:hAnsi="宋体" w:cs="宋体" w:eastAsia="宋体" w:hint="default"/>
          <w:spacing w:val="87"/>
        </w:rPr>
        <w:t> </w:t>
      </w:r>
      <w:r>
        <w:rPr/>
        <w:t>现金及现金等价物净增加额减少</w:t>
      </w:r>
      <w:r>
        <w:rPr>
          <w:rFonts w:ascii="Times New Roman" w:hAnsi="Times New Roman" w:cs="Times New Roman" w:eastAsia="Times New Roman" w:hint="default"/>
        </w:rPr>
        <w:t>167.4750%</w:t>
      </w:r>
      <w:r>
        <w:rPr/>
        <w:t>，主要是本年购买理财产品所致。 报告期内公司经营活动的现金流量与本年度净利润存在重大差异的原因说明</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票证印刷业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810,199,394.04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497,169,653.52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38.6361%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3.54%</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票据产品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632,802,957.41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367,624,975.96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41.9053%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彩印产品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46,216,373.13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31,978,184.48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30.8077%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标签产品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50,048,028.44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33,135,494.26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数据产品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62,343,683.35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39,651,095.81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36.3992%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卡类产品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18,788,351.71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24,779,903.01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24.67%</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588,447,819.89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361,094,319.35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38.6361%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221,751,574.15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136,075,334.17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38.6361%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3.54%</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四、资产、负债状况分析</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pict>
          <v:shape style="position:absolute;margin-left:405.190002pt;margin-top:37.671738pt;width:133.5pt;height:19.6pt;mso-position-horizontal-relative:page;mso-position-vertical-relative:paragraph;z-index:-754768" type="#_x0000_t202" filled="false" stroked="false">
            <v:textbox inset="0,0,0,0">
              <w:txbxContent>
                <w:p>
                  <w:pPr>
                    <w:pStyle w:val="BodyText"/>
                    <w:spacing w:line="240" w:lineRule="auto" w:before="49"/>
                    <w:ind w:left="0" w:right="0"/>
                    <w:jc w:val="left"/>
                  </w:pPr>
                  <w:r>
                    <w:rPr/>
                    <w:t>）</w:t>
                  </w:r>
                </w:p>
              </w:txbxContent>
            </v:textbox>
            <w10:wrap type="none"/>
          </v:shape>
        </w:pict>
      </w: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271"/>
        <w:gridCol w:w="1064"/>
        <w:gridCol w:w="1195"/>
        <w:gridCol w:w="1064"/>
        <w:gridCol w:w="1138"/>
        <w:gridCol w:w="406"/>
        <w:gridCol w:w="2175"/>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335"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13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581" w:type="dxa"/>
            <w:gridSpan w:val="2"/>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271"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23"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比重增减（</w:t>
            </w:r>
            <w:r>
              <w:rPr>
                <w:rFonts w:ascii="Times New Roman" w:hAnsi="Times New Roman" w:cs="Times New Roman" w:eastAsia="Times New Roman" w:hint="default"/>
                <w:spacing w:val="-10"/>
                <w:sz w:val="18"/>
                <w:szCs w:val="18"/>
              </w:rPr>
              <w:t>%</w:t>
            </w:r>
          </w:p>
        </w:tc>
        <w:tc>
          <w:tcPr>
            <w:tcW w:w="406" w:type="dxa"/>
            <w:vMerge w:val="restart"/>
            <w:tcBorders>
              <w:top w:val="single" w:sz="14" w:space="0" w:color="FFFFFF"/>
              <w:left w:val="single" w:sz="4" w:space="0" w:color="000000"/>
              <w:right w:val="nil" w:sz="6" w:space="0" w:color="auto"/>
            </w:tcBorders>
            <w:shd w:val="clear" w:color="auto" w:fill="D2D2D2"/>
          </w:tcPr>
          <w:p>
            <w:pPr/>
          </w:p>
        </w:tc>
        <w:tc>
          <w:tcPr>
            <w:tcW w:w="2175" w:type="dxa"/>
            <w:vMerge w:val="restart"/>
            <w:tcBorders>
              <w:top w:val="single" w:sz="14" w:space="0" w:color="FFFFFF"/>
              <w:left w:val="nil" w:sz="6" w:space="0" w:color="auto"/>
              <w:right w:val="single" w:sz="4" w:space="0" w:color="000000"/>
            </w:tcBorders>
            <w:shd w:val="clear" w:color="auto" w:fill="D2D2D2"/>
          </w:tcPr>
          <w:p>
            <w:pPr>
              <w:pStyle w:val="TableParagraph"/>
              <w:spacing w:line="240" w:lineRule="auto" w:before="13"/>
              <w:ind w:left="34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2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bottom w:val="nil" w:sz="6" w:space="0" w:color="auto"/>
              <w:right w:val="single" w:sz="4" w:space="0" w:color="000000"/>
            </w:tcBorders>
            <w:shd w:val="clear" w:color="auto" w:fill="D2D2D2"/>
          </w:tcPr>
          <w:p>
            <w:pPr/>
          </w:p>
        </w:tc>
        <w:tc>
          <w:tcPr>
            <w:tcW w:w="406" w:type="dxa"/>
            <w:vMerge/>
            <w:tcBorders>
              <w:left w:val="single" w:sz="4" w:space="0" w:color="000000"/>
              <w:bottom w:val="nil" w:sz="6" w:space="0" w:color="auto"/>
              <w:right w:val="nil" w:sz="6" w:space="0" w:color="auto"/>
            </w:tcBorders>
            <w:shd w:val="clear" w:color="auto" w:fill="D2D2D2"/>
          </w:tcPr>
          <w:p>
            <w:pPr/>
          </w:p>
        </w:tc>
        <w:tc>
          <w:tcPr>
            <w:tcW w:w="2175" w:type="dxa"/>
            <w:vMerge/>
            <w:tcBorders>
              <w:left w:val="nil" w:sz="6" w:space="0" w:color="auto"/>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271"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38" w:type="dxa"/>
            <w:vMerge w:val="restart"/>
            <w:tcBorders>
              <w:top w:val="nil" w:sz="6" w:space="0" w:color="auto"/>
              <w:left w:val="single" w:sz="4" w:space="0" w:color="000000"/>
              <w:right w:val="single" w:sz="4" w:space="0" w:color="000000"/>
            </w:tcBorders>
            <w:shd w:val="clear" w:color="auto" w:fill="D2D2D2"/>
          </w:tcPr>
          <w:p>
            <w:pPr/>
          </w:p>
        </w:tc>
        <w:tc>
          <w:tcPr>
            <w:tcW w:w="2581" w:type="dxa"/>
            <w:gridSpan w:val="2"/>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2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shd w:val="clear" w:color="auto" w:fill="D2D2D2"/>
          </w:tcPr>
          <w:p>
            <w:pPr/>
          </w:p>
        </w:tc>
        <w:tc>
          <w:tcPr>
            <w:tcW w:w="2581"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249,046,494.36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366,072,642.31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27.1141%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-9.9821%</w:t>
            </w:r>
          </w:p>
        </w:tc>
        <w:tc>
          <w:tcPr>
            <w:tcW w:w="2581"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106,809,486.36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102,999,782.68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7.6289%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-0.2814%</w:t>
            </w:r>
          </w:p>
        </w:tc>
        <w:tc>
          <w:tcPr>
            <w:tcW w:w="2581"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101,162,883.38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89,116,638.51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0.3584%</w:t>
            </w:r>
          </w:p>
        </w:tc>
        <w:tc>
          <w:tcPr>
            <w:tcW w:w="2581"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12,641,235.66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0.8696%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13,343,393.34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0.9883%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-0.1187%</w:t>
            </w:r>
          </w:p>
        </w:tc>
        <w:tc>
          <w:tcPr>
            <w:tcW w:w="2581"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678,927,929.23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46.7038%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676,763,621.49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50.1262%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-3.4224%</w:t>
            </w:r>
          </w:p>
        </w:tc>
        <w:tc>
          <w:tcPr>
            <w:tcW w:w="2581"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506,475.01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0.0348%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17,128,603.68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-1.2339%</w:t>
            </w:r>
          </w:p>
        </w:tc>
        <w:tc>
          <w:tcPr>
            <w:tcW w:w="2581" w:type="dxa"/>
            <w:gridSpan w:val="2"/>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五、核心竞争力分析</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034" w:firstLine="360"/>
        <w:jc w:val="left"/>
      </w:pPr>
      <w:r>
        <w:rPr/>
        <w:t>经过多年的发展，公司已在全国重点城市建立了</w:t>
      </w:r>
      <w:r>
        <w:rPr>
          <w:spacing w:val="-45"/>
        </w:rPr>
        <w:t> </w:t>
      </w:r>
      <w:r>
        <w:rPr>
          <w:rFonts w:ascii="宋体" w:hAnsi="宋体" w:cs="宋体" w:eastAsia="宋体" w:hint="default"/>
        </w:rPr>
        <w:t>30</w:t>
      </w:r>
      <w:r>
        <w:rPr>
          <w:rFonts w:ascii="宋体" w:hAnsi="宋体" w:cs="宋体" w:eastAsia="宋体" w:hint="default"/>
          <w:spacing w:val="-45"/>
        </w:rPr>
        <w:t> </w:t>
      </w:r>
      <w:r>
        <w:rPr/>
        <w:t>个销售网点和</w:t>
      </w:r>
      <w:r>
        <w:rPr>
          <w:spacing w:val="-46"/>
        </w:rPr>
        <w:t> </w:t>
      </w:r>
      <w:r>
        <w:rPr>
          <w:rFonts w:ascii="宋体" w:hAnsi="宋体" w:cs="宋体" w:eastAsia="宋体" w:hint="default"/>
        </w:rPr>
        <w:t>9</w:t>
      </w:r>
      <w:r>
        <w:rPr>
          <w:rFonts w:ascii="宋体" w:hAnsi="宋体" w:cs="宋体" w:eastAsia="宋体" w:hint="default"/>
          <w:spacing w:val="-45"/>
        </w:rPr>
        <w:t> </w:t>
      </w:r>
      <w:r>
        <w:rPr/>
        <w:t>家控股子公司，建成了覆盖全国的销售和生产服务 </w:t>
      </w:r>
      <w:r>
        <w:rPr>
          <w:spacing w:val="-2"/>
        </w:rPr>
        <w:t>网络。完善的销售和生产服务网络确保公司参与全国各个区域市场的竞争，已经成为本公司独特的竞争优势，使得本公司具</w:t>
      </w:r>
      <w:r>
        <w:rPr>
          <w:spacing w:val="-64"/>
        </w:rPr>
        <w:t> </w:t>
      </w:r>
      <w:r>
        <w:rPr>
          <w:spacing w:val="-64"/>
        </w:rPr>
      </w:r>
      <w:r>
        <w:rPr>
          <w:spacing w:val="-5"/>
        </w:rPr>
        <w:t>有很强的市场开拓能力。本公司已经和业内众多金融、保险、财税客户建立了稳定的合作关系，积累了大量的优质客户资源，</w:t>
      </w:r>
      <w:r>
        <w:rPr>
          <w:spacing w:val="-78"/>
        </w:rPr>
        <w:t> </w:t>
      </w:r>
      <w:r>
        <w:rPr>
          <w:spacing w:val="-78"/>
        </w:rPr>
      </w:r>
      <w:r>
        <w:rPr>
          <w:spacing w:val="-2"/>
        </w:rPr>
        <w:t>公司不仅能从客户对商业票据需求的增长中充分分享行业的增长，而且能够依托现有客户群不断提升的个性化需求，进行多</w:t>
      </w:r>
      <w:r>
        <w:rPr>
          <w:spacing w:val="-64"/>
        </w:rPr>
        <w:t> </w:t>
      </w:r>
      <w:r>
        <w:rPr>
          <w:spacing w:val="-64"/>
        </w:rPr>
      </w:r>
      <w:r>
        <w:rPr>
          <w:spacing w:val="-2"/>
        </w:rPr>
        <w:t>种产品和服务叠加，增加产品和服务的附加价值，深化与客户的合作，不断形成新的业务增长点。公司已经建立了以客户需</w:t>
      </w:r>
      <w:r>
        <w:rPr>
          <w:spacing w:val="-65"/>
        </w:rPr>
        <w:t> </w:t>
      </w:r>
      <w:r>
        <w:rPr>
          <w:spacing w:val="-65"/>
        </w:rPr>
      </w:r>
      <w:r>
        <w:rPr/>
        <w:t>求为导向的研发和创新体系，具有较强的自主研发和技术创新能力。通过专业能力（</w:t>
      </w:r>
      <w:r>
        <w:rPr>
          <w:rFonts w:ascii="宋体" w:hAnsi="宋体" w:cs="宋体" w:eastAsia="宋体" w:hint="default"/>
        </w:rPr>
        <w:t>IT</w:t>
      </w:r>
      <w:r>
        <w:rPr>
          <w:rFonts w:ascii="宋体" w:hAnsi="宋体" w:cs="宋体" w:eastAsia="宋体" w:hint="default"/>
          <w:spacing w:val="-61"/>
        </w:rPr>
        <w:t> </w:t>
      </w:r>
      <w:r>
        <w:rPr>
          <w:spacing w:val="-5"/>
        </w:rPr>
        <w:t>技术、安全、质量）及服务（时效、</w:t>
      </w:r>
      <w:r>
        <w:rPr/>
        <w:t> 完整解决方案、客户满意）的综合创新形成了持续的产品和服务创新能力，能够根据客户需求的变化，开发适合客户保密、</w:t>
      </w:r>
      <w:r>
        <w:rPr>
          <w:spacing w:val="-86"/>
        </w:rPr>
        <w:t> </w:t>
      </w:r>
      <w:r>
        <w:rPr>
          <w:spacing w:val="-86"/>
        </w:rPr>
      </w:r>
      <w:r>
        <w:rPr>
          <w:spacing w:val="-2"/>
        </w:rPr>
        <w:t>安全、防伪和个性化需求的产品和服务。公司的主要产品在市场上享有较高的声誉，公司在市场上树立了“东港”的品牌效</w:t>
      </w:r>
      <w:r>
        <w:rPr>
          <w:spacing w:val="-66"/>
        </w:rPr>
        <w:t> </w:t>
      </w:r>
      <w:r>
        <w:rPr>
          <w:spacing w:val="-66"/>
        </w:rPr>
      </w:r>
      <w:r>
        <w:rPr>
          <w:spacing w:val="-5"/>
        </w:rPr>
        <w:t>应，为多家全国性商业银行、保险公司和政府部门提供包括票证、卡类产品、彩色印刷产品、标签产品和数据处理打印服务，</w:t>
      </w:r>
    </w:p>
    <w:p>
      <w:pPr>
        <w:spacing w:after="0" w:line="477"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r>
        <w:rPr/>
        <w:pict>
          <v:group style="position:absolute;margin-left:460.320007pt;margin-top:764.919983pt;width:135pt;height:77pt;mso-position-horizontal-relative:page;mso-position-vertical-relative:page;z-index:-754720" coordorigin="9206,15298" coordsize="2700,1540">
            <v:shape style="position:absolute;left:9206;top:15298;width:2700;height:1540" type="#_x0000_t75" stroked="false">
              <v:imagedata r:id="rId16"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w:t>
                    </w:r>
                  </w:p>
                </w:txbxContent>
              </v:textbox>
              <w10:wrap type="none"/>
            </v:shape>
            <w10:wrap type="none"/>
          </v:group>
        </w:pict>
      </w:r>
    </w:p>
    <w:p>
      <w:pPr>
        <w:spacing w:line="240" w:lineRule="auto" w:before="2"/>
        <w:rPr>
          <w:rFonts w:ascii="宋体" w:hAnsi="宋体" w:cs="宋体" w:eastAsia="宋体" w:hint="default"/>
          <w:sz w:val="15"/>
          <w:szCs w:val="15"/>
        </w:rPr>
      </w:pPr>
    </w:p>
    <w:p>
      <w:pPr>
        <w:pStyle w:val="BodyText"/>
        <w:spacing w:line="240" w:lineRule="auto"/>
        <w:ind w:right="0"/>
        <w:jc w:val="left"/>
      </w:pPr>
      <w:r>
        <w:rPr/>
        <w:t>“东港”商标也被评为“山东省著名商标”。</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r>
        <w:rPr/>
        <w:t>六、投资状况分析</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、委托理财、衍生品投资和委托贷款情况</w:t>
      </w:r>
      <w:r>
        <w:rPr>
          <w:b w:val="0"/>
          <w:bCs w:val="0"/>
        </w:rPr>
      </w:r>
    </w:p>
    <w:p>
      <w:pPr>
        <w:spacing w:line="240" w:lineRule="auto" w:before="8"/>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2"/>
        <w:gridCol w:w="799"/>
        <w:gridCol w:w="794"/>
        <w:gridCol w:w="807"/>
        <w:gridCol w:w="799"/>
        <w:gridCol w:w="797"/>
        <w:gridCol w:w="800"/>
        <w:gridCol w:w="797"/>
        <w:gridCol w:w="799"/>
        <w:gridCol w:w="797"/>
        <w:gridCol w:w="799"/>
        <w:gridCol w:w="792"/>
      </w:tblGrid>
      <w:tr>
        <w:trPr>
          <w:trHeight w:val="715"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2" w:right="29" w:hanging="272"/>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3" w:right="3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29"/>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 w:right="38"/>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5"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 w:right="29"/>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5" w:right="33"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6" w:right="29"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1"/>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 w:right="29"/>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5"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1025"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41"/>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齐鲁银行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41"/>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齐鲁银行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41"/>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19,000</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80"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380"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委托理财情况说明</w:t>
            </w:r>
          </w:p>
        </w:tc>
        <w:tc>
          <w:tcPr>
            <w:tcW w:w="6380"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说明</w:t>
      </w:r>
    </w:p>
    <w:p>
      <w:pPr>
        <w:spacing w:line="240" w:lineRule="auto" w:before="8"/>
        <w:rPr>
          <w:rFonts w:ascii="宋体" w:hAnsi="宋体" w:cs="宋体" w:eastAsia="宋体" w:hint="default"/>
          <w:sz w:val="11"/>
          <w:szCs w:val="11"/>
        </w:rPr>
      </w:pPr>
    </w:p>
    <w:p>
      <w:pPr>
        <w:pStyle w:val="BodyText"/>
        <w:spacing w:line="240" w:lineRule="auto" w:before="44"/>
        <w:ind w:left="513" w:right="0"/>
        <w:jc w:val="left"/>
      </w:pPr>
      <w:r>
        <w:rPr/>
        <w:t>本公司购买理财的资金均为公司自有资金，不涉及募集资金，也不向银行贷款。</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2</w:t>
      </w:r>
      <w:r>
        <w:rPr/>
        <w:t>、募集资金使用情况</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单位：万元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77"/>
        <w:gridCol w:w="5481"/>
      </w:tblGrid>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34,510.86</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3,722.5</w:t>
            </w:r>
          </w:p>
        </w:tc>
      </w:tr>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27,667.67</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after="0" w:line="240" w:lineRule="auto"/>
        <w:jc w:val="center"/>
        <w:rPr>
          <w:rFonts w:ascii="宋体" w:hAnsi="宋体" w:cs="宋体" w:eastAsia="宋体" w:hint="default"/>
          <w:sz w:val="18"/>
          <w:szCs w:val="18"/>
        </w:rPr>
        <w:sectPr>
          <w:headerReference w:type="default" r:id="rId24"/>
          <w:footerReference w:type="default" r:id="rId25"/>
          <w:pgSz w:w="11910" w:h="16840"/>
          <w:pgMar w:header="877" w:footer="0" w:top="1060" w:bottom="0" w:left="980" w:right="0"/>
        </w:sectPr>
      </w:pPr>
    </w:p>
    <w:p>
      <w:pPr>
        <w:spacing w:line="240" w:lineRule="auto" w:before="11"/>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754648" coordorigin="9206,15298" coordsize="2700,1540">
            <v:shape style="position:absolute;left:9206;top:15298;width:2700;height:1540" type="#_x0000_t75" stroked="false">
              <v:imagedata r:id="rId16"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17</w:t>
                    </w:r>
                  </w:p>
                </w:txbxContent>
              </v:textbox>
              <w10:wrap type="none"/>
            </v:shape>
            <w10:wrap type="none"/>
          </v:group>
        </w:pict>
      </w:r>
    </w:p>
    <w:p>
      <w:pPr>
        <w:spacing w:line="403" w:lineRule="exact"/>
        <w:ind w:left="152"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55pt;height:20.2pt;mso-position-horizontal-relative:char;mso-position-vertical-relative:line" type="#_x0000_t202" filled="false" stroked="true" strokeweight=".48pt" strokecolor="#000000">
            <w10:anchorlock/>
            <v:textbox inset="0,0,0,0">
              <w:txbxContent>
                <w:p>
                  <w:pPr>
                    <w:pStyle w:val="BodyText"/>
                    <w:spacing w:line="240" w:lineRule="auto" w:before="49"/>
                    <w:ind w:left="23" w:right="0"/>
                    <w:jc w:val="left"/>
                  </w:pPr>
                  <w:r>
                    <w:rPr/>
                    <w:t>截止本报告期末，公司已累计使用募集资金</w:t>
                  </w:r>
                  <w:r>
                    <w:rPr>
                      <w:spacing w:val="-43"/>
                    </w:rPr>
                    <w:t> </w:t>
                  </w:r>
                  <w:r>
                    <w:rPr>
                      <w:rFonts w:ascii="Times New Roman" w:hAnsi="Times New Roman" w:cs="Times New Roman" w:eastAsia="Times New Roman" w:hint="default"/>
                    </w:rPr>
                    <w:t>80.17%</w:t>
                  </w:r>
                  <w:r>
                    <w:rPr/>
                    <w:t>。</w:t>
                  </w:r>
                </w:p>
              </w:txbxContent>
            </v:textbox>
          </v:shape>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4"/>
        <w:gridCol w:w="784"/>
        <w:gridCol w:w="780"/>
        <w:gridCol w:w="780"/>
        <w:gridCol w:w="784"/>
        <w:gridCol w:w="776"/>
        <w:gridCol w:w="776"/>
        <w:gridCol w:w="789"/>
        <w:gridCol w:w="776"/>
        <w:gridCol w:w="780"/>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18"/>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47" w:right="0"/>
              <w:jc w:val="left"/>
              <w:rPr>
                <w:rFonts w:ascii="Times New Roman" w:hAnsi="Times New Roman" w:cs="Times New Roman" w:eastAsia="Times New Roman" w:hint="default"/>
                <w:sz w:val="18"/>
                <w:szCs w:val="18"/>
              </w:rPr>
            </w:pPr>
            <w:r>
              <w:rPr>
                <w:rFonts w:ascii="Times New Roman"/>
                <w:sz w:val="18"/>
              </w:rPr>
              <w:t>(2)/(1)</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1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 w:right="26"/>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、个性化彩色印刷项 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573.76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13,862.06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87.76%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809.91</w:t>
            </w:r>
          </w:p>
        </w:tc>
        <w:tc>
          <w:tcPr>
            <w:tcW w:w="77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、智能卡制造和个性 化处理项目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13,272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13,272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1,955.18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10,555.89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79.54%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-905.42</w:t>
            </w:r>
          </w:p>
        </w:tc>
        <w:tc>
          <w:tcPr>
            <w:tcW w:w="77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、综合金融服务外包 业务项目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1,193.56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3,249.72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59.99%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293.72</w:t>
            </w:r>
          </w:p>
        </w:tc>
        <w:tc>
          <w:tcPr>
            <w:tcW w:w="77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18"/>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34,485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34,485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3,722.5</w:t>
            </w:r>
          </w:p>
        </w:tc>
        <w:tc>
          <w:tcPr>
            <w:tcW w:w="78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27,667.67</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w:t>
            </w:r>
          </w:p>
        </w:tc>
        <w:tc>
          <w:tcPr>
            <w:tcW w:w="789"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198.21</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4"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318"/>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6" w:right="0"/>
              <w:jc w:val="center"/>
              <w:rPr>
                <w:rFonts w:ascii="Times New Roman" w:hAnsi="Times New Roman" w:cs="Times New Roman" w:eastAsia="Times New Roman" w:hint="default"/>
                <w:sz w:val="18"/>
                <w:szCs w:val="18"/>
              </w:rPr>
            </w:pPr>
            <w:r>
              <w:rPr>
                <w:rFonts w:ascii="Times New Roman"/>
                <w:sz w:val="18"/>
              </w:rPr>
              <w:t>--</w:t>
            </w:r>
          </w:p>
        </w:tc>
        <w:tc>
          <w:tcPr>
            <w:tcW w:w="789"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8"/>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34,485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34,485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3,722.5</w:t>
            </w:r>
          </w:p>
        </w:tc>
        <w:tc>
          <w:tcPr>
            <w:tcW w:w="78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27,667.67</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789"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198.21</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4"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6"/>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307"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16" w:lineRule="auto" w:before="49"/>
              <w:ind w:left="16" w:right="23"/>
              <w:jc w:val="left"/>
              <w:rPr>
                <w:rFonts w:ascii="宋体" w:hAnsi="宋体" w:cs="宋体" w:eastAsia="宋体" w:hint="default"/>
                <w:sz w:val="18"/>
                <w:szCs w:val="18"/>
              </w:rPr>
            </w:pPr>
            <w:r>
              <w:rPr>
                <w:rFonts w:ascii="宋体" w:hAnsi="宋体" w:cs="宋体" w:eastAsia="宋体" w:hint="default"/>
                <w:sz w:val="18"/>
                <w:szCs w:val="18"/>
              </w:rPr>
              <w:t>为满足业务进一步发展的需求，经公司第三届董事会第十四次会议和第三届董事会第二十六次会议 审议，同意将金融服务项目的实施地点变更为在济南、北京、上海、广州四地实施。</w:t>
            </w:r>
          </w:p>
        </w:tc>
      </w:tr>
      <w:tr>
        <w:trPr>
          <w:trHeight w:val="406"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06"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4"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vMerge/>
            <w:tcBorders>
              <w:left w:val="single" w:sz="10" w:space="0" w:color="D2D2D2"/>
              <w:bottom w:val="single" w:sz="4" w:space="0" w:color="000000"/>
              <w:right w:val="single" w:sz="4" w:space="0" w:color="000000"/>
            </w:tcBorders>
          </w:tcPr>
          <w:p>
            <w:pPr/>
          </w:p>
        </w:tc>
      </w:tr>
      <w:tr>
        <w:trPr>
          <w:trHeight w:val="509"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0" w:lineRule="auto" w:before="49"/>
              <w:ind w:left="16" w:right="20"/>
              <w:jc w:val="left"/>
              <w:rPr>
                <w:rFonts w:ascii="宋体" w:hAnsi="宋体" w:cs="宋体" w:eastAsia="宋体" w:hint="default"/>
                <w:sz w:val="18"/>
                <w:szCs w:val="18"/>
              </w:rPr>
            </w:pPr>
            <w:r>
              <w:rPr>
                <w:rFonts w:ascii="宋体" w:hAnsi="宋体" w:cs="宋体" w:eastAsia="宋体" w:hint="default"/>
                <w:spacing w:val="-4"/>
                <w:sz w:val="18"/>
                <w:szCs w:val="18"/>
              </w:rPr>
              <w:t>根据三届董事会第十一次会议决议，公司以募集资金</w:t>
            </w:r>
            <w:r>
              <w:rPr>
                <w:rFonts w:ascii="宋体" w:hAnsi="宋体" w:cs="宋体" w:eastAsia="宋体" w:hint="default"/>
                <w:spacing w:val="-35"/>
                <w:sz w:val="18"/>
                <w:szCs w:val="18"/>
              </w:rPr>
              <w:t> </w:t>
            </w:r>
            <w:r>
              <w:rPr>
                <w:rFonts w:ascii="Times New Roman" w:hAnsi="Times New Roman" w:cs="Times New Roman" w:eastAsia="Times New Roman" w:hint="default"/>
                <w:spacing w:val="-1"/>
                <w:sz w:val="18"/>
                <w:szCs w:val="18"/>
              </w:rPr>
              <w:t>12,744.71</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万元置换预先已投入募集资金项目的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自筹资金。</w:t>
            </w:r>
          </w:p>
        </w:tc>
      </w:tr>
      <w:tr>
        <w:trPr>
          <w:trHeight w:val="206"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spacing w:after="0"/>
        <w:sectPr>
          <w:headerReference w:type="default" r:id="rId26"/>
          <w:footerReference w:type="default" r:id="rId27"/>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4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pacing w:val="-3"/>
                <w:sz w:val="18"/>
                <w:szCs w:val="18"/>
              </w:rPr>
              <w:t>①经公司第三届董事会第十三次会议审议，并经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年第三次临时股东大会批准，同意使用闲置募</w:t>
            </w:r>
          </w:p>
          <w:p>
            <w:pPr>
              <w:pStyle w:val="TableParagraph"/>
              <w:spacing w:line="240" w:lineRule="auto" w:before="60"/>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集资金暂时补充流动资金，总额不超过人民币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日起到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pacing w:val="-3"/>
                <w:sz w:val="18"/>
                <w:szCs w:val="18"/>
              </w:rPr>
              <w:t>日止，到期归还到募集资金专用账户。此次暂时补充流动资金的募集资</w:t>
            </w:r>
          </w:p>
          <w:p>
            <w:pPr>
              <w:pStyle w:val="TableParagraph"/>
              <w:spacing w:line="309" w:lineRule="auto" w:before="63"/>
              <w:ind w:left="24" w:right="17"/>
              <w:jc w:val="both"/>
              <w:rPr>
                <w:rFonts w:ascii="宋体" w:hAnsi="宋体" w:cs="宋体" w:eastAsia="宋体" w:hint="default"/>
                <w:sz w:val="18"/>
                <w:szCs w:val="18"/>
              </w:rPr>
            </w:pPr>
            <w:r>
              <w:rPr>
                <w:rFonts w:ascii="宋体" w:hAnsi="宋体" w:cs="宋体" w:eastAsia="宋体" w:hint="default"/>
                <w:sz w:val="18"/>
                <w:szCs w:val="18"/>
              </w:rPr>
              <w:t>金已于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日归还募集资金账户。②经公司第三届董事会第十七次会议审议，并经</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年度股东大会批准，同意在归还前次暂时补充流动资金的募集资金后，继续使用闲置募集资金暂时 补充流动资金，总额不超过人民币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万元，使用期限不超过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个月，从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日起到</w:t>
            </w:r>
          </w:p>
          <w:p>
            <w:pPr>
              <w:pStyle w:val="TableParagraph"/>
              <w:spacing w:line="240" w:lineRule="auto" w:before="5"/>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日止，到期归还到募集资金专用账户。此次暂时补充流动资金的募集资金已于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2011</w:t>
            </w:r>
          </w:p>
          <w:p>
            <w:pPr>
              <w:pStyle w:val="TableParagraph"/>
              <w:spacing w:line="309" w:lineRule="auto" w:before="63"/>
              <w:ind w:left="24" w:right="17"/>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日归还募集资金账户。③经公司第三届董事会第二十二次会议审议，并经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临时股东大会批准，同意在归还前次暂时补充流动资金的募集资金后，继续使用闲置募集资金暂时 补充流动资金，总额不超过人民币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万元，使用期限不超过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个月，从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日起到</w:t>
            </w:r>
          </w:p>
          <w:p>
            <w:pPr>
              <w:pStyle w:val="TableParagraph"/>
              <w:spacing w:line="240" w:lineRule="auto" w:before="5"/>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日止，到期归还到募集资金专用账户。此次暂时补充流动资金的募集资金已于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p>
          <w:p>
            <w:pPr>
              <w:pStyle w:val="TableParagraph"/>
              <w:spacing w:line="309" w:lineRule="auto" w:before="63"/>
              <w:ind w:left="24"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日归还募集资金账户。④经公司第三届董事会第二十四次会议审议，并经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 大会批准，同意在归还前次暂时补充流动资金的募集资金后，继续使用闲置募集资金暂时补充流动 </w:t>
            </w:r>
            <w:r>
              <w:rPr>
                <w:rFonts w:ascii="宋体" w:hAnsi="宋体" w:cs="宋体" w:eastAsia="宋体" w:hint="default"/>
                <w:spacing w:val="-3"/>
                <w:sz w:val="18"/>
                <w:szCs w:val="18"/>
              </w:rPr>
              <w:t>资金，总额不超过人民币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8"/>
                <w:sz w:val="18"/>
                <w:szCs w:val="18"/>
              </w:rPr>
              <w:t>个月，从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日起到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日止，到期归还到募集资金专用账户。此次暂时补充流动资金的募集资金已于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309" w:lineRule="auto" w:before="63"/>
              <w:ind w:left="24" w:right="23"/>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日归还募集资金账户。⑤经公司第三届董事会第二十六次会议审议，并经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 东大会批准，同意在归还前次暂时补充流动资金的募集资金后，继续使用闲置募集资金暂时补充流 动资金，总额不超过人民币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万元，使用期限不超过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日起到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p>
            <w:pPr>
              <w:pStyle w:val="TableParagraph"/>
              <w:spacing w:line="240" w:lineRule="auto" w:before="5"/>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日止，到期归还到募集资金专用账户。此次暂时补充流动资金的募集资金已于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w:t>
            </w:r>
          </w:p>
          <w:p>
            <w:pPr>
              <w:pStyle w:val="TableParagraph"/>
              <w:spacing w:line="300" w:lineRule="auto" w:before="63"/>
              <w:ind w:left="24" w:right="21"/>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日归还募集资金账户。上述使用闲置募集资金暂时补充流动资金未影响募集资金投资项目的正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常进行。</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公司尚未使用的募集资金全部存放于募集资金专用账户。截止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日，募集资金专用账</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户余额为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7,060.56 </w:t>
            </w:r>
            <w:r>
              <w:rPr>
                <w:rFonts w:ascii="宋体" w:hAnsi="宋体" w:cs="宋体" w:eastAsia="宋体" w:hint="default"/>
                <w:sz w:val="18"/>
                <w:szCs w:val="18"/>
              </w:rPr>
              <w:t>万元。</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公司无募集资金使用及披露中存在的问题或其他情况。</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rFonts w:ascii="Times New Roman" w:hAnsi="Times New Roman" w:cs="Times New Roman" w:eastAsia="Times New Roman" w:hint="default"/>
        </w:rPr>
        <w:t>3</w:t>
      </w:r>
      <w:r>
        <w:rPr/>
        <w:t>、主要子公司、参股公司分析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pict>
          <v:shape style="position:absolute;margin-left:323.446991pt;margin-top:17.717718pt;width:68.7pt;height:22.05pt;mso-position-horizontal-relative:page;mso-position-vertical-relative:paragraph;z-index:-754624" type="#_x0000_t202" filled="false" stroked="false">
            <v:textbox inset="0,0,0,0">
              <w:txbxContent>
                <w:p>
                  <w:pPr>
                    <w:spacing w:line="240" w:lineRule="auto" w:before="9"/>
                    <w:rPr>
                      <w:rFonts w:ascii="宋体" w:hAnsi="宋体" w:cs="宋体" w:eastAsia="宋体" w:hint="default"/>
                      <w:sz w:val="15"/>
                      <w:szCs w:val="15"/>
                    </w:rPr>
                  </w:pPr>
                </w:p>
                <w:p>
                  <w:pPr>
                    <w:pStyle w:val="BodyText"/>
                    <w:spacing w:line="240" w:lineRule="auto"/>
                    <w:ind w:left="0" w:right="0"/>
                    <w:jc w:val="left"/>
                  </w:pPr>
                  <w:r>
                    <w:rPr/>
                    <w:t>（元）</w:t>
                  </w:r>
                </w:p>
              </w:txbxContent>
            </v:textbox>
            <w10:wrap type="none"/>
          </v:shape>
        </w:pict>
      </w:r>
      <w:r>
        <w:rPr/>
        <w:t>主要子公司、参股公司情况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65"/>
        <w:gridCol w:w="924"/>
        <w:gridCol w:w="943"/>
        <w:gridCol w:w="809"/>
        <w:gridCol w:w="1075"/>
      </w:tblGrid>
      <w:tr>
        <w:trPr>
          <w:trHeight w:val="713"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3" w:hanging="89"/>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39"/>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02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0"/>
              <w:jc w:val="both"/>
              <w:rPr>
                <w:rFonts w:ascii="宋体" w:hAnsi="宋体" w:cs="宋体" w:eastAsia="宋体" w:hint="default"/>
                <w:sz w:val="18"/>
                <w:szCs w:val="18"/>
              </w:rPr>
            </w:pPr>
            <w:r>
              <w:rPr>
                <w:rFonts w:ascii="宋体" w:hAnsi="宋体" w:cs="宋体" w:eastAsia="宋体" w:hint="default"/>
                <w:sz w:val="18"/>
                <w:szCs w:val="18"/>
              </w:rPr>
              <w:t>北京东港 安全印刷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87"/>
              <w:jc w:val="left"/>
              <w:rPr>
                <w:rFonts w:ascii="宋体" w:hAnsi="宋体" w:cs="宋体" w:eastAsia="宋体" w:hint="default"/>
                <w:sz w:val="18"/>
                <w:szCs w:val="18"/>
              </w:rPr>
            </w:pPr>
            <w:r>
              <w:rPr>
                <w:rFonts w:ascii="宋体" w:hAnsi="宋体" w:cs="宋体" w:eastAsia="宋体" w:hint="default"/>
                <w:sz w:val="18"/>
                <w:szCs w:val="18"/>
              </w:rPr>
              <w:t>票证印刷 品</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5200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329,063,721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145,031,83</w:t>
            </w:r>
          </w:p>
          <w:p>
            <w:pPr>
              <w:pStyle w:val="TableParagraph"/>
              <w:spacing w:line="240" w:lineRule="auto" w:before="105"/>
              <w:ind w:left="578" w:right="0"/>
              <w:jc w:val="left"/>
              <w:rPr>
                <w:rFonts w:ascii="Times New Roman" w:hAnsi="Times New Roman" w:cs="Times New Roman" w:eastAsia="Times New Roman" w:hint="default"/>
                <w:sz w:val="18"/>
                <w:szCs w:val="18"/>
              </w:rPr>
            </w:pPr>
            <w:r>
              <w:rPr>
                <w:rFonts w:ascii="Times New Roman"/>
                <w:sz w:val="18"/>
              </w:rPr>
              <w:t>2.27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202,811,35</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7.29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47,092,84</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3.96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44,894,951.7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5"/>
        <w:rPr>
          <w:rFonts w:ascii="宋体" w:hAnsi="宋体" w:cs="宋体" w:eastAsia="宋体" w:hint="default"/>
          <w:sz w:val="6"/>
          <w:szCs w:val="6"/>
        </w:rPr>
      </w:pPr>
    </w:p>
    <w:p>
      <w:pPr>
        <w:pStyle w:val="Heading6"/>
        <w:spacing w:line="240" w:lineRule="auto"/>
        <w:ind w:left="513" w:right="0"/>
        <w:jc w:val="left"/>
        <w:rPr>
          <w:b w:val="0"/>
          <w:bCs w:val="0"/>
        </w:rPr>
      </w:pPr>
      <w:r>
        <w:rPr/>
        <w:t>主要子公司、参股公司情况说明：</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513" w:right="0"/>
        <w:jc w:val="left"/>
      </w:pPr>
      <w:r>
        <w:rPr/>
        <w:t>（</w:t>
      </w:r>
      <w:r>
        <w:rPr>
          <w:rFonts w:ascii="宋体" w:hAnsi="宋体" w:cs="宋体" w:eastAsia="宋体" w:hint="default"/>
        </w:rPr>
        <w:t>1</w:t>
      </w:r>
      <w:r>
        <w:rPr/>
        <w:t>）控股子公司—郑州东港安全印刷有限公司：</w:t>
      </w:r>
    </w:p>
    <w:p>
      <w:pPr>
        <w:spacing w:line="240" w:lineRule="auto" w:before="11"/>
        <w:rPr>
          <w:rFonts w:ascii="宋体" w:hAnsi="宋体" w:cs="宋体" w:eastAsia="宋体" w:hint="default"/>
          <w:sz w:val="20"/>
          <w:szCs w:val="20"/>
        </w:rPr>
      </w:pPr>
    </w:p>
    <w:p>
      <w:pPr>
        <w:pStyle w:val="BodyText"/>
        <w:spacing w:line="240" w:lineRule="auto"/>
        <w:ind w:left="513" w:right="0"/>
        <w:jc w:val="left"/>
      </w:pPr>
      <w:r>
        <w:rPr/>
        <w:t>公司于</w:t>
      </w:r>
      <w:r>
        <w:rPr>
          <w:spacing w:val="-47"/>
        </w:rPr>
        <w:t> </w:t>
      </w:r>
      <w:r>
        <w:rPr>
          <w:rFonts w:ascii="宋体" w:hAnsi="宋体" w:cs="宋体" w:eastAsia="宋体" w:hint="default"/>
        </w:rPr>
        <w:t>2003</w:t>
      </w:r>
      <w:r>
        <w:rPr>
          <w:rFonts w:ascii="宋体" w:hAnsi="宋体" w:cs="宋体" w:eastAsia="宋体" w:hint="default"/>
          <w:spacing w:val="-48"/>
        </w:rPr>
        <w:t> </w:t>
      </w:r>
      <w:r>
        <w:rPr/>
        <w:t>年</w:t>
      </w:r>
      <w:r>
        <w:rPr>
          <w:spacing w:val="-47"/>
        </w:rPr>
        <w:t> </w:t>
      </w:r>
      <w:r>
        <w:rPr>
          <w:rFonts w:ascii="宋体" w:hAnsi="宋体" w:cs="宋体" w:eastAsia="宋体" w:hint="default"/>
        </w:rPr>
        <w:t>1</w:t>
      </w:r>
      <w:r>
        <w:rPr>
          <w:rFonts w:ascii="宋体" w:hAnsi="宋体" w:cs="宋体" w:eastAsia="宋体" w:hint="default"/>
          <w:spacing w:val="-46"/>
        </w:rPr>
        <w:t> </w:t>
      </w:r>
      <w:r>
        <w:rPr/>
        <w:t>月成立，注册资本</w:t>
      </w:r>
      <w:r>
        <w:rPr>
          <w:spacing w:val="-46"/>
        </w:rPr>
        <w:t> </w:t>
      </w:r>
      <w:r>
        <w:rPr>
          <w:rFonts w:ascii="宋体" w:hAnsi="宋体" w:cs="宋体" w:eastAsia="宋体" w:hint="default"/>
        </w:rPr>
        <w:t>5,000</w:t>
      </w:r>
      <w:r>
        <w:rPr>
          <w:rFonts w:ascii="宋体" w:hAnsi="宋体" w:cs="宋体" w:eastAsia="宋体" w:hint="default"/>
          <w:spacing w:val="-45"/>
        </w:rPr>
        <w:t> </w:t>
      </w:r>
      <w:r>
        <w:rPr/>
        <w:t>万元，本公司持股比例为</w:t>
      </w:r>
      <w:r>
        <w:rPr>
          <w:spacing w:val="-47"/>
        </w:rPr>
        <w:t> </w:t>
      </w:r>
      <w:r>
        <w:rPr>
          <w:rFonts w:ascii="宋体" w:hAnsi="宋体" w:cs="宋体" w:eastAsia="宋体" w:hint="default"/>
        </w:rPr>
        <w:t>75%</w:t>
      </w:r>
      <w:r>
        <w:rPr/>
        <w:t>。公司法定代表人：史建中。注册地址：郑州</w:t>
      </w:r>
    </w:p>
    <w:p>
      <w:pPr>
        <w:spacing w:after="0" w:line="240" w:lineRule="auto"/>
        <w:jc w:val="left"/>
        <w:sectPr>
          <w:footerReference w:type="default" r:id="rId28"/>
          <w:pgSz w:w="11910" w:h="16840"/>
          <w:pgMar w:footer="1270" w:header="877" w:top="1060" w:bottom="1460" w:left="980" w:right="0"/>
          <w:pgNumType w:start="18"/>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35"/>
        <w:jc w:val="both"/>
      </w:pPr>
      <w:r>
        <w:rPr/>
        <w:t>高新区国槐街</w:t>
      </w:r>
      <w:r>
        <w:rPr>
          <w:spacing w:val="-45"/>
        </w:rPr>
        <w:t> </w:t>
      </w:r>
      <w:r>
        <w:rPr>
          <w:rFonts w:ascii="宋体" w:hAnsi="宋体" w:cs="宋体" w:eastAsia="宋体" w:hint="default"/>
        </w:rPr>
        <w:t>11</w:t>
      </w:r>
      <w:r>
        <w:rPr>
          <w:rFonts w:ascii="宋体" w:hAnsi="宋体" w:cs="宋体" w:eastAsia="宋体" w:hint="default"/>
          <w:spacing w:val="-45"/>
        </w:rPr>
        <w:t> </w:t>
      </w:r>
      <w:r>
        <w:rPr/>
        <w:t>号。经营范围：其他印刷品印刷；纸张、纸制品、印刷器材的销售；磁卡、智能卡、识别卡和智能标签的 </w:t>
      </w:r>
      <w:r>
        <w:rPr>
          <w:spacing w:val="-2"/>
        </w:rPr>
        <w:t>开发、销售；电子设备及产品、办公自动化设备及产品、电子元器件的开发、销售；软件产品的开发、生产、销售；科技信</w:t>
      </w:r>
      <w:r>
        <w:rPr>
          <w:spacing w:val="-70"/>
        </w:rPr>
        <w:t> </w:t>
      </w:r>
      <w:r>
        <w:rPr>
          <w:spacing w:val="-70"/>
        </w:rPr>
      </w:r>
      <w:r>
        <w:rPr/>
        <w:t>息咨询服务；房屋租赁；物业管理。</w:t>
      </w:r>
    </w:p>
    <w:p>
      <w:pPr>
        <w:pStyle w:val="BodyText"/>
        <w:spacing w:line="240" w:lineRule="auto" w:before="95"/>
        <w:ind w:left="513" w:right="0"/>
        <w:jc w:val="left"/>
      </w:pPr>
      <w:r>
        <w:rPr/>
        <w:t>该公司报告期实现净利润</w:t>
      </w:r>
      <w:r>
        <w:rPr>
          <w:spacing w:val="-47"/>
        </w:rPr>
        <w:t> </w:t>
      </w:r>
      <w:r>
        <w:rPr>
          <w:rFonts w:ascii="宋体" w:hAnsi="宋体" w:cs="宋体" w:eastAsia="宋体" w:hint="default"/>
        </w:rPr>
        <w:t>1,031.58</w:t>
      </w:r>
      <w:r>
        <w:rPr>
          <w:rFonts w:ascii="宋体" w:hAnsi="宋体" w:cs="宋体" w:eastAsia="宋体" w:hint="default"/>
          <w:spacing w:val="-44"/>
        </w:rPr>
        <w:t> </w:t>
      </w:r>
      <w:r>
        <w:rPr/>
        <w:t>万元，报告本期末资产总额为</w:t>
      </w:r>
      <w:r>
        <w:rPr>
          <w:spacing w:val="-47"/>
        </w:rPr>
        <w:t> </w:t>
      </w:r>
      <w:r>
        <w:rPr>
          <w:rFonts w:ascii="宋体" w:hAnsi="宋体" w:cs="宋体" w:eastAsia="宋体" w:hint="default"/>
        </w:rPr>
        <w:t>9,033.42</w:t>
      </w:r>
      <w:r>
        <w:rPr>
          <w:rFonts w:ascii="宋体" w:hAnsi="宋体" w:cs="宋体" w:eastAsia="宋体" w:hint="default"/>
          <w:spacing w:val="-45"/>
        </w:rPr>
        <w:t> </w:t>
      </w:r>
      <w:r>
        <w:rPr/>
        <w:t>万元。</w:t>
      </w:r>
    </w:p>
    <w:p>
      <w:pPr>
        <w:spacing w:line="240" w:lineRule="auto" w:before="9"/>
        <w:rPr>
          <w:rFonts w:ascii="宋体" w:hAnsi="宋体" w:cs="宋体" w:eastAsia="宋体" w:hint="default"/>
          <w:sz w:val="20"/>
          <w:szCs w:val="20"/>
        </w:rPr>
      </w:pPr>
    </w:p>
    <w:p>
      <w:pPr>
        <w:pStyle w:val="BodyText"/>
        <w:spacing w:line="240" w:lineRule="auto"/>
        <w:ind w:left="513" w:right="0"/>
        <w:jc w:val="left"/>
      </w:pPr>
      <w:r>
        <w:rPr/>
        <w:t>（</w:t>
      </w:r>
      <w:r>
        <w:rPr>
          <w:rFonts w:ascii="宋体" w:hAnsi="宋体" w:cs="宋体" w:eastAsia="宋体" w:hint="default"/>
        </w:rPr>
        <w:t>2</w:t>
      </w:r>
      <w:r>
        <w:rPr/>
        <w:t>）控股子公司—北京东港安全印刷有限公司：</w:t>
      </w:r>
    </w:p>
    <w:p>
      <w:pPr>
        <w:spacing w:line="240" w:lineRule="auto" w:before="12"/>
        <w:rPr>
          <w:rFonts w:ascii="宋体" w:hAnsi="宋体" w:cs="宋体" w:eastAsia="宋体" w:hint="default"/>
          <w:sz w:val="20"/>
          <w:szCs w:val="20"/>
        </w:rPr>
      </w:pPr>
    </w:p>
    <w:p>
      <w:pPr>
        <w:pStyle w:val="BodyText"/>
        <w:spacing w:line="240" w:lineRule="auto"/>
        <w:ind w:left="513" w:right="0"/>
        <w:jc w:val="left"/>
      </w:pPr>
      <w:r>
        <w:rPr/>
        <w:t>公司于</w:t>
      </w:r>
      <w:r>
        <w:rPr>
          <w:spacing w:val="-42"/>
        </w:rPr>
        <w:t> </w:t>
      </w:r>
      <w:r>
        <w:rPr>
          <w:rFonts w:ascii="宋体" w:hAnsi="宋体" w:cs="宋体" w:eastAsia="宋体" w:hint="default"/>
        </w:rPr>
        <w:t>2004</w:t>
      </w:r>
      <w:r>
        <w:rPr>
          <w:rFonts w:ascii="宋体" w:hAnsi="宋体" w:cs="宋体" w:eastAsia="宋体" w:hint="default"/>
          <w:spacing w:val="-43"/>
        </w:rPr>
        <w:t> </w:t>
      </w:r>
      <w:r>
        <w:rPr/>
        <w:t>年</w:t>
      </w:r>
      <w:r>
        <w:rPr>
          <w:spacing w:val="-42"/>
        </w:rPr>
        <w:t> </w:t>
      </w:r>
      <w:r>
        <w:rPr>
          <w:rFonts w:ascii="宋体" w:hAnsi="宋体" w:cs="宋体" w:eastAsia="宋体" w:hint="default"/>
        </w:rPr>
        <w:t>8</w:t>
      </w:r>
      <w:r>
        <w:rPr>
          <w:rFonts w:ascii="宋体" w:hAnsi="宋体" w:cs="宋体" w:eastAsia="宋体" w:hint="default"/>
          <w:spacing w:val="-43"/>
        </w:rPr>
        <w:t> </w:t>
      </w:r>
      <w:r>
        <w:rPr/>
        <w:t>月</w:t>
      </w:r>
      <w:r>
        <w:rPr>
          <w:spacing w:val="-42"/>
        </w:rPr>
        <w:t> </w:t>
      </w:r>
      <w:r>
        <w:rPr>
          <w:rFonts w:ascii="宋体" w:hAnsi="宋体" w:cs="宋体" w:eastAsia="宋体" w:hint="default"/>
        </w:rPr>
        <w:t>25</w:t>
      </w:r>
      <w:r>
        <w:rPr>
          <w:rFonts w:ascii="宋体" w:hAnsi="宋体" w:cs="宋体" w:eastAsia="宋体" w:hint="default"/>
          <w:spacing w:val="-41"/>
        </w:rPr>
        <w:t> </w:t>
      </w:r>
      <w:r>
        <w:rPr/>
        <w:t>日成立，注册资本</w:t>
      </w:r>
      <w:r>
        <w:rPr>
          <w:spacing w:val="-41"/>
        </w:rPr>
        <w:t> </w:t>
      </w:r>
      <w:r>
        <w:rPr>
          <w:rFonts w:ascii="宋体" w:hAnsi="宋体" w:cs="宋体" w:eastAsia="宋体" w:hint="default"/>
        </w:rPr>
        <w:t>5,200</w:t>
      </w:r>
      <w:r>
        <w:rPr>
          <w:rFonts w:ascii="宋体" w:hAnsi="宋体" w:cs="宋体" w:eastAsia="宋体" w:hint="default"/>
          <w:spacing w:val="-40"/>
        </w:rPr>
        <w:t> </w:t>
      </w:r>
      <w:r>
        <w:rPr/>
        <w:t>万元，本公司持股比例为</w:t>
      </w:r>
      <w:r>
        <w:rPr>
          <w:spacing w:val="-39"/>
        </w:rPr>
        <w:t> </w:t>
      </w:r>
      <w:r>
        <w:rPr>
          <w:rFonts w:ascii="宋体" w:hAnsi="宋体" w:cs="宋体" w:eastAsia="宋体" w:hint="default"/>
        </w:rPr>
        <w:t>75%</w:t>
      </w:r>
      <w:r>
        <w:rPr/>
        <w:t>。公司法定代表人：史建中。注册地址：</w:t>
      </w:r>
    </w:p>
    <w:p>
      <w:pPr>
        <w:spacing w:line="240" w:lineRule="auto" w:before="10"/>
        <w:rPr>
          <w:rFonts w:ascii="宋体" w:hAnsi="宋体" w:cs="宋体" w:eastAsia="宋体" w:hint="default"/>
          <w:sz w:val="17"/>
          <w:szCs w:val="17"/>
        </w:rPr>
      </w:pPr>
    </w:p>
    <w:p>
      <w:pPr>
        <w:pStyle w:val="BodyText"/>
        <w:spacing w:line="477" w:lineRule="auto"/>
        <w:ind w:right="1129"/>
        <w:jc w:val="both"/>
      </w:pPr>
      <w:r>
        <w:rPr/>
        <w:t>北京市北京经济技术开发区经海四路</w:t>
      </w:r>
      <w:r>
        <w:rPr>
          <w:spacing w:val="-36"/>
        </w:rPr>
        <w:t> </w:t>
      </w:r>
      <w:r>
        <w:rPr>
          <w:rFonts w:ascii="宋体" w:hAnsi="宋体" w:cs="宋体" w:eastAsia="宋体" w:hint="default"/>
        </w:rPr>
        <w:t>139</w:t>
      </w:r>
      <w:r>
        <w:rPr>
          <w:rFonts w:ascii="宋体" w:hAnsi="宋体" w:cs="宋体" w:eastAsia="宋体" w:hint="default"/>
          <w:spacing w:val="-36"/>
        </w:rPr>
        <w:t> </w:t>
      </w:r>
      <w:r>
        <w:rPr>
          <w:spacing w:val="-3"/>
        </w:rPr>
        <w:t>号。经营范围：出版物印刷、包装装潢印刷品印刷、其他印刷品印刷、生产专用计</w:t>
      </w:r>
      <w:r>
        <w:rPr>
          <w:spacing w:val="-88"/>
        </w:rPr>
        <w:t> </w:t>
      </w:r>
      <w:r>
        <w:rPr>
          <w:spacing w:val="-88"/>
        </w:rPr>
      </w:r>
      <w:r>
        <w:rPr>
          <w:spacing w:val="-2"/>
        </w:rPr>
        <w:t>算机软件；销售自产产品；提供数据处理服务及自产产品技术咨询、技术服务；磁卡、智能卡、智能卡电子设备及产品、办</w:t>
      </w:r>
      <w:r>
        <w:rPr>
          <w:spacing w:val="-73"/>
        </w:rPr>
        <w:t> </w:t>
      </w:r>
      <w:r>
        <w:rPr>
          <w:spacing w:val="-73"/>
        </w:rPr>
      </w:r>
      <w:r>
        <w:rPr>
          <w:spacing w:val="-5"/>
        </w:rPr>
        <w:t>公自动化设备及产品、电子元器件的研究、开发；物联网、计算机信息系统集成及技术服务；纸制品、高档防伪纸张、磁卡、</w:t>
      </w:r>
      <w:r>
        <w:rPr>
          <w:spacing w:val="-84"/>
        </w:rPr>
        <w:t> </w:t>
      </w:r>
      <w:r>
        <w:rPr>
          <w:spacing w:val="-84"/>
        </w:rPr>
      </w:r>
      <w:r>
        <w:rPr>
          <w:spacing w:val="-5"/>
        </w:rPr>
        <w:t>智能卡、智能卡电子设备及产品、智能电子标签、办公自动化设备及产品、电子元器件、计算机软件的批发、佣金代理业务；</w:t>
      </w:r>
      <w:r>
        <w:rPr>
          <w:spacing w:val="-78"/>
        </w:rPr>
        <w:t> </w:t>
      </w:r>
      <w:r>
        <w:rPr>
          <w:spacing w:val="-78"/>
        </w:rPr>
      </w:r>
      <w:r>
        <w:rPr/>
        <w:t>科技信息咨询服务。</w:t>
      </w:r>
    </w:p>
    <w:p>
      <w:pPr>
        <w:pStyle w:val="BodyText"/>
        <w:spacing w:line="240" w:lineRule="auto" w:before="95"/>
        <w:ind w:left="513" w:right="0"/>
        <w:jc w:val="left"/>
      </w:pPr>
      <w:r>
        <w:rPr/>
        <w:t>该公司报告期实现净利润</w:t>
      </w:r>
      <w:r>
        <w:rPr>
          <w:spacing w:val="-47"/>
        </w:rPr>
        <w:t> </w:t>
      </w:r>
      <w:r>
        <w:rPr>
          <w:rFonts w:ascii="宋体" w:hAnsi="宋体" w:cs="宋体" w:eastAsia="宋体" w:hint="default"/>
        </w:rPr>
        <w:t>4,489.50</w:t>
      </w:r>
      <w:r>
        <w:rPr>
          <w:rFonts w:ascii="宋体" w:hAnsi="宋体" w:cs="宋体" w:eastAsia="宋体" w:hint="default"/>
          <w:spacing w:val="-46"/>
        </w:rPr>
        <w:t> </w:t>
      </w:r>
      <w:r>
        <w:rPr/>
        <w:t>万元，报告期末资产总额</w:t>
      </w:r>
      <w:r>
        <w:rPr>
          <w:spacing w:val="-49"/>
        </w:rPr>
        <w:t> </w:t>
      </w:r>
      <w:r>
        <w:rPr>
          <w:rFonts w:ascii="宋体" w:hAnsi="宋体" w:cs="宋体" w:eastAsia="宋体" w:hint="default"/>
        </w:rPr>
        <w:t>32,906.37</w:t>
      </w:r>
      <w:r>
        <w:rPr>
          <w:rFonts w:ascii="宋体" w:hAnsi="宋体" w:cs="宋体" w:eastAsia="宋体" w:hint="default"/>
          <w:spacing w:val="-45"/>
        </w:rPr>
        <w:t> </w:t>
      </w:r>
      <w:r>
        <w:rPr/>
        <w:t>万元。</w:t>
      </w:r>
    </w:p>
    <w:p>
      <w:pPr>
        <w:spacing w:line="240" w:lineRule="auto" w:before="9"/>
        <w:rPr>
          <w:rFonts w:ascii="宋体" w:hAnsi="宋体" w:cs="宋体" w:eastAsia="宋体" w:hint="default"/>
          <w:sz w:val="20"/>
          <w:szCs w:val="20"/>
        </w:rPr>
      </w:pPr>
    </w:p>
    <w:p>
      <w:pPr>
        <w:pStyle w:val="BodyText"/>
        <w:spacing w:line="240" w:lineRule="auto"/>
        <w:ind w:left="513" w:right="0"/>
        <w:jc w:val="left"/>
      </w:pPr>
      <w:r>
        <w:rPr/>
        <w:t>（</w:t>
      </w:r>
      <w:r>
        <w:rPr>
          <w:rFonts w:ascii="宋体" w:hAnsi="宋体" w:cs="宋体" w:eastAsia="宋体" w:hint="default"/>
        </w:rPr>
        <w:t>3</w:t>
      </w:r>
      <w:r>
        <w:rPr/>
        <w:t>）控股子公司—新疆东港安全印刷有限公司：</w:t>
      </w:r>
    </w:p>
    <w:p>
      <w:pPr>
        <w:spacing w:line="240" w:lineRule="auto" w:before="12"/>
        <w:rPr>
          <w:rFonts w:ascii="宋体" w:hAnsi="宋体" w:cs="宋体" w:eastAsia="宋体" w:hint="default"/>
          <w:sz w:val="20"/>
          <w:szCs w:val="20"/>
        </w:rPr>
      </w:pPr>
    </w:p>
    <w:p>
      <w:pPr>
        <w:pStyle w:val="BodyText"/>
        <w:spacing w:line="240" w:lineRule="auto"/>
        <w:ind w:left="513" w:right="0"/>
        <w:jc w:val="left"/>
      </w:pPr>
      <w:r>
        <w:rPr/>
        <w:t>公司于</w:t>
      </w:r>
      <w:r>
        <w:rPr>
          <w:spacing w:val="-47"/>
        </w:rPr>
        <w:t> </w:t>
      </w:r>
      <w:r>
        <w:rPr>
          <w:rFonts w:ascii="宋体" w:hAnsi="宋体" w:cs="宋体" w:eastAsia="宋体" w:hint="default"/>
        </w:rPr>
        <w:t>2005</w:t>
      </w:r>
      <w:r>
        <w:rPr>
          <w:rFonts w:ascii="宋体" w:hAnsi="宋体" w:cs="宋体" w:eastAsia="宋体" w:hint="default"/>
          <w:spacing w:val="-48"/>
        </w:rPr>
        <w:t> </w:t>
      </w:r>
      <w:r>
        <w:rPr/>
        <w:t>年</w:t>
      </w:r>
      <w:r>
        <w:rPr>
          <w:spacing w:val="-47"/>
        </w:rPr>
        <w:t> </w:t>
      </w:r>
      <w:r>
        <w:rPr>
          <w:rFonts w:ascii="宋体" w:hAnsi="宋体" w:cs="宋体" w:eastAsia="宋体" w:hint="default"/>
        </w:rPr>
        <w:t>6</w:t>
      </w:r>
      <w:r>
        <w:rPr>
          <w:rFonts w:ascii="宋体" w:hAnsi="宋体" w:cs="宋体" w:eastAsia="宋体" w:hint="default"/>
          <w:spacing w:val="-48"/>
        </w:rPr>
        <w:t> </w:t>
      </w:r>
      <w:r>
        <w:rPr/>
        <w:t>月</w:t>
      </w:r>
      <w:r>
        <w:rPr>
          <w:spacing w:val="-47"/>
        </w:rPr>
        <w:t> </w:t>
      </w:r>
      <w:r>
        <w:rPr>
          <w:rFonts w:ascii="宋体" w:hAnsi="宋体" w:cs="宋体" w:eastAsia="宋体" w:hint="default"/>
        </w:rPr>
        <w:t>7</w:t>
      </w:r>
      <w:r>
        <w:rPr>
          <w:rFonts w:ascii="宋体" w:hAnsi="宋体" w:cs="宋体" w:eastAsia="宋体" w:hint="default"/>
          <w:spacing w:val="-46"/>
        </w:rPr>
        <w:t> </w:t>
      </w:r>
      <w:r>
        <w:rPr/>
        <w:t>日成立，注册资本</w:t>
      </w:r>
      <w:r>
        <w:rPr>
          <w:spacing w:val="-46"/>
        </w:rPr>
        <w:t> </w:t>
      </w:r>
      <w:r>
        <w:rPr>
          <w:rFonts w:ascii="宋体" w:hAnsi="宋体" w:cs="宋体" w:eastAsia="宋体" w:hint="default"/>
        </w:rPr>
        <w:t>1,000</w:t>
      </w:r>
      <w:r>
        <w:rPr>
          <w:rFonts w:ascii="宋体" w:hAnsi="宋体" w:cs="宋体" w:eastAsia="宋体" w:hint="default"/>
          <w:spacing w:val="-45"/>
        </w:rPr>
        <w:t> </w:t>
      </w:r>
      <w:r>
        <w:rPr/>
        <w:t>万元，本公司持股比例为</w:t>
      </w:r>
      <w:r>
        <w:rPr>
          <w:spacing w:val="-47"/>
        </w:rPr>
        <w:t> </w:t>
      </w:r>
      <w:r>
        <w:rPr>
          <w:rFonts w:ascii="宋体" w:hAnsi="宋体" w:cs="宋体" w:eastAsia="宋体" w:hint="default"/>
        </w:rPr>
        <w:t>75%</w:t>
      </w:r>
      <w:r>
        <w:rPr/>
        <w:t>。公司法定代表人：王爱先。注册地址：</w:t>
      </w:r>
    </w:p>
    <w:p>
      <w:pPr>
        <w:spacing w:line="240" w:lineRule="auto" w:before="10"/>
        <w:rPr>
          <w:rFonts w:ascii="宋体" w:hAnsi="宋体" w:cs="宋体" w:eastAsia="宋体" w:hint="default"/>
          <w:sz w:val="17"/>
          <w:szCs w:val="17"/>
        </w:rPr>
      </w:pPr>
    </w:p>
    <w:p>
      <w:pPr>
        <w:pStyle w:val="BodyText"/>
        <w:spacing w:line="477" w:lineRule="auto"/>
        <w:ind w:right="1135"/>
        <w:jc w:val="both"/>
      </w:pPr>
      <w:r>
        <w:rPr/>
        <w:t>乌鲁木齐经济技术开发区厦门二街</w:t>
      </w:r>
      <w:r>
        <w:rPr>
          <w:spacing w:val="-43"/>
        </w:rPr>
        <w:t> </w:t>
      </w:r>
      <w:r>
        <w:rPr>
          <w:rFonts w:ascii="宋体" w:hAnsi="宋体" w:cs="宋体" w:eastAsia="宋体" w:hint="default"/>
        </w:rPr>
        <w:t>3</w:t>
      </w:r>
      <w:r>
        <w:rPr>
          <w:rFonts w:ascii="宋体" w:hAnsi="宋体" w:cs="宋体" w:eastAsia="宋体" w:hint="default"/>
          <w:spacing w:val="-43"/>
        </w:rPr>
        <w:t> </w:t>
      </w:r>
      <w:r>
        <w:rPr>
          <w:spacing w:val="-7"/>
        </w:rPr>
        <w:t>号。经营范围：印刷品印刷（票证）。纸制品的生产、销售；高档纸的防伪处理、销售；</w:t>
      </w:r>
      <w:r>
        <w:rPr/>
        <w:t> 数据打印系统的开发、生产；科技信息咨询服务；</w:t>
      </w:r>
      <w:r>
        <w:rPr>
          <w:rFonts w:ascii="宋体" w:hAnsi="宋体" w:cs="宋体" w:eastAsia="宋体" w:hint="default"/>
        </w:rPr>
        <w:t>IC</w:t>
      </w:r>
      <w:r>
        <w:rPr>
          <w:rFonts w:ascii="宋体" w:hAnsi="宋体" w:cs="宋体" w:eastAsia="宋体" w:hint="default"/>
          <w:spacing w:val="-45"/>
        </w:rPr>
        <w:t> </w:t>
      </w:r>
      <w:r>
        <w:rPr/>
        <w:t>卡产品、智能标签产品的生产、销售。</w:t>
      </w:r>
    </w:p>
    <w:p>
      <w:pPr>
        <w:pStyle w:val="BodyText"/>
        <w:spacing w:line="240" w:lineRule="auto" w:before="95"/>
        <w:ind w:left="513" w:right="0"/>
        <w:jc w:val="left"/>
      </w:pPr>
      <w:r>
        <w:rPr/>
        <w:t>该公司报告期实现净利润</w:t>
      </w:r>
      <w:r>
        <w:rPr>
          <w:spacing w:val="-46"/>
        </w:rPr>
        <w:t> </w:t>
      </w:r>
      <w:r>
        <w:rPr>
          <w:rFonts w:ascii="宋体" w:hAnsi="宋体" w:cs="宋体" w:eastAsia="宋体" w:hint="default"/>
        </w:rPr>
        <w:t>154.57</w:t>
      </w:r>
      <w:r>
        <w:rPr>
          <w:rFonts w:ascii="宋体" w:hAnsi="宋体" w:cs="宋体" w:eastAsia="宋体" w:hint="default"/>
          <w:spacing w:val="-44"/>
        </w:rPr>
        <w:t> </w:t>
      </w:r>
      <w:r>
        <w:rPr/>
        <w:t>万元，报告期末资产总额</w:t>
      </w:r>
      <w:r>
        <w:rPr>
          <w:spacing w:val="-48"/>
        </w:rPr>
        <w:t> </w:t>
      </w:r>
      <w:r>
        <w:rPr>
          <w:rFonts w:ascii="宋体" w:hAnsi="宋体" w:cs="宋体" w:eastAsia="宋体" w:hint="default"/>
        </w:rPr>
        <w:t>1,419.18</w:t>
      </w:r>
      <w:r>
        <w:rPr>
          <w:rFonts w:ascii="宋体" w:hAnsi="宋体" w:cs="宋体" w:eastAsia="宋体" w:hint="default"/>
          <w:spacing w:val="-44"/>
        </w:rPr>
        <w:t> </w:t>
      </w:r>
      <w:r>
        <w:rPr/>
        <w:t>万元。</w:t>
      </w:r>
    </w:p>
    <w:p>
      <w:pPr>
        <w:spacing w:line="240" w:lineRule="auto" w:before="9"/>
        <w:rPr>
          <w:rFonts w:ascii="宋体" w:hAnsi="宋体" w:cs="宋体" w:eastAsia="宋体" w:hint="default"/>
          <w:sz w:val="20"/>
          <w:szCs w:val="20"/>
        </w:rPr>
      </w:pPr>
    </w:p>
    <w:p>
      <w:pPr>
        <w:pStyle w:val="BodyText"/>
        <w:spacing w:line="240" w:lineRule="auto"/>
        <w:ind w:left="513" w:right="0"/>
        <w:jc w:val="left"/>
      </w:pPr>
      <w:r>
        <w:rPr/>
        <w:t>（</w:t>
      </w:r>
      <w:r>
        <w:rPr>
          <w:rFonts w:ascii="宋体" w:hAnsi="宋体" w:cs="宋体" w:eastAsia="宋体" w:hint="default"/>
        </w:rPr>
        <w:t>4</w:t>
      </w:r>
      <w:r>
        <w:rPr/>
        <w:t>）控股子公司—上海东港安全印刷有限公司：</w:t>
      </w:r>
    </w:p>
    <w:p>
      <w:pPr>
        <w:spacing w:line="240" w:lineRule="auto" w:before="12"/>
        <w:rPr>
          <w:rFonts w:ascii="宋体" w:hAnsi="宋体" w:cs="宋体" w:eastAsia="宋体" w:hint="default"/>
          <w:sz w:val="20"/>
          <w:szCs w:val="20"/>
        </w:rPr>
      </w:pPr>
    </w:p>
    <w:p>
      <w:pPr>
        <w:pStyle w:val="BodyText"/>
        <w:spacing w:line="240" w:lineRule="auto"/>
        <w:ind w:left="513" w:right="0"/>
        <w:jc w:val="left"/>
      </w:pPr>
      <w:r>
        <w:rPr/>
        <w:t>公司于</w:t>
      </w:r>
      <w:r>
        <w:rPr>
          <w:spacing w:val="-47"/>
        </w:rPr>
        <w:t> </w:t>
      </w:r>
      <w:r>
        <w:rPr>
          <w:rFonts w:ascii="宋体" w:hAnsi="宋体" w:cs="宋体" w:eastAsia="宋体" w:hint="default"/>
        </w:rPr>
        <w:t>2006</w:t>
      </w:r>
      <w:r>
        <w:rPr>
          <w:rFonts w:ascii="宋体" w:hAnsi="宋体" w:cs="宋体" w:eastAsia="宋体" w:hint="default"/>
          <w:spacing w:val="-48"/>
        </w:rPr>
        <w:t> </w:t>
      </w:r>
      <w:r>
        <w:rPr/>
        <w:t>年</w:t>
      </w:r>
      <w:r>
        <w:rPr>
          <w:spacing w:val="-47"/>
        </w:rPr>
        <w:t> </w:t>
      </w:r>
      <w:r>
        <w:rPr>
          <w:rFonts w:ascii="宋体" w:hAnsi="宋体" w:cs="宋体" w:eastAsia="宋体" w:hint="default"/>
        </w:rPr>
        <w:t>6</w:t>
      </w:r>
      <w:r>
        <w:rPr>
          <w:rFonts w:ascii="宋体" w:hAnsi="宋体" w:cs="宋体" w:eastAsia="宋体" w:hint="default"/>
          <w:spacing w:val="-48"/>
        </w:rPr>
        <w:t> </w:t>
      </w:r>
      <w:r>
        <w:rPr/>
        <w:t>月</w:t>
      </w:r>
      <w:r>
        <w:rPr>
          <w:spacing w:val="-47"/>
        </w:rPr>
        <w:t> </w:t>
      </w:r>
      <w:r>
        <w:rPr>
          <w:rFonts w:ascii="宋体" w:hAnsi="宋体" w:cs="宋体" w:eastAsia="宋体" w:hint="default"/>
        </w:rPr>
        <w:t>9</w:t>
      </w:r>
      <w:r>
        <w:rPr>
          <w:rFonts w:ascii="宋体" w:hAnsi="宋体" w:cs="宋体" w:eastAsia="宋体" w:hint="default"/>
          <w:spacing w:val="-46"/>
        </w:rPr>
        <w:t> </w:t>
      </w:r>
      <w:r>
        <w:rPr/>
        <w:t>日成立，注册资本</w:t>
      </w:r>
      <w:r>
        <w:rPr>
          <w:spacing w:val="-46"/>
        </w:rPr>
        <w:t> </w:t>
      </w:r>
      <w:r>
        <w:rPr>
          <w:rFonts w:ascii="宋体" w:hAnsi="宋体" w:cs="宋体" w:eastAsia="宋体" w:hint="default"/>
        </w:rPr>
        <w:t>5,000</w:t>
      </w:r>
      <w:r>
        <w:rPr>
          <w:rFonts w:ascii="宋体" w:hAnsi="宋体" w:cs="宋体" w:eastAsia="宋体" w:hint="default"/>
          <w:spacing w:val="-45"/>
        </w:rPr>
        <w:t> </w:t>
      </w:r>
      <w:r>
        <w:rPr/>
        <w:t>万元，本公司持股比例为</w:t>
      </w:r>
      <w:r>
        <w:rPr>
          <w:spacing w:val="-47"/>
        </w:rPr>
        <w:t> </w:t>
      </w:r>
      <w:r>
        <w:rPr>
          <w:rFonts w:ascii="宋体" w:hAnsi="宋体" w:cs="宋体" w:eastAsia="宋体" w:hint="default"/>
        </w:rPr>
        <w:t>75%</w:t>
      </w:r>
      <w:r>
        <w:rPr/>
        <w:t>。公司法定代表人：史建中。注册地址：</w:t>
      </w:r>
    </w:p>
    <w:p>
      <w:pPr>
        <w:spacing w:line="240" w:lineRule="auto" w:before="10"/>
        <w:rPr>
          <w:rFonts w:ascii="宋体" w:hAnsi="宋体" w:cs="宋体" w:eastAsia="宋体" w:hint="default"/>
          <w:sz w:val="17"/>
          <w:szCs w:val="17"/>
        </w:rPr>
      </w:pPr>
    </w:p>
    <w:p>
      <w:pPr>
        <w:pStyle w:val="BodyText"/>
        <w:spacing w:line="240" w:lineRule="auto"/>
        <w:ind w:right="0"/>
        <w:jc w:val="both"/>
      </w:pPr>
      <w:r>
        <w:rPr/>
        <w:t>上海市闵行区华锦路</w:t>
      </w:r>
      <w:r>
        <w:rPr>
          <w:spacing w:val="-46"/>
        </w:rPr>
        <w:t> </w:t>
      </w:r>
      <w:r>
        <w:rPr>
          <w:rFonts w:ascii="宋体" w:hAnsi="宋体" w:cs="宋体" w:eastAsia="宋体" w:hint="default"/>
        </w:rPr>
        <w:t>288</w:t>
      </w:r>
      <w:r>
        <w:rPr>
          <w:rFonts w:ascii="宋体" w:hAnsi="宋体" w:cs="宋体" w:eastAsia="宋体" w:hint="default"/>
          <w:spacing w:val="-46"/>
        </w:rPr>
        <w:t> </w:t>
      </w:r>
      <w:r>
        <w:rPr/>
        <w:t>号。经营范围：包装装潢印刷，零件印刷，计算机软件开发。</w:t>
      </w:r>
    </w:p>
    <w:p>
      <w:pPr>
        <w:spacing w:line="240" w:lineRule="auto" w:before="12"/>
        <w:rPr>
          <w:rFonts w:ascii="宋体" w:hAnsi="宋体" w:cs="宋体" w:eastAsia="宋体" w:hint="default"/>
          <w:sz w:val="20"/>
          <w:szCs w:val="20"/>
        </w:rPr>
      </w:pPr>
    </w:p>
    <w:p>
      <w:pPr>
        <w:pStyle w:val="BodyText"/>
        <w:spacing w:line="240" w:lineRule="auto"/>
        <w:ind w:left="513" w:right="0"/>
        <w:jc w:val="left"/>
      </w:pPr>
      <w:r>
        <w:rPr/>
        <w:t>该公司报告期实现净利润</w:t>
      </w:r>
      <w:r>
        <w:rPr>
          <w:spacing w:val="-47"/>
        </w:rPr>
        <w:t> </w:t>
      </w:r>
      <w:r>
        <w:rPr>
          <w:rFonts w:ascii="宋体" w:hAnsi="宋体" w:cs="宋体" w:eastAsia="宋体" w:hint="default"/>
        </w:rPr>
        <w:t>1,051.89</w:t>
      </w:r>
      <w:r>
        <w:rPr>
          <w:rFonts w:ascii="宋体" w:hAnsi="宋体" w:cs="宋体" w:eastAsia="宋体" w:hint="default"/>
          <w:spacing w:val="-44"/>
        </w:rPr>
        <w:t> </w:t>
      </w:r>
      <w:r>
        <w:rPr/>
        <w:t>万元，报告期末资产总额</w:t>
      </w:r>
      <w:r>
        <w:rPr>
          <w:spacing w:val="-49"/>
        </w:rPr>
        <w:t> </w:t>
      </w:r>
      <w:r>
        <w:rPr>
          <w:rFonts w:ascii="宋体" w:hAnsi="宋体" w:cs="宋体" w:eastAsia="宋体" w:hint="default"/>
        </w:rPr>
        <w:t>10,318.27</w:t>
      </w:r>
      <w:r>
        <w:rPr>
          <w:rFonts w:ascii="宋体" w:hAnsi="宋体" w:cs="宋体" w:eastAsia="宋体" w:hint="default"/>
          <w:spacing w:val="-45"/>
        </w:rPr>
        <w:t> </w:t>
      </w:r>
      <w:r>
        <w:rPr/>
        <w:t>万元。</w:t>
      </w:r>
    </w:p>
    <w:p>
      <w:pPr>
        <w:spacing w:line="240" w:lineRule="auto" w:before="9"/>
        <w:rPr>
          <w:rFonts w:ascii="宋体" w:hAnsi="宋体" w:cs="宋体" w:eastAsia="宋体" w:hint="default"/>
          <w:sz w:val="20"/>
          <w:szCs w:val="20"/>
        </w:rPr>
      </w:pPr>
    </w:p>
    <w:p>
      <w:pPr>
        <w:pStyle w:val="BodyText"/>
        <w:spacing w:line="240" w:lineRule="auto"/>
        <w:ind w:left="513" w:right="0"/>
        <w:jc w:val="left"/>
      </w:pPr>
      <w:r>
        <w:rPr/>
        <w:t>（</w:t>
      </w:r>
      <w:r>
        <w:rPr>
          <w:rFonts w:ascii="宋体" w:hAnsi="宋体" w:cs="宋体" w:eastAsia="宋体" w:hint="default"/>
        </w:rPr>
        <w:t>5</w:t>
      </w:r>
      <w:r>
        <w:rPr/>
        <w:t>）控股子公司—北京东港嘉华安全信息技术有限公司：</w:t>
      </w:r>
    </w:p>
    <w:p>
      <w:pPr>
        <w:spacing w:line="240" w:lineRule="auto" w:before="12"/>
        <w:rPr>
          <w:rFonts w:ascii="宋体" w:hAnsi="宋体" w:cs="宋体" w:eastAsia="宋体" w:hint="default"/>
          <w:sz w:val="20"/>
          <w:szCs w:val="20"/>
        </w:rPr>
      </w:pPr>
    </w:p>
    <w:p>
      <w:pPr>
        <w:pStyle w:val="BodyText"/>
        <w:spacing w:line="240" w:lineRule="auto"/>
        <w:ind w:left="513" w:right="0"/>
        <w:jc w:val="left"/>
      </w:pPr>
      <w:r>
        <w:rPr/>
        <w:t>公司于</w:t>
      </w:r>
      <w:r>
        <w:rPr>
          <w:spacing w:val="-47"/>
        </w:rPr>
        <w:t> </w:t>
      </w:r>
      <w:r>
        <w:rPr>
          <w:rFonts w:ascii="宋体" w:hAnsi="宋体" w:cs="宋体" w:eastAsia="宋体" w:hint="default"/>
        </w:rPr>
        <w:t>2007</w:t>
      </w:r>
      <w:r>
        <w:rPr>
          <w:rFonts w:ascii="宋体" w:hAnsi="宋体" w:cs="宋体" w:eastAsia="宋体" w:hint="default"/>
          <w:spacing w:val="-48"/>
        </w:rPr>
        <w:t> </w:t>
      </w:r>
      <w:r>
        <w:rPr/>
        <w:t>年</w:t>
      </w:r>
      <w:r>
        <w:rPr>
          <w:spacing w:val="-47"/>
        </w:rPr>
        <w:t> </w:t>
      </w:r>
      <w:r>
        <w:rPr>
          <w:rFonts w:ascii="宋体" w:hAnsi="宋体" w:cs="宋体" w:eastAsia="宋体" w:hint="default"/>
        </w:rPr>
        <w:t>2</w:t>
      </w:r>
      <w:r>
        <w:rPr>
          <w:rFonts w:ascii="宋体" w:hAnsi="宋体" w:cs="宋体" w:eastAsia="宋体" w:hint="default"/>
          <w:spacing w:val="-48"/>
        </w:rPr>
        <w:t> </w:t>
      </w:r>
      <w:r>
        <w:rPr/>
        <w:t>月</w:t>
      </w:r>
      <w:r>
        <w:rPr>
          <w:spacing w:val="-47"/>
        </w:rPr>
        <w:t> </w:t>
      </w:r>
      <w:r>
        <w:rPr>
          <w:rFonts w:ascii="宋体" w:hAnsi="宋体" w:cs="宋体" w:eastAsia="宋体" w:hint="default"/>
        </w:rPr>
        <w:t>2</w:t>
      </w:r>
      <w:r>
        <w:rPr>
          <w:rFonts w:ascii="宋体" w:hAnsi="宋体" w:cs="宋体" w:eastAsia="宋体" w:hint="default"/>
          <w:spacing w:val="-46"/>
        </w:rPr>
        <w:t> </w:t>
      </w:r>
      <w:r>
        <w:rPr/>
        <w:t>日成立，注册资本</w:t>
      </w:r>
      <w:r>
        <w:rPr>
          <w:spacing w:val="-46"/>
        </w:rPr>
        <w:t> </w:t>
      </w:r>
      <w:r>
        <w:rPr>
          <w:rFonts w:ascii="宋体" w:hAnsi="宋体" w:cs="宋体" w:eastAsia="宋体" w:hint="default"/>
        </w:rPr>
        <w:t>700</w:t>
      </w:r>
      <w:r>
        <w:rPr>
          <w:rFonts w:ascii="宋体" w:hAnsi="宋体" w:cs="宋体" w:eastAsia="宋体" w:hint="default"/>
          <w:spacing w:val="-46"/>
        </w:rPr>
        <w:t> </w:t>
      </w:r>
      <w:r>
        <w:rPr/>
        <w:t>万美元，本公司持股比例为</w:t>
      </w:r>
      <w:r>
        <w:rPr>
          <w:spacing w:val="-47"/>
        </w:rPr>
        <w:t> </w:t>
      </w:r>
      <w:r>
        <w:rPr>
          <w:rFonts w:ascii="宋体" w:hAnsi="宋体" w:cs="宋体" w:eastAsia="宋体" w:hint="default"/>
        </w:rPr>
        <w:t>75%</w:t>
      </w:r>
      <w:r>
        <w:rPr/>
        <w:t>。公司法定代表人：王爱先。注册地址：</w:t>
      </w:r>
    </w:p>
    <w:p>
      <w:pPr>
        <w:spacing w:line="240" w:lineRule="auto" w:before="10"/>
        <w:rPr>
          <w:rFonts w:ascii="宋体" w:hAnsi="宋体" w:cs="宋体" w:eastAsia="宋体" w:hint="default"/>
          <w:sz w:val="17"/>
          <w:szCs w:val="17"/>
        </w:rPr>
      </w:pPr>
    </w:p>
    <w:p>
      <w:pPr>
        <w:pStyle w:val="BodyText"/>
        <w:spacing w:line="477" w:lineRule="auto"/>
        <w:ind w:right="1134"/>
        <w:jc w:val="both"/>
      </w:pPr>
      <w:r>
        <w:rPr/>
        <w:t>北京市北京经济技术开发区经海四路</w:t>
      </w:r>
      <w:r>
        <w:rPr>
          <w:spacing w:val="-36"/>
        </w:rPr>
        <w:t> </w:t>
      </w:r>
      <w:r>
        <w:rPr>
          <w:rFonts w:ascii="宋体" w:hAnsi="宋体" w:cs="宋体" w:eastAsia="宋体" w:hint="default"/>
        </w:rPr>
        <w:t>139</w:t>
      </w:r>
      <w:r>
        <w:rPr>
          <w:rFonts w:ascii="宋体" w:hAnsi="宋体" w:cs="宋体" w:eastAsia="宋体" w:hint="default"/>
          <w:spacing w:val="-36"/>
        </w:rPr>
        <w:t> </w:t>
      </w:r>
      <w:r>
        <w:rPr>
          <w:spacing w:val="-3"/>
        </w:rPr>
        <w:t>号。经营范围：开发、生产喷墨打印设备、智能电子标签及专用计算机软件；销售</w:t>
      </w:r>
      <w:r>
        <w:rPr>
          <w:spacing w:val="-88"/>
        </w:rPr>
        <w:t> </w:t>
      </w:r>
      <w:r>
        <w:rPr>
          <w:spacing w:val="-88"/>
        </w:rPr>
      </w:r>
      <w:r>
        <w:rPr/>
        <w:t>自产产品；提供数据处理服务及自产产品技术咨询、技术服务。</w:t>
      </w:r>
    </w:p>
    <w:p>
      <w:pPr>
        <w:pStyle w:val="BodyText"/>
        <w:spacing w:line="240" w:lineRule="auto" w:before="95"/>
        <w:ind w:left="513" w:right="0"/>
        <w:jc w:val="left"/>
      </w:pPr>
      <w:r>
        <w:rPr/>
        <w:t>该公司报告期实现净利润</w:t>
      </w:r>
      <w:r>
        <w:rPr>
          <w:spacing w:val="-47"/>
        </w:rPr>
        <w:t> </w:t>
      </w:r>
      <w:r>
        <w:rPr>
          <w:rFonts w:ascii="宋体" w:hAnsi="宋体" w:cs="宋体" w:eastAsia="宋体" w:hint="default"/>
        </w:rPr>
        <w:t>1,069.93</w:t>
      </w:r>
      <w:r>
        <w:rPr>
          <w:rFonts w:ascii="宋体" w:hAnsi="宋体" w:cs="宋体" w:eastAsia="宋体" w:hint="default"/>
          <w:spacing w:val="-44"/>
        </w:rPr>
        <w:t> </w:t>
      </w:r>
      <w:r>
        <w:rPr/>
        <w:t>万元，报告期末资产总额</w:t>
      </w:r>
      <w:r>
        <w:rPr>
          <w:spacing w:val="-49"/>
        </w:rPr>
        <w:t> </w:t>
      </w:r>
      <w:r>
        <w:rPr>
          <w:rFonts w:ascii="宋体" w:hAnsi="宋体" w:cs="宋体" w:eastAsia="宋体" w:hint="default"/>
        </w:rPr>
        <w:t>17,689.12</w:t>
      </w:r>
      <w:r>
        <w:rPr>
          <w:rFonts w:ascii="宋体" w:hAnsi="宋体" w:cs="宋体" w:eastAsia="宋体" w:hint="default"/>
          <w:spacing w:val="-45"/>
        </w:rPr>
        <w:t> </w:t>
      </w:r>
      <w:r>
        <w:rPr/>
        <w:t>万元。</w:t>
      </w:r>
    </w:p>
    <w:p>
      <w:pPr>
        <w:spacing w:line="240" w:lineRule="auto" w:before="9"/>
        <w:rPr>
          <w:rFonts w:ascii="宋体" w:hAnsi="宋体" w:cs="宋体" w:eastAsia="宋体" w:hint="default"/>
          <w:sz w:val="20"/>
          <w:szCs w:val="20"/>
        </w:rPr>
      </w:pPr>
    </w:p>
    <w:p>
      <w:pPr>
        <w:pStyle w:val="BodyText"/>
        <w:spacing w:line="240" w:lineRule="auto"/>
        <w:ind w:left="513" w:right="0"/>
        <w:jc w:val="left"/>
      </w:pPr>
      <w:r>
        <w:rPr/>
        <w:t>（</w:t>
      </w:r>
      <w:r>
        <w:rPr>
          <w:rFonts w:ascii="宋体" w:hAnsi="宋体" w:cs="宋体" w:eastAsia="宋体" w:hint="default"/>
        </w:rPr>
        <w:t>6</w:t>
      </w:r>
      <w:r>
        <w:rPr/>
        <w:t>）控股子公司—广州东港安全印刷有限公司：</w:t>
      </w:r>
    </w:p>
    <w:p>
      <w:pPr>
        <w:spacing w:line="240" w:lineRule="auto" w:before="11"/>
        <w:rPr>
          <w:rFonts w:ascii="宋体" w:hAnsi="宋体" w:cs="宋体" w:eastAsia="宋体" w:hint="default"/>
          <w:sz w:val="20"/>
          <w:szCs w:val="20"/>
        </w:rPr>
      </w:pPr>
    </w:p>
    <w:p>
      <w:pPr>
        <w:pStyle w:val="BodyText"/>
        <w:spacing w:line="240" w:lineRule="auto"/>
        <w:ind w:left="513" w:right="0"/>
        <w:jc w:val="left"/>
      </w:pPr>
      <w:r>
        <w:rPr/>
        <w:t>公司于</w:t>
      </w:r>
      <w:r>
        <w:rPr>
          <w:spacing w:val="-42"/>
        </w:rPr>
        <w:t> </w:t>
      </w:r>
      <w:r>
        <w:rPr>
          <w:rFonts w:ascii="宋体" w:hAnsi="宋体" w:cs="宋体" w:eastAsia="宋体" w:hint="default"/>
        </w:rPr>
        <w:t>2007</w:t>
      </w:r>
      <w:r>
        <w:rPr>
          <w:rFonts w:ascii="宋体" w:hAnsi="宋体" w:cs="宋体" w:eastAsia="宋体" w:hint="default"/>
          <w:spacing w:val="-43"/>
        </w:rPr>
        <w:t> </w:t>
      </w:r>
      <w:r>
        <w:rPr/>
        <w:t>年</w:t>
      </w:r>
      <w:r>
        <w:rPr>
          <w:spacing w:val="-42"/>
        </w:rPr>
        <w:t> </w:t>
      </w:r>
      <w:r>
        <w:rPr>
          <w:rFonts w:ascii="宋体" w:hAnsi="宋体" w:cs="宋体" w:eastAsia="宋体" w:hint="default"/>
        </w:rPr>
        <w:t>3</w:t>
      </w:r>
      <w:r>
        <w:rPr>
          <w:rFonts w:ascii="宋体" w:hAnsi="宋体" w:cs="宋体" w:eastAsia="宋体" w:hint="default"/>
          <w:spacing w:val="-43"/>
        </w:rPr>
        <w:t> </w:t>
      </w:r>
      <w:r>
        <w:rPr/>
        <w:t>月</w:t>
      </w:r>
      <w:r>
        <w:rPr>
          <w:spacing w:val="-42"/>
        </w:rPr>
        <w:t> </w:t>
      </w:r>
      <w:r>
        <w:rPr>
          <w:rFonts w:ascii="宋体" w:hAnsi="宋体" w:cs="宋体" w:eastAsia="宋体" w:hint="default"/>
        </w:rPr>
        <w:t>12</w:t>
      </w:r>
      <w:r>
        <w:rPr>
          <w:rFonts w:ascii="宋体" w:hAnsi="宋体" w:cs="宋体" w:eastAsia="宋体" w:hint="default"/>
          <w:spacing w:val="-41"/>
        </w:rPr>
        <w:t> </w:t>
      </w:r>
      <w:r>
        <w:rPr/>
        <w:t>日成立，注册资本</w:t>
      </w:r>
      <w:r>
        <w:rPr>
          <w:spacing w:val="-41"/>
        </w:rPr>
        <w:t> </w:t>
      </w:r>
      <w:r>
        <w:rPr>
          <w:rFonts w:ascii="宋体" w:hAnsi="宋体" w:cs="宋体" w:eastAsia="宋体" w:hint="default"/>
        </w:rPr>
        <w:t>4,200</w:t>
      </w:r>
      <w:r>
        <w:rPr>
          <w:rFonts w:ascii="宋体" w:hAnsi="宋体" w:cs="宋体" w:eastAsia="宋体" w:hint="default"/>
          <w:spacing w:val="-40"/>
        </w:rPr>
        <w:t> </w:t>
      </w:r>
      <w:r>
        <w:rPr/>
        <w:t>万元，本公司持股比例为</w:t>
      </w:r>
      <w:r>
        <w:rPr>
          <w:spacing w:val="-39"/>
        </w:rPr>
        <w:t> </w:t>
      </w:r>
      <w:r>
        <w:rPr>
          <w:rFonts w:ascii="宋体" w:hAnsi="宋体" w:cs="宋体" w:eastAsia="宋体" w:hint="default"/>
        </w:rPr>
        <w:t>75%</w:t>
      </w:r>
      <w:r>
        <w:rPr/>
        <w:t>。公司法定代表人：史建中。注册地址：</w:t>
      </w:r>
    </w:p>
    <w:p>
      <w:pPr>
        <w:spacing w:after="0" w:line="240" w:lineRule="auto"/>
        <w:jc w:val="left"/>
        <w:sectPr>
          <w:pgSz w:w="11910" w:h="16840"/>
          <w:pgMar w:header="877" w:footer="1270" w:top="1060" w:bottom="14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033"/>
        <w:jc w:val="left"/>
      </w:pPr>
      <w:r>
        <w:rPr/>
        <w:t>广州市高新技术产业开发区科学城南云五路</w:t>
      </w:r>
      <w:r>
        <w:rPr>
          <w:spacing w:val="-45"/>
        </w:rPr>
        <w:t> </w:t>
      </w:r>
      <w:r>
        <w:rPr>
          <w:rFonts w:ascii="宋体" w:hAnsi="宋体" w:cs="宋体" w:eastAsia="宋体" w:hint="default"/>
        </w:rPr>
        <w:t>5</w:t>
      </w:r>
      <w:r>
        <w:rPr>
          <w:rFonts w:ascii="宋体" w:hAnsi="宋体" w:cs="宋体" w:eastAsia="宋体" w:hint="default"/>
          <w:spacing w:val="-44"/>
        </w:rPr>
        <w:t> </w:t>
      </w:r>
      <w:r>
        <w:rPr/>
        <w:t>号。经营范围：包装装潢及其他类印刷品印刷；开发、生产软件产品、磁卡、 </w:t>
      </w:r>
      <w:r>
        <w:rPr>
          <w:spacing w:val="-2"/>
        </w:rPr>
        <w:t>智能卡、识别卡、智能卡芯片及电子标签芯片、电子设备、办公自动化设备、电子元器件，销售本公司产品；从事纸张、纸</w:t>
      </w:r>
      <w:r>
        <w:rPr>
          <w:spacing w:val="-65"/>
        </w:rPr>
        <w:t> </w:t>
      </w:r>
      <w:r>
        <w:rPr>
          <w:spacing w:val="-65"/>
        </w:rPr>
      </w:r>
      <w:r>
        <w:rPr/>
        <w:t>制品、印刷器材的批发、进出口；从事信息系统集成工程及技术、数据及信息处理、科技信息咨询服务；从事技术进出口。</w:t>
      </w:r>
    </w:p>
    <w:p>
      <w:pPr>
        <w:pStyle w:val="BodyText"/>
        <w:spacing w:line="240" w:lineRule="auto" w:before="95"/>
        <w:ind w:left="513" w:right="0"/>
        <w:jc w:val="left"/>
      </w:pPr>
      <w:r>
        <w:rPr/>
        <w:t>该公司报告期实现净利润</w:t>
      </w:r>
      <w:r>
        <w:rPr>
          <w:spacing w:val="-47"/>
        </w:rPr>
        <w:t> </w:t>
      </w:r>
      <w:r>
        <w:rPr>
          <w:rFonts w:ascii="宋体" w:hAnsi="宋体" w:cs="宋体" w:eastAsia="宋体" w:hint="default"/>
        </w:rPr>
        <w:t>907.38</w:t>
      </w:r>
      <w:r>
        <w:rPr>
          <w:rFonts w:ascii="宋体" w:hAnsi="宋体" w:cs="宋体" w:eastAsia="宋体" w:hint="default"/>
          <w:spacing w:val="-45"/>
        </w:rPr>
        <w:t> </w:t>
      </w:r>
      <w:r>
        <w:rPr/>
        <w:t>万元，报告期末资产总额</w:t>
      </w:r>
      <w:r>
        <w:rPr>
          <w:spacing w:val="-49"/>
        </w:rPr>
        <w:t> </w:t>
      </w:r>
      <w:r>
        <w:rPr>
          <w:rFonts w:ascii="宋体" w:hAnsi="宋体" w:cs="宋体" w:eastAsia="宋体" w:hint="default"/>
        </w:rPr>
        <w:t>12,230.70</w:t>
      </w:r>
      <w:r>
        <w:rPr>
          <w:rFonts w:ascii="宋体" w:hAnsi="宋体" w:cs="宋体" w:eastAsia="宋体" w:hint="default"/>
          <w:spacing w:val="-45"/>
        </w:rPr>
        <w:t> </w:t>
      </w:r>
      <w:r>
        <w:rPr/>
        <w:t>万元。</w:t>
      </w:r>
    </w:p>
    <w:p>
      <w:pPr>
        <w:spacing w:line="240" w:lineRule="auto" w:before="9"/>
        <w:rPr>
          <w:rFonts w:ascii="宋体" w:hAnsi="宋体" w:cs="宋体" w:eastAsia="宋体" w:hint="default"/>
          <w:sz w:val="20"/>
          <w:szCs w:val="20"/>
        </w:rPr>
      </w:pPr>
    </w:p>
    <w:p>
      <w:pPr>
        <w:pStyle w:val="BodyText"/>
        <w:spacing w:line="240" w:lineRule="auto"/>
        <w:ind w:left="513" w:right="0"/>
        <w:jc w:val="left"/>
      </w:pPr>
      <w:r>
        <w:rPr/>
        <w:t>（</w:t>
      </w:r>
      <w:r>
        <w:rPr>
          <w:rFonts w:ascii="宋体" w:hAnsi="宋体" w:cs="宋体" w:eastAsia="宋体" w:hint="default"/>
        </w:rPr>
        <w:t>7</w:t>
      </w:r>
      <w:r>
        <w:rPr/>
        <w:t>）控股子公司—山东东港数据处理有限公司：</w:t>
      </w:r>
    </w:p>
    <w:p>
      <w:pPr>
        <w:spacing w:line="240" w:lineRule="auto" w:before="12"/>
        <w:rPr>
          <w:rFonts w:ascii="宋体" w:hAnsi="宋体" w:cs="宋体" w:eastAsia="宋体" w:hint="default"/>
          <w:sz w:val="20"/>
          <w:szCs w:val="20"/>
        </w:rPr>
      </w:pPr>
    </w:p>
    <w:p>
      <w:pPr>
        <w:pStyle w:val="BodyText"/>
        <w:spacing w:line="477" w:lineRule="auto"/>
        <w:ind w:right="1136" w:firstLine="360"/>
        <w:jc w:val="both"/>
      </w:pPr>
      <w:r>
        <w:rPr/>
        <w:t>公司于</w:t>
      </w:r>
      <w:r>
        <w:rPr>
          <w:spacing w:val="-46"/>
        </w:rPr>
        <w:t> </w:t>
      </w:r>
      <w:r>
        <w:rPr>
          <w:rFonts w:ascii="宋体" w:hAnsi="宋体" w:cs="宋体" w:eastAsia="宋体" w:hint="default"/>
        </w:rPr>
        <w:t>2007</w:t>
      </w:r>
      <w:r>
        <w:rPr>
          <w:rFonts w:ascii="宋体" w:hAnsi="宋体" w:cs="宋体" w:eastAsia="宋体" w:hint="default"/>
          <w:spacing w:val="-47"/>
        </w:rPr>
        <w:t> </w:t>
      </w:r>
      <w:r>
        <w:rPr/>
        <w:t>年</w:t>
      </w:r>
      <w:r>
        <w:rPr>
          <w:spacing w:val="-46"/>
        </w:rPr>
        <w:t> </w:t>
      </w:r>
      <w:r>
        <w:rPr>
          <w:rFonts w:ascii="宋体" w:hAnsi="宋体" w:cs="宋体" w:eastAsia="宋体" w:hint="default"/>
        </w:rPr>
        <w:t>8</w:t>
      </w:r>
      <w:r>
        <w:rPr>
          <w:rFonts w:ascii="宋体" w:hAnsi="宋体" w:cs="宋体" w:eastAsia="宋体" w:hint="default"/>
          <w:spacing w:val="-47"/>
        </w:rPr>
        <w:t> </w:t>
      </w:r>
      <w:r>
        <w:rPr/>
        <w:t>月</w:t>
      </w:r>
      <w:r>
        <w:rPr>
          <w:spacing w:val="-46"/>
        </w:rPr>
        <w:t> </w:t>
      </w:r>
      <w:r>
        <w:rPr>
          <w:rFonts w:ascii="宋体" w:hAnsi="宋体" w:cs="宋体" w:eastAsia="宋体" w:hint="default"/>
        </w:rPr>
        <w:t>27</w:t>
      </w:r>
      <w:r>
        <w:rPr>
          <w:rFonts w:ascii="宋体" w:hAnsi="宋体" w:cs="宋体" w:eastAsia="宋体" w:hint="default"/>
          <w:spacing w:val="-45"/>
        </w:rPr>
        <w:t> </w:t>
      </w:r>
      <w:r>
        <w:rPr/>
        <w:t>日独资设立了山东东港数据处理有限公司，注册资本</w:t>
      </w:r>
      <w:r>
        <w:rPr>
          <w:spacing w:val="-45"/>
        </w:rPr>
        <w:t> </w:t>
      </w:r>
      <w:r>
        <w:rPr>
          <w:rFonts w:ascii="宋体" w:hAnsi="宋体" w:cs="宋体" w:eastAsia="宋体" w:hint="default"/>
        </w:rPr>
        <w:t>3,000</w:t>
      </w:r>
      <w:r>
        <w:rPr>
          <w:rFonts w:ascii="宋体" w:hAnsi="宋体" w:cs="宋体" w:eastAsia="宋体" w:hint="default"/>
          <w:spacing w:val="-44"/>
        </w:rPr>
        <w:t> </w:t>
      </w:r>
      <w:r>
        <w:rPr/>
        <w:t>万元，本公司持股比例为</w:t>
      </w:r>
      <w:r>
        <w:rPr>
          <w:spacing w:val="-46"/>
        </w:rPr>
        <w:t> </w:t>
      </w:r>
      <w:r>
        <w:rPr>
          <w:rFonts w:ascii="宋体" w:hAnsi="宋体" w:cs="宋体" w:eastAsia="宋体" w:hint="default"/>
        </w:rPr>
        <w:t>100%</w:t>
      </w:r>
      <w:r>
        <w:rPr/>
        <w:t>。公 </w:t>
      </w:r>
      <w:r>
        <w:rPr>
          <w:spacing w:val="-2"/>
        </w:rPr>
        <w:t>司法定代表人：王爱先。注册地址：济南市临港开发区机场路。经营范围：包装装潢印刷品印刷，其他印刷品印刷；软件开</w:t>
      </w:r>
      <w:r>
        <w:rPr>
          <w:spacing w:val="-73"/>
        </w:rPr>
        <w:t> </w:t>
      </w:r>
      <w:r>
        <w:rPr>
          <w:spacing w:val="-73"/>
        </w:rPr>
      </w:r>
      <w:r>
        <w:rPr/>
        <w:t>发、生产销售；纸制品加工、销售；纸张、油墨的销售；信息服务、数据处理业务。</w:t>
      </w:r>
    </w:p>
    <w:p>
      <w:pPr>
        <w:pStyle w:val="BodyText"/>
        <w:spacing w:line="240" w:lineRule="auto" w:before="95"/>
        <w:ind w:left="513" w:right="0"/>
        <w:jc w:val="left"/>
      </w:pPr>
      <w:r>
        <w:rPr/>
        <w:t>该公司报告期实现净利润</w:t>
      </w:r>
      <w:r>
        <w:rPr>
          <w:spacing w:val="-46"/>
        </w:rPr>
        <w:t> </w:t>
      </w:r>
      <w:r>
        <w:rPr>
          <w:rFonts w:ascii="宋体" w:hAnsi="宋体" w:cs="宋体" w:eastAsia="宋体" w:hint="default"/>
        </w:rPr>
        <w:t>141.34</w:t>
      </w:r>
      <w:r>
        <w:rPr>
          <w:rFonts w:ascii="宋体" w:hAnsi="宋体" w:cs="宋体" w:eastAsia="宋体" w:hint="default"/>
          <w:spacing w:val="-44"/>
        </w:rPr>
        <w:t> </w:t>
      </w:r>
      <w:r>
        <w:rPr/>
        <w:t>万元，报告期末资产总额</w:t>
      </w:r>
      <w:r>
        <w:rPr>
          <w:spacing w:val="-48"/>
        </w:rPr>
        <w:t> </w:t>
      </w:r>
      <w:r>
        <w:rPr>
          <w:rFonts w:ascii="宋体" w:hAnsi="宋体" w:cs="宋体" w:eastAsia="宋体" w:hint="default"/>
        </w:rPr>
        <w:t>3,491.72</w:t>
      </w:r>
      <w:r>
        <w:rPr>
          <w:rFonts w:ascii="宋体" w:hAnsi="宋体" w:cs="宋体" w:eastAsia="宋体" w:hint="default"/>
          <w:spacing w:val="-44"/>
        </w:rPr>
        <w:t> </w:t>
      </w:r>
      <w:r>
        <w:rPr/>
        <w:t>万元。</w:t>
      </w:r>
    </w:p>
    <w:p>
      <w:pPr>
        <w:spacing w:line="240" w:lineRule="auto" w:before="9"/>
        <w:rPr>
          <w:rFonts w:ascii="宋体" w:hAnsi="宋体" w:cs="宋体" w:eastAsia="宋体" w:hint="default"/>
          <w:sz w:val="20"/>
          <w:szCs w:val="20"/>
        </w:rPr>
      </w:pPr>
    </w:p>
    <w:p>
      <w:pPr>
        <w:pStyle w:val="BodyText"/>
        <w:spacing w:line="240" w:lineRule="auto"/>
        <w:ind w:left="513" w:right="0"/>
        <w:jc w:val="left"/>
      </w:pPr>
      <w:r>
        <w:rPr/>
        <w:t>（</w:t>
      </w:r>
      <w:r>
        <w:rPr>
          <w:rFonts w:ascii="宋体" w:hAnsi="宋体" w:cs="宋体" w:eastAsia="宋体" w:hint="default"/>
        </w:rPr>
        <w:t>8</w:t>
      </w:r>
      <w:r>
        <w:rPr/>
        <w:t>）控股子公司—成都东港安全印刷有限公司：</w:t>
      </w:r>
    </w:p>
    <w:p>
      <w:pPr>
        <w:spacing w:line="240" w:lineRule="auto" w:before="12"/>
        <w:rPr>
          <w:rFonts w:ascii="宋体" w:hAnsi="宋体" w:cs="宋体" w:eastAsia="宋体" w:hint="default"/>
          <w:sz w:val="20"/>
          <w:szCs w:val="20"/>
        </w:rPr>
      </w:pPr>
    </w:p>
    <w:p>
      <w:pPr>
        <w:pStyle w:val="BodyText"/>
        <w:spacing w:line="240" w:lineRule="auto"/>
        <w:ind w:left="513" w:right="0"/>
        <w:jc w:val="left"/>
      </w:pPr>
      <w:r>
        <w:rPr/>
        <w:t>公司于</w:t>
      </w:r>
      <w:r>
        <w:rPr>
          <w:spacing w:val="-49"/>
        </w:rPr>
        <w:t> </w:t>
      </w:r>
      <w:r>
        <w:rPr>
          <w:rFonts w:ascii="宋体" w:hAnsi="宋体" w:cs="宋体" w:eastAsia="宋体" w:hint="default"/>
        </w:rPr>
        <w:t>2007</w:t>
      </w:r>
      <w:r>
        <w:rPr>
          <w:rFonts w:ascii="宋体" w:hAnsi="宋体" w:cs="宋体" w:eastAsia="宋体" w:hint="default"/>
          <w:spacing w:val="-50"/>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51"/>
        </w:rPr>
        <w:t> </w:t>
      </w:r>
      <w:r>
        <w:rPr>
          <w:rFonts w:ascii="宋体" w:hAnsi="宋体" w:cs="宋体" w:eastAsia="宋体" w:hint="default"/>
        </w:rPr>
        <w:t>27</w:t>
      </w:r>
      <w:r>
        <w:rPr>
          <w:rFonts w:ascii="宋体" w:hAnsi="宋体" w:cs="宋体" w:eastAsia="宋体" w:hint="default"/>
          <w:spacing w:val="-48"/>
        </w:rPr>
        <w:t> </w:t>
      </w:r>
      <w:r>
        <w:rPr/>
        <w:t>日独资设立了成都东港安全印刷有限公司，注册资本</w:t>
      </w:r>
      <w:r>
        <w:rPr>
          <w:spacing w:val="-48"/>
        </w:rPr>
        <w:t> </w:t>
      </w:r>
      <w:r>
        <w:rPr>
          <w:rFonts w:ascii="宋体" w:hAnsi="宋体" w:cs="宋体" w:eastAsia="宋体" w:hint="default"/>
        </w:rPr>
        <w:t>1,000</w:t>
      </w:r>
      <w:r>
        <w:rPr>
          <w:rFonts w:ascii="宋体" w:hAnsi="宋体" w:cs="宋体" w:eastAsia="宋体" w:hint="default"/>
          <w:spacing w:val="-47"/>
        </w:rPr>
        <w:t> </w:t>
      </w:r>
      <w:r>
        <w:rPr/>
        <w:t>万元，本公司持股比例为</w:t>
      </w:r>
      <w:r>
        <w:rPr>
          <w:spacing w:val="-48"/>
        </w:rPr>
        <w:t> </w:t>
      </w:r>
      <w:r>
        <w:rPr>
          <w:rFonts w:ascii="宋体" w:hAnsi="宋体" w:cs="宋体" w:eastAsia="宋体" w:hint="default"/>
          <w:spacing w:val="-4"/>
        </w:rPr>
        <w:t>100%</w:t>
      </w:r>
      <w:r>
        <w:rPr>
          <w:spacing w:val="-4"/>
        </w:rPr>
        <w:t>。公</w:t>
      </w:r>
      <w:r>
        <w:rPr/>
      </w:r>
    </w:p>
    <w:p>
      <w:pPr>
        <w:spacing w:line="240" w:lineRule="auto" w:before="10"/>
        <w:rPr>
          <w:rFonts w:ascii="宋体" w:hAnsi="宋体" w:cs="宋体" w:eastAsia="宋体" w:hint="default"/>
          <w:sz w:val="17"/>
          <w:szCs w:val="17"/>
        </w:rPr>
      </w:pPr>
    </w:p>
    <w:p>
      <w:pPr>
        <w:pStyle w:val="BodyText"/>
        <w:spacing w:line="477" w:lineRule="auto"/>
        <w:ind w:right="1136"/>
        <w:jc w:val="both"/>
      </w:pPr>
      <w:r>
        <w:rPr/>
        <w:t>司法定代表人：王爱先。注册地址：成都蛟龙工业港双流园区清江路</w:t>
      </w:r>
      <w:r>
        <w:rPr>
          <w:spacing w:val="-44"/>
        </w:rPr>
        <w:t> </w:t>
      </w:r>
      <w:r>
        <w:rPr>
          <w:rFonts w:ascii="宋体" w:hAnsi="宋体" w:cs="宋体" w:eastAsia="宋体" w:hint="default"/>
        </w:rPr>
        <w:t>12</w:t>
      </w:r>
      <w:r>
        <w:rPr>
          <w:rFonts w:ascii="宋体" w:hAnsi="宋体" w:cs="宋体" w:eastAsia="宋体" w:hint="default"/>
          <w:spacing w:val="-45"/>
        </w:rPr>
        <w:t> </w:t>
      </w:r>
      <w:r>
        <w:rPr/>
        <w:t>座。经营范围：其他印刷品印刷；纸张、纸制品、 </w:t>
      </w:r>
      <w:r>
        <w:rPr>
          <w:spacing w:val="-2"/>
        </w:rPr>
        <w:t>印刷器材的销售；磁卡、智能卡、识别卡和智能标签的开发、销售；电子设备及产品、办公自动化设备及产品、电子元器件</w:t>
      </w:r>
      <w:r>
        <w:rPr>
          <w:spacing w:val="-73"/>
        </w:rPr>
        <w:t> </w:t>
      </w:r>
      <w:r>
        <w:rPr>
          <w:spacing w:val="-73"/>
        </w:rPr>
      </w:r>
      <w:r>
        <w:rPr/>
        <w:t>的开发、销售；软件产品的开发、生产、销售；科技信息咨询服务；房屋租赁；物业管理。</w:t>
      </w:r>
    </w:p>
    <w:p>
      <w:pPr>
        <w:pStyle w:val="BodyText"/>
        <w:spacing w:line="240" w:lineRule="auto" w:before="95"/>
        <w:ind w:left="513" w:right="0"/>
        <w:jc w:val="left"/>
      </w:pPr>
      <w:r>
        <w:rPr/>
        <w:t>该公司报告期实现净利润</w:t>
      </w:r>
      <w:r>
        <w:rPr>
          <w:spacing w:val="-46"/>
        </w:rPr>
        <w:t> </w:t>
      </w:r>
      <w:r>
        <w:rPr>
          <w:rFonts w:ascii="宋体" w:hAnsi="宋体" w:cs="宋体" w:eastAsia="宋体" w:hint="default"/>
        </w:rPr>
        <w:t>190.37</w:t>
      </w:r>
      <w:r>
        <w:rPr>
          <w:rFonts w:ascii="宋体" w:hAnsi="宋体" w:cs="宋体" w:eastAsia="宋体" w:hint="default"/>
          <w:spacing w:val="-44"/>
        </w:rPr>
        <w:t> </w:t>
      </w:r>
      <w:r>
        <w:rPr/>
        <w:t>万元，报告期末资产总额</w:t>
      </w:r>
      <w:r>
        <w:rPr>
          <w:spacing w:val="-48"/>
        </w:rPr>
        <w:t> </w:t>
      </w:r>
      <w:r>
        <w:rPr>
          <w:rFonts w:ascii="宋体" w:hAnsi="宋体" w:cs="宋体" w:eastAsia="宋体" w:hint="default"/>
        </w:rPr>
        <w:t>1,845.42</w:t>
      </w:r>
      <w:r>
        <w:rPr>
          <w:rFonts w:ascii="宋体" w:hAnsi="宋体" w:cs="宋体" w:eastAsia="宋体" w:hint="default"/>
          <w:spacing w:val="-44"/>
        </w:rPr>
        <w:t> </w:t>
      </w:r>
      <w:r>
        <w:rPr/>
        <w:t>万元。</w:t>
      </w:r>
    </w:p>
    <w:p>
      <w:pPr>
        <w:spacing w:line="240" w:lineRule="auto" w:before="10"/>
        <w:rPr>
          <w:rFonts w:ascii="宋体" w:hAnsi="宋体" w:cs="宋体" w:eastAsia="宋体" w:hint="default"/>
          <w:sz w:val="20"/>
          <w:szCs w:val="20"/>
        </w:rPr>
      </w:pPr>
    </w:p>
    <w:p>
      <w:pPr>
        <w:pStyle w:val="BodyText"/>
        <w:spacing w:line="240" w:lineRule="auto"/>
        <w:ind w:left="513" w:right="0"/>
        <w:jc w:val="left"/>
      </w:pPr>
      <w:r>
        <w:rPr/>
        <w:t>（</w:t>
      </w:r>
      <w:r>
        <w:rPr>
          <w:rFonts w:ascii="宋体" w:hAnsi="宋体" w:cs="宋体" w:eastAsia="宋体" w:hint="default"/>
        </w:rPr>
        <w:t>9</w:t>
      </w:r>
      <w:r>
        <w:rPr/>
        <w:t>）控股子公司－上海东港数据处理有限公司：</w:t>
      </w:r>
    </w:p>
    <w:p>
      <w:pPr>
        <w:spacing w:line="240" w:lineRule="auto" w:before="12"/>
        <w:rPr>
          <w:rFonts w:ascii="宋体" w:hAnsi="宋体" w:cs="宋体" w:eastAsia="宋体" w:hint="default"/>
          <w:sz w:val="20"/>
          <w:szCs w:val="20"/>
        </w:rPr>
      </w:pPr>
    </w:p>
    <w:p>
      <w:pPr>
        <w:pStyle w:val="BodyText"/>
        <w:spacing w:line="240" w:lineRule="auto"/>
        <w:ind w:left="604" w:right="0"/>
        <w:jc w:val="left"/>
      </w:pPr>
      <w:r>
        <w:rPr/>
        <w:t>公司于</w:t>
      </w:r>
      <w:r>
        <w:rPr>
          <w:spacing w:val="-52"/>
        </w:rPr>
        <w:t> </w:t>
      </w:r>
      <w:r>
        <w:rPr>
          <w:rFonts w:ascii="宋体" w:hAnsi="宋体" w:cs="宋体" w:eastAsia="宋体" w:hint="default"/>
        </w:rPr>
        <w:t>2007</w:t>
      </w:r>
      <w:r>
        <w:rPr>
          <w:rFonts w:ascii="宋体" w:hAnsi="宋体" w:cs="宋体" w:eastAsia="宋体" w:hint="default"/>
          <w:spacing w:val="-50"/>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2"/>
        </w:rPr>
        <w:t> </w:t>
      </w:r>
      <w:r>
        <w:rPr>
          <w:rFonts w:ascii="宋体" w:hAnsi="宋体" w:cs="宋体" w:eastAsia="宋体" w:hint="default"/>
        </w:rPr>
        <w:t>25</w:t>
      </w:r>
      <w:r>
        <w:rPr>
          <w:rFonts w:ascii="宋体" w:hAnsi="宋体" w:cs="宋体" w:eastAsia="宋体" w:hint="default"/>
          <w:spacing w:val="-51"/>
        </w:rPr>
        <w:t> </w:t>
      </w:r>
      <w:r>
        <w:rPr/>
        <w:t>日设立，注册资本</w:t>
      </w:r>
      <w:r>
        <w:rPr>
          <w:spacing w:val="-51"/>
        </w:rPr>
        <w:t> </w:t>
      </w:r>
      <w:r>
        <w:rPr>
          <w:rFonts w:ascii="宋体" w:hAnsi="宋体" w:cs="宋体" w:eastAsia="宋体" w:hint="default"/>
        </w:rPr>
        <w:t>15,000</w:t>
      </w:r>
      <w:r>
        <w:rPr>
          <w:rFonts w:ascii="宋体" w:hAnsi="宋体" w:cs="宋体" w:eastAsia="宋体" w:hint="default"/>
          <w:spacing w:val="-50"/>
        </w:rPr>
        <w:t> </w:t>
      </w:r>
      <w:r>
        <w:rPr/>
        <w:t>万元，本公司持股比例为</w:t>
      </w:r>
      <w:r>
        <w:rPr>
          <w:spacing w:val="-52"/>
        </w:rPr>
        <w:t> </w:t>
      </w:r>
      <w:r>
        <w:rPr>
          <w:rFonts w:ascii="宋体" w:hAnsi="宋体" w:cs="宋体" w:eastAsia="宋体" w:hint="default"/>
        </w:rPr>
        <w:t>86.67%</w:t>
      </w:r>
      <w:r>
        <w:rPr/>
        <w:t>。公司法定代表人：史建中。注册</w:t>
      </w:r>
    </w:p>
    <w:p>
      <w:pPr>
        <w:spacing w:line="240" w:lineRule="auto" w:before="10"/>
        <w:rPr>
          <w:rFonts w:ascii="宋体" w:hAnsi="宋体" w:cs="宋体" w:eastAsia="宋体" w:hint="default"/>
          <w:sz w:val="17"/>
          <w:szCs w:val="17"/>
        </w:rPr>
      </w:pPr>
    </w:p>
    <w:p>
      <w:pPr>
        <w:pStyle w:val="BodyText"/>
        <w:spacing w:line="477" w:lineRule="auto"/>
        <w:ind w:right="1130"/>
        <w:jc w:val="left"/>
      </w:pPr>
      <w:r>
        <w:rPr/>
        <w:t>地址：上海市闵行区华宁路</w:t>
      </w:r>
      <w:r>
        <w:rPr>
          <w:spacing w:val="-46"/>
        </w:rPr>
        <w:t> </w:t>
      </w:r>
      <w:r>
        <w:rPr>
          <w:rFonts w:ascii="宋体" w:hAnsi="宋体" w:cs="宋体" w:eastAsia="宋体" w:hint="default"/>
        </w:rPr>
        <w:t>2888</w:t>
      </w:r>
      <w:r>
        <w:rPr>
          <w:rFonts w:ascii="宋体" w:hAnsi="宋体" w:cs="宋体" w:eastAsia="宋体" w:hint="default"/>
          <w:spacing w:val="-45"/>
        </w:rPr>
        <w:t> </w:t>
      </w:r>
      <w:r>
        <w:rPr/>
        <w:t>弄</w:t>
      </w:r>
      <w:r>
        <w:rPr>
          <w:spacing w:val="-49"/>
        </w:rPr>
        <w:t> </w:t>
      </w:r>
      <w:r>
        <w:rPr>
          <w:rFonts w:ascii="宋体" w:hAnsi="宋体" w:cs="宋体" w:eastAsia="宋体" w:hint="default"/>
        </w:rPr>
        <w:t>385</w:t>
      </w:r>
      <w:r>
        <w:rPr>
          <w:rFonts w:ascii="宋体" w:hAnsi="宋体" w:cs="宋体" w:eastAsia="宋体" w:hint="default"/>
          <w:spacing w:val="-46"/>
        </w:rPr>
        <w:t> </w:t>
      </w:r>
      <w:r>
        <w:rPr/>
        <w:t>号第三幢厂房。经营范围：计算机软件开发、电脑数据处理、商务咨询</w:t>
      </w:r>
      <w:r>
        <w:rPr>
          <w:rFonts w:ascii="宋体" w:hAnsi="宋体" w:cs="宋体" w:eastAsia="宋体" w:hint="default"/>
        </w:rPr>
        <w:t>(</w:t>
      </w:r>
      <w:r>
        <w:rPr/>
        <w:t>除经纪</w:t>
      </w:r>
      <w:r>
        <w:rPr>
          <w:rFonts w:ascii="宋体" w:hAnsi="宋体" w:cs="宋体" w:eastAsia="宋体" w:hint="default"/>
        </w:rPr>
        <w:t>)</w:t>
      </w:r>
      <w:r>
        <w:rPr/>
        <w:t>、 计算机技术领域内的技术服务、技术咨询、技术开发、技术转让。</w:t>
      </w:r>
      <w:r>
        <w:rPr>
          <w:rFonts w:ascii="宋体" w:hAnsi="宋体" w:cs="宋体" w:eastAsia="宋体" w:hint="default"/>
        </w:rPr>
        <w:t>(</w:t>
      </w:r>
      <w:r>
        <w:rPr/>
        <w:t>涉及行政许可的，凭许可证经营</w:t>
      </w:r>
      <w:r>
        <w:rPr>
          <w:rFonts w:ascii="宋体" w:hAnsi="宋体" w:cs="宋体" w:eastAsia="宋体" w:hint="default"/>
        </w:rPr>
        <w:t>)</w:t>
      </w:r>
      <w:r>
        <w:rPr/>
        <w:t>。</w:t>
      </w:r>
    </w:p>
    <w:p>
      <w:pPr>
        <w:pStyle w:val="BodyText"/>
        <w:spacing w:line="434" w:lineRule="auto" w:before="95"/>
        <w:ind w:right="4458" w:firstLine="360"/>
        <w:jc w:val="left"/>
      </w:pPr>
      <w:r>
        <w:rPr/>
        <w:t>该公司报告期实现净利润</w:t>
      </w:r>
      <w:r>
        <w:rPr>
          <w:spacing w:val="-47"/>
        </w:rPr>
        <w:t> </w:t>
      </w:r>
      <w:r>
        <w:rPr>
          <w:rFonts w:ascii="宋体" w:hAnsi="宋体" w:cs="宋体" w:eastAsia="宋体" w:hint="default"/>
        </w:rPr>
        <w:t>71.41</w:t>
      </w:r>
      <w:r>
        <w:rPr>
          <w:rFonts w:ascii="宋体" w:hAnsi="宋体" w:cs="宋体" w:eastAsia="宋体" w:hint="default"/>
          <w:spacing w:val="-45"/>
        </w:rPr>
        <w:t> </w:t>
      </w:r>
      <w:r>
        <w:rPr/>
        <w:t>万元，报告期末资产总额</w:t>
      </w:r>
      <w:r>
        <w:rPr>
          <w:spacing w:val="-47"/>
        </w:rPr>
        <w:t> </w:t>
      </w:r>
      <w:r>
        <w:rPr>
          <w:rFonts w:ascii="宋体" w:hAnsi="宋体" w:cs="宋体" w:eastAsia="宋体" w:hint="default"/>
        </w:rPr>
        <w:t>15,127.93</w:t>
      </w:r>
      <w:r>
        <w:rPr>
          <w:rFonts w:ascii="宋体" w:hAnsi="宋体" w:cs="宋体" w:eastAsia="宋体" w:hint="default"/>
          <w:spacing w:val="-45"/>
        </w:rPr>
        <w:t> </w:t>
      </w:r>
      <w:r>
        <w:rPr/>
        <w:t>万元。 报告期内取得和处置子公司的情况</w:t>
      </w:r>
    </w:p>
    <w:p>
      <w:pPr>
        <w:pStyle w:val="BodyText"/>
        <w:spacing w:line="221" w:lineRule="exact"/>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七、公司未来发展的展望</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13" w:right="0"/>
        <w:jc w:val="left"/>
      </w:pPr>
      <w:r>
        <w:rPr>
          <w:rFonts w:ascii="宋体" w:hAnsi="宋体" w:cs="宋体" w:eastAsia="宋体" w:hint="default"/>
        </w:rPr>
        <w:t>1</w:t>
      </w:r>
      <w:r>
        <w:rPr/>
        <w:t>、公司所处行业的发展趋势及行业竞争格局</w:t>
      </w:r>
    </w:p>
    <w:p>
      <w:pPr>
        <w:spacing w:line="240" w:lineRule="auto" w:before="12"/>
        <w:rPr>
          <w:rFonts w:ascii="宋体" w:hAnsi="宋体" w:cs="宋体" w:eastAsia="宋体" w:hint="default"/>
          <w:sz w:val="20"/>
          <w:szCs w:val="20"/>
        </w:rPr>
      </w:pPr>
    </w:p>
    <w:p>
      <w:pPr>
        <w:pStyle w:val="BodyText"/>
        <w:spacing w:line="240" w:lineRule="auto"/>
        <w:ind w:left="513" w:right="0"/>
        <w:jc w:val="left"/>
      </w:pPr>
      <w:r>
        <w:rPr/>
        <w:t>（</w:t>
      </w:r>
      <w:r>
        <w:rPr>
          <w:rFonts w:ascii="宋体" w:hAnsi="宋体" w:cs="宋体" w:eastAsia="宋体" w:hint="default"/>
        </w:rPr>
        <w:t>1</w:t>
      </w:r>
      <w:r>
        <w:rPr/>
        <w:t>）行业的发展趋势</w:t>
      </w:r>
    </w:p>
    <w:p>
      <w:pPr>
        <w:spacing w:line="240" w:lineRule="auto" w:before="12"/>
        <w:rPr>
          <w:rFonts w:ascii="宋体" w:hAnsi="宋体" w:cs="宋体" w:eastAsia="宋体" w:hint="default"/>
          <w:sz w:val="20"/>
          <w:szCs w:val="20"/>
        </w:rPr>
      </w:pPr>
    </w:p>
    <w:p>
      <w:pPr>
        <w:pStyle w:val="BodyText"/>
        <w:spacing w:line="516" w:lineRule="auto"/>
        <w:ind w:left="513" w:right="0"/>
        <w:jc w:val="left"/>
      </w:pPr>
      <w:r>
        <w:rPr/>
        <w:t>①服务内容比重增加，印刷业向“综合化服务”方向转变 </w:t>
      </w:r>
      <w:r>
        <w:rPr>
          <w:spacing w:val="-2"/>
        </w:rPr>
        <w:t>随着互联网技术的发展，传统的商业票据印刷市场发展趋缓，新产品、新技术不断涌现。客户的服务需求更趋多样化和</w:t>
      </w:r>
    </w:p>
    <w:p>
      <w:pPr>
        <w:pStyle w:val="BodyText"/>
        <w:spacing w:line="240" w:lineRule="auto" w:before="25"/>
        <w:ind w:right="0"/>
        <w:jc w:val="left"/>
      </w:pPr>
      <w:r>
        <w:rPr/>
        <w:t>个性化。在客户需求方面，各行业客户越来越关注自身主营产品的发展，对于原来由客户自身负责的打印、产品设计、数据</w:t>
      </w:r>
    </w:p>
    <w:p>
      <w:pPr>
        <w:spacing w:after="0" w:line="240" w:lineRule="auto"/>
        <w:jc w:val="left"/>
        <w:sectPr>
          <w:pgSz w:w="11910" w:h="16840"/>
          <w:pgMar w:header="877" w:footer="1270" w:top="1060" w:bottom="14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29"/>
        <w:jc w:val="both"/>
      </w:pPr>
      <w:r>
        <w:rPr>
          <w:spacing w:val="-2"/>
        </w:rPr>
        <w:t>处理等业务，越来越多的采取服务外包的方式予以解决，这样，一方面能够降低客户自身运营的成本，另一方面，由专业的</w:t>
      </w:r>
      <w:r>
        <w:rPr>
          <w:spacing w:val="-67"/>
        </w:rPr>
        <w:t> </w:t>
      </w:r>
      <w:r>
        <w:rPr>
          <w:spacing w:val="-67"/>
        </w:rPr>
      </w:r>
      <w:r>
        <w:rPr>
          <w:spacing w:val="-2"/>
        </w:rPr>
        <w:t>服务供应商提供服务能够提高工作效率和服务质量。在科技与需求的推动下，印刷企业目前已向“综合服务”或“整体解决</w:t>
      </w:r>
      <w:r>
        <w:rPr>
          <w:spacing w:val="-65"/>
        </w:rPr>
        <w:t> </w:t>
      </w:r>
      <w:r>
        <w:rPr>
          <w:spacing w:val="-65"/>
        </w:rPr>
      </w:r>
      <w:r>
        <w:rPr>
          <w:spacing w:val="-5"/>
        </w:rPr>
        <w:t>方案”提供商方向转型。商业票据市场伴随表单、商业信函等需求快速增长，印刷企业开始介入到物流、封装、数据库管理、</w:t>
      </w:r>
      <w:r>
        <w:rPr>
          <w:spacing w:val="-79"/>
        </w:rPr>
        <w:t> </w:t>
      </w:r>
      <w:r>
        <w:rPr>
          <w:spacing w:val="-79"/>
        </w:rPr>
      </w:r>
      <w:r>
        <w:rPr/>
        <w:t>创意设计各类辅助服务，这种产品的价值或附加值可大幅提高。</w:t>
      </w:r>
    </w:p>
    <w:p>
      <w:pPr>
        <w:pStyle w:val="BodyText"/>
        <w:spacing w:line="516" w:lineRule="auto" w:before="95"/>
        <w:ind w:left="513" w:right="0"/>
        <w:jc w:val="left"/>
      </w:pPr>
      <w:r>
        <w:rPr/>
        <w:t>②高端印刷与信息技术结合，印刷品的技术含量日益提升，数字化印刷正在成为主流 </w:t>
      </w:r>
      <w:r>
        <w:rPr>
          <w:spacing w:val="-2"/>
        </w:rPr>
        <w:t>随着客户对印刷品的保密性、个性化、应用范围等要求越来越高，印刷企业也在不断将印刷技术与高科技信息技术相结</w:t>
      </w:r>
    </w:p>
    <w:p>
      <w:pPr>
        <w:pStyle w:val="BodyText"/>
        <w:spacing w:line="477" w:lineRule="auto" w:before="25"/>
        <w:ind w:right="1135"/>
        <w:jc w:val="both"/>
      </w:pPr>
      <w:r>
        <w:rPr>
          <w:spacing w:val="-2"/>
        </w:rPr>
        <w:t>合，使印刷品防伪性能、适用范围技术不断提升。与此同时，随着网络的普及和彩色数字印刷技术日益完善，彩色数字打印</w:t>
      </w:r>
      <w:r>
        <w:rPr>
          <w:spacing w:val="-67"/>
        </w:rPr>
        <w:t> </w:t>
      </w:r>
      <w:r>
        <w:rPr>
          <w:spacing w:val="-67"/>
        </w:rPr>
      </w:r>
      <w:r>
        <w:rPr>
          <w:spacing w:val="-2"/>
        </w:rPr>
        <w:t>技术正在逐步替代传统的印刷技术成为新型的印刷方式。通过网络商务平台，完成定制、下单、收货、付款等业务流程，实</w:t>
      </w:r>
      <w:r>
        <w:rPr>
          <w:spacing w:val="-82"/>
        </w:rPr>
        <w:t> </w:t>
      </w:r>
      <w:r>
        <w:rPr>
          <w:spacing w:val="-82"/>
        </w:rPr>
      </w:r>
      <w:r>
        <w:rPr/>
        <w:t>现一站式的数字化印刷需求正在逐步替代传统业务模式。</w:t>
      </w:r>
    </w:p>
    <w:p>
      <w:pPr>
        <w:pStyle w:val="BodyText"/>
        <w:spacing w:line="240" w:lineRule="auto" w:before="95"/>
        <w:ind w:left="513" w:right="0"/>
        <w:jc w:val="left"/>
      </w:pPr>
      <w:r>
        <w:rPr/>
        <w:t>③新型卡类产品的增长加速</w:t>
      </w:r>
    </w:p>
    <w:p>
      <w:pPr>
        <w:spacing w:line="240" w:lineRule="auto" w:before="12"/>
        <w:rPr>
          <w:rFonts w:ascii="宋体" w:hAnsi="宋体" w:cs="宋体" w:eastAsia="宋体" w:hint="default"/>
          <w:sz w:val="20"/>
          <w:szCs w:val="20"/>
        </w:rPr>
      </w:pPr>
    </w:p>
    <w:p>
      <w:pPr>
        <w:pStyle w:val="BodyText"/>
        <w:spacing w:line="477" w:lineRule="auto"/>
        <w:ind w:right="1131" w:firstLine="360"/>
        <w:jc w:val="both"/>
      </w:pPr>
      <w:r>
        <w:rPr>
          <w:rFonts w:ascii="宋体" w:hAnsi="宋体" w:cs="宋体" w:eastAsia="宋体" w:hint="default"/>
        </w:rPr>
        <w:t>2011</w:t>
      </w:r>
      <w:r>
        <w:rPr>
          <w:rFonts w:ascii="宋体" w:hAnsi="宋体" w:cs="宋体" w:eastAsia="宋体" w:hint="default"/>
          <w:spacing w:val="-52"/>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月，中国人民银行发布了《中国人民银行关于推进金融</w:t>
      </w:r>
      <w:r>
        <w:rPr>
          <w:spacing w:val="-53"/>
        </w:rPr>
        <w:t> </w:t>
      </w:r>
      <w:r>
        <w:rPr>
          <w:rFonts w:ascii="宋体" w:hAnsi="宋体" w:cs="宋体" w:eastAsia="宋体" w:hint="default"/>
        </w:rPr>
        <w:t>IC</w:t>
      </w:r>
      <w:r>
        <w:rPr>
          <w:rFonts w:ascii="宋体" w:hAnsi="宋体" w:cs="宋体" w:eastAsia="宋体" w:hint="default"/>
          <w:spacing w:val="-53"/>
        </w:rPr>
        <w:t> </w:t>
      </w:r>
      <w:r>
        <w:rPr/>
        <w:t>卡应用工作的意见》，要求各金融机构积极推进金 融</w:t>
      </w:r>
      <w:r>
        <w:rPr>
          <w:spacing w:val="-37"/>
        </w:rPr>
        <w:t> </w:t>
      </w:r>
      <w:r>
        <w:rPr>
          <w:rFonts w:ascii="宋体" w:hAnsi="宋体" w:cs="宋体" w:eastAsia="宋体" w:hint="default"/>
        </w:rPr>
        <w:t>IC</w:t>
      </w:r>
      <w:r>
        <w:rPr>
          <w:rFonts w:ascii="宋体" w:hAnsi="宋体" w:cs="宋体" w:eastAsia="宋体" w:hint="default"/>
          <w:spacing w:val="-37"/>
        </w:rPr>
        <w:t> </w:t>
      </w:r>
      <w:r>
        <w:rPr>
          <w:spacing w:val="-8"/>
        </w:rPr>
        <w:t>卡，并制定了各商业银行的推进时间表，这标志着金融</w:t>
      </w:r>
      <w:r>
        <w:rPr>
          <w:spacing w:val="-37"/>
        </w:rPr>
        <w:t> </w:t>
      </w:r>
      <w:r>
        <w:rPr>
          <w:rFonts w:ascii="宋体" w:hAnsi="宋体" w:cs="宋体" w:eastAsia="宋体" w:hint="default"/>
          <w:spacing w:val="-1"/>
        </w:rPr>
        <w:t>IC</w:t>
      </w:r>
      <w:r>
        <w:rPr>
          <w:rFonts w:ascii="宋体" w:hAnsi="宋体" w:cs="宋体" w:eastAsia="宋体" w:hint="default"/>
          <w:spacing w:val="-37"/>
        </w:rPr>
        <w:t> </w:t>
      </w:r>
      <w:r>
        <w:rPr>
          <w:spacing w:val="-4"/>
        </w:rPr>
        <w:t>的更新换代进入实质性实施阶段。根据中国人民银行的要求，</w:t>
      </w:r>
      <w:r>
        <w:rPr>
          <w:spacing w:val="-88"/>
        </w:rPr>
        <w:t> </w:t>
      </w:r>
      <w:r>
        <w:rPr>
          <w:spacing w:val="-88"/>
        </w:rPr>
      </w:r>
      <w:r>
        <w:rPr/>
        <w:t>从</w:t>
      </w:r>
      <w:r>
        <w:rPr>
          <w:spacing w:val="-45"/>
        </w:rPr>
        <w:t> </w:t>
      </w:r>
      <w:r>
        <w:rPr>
          <w:rFonts w:ascii="宋体" w:hAnsi="宋体" w:cs="宋体" w:eastAsia="宋体" w:hint="default"/>
        </w:rPr>
        <w:t>2013</w:t>
      </w:r>
      <w:r>
        <w:rPr>
          <w:rFonts w:ascii="宋体" w:hAnsi="宋体" w:cs="宋体" w:eastAsia="宋体" w:hint="default"/>
          <w:spacing w:val="-47"/>
        </w:rPr>
        <w:t> </w:t>
      </w:r>
      <w:r>
        <w:rPr/>
        <w:t>年</w:t>
      </w:r>
      <w:r>
        <w:rPr>
          <w:spacing w:val="-46"/>
        </w:rPr>
        <w:t> </w:t>
      </w:r>
      <w:r>
        <w:rPr>
          <w:rFonts w:ascii="宋体" w:hAnsi="宋体" w:cs="宋体" w:eastAsia="宋体" w:hint="default"/>
        </w:rPr>
        <w:t>1</w:t>
      </w:r>
      <w:r>
        <w:rPr>
          <w:rFonts w:ascii="宋体" w:hAnsi="宋体" w:cs="宋体" w:eastAsia="宋体" w:hint="default"/>
          <w:spacing w:val="-47"/>
        </w:rPr>
        <w:t> </w:t>
      </w:r>
      <w:r>
        <w:rPr/>
        <w:t>月</w:t>
      </w:r>
      <w:r>
        <w:rPr>
          <w:spacing w:val="-46"/>
        </w:rPr>
        <w:t> </w:t>
      </w:r>
      <w:r>
        <w:rPr>
          <w:rFonts w:ascii="宋体" w:hAnsi="宋体" w:cs="宋体" w:eastAsia="宋体" w:hint="default"/>
        </w:rPr>
        <w:t>1</w:t>
      </w:r>
      <w:r>
        <w:rPr>
          <w:rFonts w:ascii="宋体" w:hAnsi="宋体" w:cs="宋体" w:eastAsia="宋体" w:hint="default"/>
          <w:spacing w:val="-45"/>
        </w:rPr>
        <w:t> </w:t>
      </w:r>
      <w:r>
        <w:rPr/>
        <w:t>日起，全国性商业银行均要发行金融</w:t>
      </w:r>
      <w:r>
        <w:rPr>
          <w:spacing w:val="-45"/>
        </w:rPr>
        <w:t> </w:t>
      </w:r>
      <w:r>
        <w:rPr>
          <w:rFonts w:ascii="宋体" w:hAnsi="宋体" w:cs="宋体" w:eastAsia="宋体" w:hint="default"/>
        </w:rPr>
        <w:t>IC</w:t>
      </w:r>
      <w:r>
        <w:rPr>
          <w:rFonts w:ascii="宋体" w:hAnsi="宋体" w:cs="宋体" w:eastAsia="宋体" w:hint="default"/>
          <w:spacing w:val="-45"/>
        </w:rPr>
        <w:t> </w:t>
      </w:r>
      <w:r>
        <w:rPr/>
        <w:t>芯片卡。</w:t>
      </w:r>
    </w:p>
    <w:p>
      <w:pPr>
        <w:pStyle w:val="BodyText"/>
        <w:spacing w:line="477" w:lineRule="auto" w:before="92"/>
        <w:ind w:right="1133" w:firstLine="360"/>
        <w:jc w:val="both"/>
      </w:pPr>
      <w:r>
        <w:rPr>
          <w:rFonts w:ascii="宋体" w:hAnsi="宋体" w:cs="宋体" w:eastAsia="宋体" w:hint="default"/>
        </w:rPr>
        <w:t>2011</w:t>
      </w:r>
      <w:r>
        <w:rPr>
          <w:rFonts w:ascii="宋体" w:hAnsi="宋体" w:cs="宋体" w:eastAsia="宋体" w:hint="default"/>
          <w:spacing w:val="-44"/>
        </w:rPr>
        <w:t> </w:t>
      </w:r>
      <w:r>
        <w:rPr/>
        <w:t>年</w:t>
      </w:r>
      <w:r>
        <w:rPr>
          <w:spacing w:val="-48"/>
        </w:rPr>
        <w:t> </w:t>
      </w:r>
      <w:r>
        <w:rPr>
          <w:rFonts w:ascii="宋体" w:hAnsi="宋体" w:cs="宋体" w:eastAsia="宋体" w:hint="default"/>
        </w:rPr>
        <w:t>7</w:t>
      </w:r>
      <w:r>
        <w:rPr>
          <w:rFonts w:ascii="宋体" w:hAnsi="宋体" w:cs="宋体" w:eastAsia="宋体" w:hint="default"/>
          <w:spacing w:val="-45"/>
        </w:rPr>
        <w:t> </w:t>
      </w:r>
      <w:r>
        <w:rPr/>
        <w:t>月人社部和央行联合发布了《关于社会保障卡加载金融功能的通知》，决定在社保卡上加载金融功能，根据 推进计划，</w:t>
      </w:r>
      <w:r>
        <w:rPr>
          <w:rFonts w:ascii="宋体" w:hAnsi="宋体" w:cs="宋体" w:eastAsia="宋体" w:hint="default"/>
        </w:rPr>
        <w:t>2011</w:t>
      </w:r>
      <w:r>
        <w:rPr>
          <w:rFonts w:ascii="宋体" w:hAnsi="宋体" w:cs="宋体" w:eastAsia="宋体" w:hint="default"/>
          <w:spacing w:val="-58"/>
        </w:rPr>
        <w:t> </w:t>
      </w:r>
      <w:r>
        <w:rPr/>
        <w:t>年至</w:t>
      </w:r>
      <w:r>
        <w:rPr>
          <w:spacing w:val="-61"/>
        </w:rPr>
        <w:t> </w:t>
      </w:r>
      <w:r>
        <w:rPr>
          <w:rFonts w:ascii="宋体" w:hAnsi="宋体" w:cs="宋体" w:eastAsia="宋体" w:hint="default"/>
        </w:rPr>
        <w:t>2012</w:t>
      </w:r>
      <w:r>
        <w:rPr>
          <w:rFonts w:ascii="宋体" w:hAnsi="宋体" w:cs="宋体" w:eastAsia="宋体" w:hint="default"/>
          <w:spacing w:val="-58"/>
        </w:rPr>
        <w:t> </w:t>
      </w:r>
      <w:r>
        <w:rPr/>
        <w:t>年为试点阶段，人社部和央行将共同制定社保卡加载金融功能的总体方案、标准规范，确定应用 </w:t>
      </w:r>
      <w:r>
        <w:rPr>
          <w:spacing w:val="-2"/>
        </w:rPr>
        <w:t>模式和管理机制，并在具备条件的地区进行单一芯片卡应用试点。目前，全国多个省、市均已推出加载金融功能的社会保障</w:t>
      </w:r>
      <w:r>
        <w:rPr>
          <w:spacing w:val="-66"/>
        </w:rPr>
        <w:t> </w:t>
      </w:r>
      <w:r>
        <w:rPr>
          <w:spacing w:val="-66"/>
        </w:rPr>
      </w:r>
      <w:r>
        <w:rPr/>
        <w:t>卡产品，为社保卡产品的推广提供了机遇。</w:t>
      </w:r>
    </w:p>
    <w:p>
      <w:pPr>
        <w:pStyle w:val="BodyText"/>
        <w:spacing w:line="477" w:lineRule="auto" w:before="95"/>
        <w:ind w:right="1045" w:firstLine="360"/>
        <w:jc w:val="both"/>
      </w:pPr>
      <w:r>
        <w:rPr/>
        <w:t>由于</w:t>
      </w:r>
      <w:r>
        <w:rPr>
          <w:spacing w:val="-46"/>
        </w:rPr>
        <w:t> </w:t>
      </w:r>
      <w:r>
        <w:rPr>
          <w:rFonts w:ascii="宋体" w:hAnsi="宋体" w:cs="宋体" w:eastAsia="宋体" w:hint="default"/>
        </w:rPr>
        <w:t>IC</w:t>
      </w:r>
      <w:r>
        <w:rPr>
          <w:rFonts w:ascii="宋体" w:hAnsi="宋体" w:cs="宋体" w:eastAsia="宋体" w:hint="default"/>
          <w:spacing w:val="-45"/>
        </w:rPr>
        <w:t> </w:t>
      </w:r>
      <w:r>
        <w:rPr/>
        <w:t>卡产品在生产完毕后，需根据客户需求对</w:t>
      </w:r>
      <w:r>
        <w:rPr>
          <w:spacing w:val="-45"/>
        </w:rPr>
        <w:t> </w:t>
      </w:r>
      <w:r>
        <w:rPr>
          <w:rFonts w:ascii="宋体" w:hAnsi="宋体" w:cs="宋体" w:eastAsia="宋体" w:hint="default"/>
        </w:rPr>
        <w:t>IC</w:t>
      </w:r>
      <w:r>
        <w:rPr>
          <w:rFonts w:ascii="宋体" w:hAnsi="宋体" w:cs="宋体" w:eastAsia="宋体" w:hint="default"/>
          <w:spacing w:val="-45"/>
        </w:rPr>
        <w:t> </w:t>
      </w:r>
      <w:r>
        <w:rPr/>
        <w:t>卡产品进行初始信息导入、个性化信息预置等初始化处理，因此， 伴随着各类</w:t>
      </w:r>
      <w:r>
        <w:rPr>
          <w:spacing w:val="-46"/>
        </w:rPr>
        <w:t> </w:t>
      </w:r>
      <w:r>
        <w:rPr>
          <w:rFonts w:ascii="宋体" w:hAnsi="宋体" w:cs="宋体" w:eastAsia="宋体" w:hint="default"/>
        </w:rPr>
        <w:t>IC</w:t>
      </w:r>
      <w:r>
        <w:rPr>
          <w:rFonts w:ascii="宋体" w:hAnsi="宋体" w:cs="宋体" w:eastAsia="宋体" w:hint="default"/>
          <w:spacing w:val="-46"/>
        </w:rPr>
        <w:t> </w:t>
      </w:r>
      <w:r>
        <w:rPr/>
        <w:t>卡产品的不断涌现，</w:t>
      </w:r>
      <w:r>
        <w:rPr>
          <w:rFonts w:ascii="宋体" w:hAnsi="宋体" w:cs="宋体" w:eastAsia="宋体" w:hint="default"/>
        </w:rPr>
        <w:t>IC</w:t>
      </w:r>
      <w:r>
        <w:rPr>
          <w:rFonts w:ascii="宋体" w:hAnsi="宋体" w:cs="宋体" w:eastAsia="宋体" w:hint="default"/>
          <w:spacing w:val="-46"/>
        </w:rPr>
        <w:t> </w:t>
      </w:r>
      <w:r>
        <w:rPr/>
        <w:t>卡产品的初始化处理的需求也日益增加。</w:t>
      </w:r>
    </w:p>
    <w:p>
      <w:pPr>
        <w:pStyle w:val="BodyText"/>
        <w:spacing w:line="240" w:lineRule="auto" w:before="95"/>
        <w:ind w:left="513" w:right="0"/>
        <w:jc w:val="left"/>
      </w:pPr>
      <w:r>
        <w:rPr/>
        <w:t>上述新型卡类产品的推出，扩大了卡类产品的市场容量，为公司未来的发展提供了较大的空间。</w:t>
      </w:r>
    </w:p>
    <w:p>
      <w:pPr>
        <w:spacing w:line="240" w:lineRule="auto" w:before="9"/>
        <w:rPr>
          <w:rFonts w:ascii="宋体" w:hAnsi="宋体" w:cs="宋体" w:eastAsia="宋体" w:hint="default"/>
          <w:sz w:val="20"/>
          <w:szCs w:val="20"/>
        </w:rPr>
      </w:pPr>
    </w:p>
    <w:p>
      <w:pPr>
        <w:pStyle w:val="BodyText"/>
        <w:spacing w:line="518" w:lineRule="auto"/>
        <w:ind w:left="513" w:right="5713"/>
        <w:jc w:val="left"/>
      </w:pPr>
      <w:r>
        <w:rPr/>
        <w:t>（</w:t>
      </w:r>
      <w:r>
        <w:rPr>
          <w:rFonts w:ascii="宋体" w:hAnsi="宋体" w:cs="宋体" w:eastAsia="宋体" w:hint="default"/>
        </w:rPr>
        <w:t>2</w:t>
      </w:r>
      <w:r>
        <w:rPr/>
        <w:t>）行业竞争格局 商业票据市场需求不断增长，产品供求状况呈现如下特点：</w:t>
      </w:r>
    </w:p>
    <w:p>
      <w:pPr>
        <w:pStyle w:val="BodyText"/>
        <w:spacing w:line="477" w:lineRule="auto" w:before="64"/>
        <w:ind w:right="1134" w:firstLine="360"/>
        <w:jc w:val="both"/>
      </w:pPr>
      <w:r>
        <w:rPr>
          <w:spacing w:val="-2"/>
        </w:rPr>
        <w:t>①低技术含量的票据（如存取款凭条、普通发票等）进入门槛低，对设备和技术的要求不高，许多地方性的小型印刷企</w:t>
      </w:r>
      <w:r>
        <w:rPr/>
        <w:t> 业进入该领域，市场趋于饱和，竞争激烈，出现供大于求的现象。</w:t>
      </w:r>
    </w:p>
    <w:p>
      <w:pPr>
        <w:pStyle w:val="BodyText"/>
        <w:spacing w:line="477" w:lineRule="auto" w:before="92"/>
        <w:ind w:right="1133" w:firstLine="360"/>
        <w:jc w:val="both"/>
      </w:pPr>
      <w:r>
        <w:rPr>
          <w:spacing w:val="-2"/>
        </w:rPr>
        <w:t>②高端商业票据工艺较为复杂，防伪技术要求较高，由于受到技术、资金、设备、管理等条件的限制，小型企业很难进</w:t>
      </w:r>
      <w:r>
        <w:rPr/>
        <w:t> 入中高端票据市场，因此，行业供需基本稳定。</w:t>
      </w:r>
    </w:p>
    <w:p>
      <w:pPr>
        <w:pStyle w:val="BodyText"/>
        <w:spacing w:line="477" w:lineRule="auto" w:before="95"/>
        <w:ind w:right="1133" w:firstLine="360"/>
        <w:jc w:val="both"/>
      </w:pPr>
      <w:r>
        <w:rPr>
          <w:spacing w:val="-2"/>
        </w:rPr>
        <w:t>③随着数字印刷技术的进步，信息产业的快速发展以及金融、电信等行业客户需求逐渐向数字化、个性化、彩色化方向</w:t>
      </w:r>
      <w:r>
        <w:rPr/>
        <w:t> 发展，以</w:t>
      </w:r>
      <w:r>
        <w:rPr>
          <w:spacing w:val="-46"/>
        </w:rPr>
        <w:t> </w:t>
      </w:r>
      <w:r>
        <w:rPr>
          <w:rFonts w:ascii="宋体" w:hAnsi="宋体" w:cs="宋体" w:eastAsia="宋体" w:hint="default"/>
        </w:rPr>
        <w:t>RFID</w:t>
      </w:r>
      <w:r>
        <w:rPr>
          <w:rFonts w:ascii="宋体" w:hAnsi="宋体" w:cs="宋体" w:eastAsia="宋体" w:hint="default"/>
          <w:spacing w:val="-45"/>
        </w:rPr>
        <w:t> </w:t>
      </w:r>
      <w:r>
        <w:rPr/>
        <w:t>为代表的智能标签、个性化彩印为代表的彩印产品、以账单打印和直邮为代表的数据产品、以智能卡为代表</w:t>
      </w:r>
    </w:p>
    <w:p>
      <w:pPr>
        <w:pStyle w:val="BodyText"/>
        <w:spacing w:line="240" w:lineRule="auto" w:before="54"/>
        <w:ind w:right="0"/>
        <w:jc w:val="both"/>
      </w:pPr>
      <w:r>
        <w:rPr/>
        <w:t>的卡类产品等细分行业需求快速增长。行业内主要企业近年来均加大了在上述领域的投资，总体上上述细分市场领域均处于</w:t>
      </w:r>
    </w:p>
    <w:p>
      <w:pPr>
        <w:spacing w:after="0" w:line="240" w:lineRule="auto"/>
        <w:jc w:val="both"/>
        <w:sectPr>
          <w:pgSz w:w="11910" w:h="16840"/>
          <w:pgMar w:header="877" w:footer="1270" w:top="1060" w:bottom="14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23"/>
        <w:jc w:val="left"/>
      </w:pPr>
      <w:r>
        <w:rPr>
          <w:spacing w:val="-2"/>
        </w:rPr>
        <w:t>高速成长初期，表现出需求拉动的特点。各商业票证生产厂商均积极地开发新产品、新的业务领域，通过多元化发展来带动</w:t>
      </w:r>
      <w:r>
        <w:rPr>
          <w:spacing w:val="-65"/>
        </w:rPr>
        <w:t> </w:t>
      </w:r>
      <w:r>
        <w:rPr>
          <w:spacing w:val="-65"/>
        </w:rPr>
      </w:r>
      <w:r>
        <w:rPr/>
        <w:t>企业发展。</w:t>
      </w:r>
    </w:p>
    <w:p>
      <w:pPr>
        <w:pStyle w:val="BodyText"/>
        <w:spacing w:line="516" w:lineRule="auto" w:before="95"/>
        <w:ind w:left="513" w:right="0"/>
        <w:jc w:val="left"/>
      </w:pPr>
      <w:r>
        <w:rPr>
          <w:rFonts w:ascii="宋体" w:hAnsi="宋体" w:cs="宋体" w:eastAsia="宋体" w:hint="default"/>
        </w:rPr>
        <w:t>2</w:t>
      </w:r>
      <w:r>
        <w:rPr/>
        <w:t>、公司的发展战略 </w:t>
      </w:r>
      <w:r>
        <w:rPr>
          <w:spacing w:val="-2"/>
        </w:rPr>
        <w:t>本公司秉承“市场唯先、用户至上”经营思想，以市场为导向，以管理为后盾，依托电子信息产业发展，针对当前票据</w:t>
      </w:r>
    </w:p>
    <w:p>
      <w:pPr>
        <w:pStyle w:val="BodyText"/>
        <w:spacing w:line="477" w:lineRule="auto" w:before="25"/>
        <w:ind w:right="0"/>
        <w:jc w:val="left"/>
      </w:pPr>
      <w:r>
        <w:rPr>
          <w:spacing w:val="-2"/>
        </w:rPr>
        <w:t>产品的发展趋势，不断加大科研创新力度，提高产品技术含量，通过开发智能卡、个性化彩印、电子帐单等新产品，提高智</w:t>
      </w:r>
      <w:r>
        <w:rPr>
          <w:spacing w:val="-67"/>
        </w:rPr>
        <w:t> </w:t>
      </w:r>
      <w:r>
        <w:rPr>
          <w:spacing w:val="-67"/>
        </w:rPr>
      </w:r>
      <w:r>
        <w:rPr/>
        <w:t>能标签、数据处理、智能卡等产品的市场份额，全面提升公司的竞争能力，保持公司长期可持续发展。</w:t>
      </w:r>
    </w:p>
    <w:p>
      <w:pPr>
        <w:pStyle w:val="BodyText"/>
        <w:spacing w:line="477" w:lineRule="auto" w:before="95"/>
        <w:ind w:right="0" w:firstLine="360"/>
        <w:jc w:val="left"/>
      </w:pPr>
      <w:r>
        <w:rPr>
          <w:spacing w:val="-4"/>
        </w:rPr>
        <w:t>公司的经营战略是进一步巩固公司在国内票据印刷行业内的领先地位，推进募集资金投资项目的实施，大力发展新产品，</w:t>
      </w:r>
      <w:r>
        <w:rPr/>
        <w:t> 实现由传统的商业票证供应商向整体方案服务商转型，保持经营业绩的稳步增长。</w:t>
      </w:r>
    </w:p>
    <w:p>
      <w:pPr>
        <w:pStyle w:val="BodyText"/>
        <w:spacing w:line="240" w:lineRule="auto" w:before="95"/>
        <w:ind w:left="513" w:right="0"/>
        <w:jc w:val="left"/>
      </w:pPr>
      <w:r>
        <w:rPr>
          <w:rFonts w:ascii="宋体" w:hAnsi="宋体" w:cs="宋体" w:eastAsia="宋体" w:hint="default"/>
        </w:rPr>
        <w:t>3</w:t>
      </w:r>
      <w:r>
        <w:rPr/>
        <w:t>、</w:t>
      </w:r>
      <w:r>
        <w:rPr>
          <w:rFonts w:ascii="宋体" w:hAnsi="宋体" w:cs="宋体" w:eastAsia="宋体" w:hint="default"/>
        </w:rPr>
        <w:t>2013</w:t>
      </w:r>
      <w:r>
        <w:rPr>
          <w:rFonts w:ascii="宋体" w:hAnsi="宋体" w:cs="宋体" w:eastAsia="宋体" w:hint="default"/>
          <w:spacing w:val="-49"/>
        </w:rPr>
        <w:t> </w:t>
      </w:r>
      <w:r>
        <w:rPr/>
        <w:t>年经营计划和主要目标</w:t>
      </w:r>
    </w:p>
    <w:p>
      <w:pPr>
        <w:spacing w:line="240" w:lineRule="auto" w:before="9"/>
        <w:rPr>
          <w:rFonts w:ascii="宋体" w:hAnsi="宋体" w:cs="宋体" w:eastAsia="宋体" w:hint="default"/>
          <w:sz w:val="20"/>
          <w:szCs w:val="20"/>
        </w:rPr>
      </w:pPr>
    </w:p>
    <w:p>
      <w:pPr>
        <w:pStyle w:val="BodyText"/>
        <w:spacing w:line="477" w:lineRule="auto"/>
        <w:ind w:right="1125" w:firstLine="360"/>
        <w:jc w:val="left"/>
      </w:pPr>
      <w:r>
        <w:rPr/>
        <w:t>（</w:t>
      </w:r>
      <w:r>
        <w:rPr>
          <w:rFonts w:ascii="宋体" w:hAnsi="宋体" w:cs="宋体" w:eastAsia="宋体" w:hint="default"/>
        </w:rPr>
        <w:t>1</w:t>
      </w:r>
      <w:r>
        <w:rPr/>
        <w:t>）</w:t>
      </w:r>
      <w:r>
        <w:rPr>
          <w:spacing w:val="-1"/>
        </w:rPr>
        <w:t> </w:t>
      </w:r>
      <w:r>
        <w:rPr/>
        <w:t>将智能卡产品作为公司重点发展的产品，大力开拓金融</w:t>
      </w:r>
      <w:r>
        <w:rPr>
          <w:spacing w:val="-45"/>
        </w:rPr>
        <w:t> </w:t>
      </w:r>
      <w:r>
        <w:rPr>
          <w:rFonts w:ascii="宋体" w:hAnsi="宋体" w:cs="宋体" w:eastAsia="宋体" w:hint="default"/>
        </w:rPr>
        <w:t>IC</w:t>
      </w:r>
      <w:r>
        <w:rPr>
          <w:rFonts w:ascii="宋体" w:hAnsi="宋体" w:cs="宋体" w:eastAsia="宋体" w:hint="default"/>
          <w:spacing w:val="-45"/>
        </w:rPr>
        <w:t> </w:t>
      </w:r>
      <w:r>
        <w:rPr/>
        <w:t>卡、社保卡等卡类产品市场，提升公司卡类产品的个 性化处理和初始化处理能力，提升市场占有率，争取早日实现预期效益。</w:t>
      </w:r>
    </w:p>
    <w:p>
      <w:pPr>
        <w:pStyle w:val="BodyText"/>
        <w:spacing w:line="477" w:lineRule="auto" w:before="95"/>
        <w:ind w:right="1121" w:firstLine="360"/>
        <w:jc w:val="left"/>
      </w:pPr>
      <w:r>
        <w:rPr/>
        <w:t>（</w:t>
      </w:r>
      <w:r>
        <w:rPr>
          <w:rFonts w:ascii="宋体" w:hAnsi="宋体" w:cs="宋体" w:eastAsia="宋体" w:hint="default"/>
        </w:rPr>
        <w:t>2</w:t>
      </w:r>
      <w:r>
        <w:rPr/>
        <w:t>）</w:t>
      </w:r>
      <w:r>
        <w:rPr>
          <w:spacing w:val="11"/>
        </w:rPr>
        <w:t> </w:t>
      </w:r>
      <w:r>
        <w:rPr>
          <w:spacing w:val="-2"/>
        </w:rPr>
        <w:t>进一步提升公司的综合服务能力和水平，通过提供票证、彩印、卡类、数据处理、打印服务等“一站式”服务方</w:t>
      </w:r>
      <w:r>
        <w:rPr/>
        <w:t> 案，逐步向整体方案提供商转型。</w:t>
      </w:r>
    </w:p>
    <w:p>
      <w:pPr>
        <w:pStyle w:val="BodyText"/>
        <w:spacing w:line="477" w:lineRule="auto" w:before="95"/>
        <w:ind w:right="1128" w:firstLine="360"/>
        <w:jc w:val="left"/>
      </w:pPr>
      <w:r>
        <w:rPr/>
        <w:t>（</w:t>
      </w:r>
      <w:r>
        <w:rPr>
          <w:rFonts w:ascii="宋体" w:hAnsi="宋体" w:cs="宋体" w:eastAsia="宋体" w:hint="default"/>
        </w:rPr>
        <w:t>3</w:t>
      </w:r>
      <w:r>
        <w:rPr/>
        <w:t>）</w:t>
      </w:r>
      <w:r>
        <w:rPr>
          <w:spacing w:val="-2"/>
        </w:rPr>
        <w:t> </w:t>
      </w:r>
      <w:r>
        <w:rPr/>
        <w:t>在国家大力推进物联网发展的背景下，进一步发展</w:t>
      </w:r>
      <w:r>
        <w:rPr>
          <w:spacing w:val="-47"/>
        </w:rPr>
        <w:t> </w:t>
      </w:r>
      <w:r>
        <w:rPr>
          <w:rFonts w:ascii="宋体" w:hAnsi="宋体" w:cs="宋体" w:eastAsia="宋体" w:hint="default"/>
        </w:rPr>
        <w:t>RFID</w:t>
      </w:r>
      <w:r>
        <w:rPr>
          <w:rFonts w:ascii="宋体" w:hAnsi="宋体" w:cs="宋体" w:eastAsia="宋体" w:hint="default"/>
          <w:spacing w:val="-45"/>
        </w:rPr>
        <w:t> </w:t>
      </w:r>
      <w:r>
        <w:rPr/>
        <w:t>标签产品，通过开拓新的产品领域、引导客户升级换代 等举措，增加</w:t>
      </w:r>
      <w:r>
        <w:rPr>
          <w:spacing w:val="-46"/>
        </w:rPr>
        <w:t> </w:t>
      </w:r>
      <w:r>
        <w:rPr>
          <w:rFonts w:ascii="宋体" w:hAnsi="宋体" w:cs="宋体" w:eastAsia="宋体" w:hint="default"/>
        </w:rPr>
        <w:t>RFID</w:t>
      </w:r>
      <w:r>
        <w:rPr>
          <w:rFonts w:ascii="宋体" w:hAnsi="宋体" w:cs="宋体" w:eastAsia="宋体" w:hint="default"/>
          <w:spacing w:val="-45"/>
        </w:rPr>
        <w:t> </w:t>
      </w:r>
      <w:r>
        <w:rPr/>
        <w:t>产品的销售收入，进一步扩大</w:t>
      </w:r>
      <w:r>
        <w:rPr>
          <w:spacing w:val="-46"/>
        </w:rPr>
        <w:t> </w:t>
      </w:r>
      <w:r>
        <w:rPr>
          <w:rFonts w:ascii="宋体" w:hAnsi="宋体" w:cs="宋体" w:eastAsia="宋体" w:hint="default"/>
        </w:rPr>
        <w:t>RFID</w:t>
      </w:r>
      <w:r>
        <w:rPr>
          <w:rFonts w:ascii="宋体" w:hAnsi="宋体" w:cs="宋体" w:eastAsia="宋体" w:hint="default"/>
          <w:spacing w:val="-45"/>
        </w:rPr>
        <w:t> </w:t>
      </w:r>
      <w:r>
        <w:rPr/>
        <w:t>标签产品的市场份额。</w:t>
      </w:r>
    </w:p>
    <w:p>
      <w:pPr>
        <w:pStyle w:val="BodyText"/>
        <w:spacing w:line="240" w:lineRule="auto" w:before="93"/>
        <w:ind w:left="513" w:right="0"/>
        <w:jc w:val="left"/>
      </w:pPr>
      <w:r>
        <w:rPr>
          <w:rFonts w:ascii="宋体" w:hAnsi="宋体" w:cs="宋体" w:eastAsia="宋体" w:hint="default"/>
        </w:rPr>
        <w:t>4</w:t>
      </w:r>
      <w:r>
        <w:rPr/>
        <w:t>、为实现公司发展战略的资金使用安排</w:t>
      </w:r>
    </w:p>
    <w:p>
      <w:pPr>
        <w:spacing w:line="240" w:lineRule="auto" w:before="12"/>
        <w:rPr>
          <w:rFonts w:ascii="宋体" w:hAnsi="宋体" w:cs="宋体" w:eastAsia="宋体" w:hint="default"/>
          <w:sz w:val="20"/>
          <w:szCs w:val="20"/>
        </w:rPr>
      </w:pPr>
    </w:p>
    <w:p>
      <w:pPr>
        <w:pStyle w:val="BodyText"/>
        <w:spacing w:line="240" w:lineRule="auto"/>
        <w:ind w:left="513" w:right="0"/>
        <w:jc w:val="left"/>
      </w:pPr>
      <w:r>
        <w:rPr>
          <w:rFonts w:ascii="宋体" w:hAnsi="宋体" w:cs="宋体" w:eastAsia="宋体" w:hint="default"/>
        </w:rPr>
        <w:t>2013</w:t>
      </w:r>
      <w:r>
        <w:rPr>
          <w:rFonts w:ascii="宋体" w:hAnsi="宋体" w:cs="宋体" w:eastAsia="宋体" w:hint="default"/>
          <w:spacing w:val="-46"/>
        </w:rPr>
        <w:t> </w:t>
      </w:r>
      <w:r>
        <w:rPr/>
        <w:t>年公司将根据新兴市场的发展情况，推进各项目的发展，具体投资计划如下：</w:t>
      </w:r>
    </w:p>
    <w:p>
      <w:pPr>
        <w:spacing w:line="240" w:lineRule="auto" w:before="12"/>
        <w:rPr>
          <w:rFonts w:ascii="宋体" w:hAnsi="宋体" w:cs="宋体" w:eastAsia="宋体" w:hint="default"/>
          <w:sz w:val="20"/>
          <w:szCs w:val="20"/>
        </w:rPr>
      </w:pPr>
    </w:p>
    <w:p>
      <w:pPr>
        <w:pStyle w:val="BodyText"/>
        <w:spacing w:line="240" w:lineRule="auto"/>
        <w:ind w:left="513" w:right="0"/>
        <w:jc w:val="left"/>
      </w:pPr>
      <w:r>
        <w:rPr/>
        <w:t>（</w:t>
      </w:r>
      <w:r>
        <w:rPr>
          <w:rFonts w:ascii="宋体" w:hAnsi="宋体" w:cs="宋体" w:eastAsia="宋体" w:hint="default"/>
        </w:rPr>
        <w:t>1</w:t>
      </w:r>
      <w:r>
        <w:rPr/>
        <w:t>）生产设备技术升级改造，计划投资</w:t>
      </w:r>
      <w:r>
        <w:rPr>
          <w:spacing w:val="-45"/>
        </w:rPr>
        <w:t> </w:t>
      </w:r>
      <w:r>
        <w:rPr>
          <w:rFonts w:ascii="宋体" w:hAnsi="宋体" w:cs="宋体" w:eastAsia="宋体" w:hint="default"/>
        </w:rPr>
        <w:t>5,000</w:t>
      </w:r>
      <w:r>
        <w:rPr>
          <w:rFonts w:ascii="宋体" w:hAnsi="宋体" w:cs="宋体" w:eastAsia="宋体" w:hint="default"/>
          <w:spacing w:val="-44"/>
        </w:rPr>
        <w:t> </w:t>
      </w:r>
      <w:r>
        <w:rPr/>
        <w:t>万元；</w:t>
      </w:r>
    </w:p>
    <w:p>
      <w:pPr>
        <w:spacing w:line="240" w:lineRule="auto" w:before="9"/>
        <w:rPr>
          <w:rFonts w:ascii="宋体" w:hAnsi="宋体" w:cs="宋体" w:eastAsia="宋体" w:hint="default"/>
          <w:sz w:val="20"/>
          <w:szCs w:val="20"/>
        </w:rPr>
      </w:pPr>
    </w:p>
    <w:p>
      <w:pPr>
        <w:pStyle w:val="BodyText"/>
        <w:spacing w:line="240" w:lineRule="auto"/>
        <w:ind w:left="513" w:right="0"/>
        <w:jc w:val="left"/>
      </w:pPr>
      <w:r>
        <w:rPr/>
        <w:t>（</w:t>
      </w:r>
      <w:r>
        <w:rPr>
          <w:rFonts w:ascii="宋体" w:hAnsi="宋体" w:cs="宋体" w:eastAsia="宋体" w:hint="default"/>
        </w:rPr>
        <w:t>2</w:t>
      </w:r>
      <w:r>
        <w:rPr/>
        <w:t>）济南临港开发区二期项目建设，计划投资</w:t>
      </w:r>
      <w:r>
        <w:rPr>
          <w:spacing w:val="-45"/>
        </w:rPr>
        <w:t> </w:t>
      </w:r>
      <w:r>
        <w:rPr>
          <w:rFonts w:ascii="宋体" w:hAnsi="宋体" w:cs="宋体" w:eastAsia="宋体" w:hint="default"/>
        </w:rPr>
        <w:t>2,500</w:t>
      </w:r>
      <w:r>
        <w:rPr>
          <w:rFonts w:ascii="宋体" w:hAnsi="宋体" w:cs="宋体" w:eastAsia="宋体" w:hint="default"/>
          <w:spacing w:val="-44"/>
        </w:rPr>
        <w:t> </w:t>
      </w:r>
      <w:r>
        <w:rPr/>
        <w:t>万元；</w:t>
      </w:r>
    </w:p>
    <w:p>
      <w:pPr>
        <w:spacing w:line="240" w:lineRule="auto" w:before="12"/>
        <w:rPr>
          <w:rFonts w:ascii="宋体" w:hAnsi="宋体" w:cs="宋体" w:eastAsia="宋体" w:hint="default"/>
          <w:sz w:val="20"/>
          <w:szCs w:val="20"/>
        </w:rPr>
      </w:pPr>
    </w:p>
    <w:p>
      <w:pPr>
        <w:pStyle w:val="BodyText"/>
        <w:spacing w:line="240" w:lineRule="auto"/>
        <w:ind w:left="513" w:right="0"/>
        <w:jc w:val="left"/>
      </w:pPr>
      <w:r>
        <w:rPr/>
        <w:t>（</w:t>
      </w:r>
      <w:r>
        <w:rPr>
          <w:rFonts w:ascii="宋体" w:hAnsi="宋体" w:cs="宋体" w:eastAsia="宋体" w:hint="default"/>
        </w:rPr>
        <w:t>3</w:t>
      </w:r>
      <w:r>
        <w:rPr/>
        <w:t>）上海东港数据处理公司前期建设，计划投资</w:t>
      </w:r>
      <w:r>
        <w:rPr>
          <w:spacing w:val="-46"/>
        </w:rPr>
        <w:t> </w:t>
      </w:r>
      <w:r>
        <w:rPr>
          <w:rFonts w:ascii="宋体" w:hAnsi="宋体" w:cs="宋体" w:eastAsia="宋体" w:hint="default"/>
        </w:rPr>
        <w:t>4,000</w:t>
      </w:r>
      <w:r>
        <w:rPr>
          <w:rFonts w:ascii="宋体" w:hAnsi="宋体" w:cs="宋体" w:eastAsia="宋体" w:hint="default"/>
          <w:spacing w:val="-45"/>
        </w:rPr>
        <w:t> </w:t>
      </w:r>
      <w:r>
        <w:rPr/>
        <w:t>万元；</w:t>
      </w:r>
    </w:p>
    <w:p>
      <w:pPr>
        <w:spacing w:line="240" w:lineRule="auto" w:before="12"/>
        <w:rPr>
          <w:rFonts w:ascii="宋体" w:hAnsi="宋体" w:cs="宋体" w:eastAsia="宋体" w:hint="default"/>
          <w:sz w:val="20"/>
          <w:szCs w:val="20"/>
        </w:rPr>
      </w:pPr>
    </w:p>
    <w:p>
      <w:pPr>
        <w:pStyle w:val="BodyText"/>
        <w:spacing w:line="240" w:lineRule="auto"/>
        <w:ind w:left="513" w:right="0"/>
        <w:jc w:val="left"/>
      </w:pPr>
      <w:r>
        <w:rPr>
          <w:rFonts w:ascii="宋体" w:hAnsi="宋体" w:cs="宋体" w:eastAsia="宋体" w:hint="default"/>
        </w:rPr>
        <w:t>2013</w:t>
      </w:r>
      <w:r>
        <w:rPr>
          <w:rFonts w:ascii="宋体" w:hAnsi="宋体" w:cs="宋体" w:eastAsia="宋体" w:hint="default"/>
          <w:spacing w:val="-45"/>
        </w:rPr>
        <w:t> </w:t>
      </w:r>
      <w:r>
        <w:rPr/>
        <w:t>年预计投资总额</w:t>
      </w:r>
      <w:r>
        <w:rPr>
          <w:spacing w:val="-49"/>
        </w:rPr>
        <w:t> </w:t>
      </w:r>
      <w:r>
        <w:rPr>
          <w:rFonts w:ascii="宋体" w:hAnsi="宋体" w:cs="宋体" w:eastAsia="宋体" w:hint="default"/>
        </w:rPr>
        <w:t>11,500</w:t>
      </w:r>
      <w:r>
        <w:rPr>
          <w:rFonts w:ascii="宋体" w:hAnsi="宋体" w:cs="宋体" w:eastAsia="宋体" w:hint="default"/>
          <w:spacing w:val="-47"/>
        </w:rPr>
        <w:t> </w:t>
      </w:r>
      <w:r>
        <w:rPr/>
        <w:t>万元。</w:t>
      </w:r>
    </w:p>
    <w:p>
      <w:pPr>
        <w:spacing w:line="240" w:lineRule="auto" w:before="9"/>
        <w:rPr>
          <w:rFonts w:ascii="宋体" w:hAnsi="宋体" w:cs="宋体" w:eastAsia="宋体" w:hint="default"/>
          <w:sz w:val="20"/>
          <w:szCs w:val="20"/>
        </w:rPr>
      </w:pPr>
    </w:p>
    <w:p>
      <w:pPr>
        <w:pStyle w:val="BodyText"/>
        <w:spacing w:line="240" w:lineRule="auto"/>
        <w:ind w:left="513" w:right="0"/>
        <w:jc w:val="left"/>
      </w:pPr>
      <w:r>
        <w:rPr>
          <w:rFonts w:ascii="宋体" w:hAnsi="宋体" w:cs="宋体" w:eastAsia="宋体" w:hint="default"/>
        </w:rPr>
        <w:t>5</w:t>
      </w:r>
      <w:r>
        <w:rPr/>
        <w:t>、公司面临的风险及应对措施</w:t>
      </w:r>
    </w:p>
    <w:p>
      <w:pPr>
        <w:spacing w:line="240" w:lineRule="auto" w:before="12"/>
        <w:rPr>
          <w:rFonts w:ascii="宋体" w:hAnsi="宋体" w:cs="宋体" w:eastAsia="宋体" w:hint="default"/>
          <w:sz w:val="20"/>
          <w:szCs w:val="20"/>
        </w:rPr>
      </w:pPr>
    </w:p>
    <w:p>
      <w:pPr>
        <w:pStyle w:val="BodyText"/>
        <w:spacing w:line="518" w:lineRule="auto"/>
        <w:ind w:left="513" w:right="4453"/>
        <w:jc w:val="left"/>
      </w:pPr>
      <w:r>
        <w:rPr/>
        <w:t>（</w:t>
      </w:r>
      <w:r>
        <w:rPr>
          <w:rFonts w:ascii="宋体" w:hAnsi="宋体" w:cs="宋体" w:eastAsia="宋体" w:hint="default"/>
        </w:rPr>
        <w:t>1</w:t>
      </w:r>
      <w:r>
        <w:rPr/>
        <w:t>） 宏观经济增长趋缓，影响公司业绩的提升 应对措施：加强市场开拓力度，通过开发新客户、新产品，提高销售业绩。</w:t>
      </w:r>
    </w:p>
    <w:p>
      <w:pPr>
        <w:pStyle w:val="BodyText"/>
        <w:spacing w:line="518" w:lineRule="auto" w:before="62"/>
        <w:ind w:left="513" w:right="1118"/>
        <w:jc w:val="left"/>
      </w:pPr>
      <w:r>
        <w:rPr/>
        <w:t>（</w:t>
      </w:r>
      <w:r>
        <w:rPr>
          <w:rFonts w:ascii="宋体" w:hAnsi="宋体" w:cs="宋体" w:eastAsia="宋体" w:hint="default"/>
        </w:rPr>
        <w:t>2</w:t>
      </w:r>
      <w:r>
        <w:rPr/>
        <w:t>）市场竞争日趋激烈，产品价格存在下降的趋势 </w:t>
      </w:r>
      <w:r>
        <w:rPr>
          <w:spacing w:val="-5"/>
        </w:rPr>
        <w:t>应对措施：控制原材料消耗及各项费用，降低产品成本，提供差异化和综合化服务，优化产品结构，稳定产品盈利水平。</w:t>
      </w:r>
    </w:p>
    <w:p>
      <w:pPr>
        <w:pStyle w:val="BodyText"/>
        <w:spacing w:line="240" w:lineRule="auto" w:before="64"/>
        <w:ind w:left="513" w:right="0"/>
        <w:jc w:val="left"/>
      </w:pPr>
      <w:r>
        <w:rPr/>
        <w:t>（</w:t>
      </w:r>
      <w:r>
        <w:rPr>
          <w:rFonts w:ascii="宋体" w:hAnsi="宋体" w:cs="宋体" w:eastAsia="宋体" w:hint="default"/>
        </w:rPr>
        <w:t>3</w:t>
      </w:r>
      <w:r>
        <w:rPr/>
        <w:t>）智能卡等新业务在市场竞争中仍需要积累经验</w:t>
      </w:r>
    </w:p>
    <w:p>
      <w:pPr>
        <w:spacing w:line="240" w:lineRule="auto" w:before="9"/>
        <w:rPr>
          <w:rFonts w:ascii="宋体" w:hAnsi="宋体" w:cs="宋体" w:eastAsia="宋体" w:hint="default"/>
          <w:sz w:val="20"/>
          <w:szCs w:val="20"/>
        </w:rPr>
      </w:pPr>
    </w:p>
    <w:p>
      <w:pPr>
        <w:pStyle w:val="BodyText"/>
        <w:spacing w:line="240" w:lineRule="auto"/>
        <w:ind w:left="513" w:right="0"/>
        <w:jc w:val="left"/>
      </w:pPr>
      <w:r>
        <w:rPr/>
        <w:t>应对措施：调集公司优势资源，从资金、人才、技术等多个方面，完善新产品的研发、销售、生产、质量等各个环节，</w:t>
      </w:r>
    </w:p>
    <w:p>
      <w:pPr>
        <w:spacing w:after="0" w:line="240" w:lineRule="auto"/>
        <w:jc w:val="left"/>
        <w:sectPr>
          <w:footerReference w:type="default" r:id="rId29"/>
          <w:pgSz w:w="11910" w:h="16840"/>
          <w:pgMar w:footer="1262" w:header="877" w:top="1060" w:bottom="1460" w:left="980" w:right="0"/>
          <w:pgNumType w:start="22"/>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both"/>
      </w:pPr>
      <w:r>
        <w:rPr/>
        <w:t>加强内部管理流程，促进新业务的发展。</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both"/>
        <w:rPr>
          <w:b w:val="0"/>
          <w:bCs w:val="0"/>
        </w:rPr>
      </w:pPr>
      <w:r>
        <w:rPr/>
        <w:t>八、董事会对会计师事务所本报告期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both"/>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九、与上年度财务报告相比，会计政策、会计估计和核算方法发生变化的情况说明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十、报告期内发生重大会计差错更正需追溯重述的情况说明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十一、与上年度财务报告相比，合并报表范围发生变化的情况说明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与上年度财务报告相比，本公司财务报表合并范围未发生变化。</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十二、公司利润分配及分红派息情况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436" w:lineRule="auto"/>
        <w:ind w:left="513" w:right="0" w:hanging="361"/>
        <w:jc w:val="left"/>
      </w:pPr>
      <w:r>
        <w:rPr/>
        <w:t>报告期内利润分配政策特别是现金分红政策的制定、执行或调整情况： </w:t>
      </w:r>
      <w:r>
        <w:rPr>
          <w:spacing w:val="-2"/>
        </w:rPr>
        <w:t>报告期内，公司根据中国证券监督管理委员会、深圳证券交易所和山东证监局的有关规定，公司对《公司章程》中关于</w:t>
      </w:r>
    </w:p>
    <w:p>
      <w:pPr>
        <w:pStyle w:val="BodyText"/>
        <w:spacing w:line="477" w:lineRule="auto" w:before="85"/>
        <w:ind w:right="1131"/>
        <w:jc w:val="both"/>
      </w:pPr>
      <w:r>
        <w:rPr/>
        <w:t>利润分配政策的部分条款作出修订，对现金分红政策进行了进一步的细化，并制定了《</w:t>
      </w:r>
      <w:r>
        <w:rPr>
          <w:rFonts w:ascii="宋体" w:hAnsi="宋体" w:cs="宋体" w:eastAsia="宋体" w:hint="default"/>
        </w:rPr>
        <w:t>2012-2014</w:t>
      </w:r>
      <w:r>
        <w:rPr>
          <w:rFonts w:ascii="宋体" w:hAnsi="宋体" w:cs="宋体" w:eastAsia="宋体" w:hint="default"/>
          <w:spacing w:val="-53"/>
        </w:rPr>
        <w:t> </w:t>
      </w:r>
      <w:r>
        <w:rPr>
          <w:spacing w:val="-3"/>
        </w:rPr>
        <w:t>年分红回报规划》，《公</w:t>
      </w:r>
      <w:r>
        <w:rPr/>
        <w:t> </w:t>
      </w:r>
      <w:r>
        <w:rPr>
          <w:spacing w:val="-6"/>
        </w:rPr>
        <w:t>司章程》的修订及《</w:t>
      </w:r>
      <w:r>
        <w:rPr>
          <w:rFonts w:ascii="宋体" w:hAnsi="宋体" w:cs="宋体" w:eastAsia="宋体" w:hint="default"/>
          <w:spacing w:val="-6"/>
        </w:rPr>
        <w:t>2012-2014</w:t>
      </w:r>
      <w:r>
        <w:rPr>
          <w:rFonts w:ascii="宋体" w:hAnsi="宋体" w:cs="宋体" w:eastAsia="宋体" w:hint="default"/>
          <w:spacing w:val="-42"/>
        </w:rPr>
        <w:t> </w:t>
      </w:r>
      <w:r>
        <w:rPr>
          <w:spacing w:val="-5"/>
        </w:rPr>
        <w:t>年分红回报规划》已提交公司董事会、</w:t>
      </w:r>
      <w:r>
        <w:rPr>
          <w:rFonts w:ascii="宋体" w:hAnsi="宋体" w:cs="宋体" w:eastAsia="宋体" w:hint="default"/>
          <w:spacing w:val="-5"/>
        </w:rPr>
        <w:t>2012</w:t>
      </w:r>
      <w:r>
        <w:rPr>
          <w:rFonts w:ascii="宋体" w:hAnsi="宋体" w:cs="宋体" w:eastAsia="宋体" w:hint="default"/>
          <w:spacing w:val="-39"/>
        </w:rPr>
        <w:t> </w:t>
      </w:r>
      <w:r>
        <w:rPr>
          <w:spacing w:val="-3"/>
        </w:rPr>
        <w:t>年第二次临时股东大会审议通过。决策程序透明，</w:t>
      </w:r>
      <w:r>
        <w:rPr/>
        <w:t> </w:t>
      </w:r>
      <w:r>
        <w:rPr>
          <w:spacing w:val="-2"/>
        </w:rPr>
        <w:t>也符合相关要求的规定。公司利润分配政策的调整符合《公司章程》的规定，明确规定了利润分配的程序和形式、实施现金</w:t>
      </w:r>
      <w:r>
        <w:rPr>
          <w:spacing w:val="-66"/>
        </w:rPr>
        <w:t> </w:t>
      </w:r>
      <w:r>
        <w:rPr>
          <w:spacing w:val="-66"/>
        </w:rPr>
      </w:r>
      <w:r>
        <w:rPr/>
        <w:t>分红和股票分红的条件，现金分红的比例及时间间隔、现金分红政策的决策程序和机制。</w:t>
      </w:r>
    </w:p>
    <w:p>
      <w:pPr>
        <w:pStyle w:val="BodyText"/>
        <w:spacing w:line="436" w:lineRule="auto" w:before="95"/>
        <w:ind w:right="3194" w:firstLine="360"/>
        <w:jc w:val="left"/>
      </w:pPr>
      <w:r>
        <w:rPr/>
        <w:t>报告期内，公司严格执行所制定的利润分配政策，未发生违反或调整利润分配政策的情形。 本年度利润分配及资本公积金转增股本预案</w:t>
      </w:r>
    </w:p>
    <w:p>
      <w:pPr>
        <w:pStyle w:val="BodyText"/>
        <w:spacing w:line="216" w:lineRule="exact"/>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36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r>
      <w:tr>
        <w:trPr>
          <w:trHeight w:val="36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w:t>
            </w:r>
          </w:p>
        </w:tc>
      </w:tr>
      <w:tr>
        <w:trPr>
          <w:trHeight w:val="36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w:t>
            </w:r>
          </w:p>
        </w:tc>
      </w:tr>
      <w:tr>
        <w:trPr>
          <w:trHeight w:val="360"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252,748,344.00</w:t>
            </w:r>
          </w:p>
        </w:tc>
      </w:tr>
      <w:tr>
        <w:trPr>
          <w:trHeight w:val="36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50,549,668.80</w:t>
            </w:r>
          </w:p>
        </w:tc>
      </w:tr>
      <w:tr>
        <w:trPr>
          <w:trHeight w:val="36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189,416,265.25</w:t>
            </w:r>
          </w:p>
        </w:tc>
      </w:tr>
      <w:tr>
        <w:trPr>
          <w:trHeight w:val="36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986"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、按净利润的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％提取任意盈余公积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351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252,748,344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股为基数，向全体股东</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股派发现金股利</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元（含税），合计派发现金股利</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5055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万元，剩余未分配利润结转至下一年度。同时，进行资本公</w:t>
            </w:r>
          </w:p>
          <w:p>
            <w:pPr>
              <w:pStyle w:val="TableParagraph"/>
              <w:spacing w:line="240" w:lineRule="auto" w:before="62"/>
              <w:ind w:left="12" w:right="0"/>
              <w:jc w:val="left"/>
              <w:rPr>
                <w:rFonts w:ascii="宋体" w:hAnsi="宋体" w:cs="宋体" w:eastAsia="宋体" w:hint="default"/>
                <w:sz w:val="18"/>
                <w:szCs w:val="18"/>
              </w:rPr>
            </w:pPr>
            <w:r>
              <w:rPr>
                <w:rFonts w:ascii="宋体" w:hAnsi="宋体" w:cs="宋体" w:eastAsia="宋体" w:hint="default"/>
                <w:sz w:val="18"/>
                <w:szCs w:val="18"/>
              </w:rPr>
              <w:t>积金转增股本，每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股，共计转增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50,549,668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股，转增后公司总股本增至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303,298,012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877" w:footer="1262" w:top="1060" w:bottom="15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line="518" w:lineRule="auto" w:before="0"/>
        <w:ind w:left="513" w:right="1213" w:hanging="361"/>
        <w:jc w:val="left"/>
        <w:rPr>
          <w:rFonts w:ascii="宋体" w:hAnsi="宋体" w:cs="宋体" w:eastAsia="宋体" w:hint="default"/>
          <w:sz w:val="18"/>
          <w:szCs w:val="18"/>
        </w:rPr>
      </w:pPr>
      <w:r>
        <w:rPr>
          <w:rFonts w:ascii="宋体" w:hAnsi="宋体" w:cs="宋体" w:eastAsia="宋体" w:hint="default"/>
          <w:b/>
          <w:bCs/>
          <w:sz w:val="18"/>
          <w:szCs w:val="18"/>
        </w:rPr>
        <w:t>公司近</w:t>
      </w:r>
      <w:r>
        <w:rPr>
          <w:rFonts w:ascii="宋体" w:hAnsi="宋体" w:cs="宋体" w:eastAsia="宋体" w:hint="default"/>
          <w:b/>
          <w:bCs/>
          <w:spacing w:val="-46"/>
          <w:sz w:val="18"/>
          <w:szCs w:val="18"/>
        </w:rPr>
        <w:t> </w:t>
      </w:r>
      <w:r>
        <w:rPr>
          <w:rFonts w:ascii="宋体" w:hAnsi="宋体" w:cs="宋体" w:eastAsia="宋体" w:hint="default"/>
          <w:b/>
          <w:bCs/>
          <w:sz w:val="18"/>
          <w:szCs w:val="18"/>
        </w:rPr>
        <w:t>3</w:t>
      </w:r>
      <w:r>
        <w:rPr>
          <w:rFonts w:ascii="宋体" w:hAnsi="宋体" w:cs="宋体" w:eastAsia="宋体" w:hint="default"/>
          <w:b/>
          <w:bCs/>
          <w:spacing w:val="-45"/>
          <w:sz w:val="18"/>
          <w:szCs w:val="18"/>
        </w:rPr>
        <w:t> </w:t>
      </w:r>
      <w:r>
        <w:rPr>
          <w:rFonts w:ascii="宋体" w:hAnsi="宋体" w:cs="宋体" w:eastAsia="宋体" w:hint="default"/>
          <w:b/>
          <w:bCs/>
          <w:sz w:val="18"/>
          <w:szCs w:val="18"/>
        </w:rPr>
        <w:t>年（含报告期）的利润分配方案及资本公积金转增股本方案情况：</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z w:val="18"/>
          <w:szCs w:val="18"/>
        </w:rPr>
        <w:t>年度利润分配方案：按净利润的</w:t>
      </w:r>
      <w:r>
        <w:rPr>
          <w:rFonts w:ascii="宋体" w:hAnsi="宋体" w:cs="宋体" w:eastAsia="宋体" w:hint="default"/>
          <w:sz w:val="18"/>
          <w:szCs w:val="18"/>
        </w:rPr>
        <w:t>5</w:t>
      </w:r>
      <w:r>
        <w:rPr>
          <w:rFonts w:ascii="宋体" w:hAnsi="宋体" w:cs="宋体" w:eastAsia="宋体" w:hint="default"/>
          <w:sz w:val="18"/>
          <w:szCs w:val="18"/>
        </w:rPr>
        <w:t>％提取任意盈余公积</w:t>
      </w:r>
      <w:r>
        <w:rPr>
          <w:rFonts w:ascii="宋体" w:hAnsi="宋体" w:cs="宋体" w:eastAsia="宋体" w:hint="default"/>
          <w:sz w:val="18"/>
          <w:szCs w:val="18"/>
        </w:rPr>
        <w:t>291</w:t>
      </w:r>
      <w:r>
        <w:rPr>
          <w:rFonts w:ascii="宋体" w:hAnsi="宋体" w:cs="宋体" w:eastAsia="宋体" w:hint="default"/>
          <w:sz w:val="18"/>
          <w:szCs w:val="18"/>
        </w:rPr>
        <w:t>万元；以公司总股本</w:t>
      </w:r>
      <w:r>
        <w:rPr>
          <w:rFonts w:ascii="宋体" w:hAnsi="宋体" w:cs="宋体" w:eastAsia="宋体" w:hint="default"/>
          <w:sz w:val="18"/>
          <w:szCs w:val="18"/>
        </w:rPr>
        <w:t>124,124,172</w:t>
      </w:r>
      <w:r>
        <w:rPr>
          <w:rFonts w:ascii="宋体" w:hAnsi="宋体" w:cs="宋体" w:eastAsia="宋体" w:hint="default"/>
          <w:sz w:val="18"/>
          <w:szCs w:val="18"/>
        </w:rPr>
        <w:t>股为基数，按每</w:t>
      </w:r>
      <w:r>
        <w:rPr>
          <w:rFonts w:ascii="宋体" w:hAnsi="宋体" w:cs="宋体" w:eastAsia="宋体" w:hint="default"/>
          <w:sz w:val="18"/>
          <w:szCs w:val="18"/>
        </w:rPr>
        <w:t>10</w:t>
      </w:r>
    </w:p>
    <w:p>
      <w:pPr>
        <w:pStyle w:val="BodyText"/>
        <w:spacing w:line="477" w:lineRule="auto" w:before="23"/>
        <w:ind w:left="513" w:right="1033" w:hanging="361"/>
        <w:jc w:val="left"/>
      </w:pPr>
      <w:r>
        <w:rPr/>
        <w:t>股派发现金红利</w:t>
      </w:r>
      <w:r>
        <w:rPr>
          <w:rFonts w:ascii="宋体" w:hAnsi="宋体" w:cs="宋体" w:eastAsia="宋体" w:hint="default"/>
        </w:rPr>
        <w:t>2.00</w:t>
      </w:r>
      <w:r>
        <w:rPr/>
        <w:t>元（含税），向股东派现人民币</w:t>
      </w:r>
      <w:r>
        <w:rPr>
          <w:rFonts w:ascii="宋体" w:hAnsi="宋体" w:cs="宋体" w:eastAsia="宋体" w:hint="default"/>
        </w:rPr>
        <w:t>24,824,834.40</w:t>
      </w:r>
      <w:r>
        <w:rPr/>
        <w:t>元，剩余未分配利润结转以后年度分配。 </w:t>
      </w:r>
      <w:r>
        <w:rPr>
          <w:rFonts w:ascii="宋体" w:hAnsi="宋体" w:cs="宋体" w:eastAsia="宋体" w:hint="default"/>
        </w:rPr>
        <w:t>2</w:t>
      </w:r>
      <w:r>
        <w:rPr/>
        <w:t>、</w:t>
      </w:r>
      <w:r>
        <w:rPr>
          <w:rFonts w:ascii="宋体" w:hAnsi="宋体" w:cs="宋体" w:eastAsia="宋体" w:hint="default"/>
        </w:rPr>
        <w:t>2011</w:t>
      </w:r>
      <w:r>
        <w:rPr/>
        <w:t>年度利润分配方案：按净利润的</w:t>
      </w:r>
      <w:r>
        <w:rPr>
          <w:rFonts w:ascii="宋体" w:hAnsi="宋体" w:cs="宋体" w:eastAsia="宋体" w:hint="default"/>
        </w:rPr>
        <w:t>5</w:t>
      </w:r>
      <w:r>
        <w:rPr/>
        <w:t>％提取任意盈余公积</w:t>
      </w:r>
      <w:r>
        <w:rPr>
          <w:rFonts w:ascii="宋体" w:hAnsi="宋体" w:cs="宋体" w:eastAsia="宋体" w:hint="default"/>
        </w:rPr>
        <w:t>401</w:t>
      </w:r>
      <w:r>
        <w:rPr/>
        <w:t>万元；按</w:t>
      </w:r>
      <w:r>
        <w:rPr>
          <w:rFonts w:ascii="宋体" w:hAnsi="宋体" w:cs="宋体" w:eastAsia="宋体" w:hint="default"/>
        </w:rPr>
        <w:t>2011</w:t>
      </w:r>
      <w:r>
        <w:rPr/>
        <w:t>年末公司总股本</w:t>
      </w:r>
      <w:r>
        <w:rPr>
          <w:rFonts w:ascii="宋体" w:hAnsi="宋体" w:cs="宋体" w:eastAsia="宋体" w:hint="default"/>
        </w:rPr>
        <w:t>126,414,172</w:t>
      </w:r>
      <w:r>
        <w:rPr/>
        <w:t>股为基数，</w:t>
      </w:r>
    </w:p>
    <w:p>
      <w:pPr>
        <w:pStyle w:val="BodyText"/>
        <w:spacing w:line="477" w:lineRule="auto" w:before="54"/>
        <w:ind w:right="1214"/>
        <w:jc w:val="left"/>
      </w:pPr>
      <w:r>
        <w:rPr/>
        <w:t>向全体股东每</w:t>
      </w:r>
      <w:r>
        <w:rPr>
          <w:rFonts w:ascii="宋体" w:hAnsi="宋体" w:cs="宋体" w:eastAsia="宋体" w:hint="default"/>
        </w:rPr>
        <w:t>10</w:t>
      </w:r>
      <w:r>
        <w:rPr/>
        <w:t>股派发现金股利</w:t>
      </w:r>
      <w:r>
        <w:rPr>
          <w:rFonts w:ascii="宋体" w:hAnsi="宋体" w:cs="宋体" w:eastAsia="宋体" w:hint="default"/>
        </w:rPr>
        <w:t>4.00</w:t>
      </w:r>
      <w:r>
        <w:rPr/>
        <w:t>元（含税），合计派发现金股利</w:t>
      </w:r>
      <w:r>
        <w:rPr>
          <w:rFonts w:ascii="宋体" w:hAnsi="宋体" w:cs="宋体" w:eastAsia="宋体" w:hint="default"/>
        </w:rPr>
        <w:t>5,056.57</w:t>
      </w:r>
      <w:r>
        <w:rPr/>
        <w:t>万元，同时进行资本公积金转增股本，每</w:t>
      </w:r>
      <w:r>
        <w:rPr>
          <w:rFonts w:ascii="宋体" w:hAnsi="宋体" w:cs="宋体" w:eastAsia="宋体" w:hint="default"/>
        </w:rPr>
        <w:t>10</w:t>
      </w:r>
      <w:r>
        <w:rPr>
          <w:rFonts w:ascii="宋体" w:hAnsi="宋体" w:cs="宋体" w:eastAsia="宋体" w:hint="default"/>
          <w:spacing w:val="1"/>
        </w:rPr>
        <w:t> </w:t>
      </w:r>
      <w:r>
        <w:rPr/>
        <w:t>股转增</w:t>
      </w:r>
      <w:r>
        <w:rPr>
          <w:rFonts w:ascii="宋体" w:hAnsi="宋体" w:cs="宋体" w:eastAsia="宋体" w:hint="default"/>
        </w:rPr>
        <w:t>10</w:t>
      </w:r>
      <w:r>
        <w:rPr/>
        <w:t>股，共计转增</w:t>
      </w:r>
      <w:r>
        <w:rPr>
          <w:rFonts w:ascii="宋体" w:hAnsi="宋体" w:cs="宋体" w:eastAsia="宋体" w:hint="default"/>
        </w:rPr>
        <w:t>126,414,172</w:t>
      </w:r>
      <w:r>
        <w:rPr/>
        <w:t>股，转增后公司总股本增至</w:t>
      </w:r>
      <w:r>
        <w:rPr>
          <w:rFonts w:ascii="宋体" w:hAnsi="宋体" w:cs="宋体" w:eastAsia="宋体" w:hint="default"/>
        </w:rPr>
        <w:t>252,828,344</w:t>
      </w:r>
      <w:r>
        <w:rPr/>
        <w:t>股。</w:t>
      </w:r>
    </w:p>
    <w:p>
      <w:pPr>
        <w:pStyle w:val="BodyText"/>
        <w:spacing w:line="477" w:lineRule="auto" w:before="54"/>
        <w:ind w:right="1126" w:firstLine="360"/>
        <w:jc w:val="both"/>
      </w:pPr>
      <w:r>
        <w:rPr>
          <w:rFonts w:ascii="宋体" w:hAnsi="宋体" w:cs="宋体" w:eastAsia="宋体" w:hint="default"/>
          <w:spacing w:val="-2"/>
        </w:rPr>
        <w:t>3</w:t>
      </w:r>
      <w:r>
        <w:rPr>
          <w:spacing w:val="-2"/>
        </w:rPr>
        <w:t>、</w:t>
      </w:r>
      <w:r>
        <w:rPr>
          <w:rFonts w:ascii="宋体" w:hAnsi="宋体" w:cs="宋体" w:eastAsia="宋体" w:hint="default"/>
          <w:spacing w:val="-2"/>
        </w:rPr>
        <w:t>2012</w:t>
      </w:r>
      <w:r>
        <w:rPr>
          <w:spacing w:val="-2"/>
        </w:rPr>
        <w:t>年度利润分配方案：按净利润的</w:t>
      </w:r>
      <w:r>
        <w:rPr>
          <w:rFonts w:ascii="宋体" w:hAnsi="宋体" w:cs="宋体" w:eastAsia="宋体" w:hint="default"/>
          <w:spacing w:val="-2"/>
        </w:rPr>
        <w:t>5</w:t>
      </w:r>
      <w:r>
        <w:rPr>
          <w:spacing w:val="-2"/>
        </w:rPr>
        <w:t>％提取任意盈余公积</w:t>
      </w:r>
      <w:r>
        <w:rPr>
          <w:rFonts w:ascii="宋体" w:hAnsi="宋体" w:cs="宋体" w:eastAsia="宋体" w:hint="default"/>
          <w:spacing w:val="-2"/>
        </w:rPr>
        <w:t>351</w:t>
      </w:r>
      <w:r>
        <w:rPr>
          <w:spacing w:val="-2"/>
        </w:rPr>
        <w:t>万元；</w:t>
      </w:r>
      <w:r>
        <w:rPr/>
        <w:t> </w:t>
      </w:r>
      <w:r>
        <w:rPr>
          <w:spacing w:val="-1"/>
        </w:rPr>
        <w:t>按</w:t>
      </w:r>
      <w:r>
        <w:rPr>
          <w:rFonts w:ascii="宋体" w:hAnsi="宋体" w:cs="宋体" w:eastAsia="宋体" w:hint="default"/>
          <w:spacing w:val="-1"/>
        </w:rPr>
        <w:t>2013</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31</w:t>
      </w:r>
      <w:r>
        <w:rPr>
          <w:spacing w:val="-1"/>
        </w:rPr>
        <w:t>日公司总股本</w:t>
      </w:r>
      <w:r>
        <w:rPr>
          <w:rFonts w:ascii="宋体" w:hAnsi="宋体" w:cs="宋体" w:eastAsia="宋体" w:hint="default"/>
          <w:spacing w:val="-1"/>
        </w:rPr>
        <w:t>252,748,344</w:t>
      </w:r>
      <w:r>
        <w:rPr>
          <w:spacing w:val="-1"/>
        </w:rPr>
        <w:t>股为</w:t>
      </w:r>
      <w:r>
        <w:rPr/>
        <w:t> </w:t>
      </w:r>
      <w:r>
        <w:rPr>
          <w:spacing w:val="-4"/>
        </w:rPr>
        <w:t>基数，向全体股东每</w:t>
      </w:r>
      <w:r>
        <w:rPr>
          <w:rFonts w:ascii="宋体" w:hAnsi="宋体" w:cs="宋体" w:eastAsia="宋体" w:hint="default"/>
          <w:spacing w:val="-4"/>
        </w:rPr>
        <w:t>10</w:t>
      </w:r>
      <w:r>
        <w:rPr>
          <w:spacing w:val="-4"/>
        </w:rPr>
        <w:t>股派发现金股利</w:t>
      </w:r>
      <w:r>
        <w:rPr>
          <w:rFonts w:ascii="宋体" w:hAnsi="宋体" w:cs="宋体" w:eastAsia="宋体" w:hint="default"/>
          <w:spacing w:val="-4"/>
        </w:rPr>
        <w:t>2</w:t>
      </w:r>
      <w:r>
        <w:rPr>
          <w:spacing w:val="-4"/>
        </w:rPr>
        <w:t>元（含税），合计派发现金股利</w:t>
      </w:r>
      <w:r>
        <w:rPr>
          <w:rFonts w:ascii="宋体" w:hAnsi="宋体" w:cs="宋体" w:eastAsia="宋体" w:hint="default"/>
          <w:spacing w:val="-4"/>
        </w:rPr>
        <w:t>5055</w:t>
      </w:r>
      <w:r>
        <w:rPr>
          <w:spacing w:val="-4"/>
        </w:rPr>
        <w:t>万元，剩余未分配利润结转至下一年度。同时，</w:t>
      </w:r>
      <w:r>
        <w:rPr>
          <w:spacing w:val="-34"/>
        </w:rPr>
        <w:t> </w:t>
      </w:r>
      <w:r>
        <w:rPr>
          <w:spacing w:val="-34"/>
        </w:rPr>
      </w:r>
      <w:r>
        <w:rPr/>
        <w:t>进行资本公积金转增股本，每</w:t>
      </w:r>
      <w:r>
        <w:rPr>
          <w:rFonts w:ascii="宋体" w:hAnsi="宋体" w:cs="宋体" w:eastAsia="宋体" w:hint="default"/>
        </w:rPr>
        <w:t>10</w:t>
      </w:r>
      <w:r>
        <w:rPr/>
        <w:t>股转增</w:t>
      </w:r>
      <w:r>
        <w:rPr>
          <w:rFonts w:ascii="宋体" w:hAnsi="宋体" w:cs="宋体" w:eastAsia="宋体" w:hint="default"/>
        </w:rPr>
        <w:t>2</w:t>
      </w:r>
      <w:r>
        <w:rPr/>
        <w:t>股，共计转增</w:t>
      </w:r>
      <w:r>
        <w:rPr>
          <w:rFonts w:ascii="宋体" w:hAnsi="宋体" w:cs="宋体" w:eastAsia="宋体" w:hint="default"/>
        </w:rPr>
        <w:t>50,549,668</w:t>
      </w:r>
      <w:r>
        <w:rPr/>
        <w:t>股，转增后公司总股本增至</w:t>
      </w:r>
      <w:r>
        <w:rPr>
          <w:rFonts w:ascii="宋体" w:hAnsi="宋体" w:cs="宋体" w:eastAsia="宋体" w:hint="default"/>
        </w:rPr>
        <w:t>303,298,012</w:t>
      </w:r>
      <w:r>
        <w:rPr/>
        <w:t>股。</w:t>
      </w:r>
    </w:p>
    <w:p>
      <w:pPr>
        <w:pStyle w:val="BodyText"/>
        <w:spacing w:line="240" w:lineRule="auto" w:before="95"/>
        <w:ind w:right="0"/>
        <w:jc w:val="left"/>
      </w:pPr>
      <w:r>
        <w:rPr/>
        <w:t>公司近三年现金分红情况表</w:t>
      </w:r>
    </w:p>
    <w:p>
      <w:pPr>
        <w:spacing w:line="240" w:lineRule="auto" w:before="8"/>
        <w:rPr>
          <w:rFonts w:ascii="宋体" w:hAnsi="宋体" w:cs="宋体" w:eastAsia="宋体" w:hint="default"/>
          <w:sz w:val="14"/>
          <w:szCs w:val="14"/>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50,549,668.80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103,008,617.89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49.0732%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50,549,668.80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86,964,360.30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58.1269%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24,824,834.40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79,194,442.06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31.3467%</w:t>
            </w:r>
          </w:p>
        </w:tc>
      </w:tr>
    </w:tbl>
    <w:p>
      <w:pPr>
        <w:pStyle w:val="BodyText"/>
        <w:spacing w:line="240" w:lineRule="auto" w:before="49"/>
        <w:ind w:right="0"/>
        <w:jc w:val="left"/>
      </w:pPr>
      <w:r>
        <w:rPr/>
        <w:t>公司报告期内盈利且母公司未分配利润为正但未提出现金红利分配预案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十三、报告期内接待调研、沟通、采访等活动登记表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184"/>
        <w:gridCol w:w="1812"/>
        <w:gridCol w:w="2086"/>
      </w:tblGrid>
      <w:tr>
        <w:trPr>
          <w:trHeight w:val="475"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left="45"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left="54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谈论的主要内容及提供的</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资料</w:t>
            </w:r>
          </w:p>
        </w:tc>
      </w:tr>
      <w:tr>
        <w:trPr>
          <w:trHeight w:val="47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中信建设证券</w:t>
            </w:r>
            <w:r>
              <w:rPr>
                <w:rFonts w:ascii="宋体" w:hAnsi="宋体" w:cs="宋体" w:eastAsia="宋体" w:hint="default"/>
                <w:spacing w:val="1"/>
                <w:sz w:val="18"/>
                <w:szCs w:val="18"/>
              </w:rPr>
              <w:t> </w:t>
            </w:r>
            <w:r>
              <w:rPr>
                <w:rFonts w:ascii="宋体" w:hAnsi="宋体" w:cs="宋体" w:eastAsia="宋体" w:hint="default"/>
                <w:sz w:val="18"/>
                <w:szCs w:val="18"/>
              </w:rPr>
              <w:t>武超则</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公司生产经营情况及募投</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项目情况</w:t>
            </w:r>
          </w:p>
        </w:tc>
      </w:tr>
      <w:tr>
        <w:trPr>
          <w:trHeight w:val="710"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国金证券</w:t>
            </w:r>
            <w:r>
              <w:rPr>
                <w:rFonts w:ascii="宋体" w:hAnsi="宋体" w:cs="宋体" w:eastAsia="宋体" w:hint="default"/>
                <w:spacing w:val="1"/>
                <w:sz w:val="18"/>
                <w:szCs w:val="18"/>
              </w:rPr>
              <w:t> </w:t>
            </w:r>
            <w:r>
              <w:rPr>
                <w:rFonts w:ascii="宋体" w:hAnsi="宋体" w:cs="宋体" w:eastAsia="宋体" w:hint="default"/>
                <w:sz w:val="18"/>
                <w:szCs w:val="18"/>
              </w:rPr>
              <w:t>周文波</w:t>
            </w:r>
          </w:p>
          <w:p>
            <w:pPr>
              <w:pStyle w:val="TableParagraph"/>
              <w:spacing w:line="240" w:lineRule="auto"/>
              <w:ind w:left="23" w:right="155"/>
              <w:jc w:val="left"/>
              <w:rPr>
                <w:rFonts w:ascii="宋体" w:hAnsi="宋体" w:cs="宋体" w:eastAsia="宋体" w:hint="default"/>
                <w:sz w:val="18"/>
                <w:szCs w:val="18"/>
              </w:rPr>
            </w:pPr>
            <w:r>
              <w:rPr>
                <w:rFonts w:ascii="宋体" w:hAnsi="宋体" w:cs="宋体" w:eastAsia="宋体" w:hint="default"/>
                <w:sz w:val="18"/>
                <w:szCs w:val="18"/>
              </w:rPr>
              <w:t>华安保险</w:t>
            </w:r>
            <w:r>
              <w:rPr>
                <w:rFonts w:ascii="宋体" w:hAnsi="宋体" w:cs="宋体" w:eastAsia="宋体" w:hint="default"/>
                <w:spacing w:val="2"/>
                <w:sz w:val="18"/>
                <w:szCs w:val="18"/>
              </w:rPr>
              <w:t> </w:t>
            </w:r>
            <w:r>
              <w:rPr>
                <w:rFonts w:ascii="宋体" w:hAnsi="宋体" w:cs="宋体" w:eastAsia="宋体" w:hint="default"/>
                <w:sz w:val="18"/>
                <w:szCs w:val="18"/>
              </w:rPr>
              <w:t>钱振</w:t>
            </w:r>
            <w:r>
              <w:rPr>
                <w:rFonts w:ascii="宋体" w:hAnsi="宋体" w:cs="宋体" w:eastAsia="宋体" w:hint="default"/>
                <w:sz w:val="18"/>
                <w:szCs w:val="18"/>
              </w:rPr>
              <w:t> 海富通基金 </w:t>
            </w:r>
            <w:r>
              <w:rPr>
                <w:rFonts w:ascii="宋体" w:hAnsi="宋体" w:cs="宋体" w:eastAsia="宋体" w:hint="default"/>
                <w:spacing w:val="2"/>
                <w:sz w:val="18"/>
                <w:szCs w:val="18"/>
              </w:rPr>
              <w:t> </w:t>
            </w:r>
            <w:r>
              <w:rPr>
                <w:rFonts w:ascii="宋体" w:hAnsi="宋体" w:cs="宋体" w:eastAsia="宋体" w:hint="default"/>
                <w:sz w:val="18"/>
                <w:szCs w:val="18"/>
              </w:rPr>
              <w:t>刘子宁</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70"/>
              <w:jc w:val="left"/>
              <w:rPr>
                <w:rFonts w:ascii="宋体" w:hAnsi="宋体" w:cs="宋体" w:eastAsia="宋体" w:hint="default"/>
                <w:sz w:val="18"/>
                <w:szCs w:val="18"/>
              </w:rPr>
            </w:pPr>
            <w:r>
              <w:rPr>
                <w:rFonts w:ascii="宋体" w:hAnsi="宋体" w:cs="宋体" w:eastAsia="宋体" w:hint="default"/>
                <w:sz w:val="18"/>
                <w:szCs w:val="18"/>
              </w:rPr>
              <w:t>公司生产经营情况及募投 项目情况</w:t>
            </w:r>
          </w:p>
        </w:tc>
      </w:tr>
      <w:tr>
        <w:trPr>
          <w:trHeight w:val="47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东兴证券 </w:t>
            </w:r>
            <w:r>
              <w:rPr>
                <w:rFonts w:ascii="宋体" w:hAnsi="宋体" w:cs="宋体" w:eastAsia="宋体" w:hint="default"/>
                <w:spacing w:val="2"/>
                <w:sz w:val="18"/>
                <w:szCs w:val="18"/>
              </w:rPr>
              <w:t> </w:t>
            </w:r>
            <w:r>
              <w:rPr>
                <w:rFonts w:ascii="宋体" w:hAnsi="宋体" w:cs="宋体" w:eastAsia="宋体" w:hint="default"/>
                <w:sz w:val="18"/>
                <w:szCs w:val="18"/>
              </w:rPr>
              <w:t>孙玉娇</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公司生产经营情况及募投</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项目情况</w:t>
            </w:r>
          </w:p>
        </w:tc>
      </w:tr>
      <w:tr>
        <w:trPr>
          <w:trHeight w:val="47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华商基金</w:t>
            </w:r>
            <w:r>
              <w:rPr>
                <w:rFonts w:ascii="宋体" w:hAnsi="宋体" w:cs="宋体" w:eastAsia="宋体" w:hint="default"/>
                <w:spacing w:val="1"/>
                <w:sz w:val="18"/>
                <w:szCs w:val="18"/>
              </w:rPr>
              <w:t> </w:t>
            </w:r>
            <w:r>
              <w:rPr>
                <w:rFonts w:ascii="宋体" w:hAnsi="宋体" w:cs="宋体" w:eastAsia="宋体" w:hint="default"/>
                <w:sz w:val="18"/>
                <w:szCs w:val="18"/>
              </w:rPr>
              <w:t>靳天珍</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公司生产经营情况及募投</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项目情况</w:t>
            </w:r>
          </w:p>
        </w:tc>
      </w:tr>
      <w:tr>
        <w:trPr>
          <w:trHeight w:val="47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兴业证券</w:t>
            </w:r>
            <w:r>
              <w:rPr>
                <w:rFonts w:ascii="宋体" w:hAnsi="宋体" w:cs="宋体" w:eastAsia="宋体" w:hint="default"/>
                <w:spacing w:val="1"/>
                <w:sz w:val="18"/>
                <w:szCs w:val="18"/>
              </w:rPr>
              <w:t> </w:t>
            </w:r>
            <w:r>
              <w:rPr>
                <w:rFonts w:ascii="宋体" w:hAnsi="宋体" w:cs="宋体" w:eastAsia="宋体" w:hint="default"/>
                <w:sz w:val="18"/>
                <w:szCs w:val="18"/>
              </w:rPr>
              <w:t>雒雅梅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公司生产经营情况及募投</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项目情况</w:t>
            </w:r>
          </w:p>
        </w:tc>
      </w:tr>
      <w:tr>
        <w:trPr>
          <w:trHeight w:val="710"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安信基金 </w:t>
            </w:r>
            <w:r>
              <w:rPr>
                <w:rFonts w:ascii="宋体" w:hAnsi="宋体" w:cs="宋体" w:eastAsia="宋体" w:hint="default"/>
                <w:spacing w:val="2"/>
                <w:sz w:val="18"/>
                <w:szCs w:val="18"/>
              </w:rPr>
              <w:t> </w:t>
            </w:r>
            <w:r>
              <w:rPr>
                <w:rFonts w:ascii="宋体" w:hAnsi="宋体" w:cs="宋体" w:eastAsia="宋体" w:hint="default"/>
                <w:sz w:val="18"/>
                <w:szCs w:val="18"/>
              </w:rPr>
              <w:t>何潇</w:t>
            </w:r>
          </w:p>
          <w:p>
            <w:pPr>
              <w:pStyle w:val="TableParagraph"/>
              <w:spacing w:line="232" w:lineRule="exact" w:before="24"/>
              <w:ind w:left="23" w:right="515"/>
              <w:jc w:val="left"/>
              <w:rPr>
                <w:rFonts w:ascii="宋体" w:hAnsi="宋体" w:cs="宋体" w:eastAsia="宋体" w:hint="default"/>
                <w:sz w:val="18"/>
                <w:szCs w:val="18"/>
              </w:rPr>
            </w:pPr>
            <w:r>
              <w:rPr>
                <w:rFonts w:ascii="宋体" w:hAnsi="宋体" w:cs="宋体" w:eastAsia="宋体" w:hint="default"/>
                <w:sz w:val="18"/>
                <w:szCs w:val="18"/>
              </w:rPr>
              <w:t>华泰证券</w:t>
            </w:r>
            <w:r>
              <w:rPr>
                <w:rFonts w:ascii="宋体" w:hAnsi="宋体" w:cs="宋体" w:eastAsia="宋体" w:hint="default"/>
                <w:spacing w:val="1"/>
                <w:sz w:val="18"/>
                <w:szCs w:val="18"/>
              </w:rPr>
              <w:t> </w:t>
            </w:r>
            <w:r>
              <w:rPr>
                <w:rFonts w:ascii="宋体" w:hAnsi="宋体" w:cs="宋体" w:eastAsia="宋体" w:hint="default"/>
                <w:sz w:val="18"/>
                <w:szCs w:val="18"/>
              </w:rPr>
              <w:t>肖群</w:t>
            </w:r>
            <w:r>
              <w:rPr>
                <w:rFonts w:ascii="宋体" w:hAnsi="宋体" w:cs="宋体" w:eastAsia="宋体" w:hint="default"/>
                <w:sz w:val="18"/>
                <w:szCs w:val="18"/>
              </w:rPr>
              <w:t> 安信证券 </w:t>
            </w:r>
            <w:r>
              <w:rPr>
                <w:rFonts w:ascii="宋体" w:hAnsi="宋体" w:cs="宋体" w:eastAsia="宋体" w:hint="default"/>
                <w:spacing w:val="2"/>
                <w:sz w:val="18"/>
                <w:szCs w:val="18"/>
              </w:rPr>
              <w:t> </w:t>
            </w:r>
            <w:r>
              <w:rPr>
                <w:rFonts w:ascii="宋体" w:hAnsi="宋体" w:cs="宋体" w:eastAsia="宋体" w:hint="default"/>
                <w:sz w:val="18"/>
                <w:szCs w:val="18"/>
              </w:rPr>
              <w:t>张妮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70"/>
              <w:jc w:val="left"/>
              <w:rPr>
                <w:rFonts w:ascii="宋体" w:hAnsi="宋体" w:cs="宋体" w:eastAsia="宋体" w:hint="default"/>
                <w:sz w:val="18"/>
                <w:szCs w:val="18"/>
              </w:rPr>
            </w:pPr>
            <w:r>
              <w:rPr>
                <w:rFonts w:ascii="宋体" w:hAnsi="宋体" w:cs="宋体" w:eastAsia="宋体" w:hint="default"/>
                <w:sz w:val="18"/>
                <w:szCs w:val="18"/>
              </w:rPr>
              <w:t>公司生产经营情况及募投 项目情况</w:t>
            </w:r>
          </w:p>
        </w:tc>
      </w:tr>
    </w:tbl>
    <w:p>
      <w:pPr>
        <w:spacing w:after="0" w:line="232" w:lineRule="exact"/>
        <w:jc w:val="left"/>
        <w:rPr>
          <w:rFonts w:ascii="宋体" w:hAnsi="宋体" w:cs="宋体" w:eastAsia="宋体" w:hint="default"/>
          <w:sz w:val="18"/>
          <w:szCs w:val="18"/>
        </w:rPr>
        <w:sectPr>
          <w:pgSz w:w="11910" w:h="16840"/>
          <w:pgMar w:header="877" w:footer="1262"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right="4482"/>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 媒体质疑情况</w:t>
      </w:r>
    </w:p>
    <w:p>
      <w:pPr>
        <w:pStyle w:val="BodyText"/>
        <w:spacing w:line="340" w:lineRule="auto" w:before="36"/>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本年度公司无媒体质疑事项。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二、公司股权激励的实施情况及其影响</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034" w:firstLine="360"/>
        <w:jc w:val="left"/>
      </w:pPr>
      <w:r>
        <w:rPr>
          <w:rFonts w:ascii="宋体" w:hAnsi="宋体" w:cs="宋体" w:eastAsia="宋体" w:hint="default"/>
          <w:spacing w:val="-2"/>
        </w:rPr>
        <w:t>2011</w:t>
      </w:r>
      <w:r>
        <w:rPr>
          <w:spacing w:val="-2"/>
        </w:rPr>
        <w:t>年</w:t>
      </w:r>
      <w:r>
        <w:rPr>
          <w:rFonts w:ascii="宋体" w:hAnsi="宋体" w:cs="宋体" w:eastAsia="宋体" w:hint="default"/>
          <w:spacing w:val="-2"/>
        </w:rPr>
        <w:t>10</w:t>
      </w:r>
      <w:r>
        <w:rPr>
          <w:spacing w:val="-2"/>
        </w:rPr>
        <w:t>月，公司实施了限制性股票激励计划，向</w:t>
      </w:r>
      <w:r>
        <w:rPr>
          <w:rFonts w:ascii="宋体" w:hAnsi="宋体" w:cs="宋体" w:eastAsia="宋体" w:hint="default"/>
          <w:spacing w:val="-2"/>
        </w:rPr>
        <w:t>123</w:t>
      </w:r>
      <w:r>
        <w:rPr>
          <w:spacing w:val="-2"/>
        </w:rPr>
        <w:t>名激励对象授予</w:t>
      </w:r>
      <w:r>
        <w:rPr>
          <w:rFonts w:ascii="宋体" w:hAnsi="宋体" w:cs="宋体" w:eastAsia="宋体" w:hint="default"/>
          <w:spacing w:val="-2"/>
        </w:rPr>
        <w:t>229</w:t>
      </w:r>
      <w:r>
        <w:rPr>
          <w:spacing w:val="-2"/>
        </w:rPr>
        <w:t>万股限制性股票。</w:t>
      </w: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29</w:t>
      </w:r>
      <w:r>
        <w:rPr>
          <w:spacing w:val="-2"/>
        </w:rPr>
        <w:t>日经公司第四</w:t>
      </w:r>
      <w:r>
        <w:rPr/>
        <w:t> 届董事会第三次会议审议，</w:t>
      </w:r>
      <w:r>
        <w:rPr>
          <w:rFonts w:ascii="宋体" w:hAnsi="宋体" w:cs="宋体" w:eastAsia="宋体" w:hint="default"/>
        </w:rPr>
        <w:t>121</w:t>
      </w:r>
      <w:r>
        <w:rPr/>
        <w:t>名激励对象所持限制性股票第一次解锁期的解锁条件已经满足，解除所持限制性股票的</w:t>
      </w:r>
      <w:r>
        <w:rPr>
          <w:rFonts w:ascii="宋体" w:hAnsi="宋体" w:cs="宋体" w:eastAsia="宋体" w:hint="default"/>
        </w:rPr>
        <w:t>25%</w:t>
      </w:r>
      <w:r>
        <w:rPr/>
        <w:t>。</w:t>
      </w:r>
      <w:r>
        <w:rPr>
          <w:spacing w:val="-86"/>
        </w:rPr>
        <w:t> </w:t>
      </w:r>
      <w:r>
        <w:rPr>
          <w:spacing w:val="-5"/>
        </w:rPr>
        <w:t>两名激励对象因离职，公司回购注销其所持有的限制性股票</w:t>
      </w:r>
      <w:r>
        <w:rPr>
          <w:rFonts w:ascii="宋体" w:hAnsi="宋体" w:cs="宋体" w:eastAsia="宋体" w:hint="default"/>
          <w:spacing w:val="-5"/>
        </w:rPr>
        <w:t>80,000</w:t>
      </w:r>
      <w:r>
        <w:rPr>
          <w:spacing w:val="-5"/>
        </w:rPr>
        <w:t>股。具体情况详见</w:t>
      </w:r>
      <w:r>
        <w:rPr>
          <w:rFonts w:ascii="宋体" w:hAnsi="宋体" w:cs="宋体" w:eastAsia="宋体" w:hint="default"/>
          <w:spacing w:val="-5"/>
        </w:rPr>
        <w:t>2012</w:t>
      </w:r>
      <w:r>
        <w:rPr>
          <w:spacing w:val="-5"/>
        </w:rPr>
        <w:t>年</w:t>
      </w:r>
      <w:r>
        <w:rPr>
          <w:rFonts w:ascii="宋体" w:hAnsi="宋体" w:cs="宋体" w:eastAsia="宋体" w:hint="default"/>
          <w:spacing w:val="-5"/>
        </w:rPr>
        <w:t>10</w:t>
      </w:r>
      <w:r>
        <w:rPr>
          <w:spacing w:val="-5"/>
        </w:rPr>
        <w:t>月</w:t>
      </w:r>
      <w:r>
        <w:rPr>
          <w:rFonts w:ascii="宋体" w:hAnsi="宋体" w:cs="宋体" w:eastAsia="宋体" w:hint="default"/>
          <w:spacing w:val="-5"/>
        </w:rPr>
        <w:t>30</w:t>
      </w:r>
      <w:r>
        <w:rPr>
          <w:spacing w:val="-5"/>
        </w:rPr>
        <w:t>日在巨潮资讯网披露的《第</w:t>
      </w:r>
      <w:r>
        <w:rPr>
          <w:spacing w:val="-44"/>
        </w:rPr>
        <w:t> </w:t>
      </w:r>
      <w:r>
        <w:rPr>
          <w:spacing w:val="-44"/>
        </w:rPr>
      </w:r>
      <w:r>
        <w:rPr/>
        <w:t>四届董事会第三次会议公告》和《关于回购注销已离职股权激励对象所持已获授但尚未解锁的限制性股票的公告》。</w:t>
      </w:r>
    </w:p>
    <w:p>
      <w:pPr>
        <w:pStyle w:val="BodyText"/>
        <w:spacing w:line="240" w:lineRule="auto" w:before="54"/>
        <w:ind w:left="515" w:right="0"/>
        <w:jc w:val="left"/>
      </w:pPr>
      <w:r>
        <w:rPr>
          <w:rFonts w:ascii="宋体" w:hAnsi="宋体" w:cs="宋体" w:eastAsia="宋体" w:hint="default"/>
        </w:rPr>
        <w:t>2012</w:t>
      </w:r>
      <w:r>
        <w:rPr/>
        <w:t>年，公司因实施限制性股票激励计划摊销费用</w:t>
      </w:r>
      <w:r>
        <w:rPr>
          <w:rFonts w:ascii="宋体" w:hAnsi="宋体" w:cs="宋体" w:eastAsia="宋体" w:hint="default"/>
        </w:rPr>
        <w:t>459.32</w:t>
      </w:r>
      <w:r>
        <w:rPr/>
        <w:t>万元。</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r>
        <w:rPr/>
        <w:t>三、重大合同及其履行情况</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11"/>
        <w:rPr>
          <w:rFonts w:ascii="宋体" w:hAnsi="宋体" w:cs="宋体" w:eastAsia="宋体" w:hint="default"/>
          <w:b/>
          <w:bCs/>
          <w:sz w:val="26"/>
          <w:szCs w:val="26"/>
        </w:rPr>
      </w:pPr>
    </w:p>
    <w:p>
      <w:pPr>
        <w:pStyle w:val="BodyText"/>
        <w:spacing w:line="360" w:lineRule="auto"/>
        <w:ind w:right="9674"/>
        <w:jc w:val="left"/>
      </w:pPr>
      <w:r>
        <w:rPr/>
        <w:t>托管情况说明 无</w:t>
      </w:r>
    </w:p>
    <w:p>
      <w:pPr>
        <w:pStyle w:val="BodyText"/>
        <w:spacing w:line="240" w:lineRule="auto" w:before="27"/>
        <w:ind w:right="0"/>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9674"/>
        <w:jc w:val="left"/>
      </w:pPr>
      <w:r>
        <w:rPr/>
        <w:t>承包情况说明 无</w:t>
      </w:r>
    </w:p>
    <w:p>
      <w:pPr>
        <w:pStyle w:val="BodyText"/>
        <w:spacing w:line="240" w:lineRule="auto" w:before="27"/>
        <w:ind w:right="0"/>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租赁情况说明</w:t>
      </w:r>
    </w:p>
    <w:p>
      <w:pPr>
        <w:spacing w:after="0" w:line="240" w:lineRule="auto"/>
        <w:jc w:val="left"/>
        <w:sectPr>
          <w:pgSz w:w="11910" w:h="16840"/>
          <w:pgMar w:header="877" w:footer="1262" w:top="1060" w:bottom="14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无</w:t>
      </w:r>
    </w:p>
    <w:p>
      <w:pPr>
        <w:pStyle w:val="BodyText"/>
        <w:spacing w:line="240" w:lineRule="auto" w:before="117"/>
        <w:ind w:right="0"/>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12"/>
        <w:gridCol w:w="924"/>
        <w:gridCol w:w="951"/>
        <w:gridCol w:w="1206"/>
        <w:gridCol w:w="1178"/>
        <w:gridCol w:w="1093"/>
        <w:gridCol w:w="1025"/>
        <w:gridCol w:w="803"/>
        <w:gridCol w:w="781"/>
      </w:tblGrid>
      <w:tr>
        <w:trPr>
          <w:trHeight w:val="238"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981"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27"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924" w:type="dxa"/>
            <w:tcBorders>
              <w:top w:val="single" w:sz="4" w:space="0" w:color="000000"/>
              <w:left w:val="single" w:sz="4" w:space="0" w:color="000000"/>
              <w:bottom w:val="nil" w:sz="6" w:space="0" w:color="auto"/>
              <w:right w:val="single" w:sz="5" w:space="0" w:color="000000"/>
            </w:tcBorders>
            <w:shd w:val="clear" w:color="auto" w:fill="D2D2D2"/>
          </w:tcPr>
          <w:p>
            <w:pPr/>
          </w:p>
        </w:tc>
        <w:tc>
          <w:tcPr>
            <w:tcW w:w="951" w:type="dxa"/>
            <w:vMerge w:val="restart"/>
            <w:tcBorders>
              <w:top w:val="single" w:sz="4" w:space="0" w:color="000000"/>
              <w:left w:val="single" w:sz="5" w:space="0" w:color="000000"/>
              <w:right w:val="single" w:sz="4" w:space="0" w:color="000000"/>
            </w:tcBorders>
            <w:shd w:val="clear" w:color="auto" w:fill="D2D2D2"/>
          </w:tcPr>
          <w:p>
            <w:pPr/>
          </w:p>
        </w:tc>
        <w:tc>
          <w:tcPr>
            <w:tcW w:w="12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8" w:type="dxa"/>
            <w:vMerge w:val="restart"/>
            <w:tcBorders>
              <w:top w:val="single" w:sz="4" w:space="0" w:color="000000"/>
              <w:left w:val="single" w:sz="4" w:space="0" w:color="000000"/>
              <w:right w:val="single" w:sz="4" w:space="0" w:color="000000"/>
            </w:tcBorders>
            <w:shd w:val="clear" w:color="auto" w:fill="D2D2D2"/>
          </w:tcPr>
          <w:p>
            <w:pPr/>
          </w:p>
        </w:tc>
        <w:tc>
          <w:tcPr>
            <w:tcW w:w="1093" w:type="dxa"/>
            <w:vMerge w:val="restart"/>
            <w:tcBorders>
              <w:top w:val="single" w:sz="4" w:space="0" w:color="000000"/>
              <w:left w:val="single" w:sz="4" w:space="0" w:color="000000"/>
              <w:right w:val="single" w:sz="4" w:space="0" w:color="000000"/>
            </w:tcBorders>
            <w:shd w:val="clear" w:color="auto" w:fill="D2D2D2"/>
          </w:tcPr>
          <w:p>
            <w:pPr/>
          </w:p>
        </w:tc>
        <w:tc>
          <w:tcPr>
            <w:tcW w:w="1025" w:type="dxa"/>
            <w:vMerge w:val="restart"/>
            <w:tcBorders>
              <w:top w:val="single" w:sz="4" w:space="0" w:color="000000"/>
              <w:left w:val="single" w:sz="4" w:space="0" w:color="000000"/>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是否为关</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联方担保</w:t>
            </w:r>
          </w:p>
          <w:p>
            <w:pPr>
              <w:pStyle w:val="TableParagraph"/>
              <w:spacing w:line="232" w:lineRule="exact" w:before="24"/>
              <w:ind w:left="202" w:right="115" w:hanging="89"/>
              <w:jc w:val="left"/>
              <w:rPr>
                <w:rFonts w:ascii="宋体" w:hAnsi="宋体" w:cs="宋体" w:eastAsia="宋体" w:hint="default"/>
                <w:sz w:val="18"/>
                <w:szCs w:val="18"/>
              </w:rPr>
            </w:pPr>
            <w:r>
              <w:rPr>
                <w:rFonts w:ascii="宋体" w:hAnsi="宋体" w:cs="宋体" w:eastAsia="宋体" w:hint="default"/>
                <w:sz w:val="18"/>
                <w:szCs w:val="18"/>
              </w:rPr>
              <w:t>（是或 否）</w:t>
            </w:r>
          </w:p>
        </w:tc>
      </w:tr>
      <w:tr>
        <w:trPr>
          <w:trHeight w:val="115" w:hRule="exact"/>
        </w:trPr>
        <w:tc>
          <w:tcPr>
            <w:tcW w:w="1612" w:type="dxa"/>
            <w:vMerge/>
            <w:tcBorders>
              <w:left w:val="single" w:sz="4" w:space="0" w:color="000000"/>
              <w:right w:val="single" w:sz="4" w:space="0" w:color="000000"/>
            </w:tcBorders>
            <w:shd w:val="clear" w:color="auto" w:fill="D2D2D2"/>
          </w:tcPr>
          <w:p>
            <w:pPr/>
          </w:p>
        </w:tc>
        <w:tc>
          <w:tcPr>
            <w:tcW w:w="924" w:type="dxa"/>
            <w:vMerge w:val="restart"/>
            <w:tcBorders>
              <w:top w:val="nil" w:sz="6" w:space="0" w:color="auto"/>
              <w:left w:val="single" w:sz="4" w:space="0" w:color="000000"/>
              <w:right w:val="single" w:sz="5" w:space="0" w:color="000000"/>
            </w:tcBorders>
            <w:shd w:val="clear" w:color="auto" w:fill="D2D2D2"/>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p>
            <w:pPr>
              <w:pStyle w:val="TableParagraph"/>
              <w:spacing w:line="232" w:lineRule="exact" w:before="23"/>
              <w:ind w:left="101" w:right="89"/>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51" w:type="dxa"/>
            <w:vMerge/>
            <w:tcBorders>
              <w:left w:val="single" w:sz="5" w:space="0" w:color="000000"/>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Style w:val="TableParagraph"/>
              <w:spacing w:line="204" w:lineRule="exact"/>
              <w:ind w:left="5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2" w:lineRule="exact" w:before="23"/>
              <w:ind w:left="418" w:right="147"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vMerge/>
            <w:tcBorders>
              <w:left w:val="single" w:sz="4" w:space="0" w:color="000000"/>
              <w:right w:val="single" w:sz="4" w:space="0" w:color="000000"/>
            </w:tcBorders>
            <w:shd w:val="clear" w:color="auto" w:fill="D2D2D2"/>
          </w:tcPr>
          <w:p>
            <w:pPr/>
          </w:p>
        </w:tc>
        <w:tc>
          <w:tcPr>
            <w:tcW w:w="1093" w:type="dxa"/>
            <w:vMerge/>
            <w:tcBorders>
              <w:left w:val="single" w:sz="4" w:space="0" w:color="000000"/>
              <w:right w:val="single" w:sz="4" w:space="0" w:color="000000"/>
            </w:tcBorders>
            <w:shd w:val="clear" w:color="auto" w:fill="D2D2D2"/>
          </w:tcPr>
          <w:p>
            <w:pPr/>
          </w:p>
        </w:tc>
        <w:tc>
          <w:tcPr>
            <w:tcW w:w="102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18"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924" w:type="dxa"/>
            <w:vMerge/>
            <w:tcBorders>
              <w:left w:val="single" w:sz="4" w:space="0" w:color="000000"/>
              <w:right w:val="single" w:sz="5" w:space="0" w:color="000000"/>
            </w:tcBorders>
            <w:shd w:val="clear" w:color="auto" w:fill="D2D2D2"/>
          </w:tcPr>
          <w:p>
            <w:pPr/>
          </w:p>
        </w:tc>
        <w:tc>
          <w:tcPr>
            <w:tcW w:w="951" w:type="dxa"/>
            <w:vMerge/>
            <w:tcBorders>
              <w:left w:val="single" w:sz="5" w:space="0" w:color="000000"/>
              <w:bottom w:val="nil" w:sz="6" w:space="0" w:color="auto"/>
              <w:right w:val="single" w:sz="4" w:space="0" w:color="000000"/>
            </w:tcBorders>
            <w:shd w:val="clear" w:color="auto" w:fill="D2D2D2"/>
          </w:tcPr>
          <w:p>
            <w:pPr/>
          </w:p>
        </w:tc>
        <w:tc>
          <w:tcPr>
            <w:tcW w:w="1206" w:type="dxa"/>
            <w:vMerge/>
            <w:tcBorders>
              <w:left w:val="single" w:sz="4" w:space="0" w:color="000000"/>
              <w:right w:val="single" w:sz="4" w:space="0" w:color="000000"/>
            </w:tcBorders>
            <w:shd w:val="clear" w:color="auto" w:fill="D2D2D2"/>
          </w:tcPr>
          <w:p>
            <w:pPr/>
          </w:p>
        </w:tc>
        <w:tc>
          <w:tcPr>
            <w:tcW w:w="1178" w:type="dxa"/>
            <w:vMerge/>
            <w:tcBorders>
              <w:left w:val="single" w:sz="4" w:space="0" w:color="000000"/>
              <w:bottom w:val="nil" w:sz="6" w:space="0" w:color="auto"/>
              <w:right w:val="single" w:sz="4" w:space="0" w:color="000000"/>
            </w:tcBorders>
            <w:shd w:val="clear" w:color="auto" w:fill="D2D2D2"/>
          </w:tcPr>
          <w:p>
            <w:pPr/>
          </w:p>
        </w:tc>
        <w:tc>
          <w:tcPr>
            <w:tcW w:w="1093" w:type="dxa"/>
            <w:vMerge/>
            <w:tcBorders>
              <w:left w:val="single" w:sz="4" w:space="0" w:color="000000"/>
              <w:bottom w:val="nil" w:sz="6" w:space="0" w:color="auto"/>
              <w:right w:val="single" w:sz="4" w:space="0" w:color="000000"/>
            </w:tcBorders>
            <w:shd w:val="clear" w:color="auto" w:fill="D2D2D2"/>
          </w:tcPr>
          <w:p>
            <w:pPr/>
          </w:p>
        </w:tc>
        <w:tc>
          <w:tcPr>
            <w:tcW w:w="1025" w:type="dxa"/>
            <w:vMerge/>
            <w:tcBorders>
              <w:left w:val="single" w:sz="4" w:space="0" w:color="000000"/>
              <w:bottom w:val="nil" w:sz="6" w:space="0" w:color="auto"/>
              <w:right w:val="single" w:sz="4" w:space="0" w:color="000000"/>
            </w:tcBorders>
            <w:shd w:val="clear" w:color="auto" w:fill="D2D2D2"/>
          </w:tcPr>
          <w:p>
            <w:pPr/>
          </w:p>
        </w:tc>
        <w:tc>
          <w:tcPr>
            <w:tcW w:w="803"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是否履行</w:t>
            </w: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完毕</w:t>
            </w:r>
          </w:p>
        </w:tc>
        <w:tc>
          <w:tcPr>
            <w:tcW w:w="781" w:type="dxa"/>
            <w:vMerge/>
            <w:tcBorders>
              <w:left w:val="single" w:sz="4" w:space="0" w:color="000000"/>
              <w:right w:val="single" w:sz="4" w:space="0" w:color="000000"/>
            </w:tcBorders>
            <w:shd w:val="clear" w:color="auto" w:fill="D2D2D2"/>
          </w:tcPr>
          <w:p>
            <w:pPr/>
          </w:p>
        </w:tc>
      </w:tr>
      <w:tr>
        <w:trPr>
          <w:trHeight w:val="233"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4" w:type="dxa"/>
            <w:vMerge/>
            <w:tcBorders>
              <w:left w:val="single" w:sz="4" w:space="0" w:color="000000"/>
              <w:right w:val="single" w:sz="5" w:space="0" w:color="000000"/>
            </w:tcBorders>
            <w:shd w:val="clear" w:color="auto" w:fill="D2D2D2"/>
          </w:tcPr>
          <w:p>
            <w:pPr/>
          </w:p>
        </w:tc>
        <w:tc>
          <w:tcPr>
            <w:tcW w:w="951" w:type="dxa"/>
            <w:tcBorders>
              <w:top w:val="nil" w:sz="6" w:space="0" w:color="auto"/>
              <w:left w:val="single" w:sz="5" w:space="0" w:color="000000"/>
              <w:bottom w:val="nil" w:sz="6" w:space="0" w:color="auto"/>
              <w:right w:val="single" w:sz="4" w:space="0" w:color="000000"/>
            </w:tcBorders>
            <w:shd w:val="clear" w:color="auto" w:fill="D2D2D2"/>
          </w:tcPr>
          <w:p>
            <w:pPr>
              <w:pStyle w:val="TableParagraph"/>
              <w:spacing w:line="205" w:lineRule="exact"/>
              <w:ind w:left="11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06" w:type="dxa"/>
            <w:vMerge/>
            <w:tcBorders>
              <w:left w:val="single" w:sz="4" w:space="0" w:color="000000"/>
              <w:right w:val="single" w:sz="4" w:space="0" w:color="000000"/>
            </w:tcBorders>
            <w:shd w:val="clear" w:color="auto" w:fill="D2D2D2"/>
          </w:tcPr>
          <w:p>
            <w:pPr/>
          </w:p>
        </w:tc>
        <w:tc>
          <w:tcPr>
            <w:tcW w:w="1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5" w:lineRule="exact"/>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18" w:hRule="exact"/>
        </w:trPr>
        <w:tc>
          <w:tcPr>
            <w:tcW w:w="1612" w:type="dxa"/>
            <w:vMerge w:val="restart"/>
            <w:tcBorders>
              <w:top w:val="nil" w:sz="6" w:space="0" w:color="auto"/>
              <w:left w:val="single" w:sz="4" w:space="0" w:color="000000"/>
              <w:right w:val="single" w:sz="4" w:space="0" w:color="000000"/>
            </w:tcBorders>
            <w:shd w:val="clear" w:color="auto" w:fill="D2D2D2"/>
          </w:tcPr>
          <w:p>
            <w:pPr/>
          </w:p>
        </w:tc>
        <w:tc>
          <w:tcPr>
            <w:tcW w:w="924" w:type="dxa"/>
            <w:vMerge/>
            <w:tcBorders>
              <w:left w:val="single" w:sz="4" w:space="0" w:color="000000"/>
              <w:right w:val="single" w:sz="5" w:space="0" w:color="000000"/>
            </w:tcBorders>
            <w:shd w:val="clear" w:color="auto" w:fill="D2D2D2"/>
          </w:tcPr>
          <w:p>
            <w:pPr/>
          </w:p>
        </w:tc>
        <w:tc>
          <w:tcPr>
            <w:tcW w:w="951" w:type="dxa"/>
            <w:vMerge w:val="restart"/>
            <w:tcBorders>
              <w:top w:val="nil" w:sz="6" w:space="0" w:color="auto"/>
              <w:left w:val="single" w:sz="5" w:space="0" w:color="000000"/>
              <w:right w:val="single" w:sz="4" w:space="0" w:color="000000"/>
            </w:tcBorders>
            <w:shd w:val="clear" w:color="auto" w:fill="D2D2D2"/>
          </w:tcPr>
          <w:p>
            <w:pPr/>
          </w:p>
        </w:tc>
        <w:tc>
          <w:tcPr>
            <w:tcW w:w="1206" w:type="dxa"/>
            <w:vMerge/>
            <w:tcBorders>
              <w:left w:val="single" w:sz="4" w:space="0" w:color="000000"/>
              <w:right w:val="single" w:sz="4" w:space="0" w:color="000000"/>
            </w:tcBorders>
            <w:shd w:val="clear" w:color="auto" w:fill="D2D2D2"/>
          </w:tcPr>
          <w:p>
            <w:pPr/>
          </w:p>
        </w:tc>
        <w:tc>
          <w:tcPr>
            <w:tcW w:w="1178" w:type="dxa"/>
            <w:vMerge w:val="restart"/>
            <w:tcBorders>
              <w:top w:val="nil" w:sz="6" w:space="0" w:color="auto"/>
              <w:left w:val="single" w:sz="4" w:space="0" w:color="000000"/>
              <w:right w:val="single" w:sz="4" w:space="0" w:color="000000"/>
            </w:tcBorders>
            <w:shd w:val="clear" w:color="auto" w:fill="D2D2D2"/>
          </w:tcPr>
          <w:p>
            <w:pPr/>
          </w:p>
        </w:tc>
        <w:tc>
          <w:tcPr>
            <w:tcW w:w="1093" w:type="dxa"/>
            <w:vMerge w:val="restart"/>
            <w:tcBorders>
              <w:top w:val="nil" w:sz="6" w:space="0" w:color="auto"/>
              <w:left w:val="single" w:sz="4" w:space="0" w:color="000000"/>
              <w:right w:val="single" w:sz="4" w:space="0" w:color="000000"/>
            </w:tcBorders>
            <w:shd w:val="clear" w:color="auto" w:fill="D2D2D2"/>
          </w:tcPr>
          <w:p>
            <w:pPr/>
          </w:p>
        </w:tc>
        <w:tc>
          <w:tcPr>
            <w:tcW w:w="1025" w:type="dxa"/>
            <w:vMerge w:val="restart"/>
            <w:tcBorders>
              <w:top w:val="nil" w:sz="6" w:space="0" w:color="auto"/>
              <w:left w:val="single" w:sz="4" w:space="0" w:color="000000"/>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38"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5" w:space="0" w:color="000000"/>
            </w:tcBorders>
            <w:shd w:val="clear" w:color="auto" w:fill="D2D2D2"/>
          </w:tcPr>
          <w:p>
            <w:pPr/>
          </w:p>
        </w:tc>
        <w:tc>
          <w:tcPr>
            <w:tcW w:w="951" w:type="dxa"/>
            <w:vMerge/>
            <w:tcBorders>
              <w:left w:val="single" w:sz="5" w:space="0" w:color="000000"/>
              <w:bottom w:val="single" w:sz="4" w:space="0" w:color="000000"/>
              <w:right w:val="single" w:sz="4" w:space="0" w:color="000000"/>
            </w:tcBorders>
            <w:shd w:val="clear" w:color="auto" w:fill="D2D2D2"/>
          </w:tcPr>
          <w:p>
            <w:pPr/>
          </w:p>
        </w:tc>
        <w:tc>
          <w:tcPr>
            <w:tcW w:w="1206" w:type="dxa"/>
            <w:vMerge/>
            <w:tcBorders>
              <w:left w:val="single" w:sz="4" w:space="0" w:color="000000"/>
              <w:bottom w:val="single" w:sz="4" w:space="0" w:color="000000"/>
              <w:right w:val="single" w:sz="4" w:space="0" w:color="000000"/>
            </w:tcBorders>
            <w:shd w:val="clear" w:color="auto" w:fill="D2D2D2"/>
          </w:tcPr>
          <w:p>
            <w:pPr/>
          </w:p>
        </w:tc>
        <w:tc>
          <w:tcPr>
            <w:tcW w:w="1178" w:type="dxa"/>
            <w:vMerge/>
            <w:tcBorders>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c>
          <w:tcPr>
            <w:tcW w:w="1025" w:type="dxa"/>
            <w:vMerge/>
            <w:tcBorders>
              <w:left w:val="single" w:sz="4" w:space="0" w:color="000000"/>
              <w:bottom w:val="single" w:sz="4" w:space="0" w:color="000000"/>
              <w:right w:val="single" w:sz="4" w:space="0" w:color="000000"/>
            </w:tcBorders>
            <w:shd w:val="clear" w:color="auto" w:fill="D2D2D2"/>
          </w:tcPr>
          <w:p>
            <w:pPr/>
          </w:p>
        </w:tc>
        <w:tc>
          <w:tcPr>
            <w:tcW w:w="80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478"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57" w:type="dxa"/>
            <w:gridSpan w:val="2"/>
            <w:tcBorders>
              <w:top w:val="single" w:sz="46" w:space="0" w:color="D2D2D2"/>
              <w:left w:val="single" w:sz="10" w:space="0" w:color="D2D2D2"/>
              <w:bottom w:val="single" w:sz="4" w:space="0" w:color="000000"/>
              <w:right w:val="single" w:sz="14" w:space="0" w:color="D2D2D2"/>
            </w:tcBorders>
          </w:tcPr>
          <w:p>
            <w:pPr>
              <w:pStyle w:val="TableParagraph"/>
              <w:spacing w:line="240" w:lineRule="auto" w:before="74"/>
              <w:ind w:right="8"/>
              <w:jc w:val="right"/>
              <w:rPr>
                <w:rFonts w:ascii="Times New Roman" w:hAnsi="Times New Roman" w:cs="Times New Roman" w:eastAsia="Times New Roman" w:hint="default"/>
                <w:sz w:val="18"/>
                <w:szCs w:val="18"/>
              </w:rPr>
            </w:pPr>
            <w:r>
              <w:rPr>
                <w:rFonts w:ascii="Times New Roman"/>
                <w:sz w:val="18"/>
              </w:rPr>
              <w:t>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报告期内对外担保实际发生</w:t>
            </w: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0</w:t>
            </w:r>
          </w:p>
        </w:tc>
      </w:tr>
      <w:tr>
        <w:trPr>
          <w:trHeight w:val="482"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4"/>
              <w:ind w:right="8"/>
              <w:jc w:val="right"/>
              <w:rPr>
                <w:rFonts w:ascii="Times New Roman" w:hAnsi="Times New Roman" w:cs="Times New Roman" w:eastAsia="Times New Roman" w:hint="default"/>
                <w:sz w:val="18"/>
                <w:szCs w:val="18"/>
              </w:rPr>
            </w:pPr>
            <w:r>
              <w:rPr>
                <w:rFonts w:ascii="Times New Roman"/>
                <w:sz w:val="18"/>
              </w:rPr>
              <w:t>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z w:val="18"/>
                <w:szCs w:val="18"/>
              </w:rPr>
              <w:t>报告期末实际对外担保余额</w:t>
            </w:r>
          </w:p>
          <w:p>
            <w:pPr>
              <w:pStyle w:val="TableParagraph"/>
              <w:spacing w:line="248" w:lineRule="exact"/>
              <w:ind w:left="25"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0</w:t>
            </w:r>
          </w:p>
        </w:tc>
      </w:tr>
      <w:tr>
        <w:trPr>
          <w:trHeight w:val="23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1" w:lineRule="exact"/>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27"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951" w:type="dxa"/>
            <w:vMerge w:val="restart"/>
            <w:tcBorders>
              <w:top w:val="single" w:sz="4" w:space="0" w:color="000000"/>
              <w:left w:val="single" w:sz="4" w:space="0" w:color="000000"/>
              <w:right w:val="single" w:sz="4" w:space="0" w:color="000000"/>
            </w:tcBorders>
            <w:shd w:val="clear" w:color="auto" w:fill="D2D2D2"/>
          </w:tcPr>
          <w:p>
            <w:pPr/>
          </w:p>
        </w:tc>
        <w:tc>
          <w:tcPr>
            <w:tcW w:w="12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8" w:type="dxa"/>
            <w:vMerge w:val="restart"/>
            <w:tcBorders>
              <w:top w:val="single" w:sz="4" w:space="0" w:color="000000"/>
              <w:left w:val="single" w:sz="4" w:space="0" w:color="000000"/>
              <w:right w:val="single" w:sz="4" w:space="0" w:color="000000"/>
            </w:tcBorders>
            <w:shd w:val="clear" w:color="auto" w:fill="D2D2D2"/>
          </w:tcPr>
          <w:p>
            <w:pPr/>
          </w:p>
        </w:tc>
        <w:tc>
          <w:tcPr>
            <w:tcW w:w="1093" w:type="dxa"/>
            <w:vMerge w:val="restart"/>
            <w:tcBorders>
              <w:top w:val="single" w:sz="4" w:space="0" w:color="000000"/>
              <w:left w:val="single" w:sz="4" w:space="0" w:color="000000"/>
              <w:right w:val="single" w:sz="4" w:space="0" w:color="000000"/>
            </w:tcBorders>
            <w:shd w:val="clear" w:color="auto" w:fill="D2D2D2"/>
          </w:tcPr>
          <w:p>
            <w:pPr/>
          </w:p>
        </w:tc>
        <w:tc>
          <w:tcPr>
            <w:tcW w:w="1025" w:type="dxa"/>
            <w:vMerge w:val="restart"/>
            <w:tcBorders>
              <w:top w:val="single" w:sz="4" w:space="0" w:color="000000"/>
              <w:left w:val="single" w:sz="4" w:space="0" w:color="000000"/>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是否为关</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联方担保</w:t>
            </w:r>
          </w:p>
          <w:p>
            <w:pPr>
              <w:pStyle w:val="TableParagraph"/>
              <w:spacing w:line="232" w:lineRule="exact" w:before="24"/>
              <w:ind w:left="202" w:right="115" w:hanging="89"/>
              <w:jc w:val="left"/>
              <w:rPr>
                <w:rFonts w:ascii="宋体" w:hAnsi="宋体" w:cs="宋体" w:eastAsia="宋体" w:hint="default"/>
                <w:sz w:val="18"/>
                <w:szCs w:val="18"/>
              </w:rPr>
            </w:pPr>
            <w:r>
              <w:rPr>
                <w:rFonts w:ascii="宋体" w:hAnsi="宋体" w:cs="宋体" w:eastAsia="宋体" w:hint="default"/>
                <w:sz w:val="18"/>
                <w:szCs w:val="18"/>
              </w:rPr>
              <w:t>（是或 否）</w:t>
            </w:r>
          </w:p>
        </w:tc>
      </w:tr>
      <w:tr>
        <w:trPr>
          <w:trHeight w:val="115" w:hRule="exact"/>
        </w:trPr>
        <w:tc>
          <w:tcPr>
            <w:tcW w:w="1612" w:type="dxa"/>
            <w:vMerge/>
            <w:tcBorders>
              <w:left w:val="single" w:sz="4" w:space="0" w:color="000000"/>
              <w:right w:val="single" w:sz="4" w:space="0" w:color="000000"/>
            </w:tcBorders>
            <w:shd w:val="clear" w:color="auto" w:fill="D2D2D2"/>
          </w:tcPr>
          <w:p>
            <w:pPr/>
          </w:p>
        </w:tc>
        <w:tc>
          <w:tcPr>
            <w:tcW w:w="924" w:type="dxa"/>
            <w:vMerge w:val="restart"/>
            <w:tcBorders>
              <w:top w:val="nil" w:sz="6" w:space="0" w:color="auto"/>
              <w:left w:val="single" w:sz="4" w:space="0" w:color="000000"/>
              <w:right w:val="single" w:sz="4" w:space="0" w:color="000000"/>
            </w:tcBorders>
            <w:shd w:val="clear" w:color="auto" w:fill="D2D2D2"/>
          </w:tcPr>
          <w:p>
            <w:pPr>
              <w:pStyle w:val="TableParagraph"/>
              <w:spacing w:line="204" w:lineRule="exact"/>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p>
            <w:pPr>
              <w:pStyle w:val="TableParagraph"/>
              <w:spacing w:line="232" w:lineRule="exact" w:before="23"/>
              <w:ind w:left="97" w:right="95"/>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51" w:type="dxa"/>
            <w:vMerge/>
            <w:tcBorders>
              <w:left w:val="single" w:sz="4" w:space="0" w:color="000000"/>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Style w:val="TableParagraph"/>
              <w:spacing w:line="204" w:lineRule="exact"/>
              <w:ind w:left="5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2" w:lineRule="exact" w:before="23"/>
              <w:ind w:left="418" w:right="147"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vMerge/>
            <w:tcBorders>
              <w:left w:val="single" w:sz="4" w:space="0" w:color="000000"/>
              <w:right w:val="single" w:sz="4" w:space="0" w:color="000000"/>
            </w:tcBorders>
            <w:shd w:val="clear" w:color="auto" w:fill="D2D2D2"/>
          </w:tcPr>
          <w:p>
            <w:pPr/>
          </w:p>
        </w:tc>
        <w:tc>
          <w:tcPr>
            <w:tcW w:w="1093" w:type="dxa"/>
            <w:vMerge/>
            <w:tcBorders>
              <w:left w:val="single" w:sz="4" w:space="0" w:color="000000"/>
              <w:right w:val="single" w:sz="4" w:space="0" w:color="000000"/>
            </w:tcBorders>
            <w:shd w:val="clear" w:color="auto" w:fill="D2D2D2"/>
          </w:tcPr>
          <w:p>
            <w:pPr/>
          </w:p>
        </w:tc>
        <w:tc>
          <w:tcPr>
            <w:tcW w:w="102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18"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924" w:type="dxa"/>
            <w:vMerge/>
            <w:tcBorders>
              <w:left w:val="single" w:sz="4" w:space="0" w:color="000000"/>
              <w:right w:val="single" w:sz="4" w:space="0" w:color="000000"/>
            </w:tcBorders>
            <w:shd w:val="clear" w:color="auto" w:fill="D2D2D2"/>
          </w:tcPr>
          <w:p>
            <w:pPr/>
          </w:p>
        </w:tc>
        <w:tc>
          <w:tcPr>
            <w:tcW w:w="951" w:type="dxa"/>
            <w:vMerge/>
            <w:tcBorders>
              <w:left w:val="single" w:sz="4" w:space="0" w:color="000000"/>
              <w:bottom w:val="nil" w:sz="6" w:space="0" w:color="auto"/>
              <w:right w:val="single" w:sz="4" w:space="0" w:color="000000"/>
            </w:tcBorders>
            <w:shd w:val="clear" w:color="auto" w:fill="D2D2D2"/>
          </w:tcPr>
          <w:p>
            <w:pPr/>
          </w:p>
        </w:tc>
        <w:tc>
          <w:tcPr>
            <w:tcW w:w="1206" w:type="dxa"/>
            <w:vMerge/>
            <w:tcBorders>
              <w:left w:val="single" w:sz="4" w:space="0" w:color="000000"/>
              <w:right w:val="single" w:sz="4" w:space="0" w:color="000000"/>
            </w:tcBorders>
            <w:shd w:val="clear" w:color="auto" w:fill="D2D2D2"/>
          </w:tcPr>
          <w:p>
            <w:pPr/>
          </w:p>
        </w:tc>
        <w:tc>
          <w:tcPr>
            <w:tcW w:w="1178" w:type="dxa"/>
            <w:vMerge/>
            <w:tcBorders>
              <w:left w:val="single" w:sz="4" w:space="0" w:color="000000"/>
              <w:bottom w:val="nil" w:sz="6" w:space="0" w:color="auto"/>
              <w:right w:val="single" w:sz="4" w:space="0" w:color="000000"/>
            </w:tcBorders>
            <w:shd w:val="clear" w:color="auto" w:fill="D2D2D2"/>
          </w:tcPr>
          <w:p>
            <w:pPr/>
          </w:p>
        </w:tc>
        <w:tc>
          <w:tcPr>
            <w:tcW w:w="1093" w:type="dxa"/>
            <w:vMerge/>
            <w:tcBorders>
              <w:left w:val="single" w:sz="4" w:space="0" w:color="000000"/>
              <w:bottom w:val="nil" w:sz="6" w:space="0" w:color="auto"/>
              <w:right w:val="single" w:sz="4" w:space="0" w:color="000000"/>
            </w:tcBorders>
            <w:shd w:val="clear" w:color="auto" w:fill="D2D2D2"/>
          </w:tcPr>
          <w:p>
            <w:pPr/>
          </w:p>
        </w:tc>
        <w:tc>
          <w:tcPr>
            <w:tcW w:w="1025" w:type="dxa"/>
            <w:vMerge/>
            <w:tcBorders>
              <w:left w:val="single" w:sz="4" w:space="0" w:color="000000"/>
              <w:bottom w:val="nil" w:sz="6" w:space="0" w:color="auto"/>
              <w:right w:val="single" w:sz="4" w:space="0" w:color="000000"/>
            </w:tcBorders>
            <w:shd w:val="clear" w:color="auto" w:fill="D2D2D2"/>
          </w:tcPr>
          <w:p>
            <w:pPr/>
          </w:p>
        </w:tc>
        <w:tc>
          <w:tcPr>
            <w:tcW w:w="803"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right="13"/>
              <w:jc w:val="center"/>
              <w:rPr>
                <w:rFonts w:ascii="宋体" w:hAnsi="宋体" w:cs="宋体" w:eastAsia="宋体" w:hint="default"/>
                <w:sz w:val="18"/>
                <w:szCs w:val="18"/>
              </w:rPr>
            </w:pPr>
            <w:r>
              <w:rPr>
                <w:rFonts w:ascii="宋体" w:hAnsi="宋体" w:cs="宋体" w:eastAsia="宋体" w:hint="default"/>
                <w:sz w:val="18"/>
                <w:szCs w:val="18"/>
              </w:rPr>
              <w:t>是否履行</w:t>
            </w: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完毕</w:t>
            </w:r>
          </w:p>
        </w:tc>
        <w:tc>
          <w:tcPr>
            <w:tcW w:w="781" w:type="dxa"/>
            <w:vMerge/>
            <w:tcBorders>
              <w:left w:val="single" w:sz="4" w:space="0" w:color="000000"/>
              <w:right w:val="single" w:sz="4" w:space="0" w:color="000000"/>
            </w:tcBorders>
            <w:shd w:val="clear" w:color="auto" w:fill="D2D2D2"/>
          </w:tcPr>
          <w:p>
            <w:pPr/>
          </w:p>
        </w:tc>
      </w:tr>
      <w:tr>
        <w:trPr>
          <w:trHeight w:val="233"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4" w:type="dxa"/>
            <w:vMerge/>
            <w:tcBorders>
              <w:left w:val="single" w:sz="4" w:space="0" w:color="000000"/>
              <w:right w:val="single" w:sz="4" w:space="0" w:color="000000"/>
            </w:tcBorders>
            <w:shd w:val="clear" w:color="auto" w:fill="D2D2D2"/>
          </w:tcPr>
          <w:p>
            <w:pPr/>
          </w:p>
        </w:tc>
        <w:tc>
          <w:tcPr>
            <w:tcW w:w="9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5" w:lineRule="exact"/>
              <w:ind w:left="11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06" w:type="dxa"/>
            <w:vMerge/>
            <w:tcBorders>
              <w:left w:val="single" w:sz="4" w:space="0" w:color="000000"/>
              <w:right w:val="single" w:sz="4" w:space="0" w:color="000000"/>
            </w:tcBorders>
            <w:shd w:val="clear" w:color="auto" w:fill="D2D2D2"/>
          </w:tcPr>
          <w:p>
            <w:pPr/>
          </w:p>
        </w:tc>
        <w:tc>
          <w:tcPr>
            <w:tcW w:w="1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5" w:lineRule="exact"/>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18" w:hRule="exact"/>
        </w:trPr>
        <w:tc>
          <w:tcPr>
            <w:tcW w:w="1612" w:type="dxa"/>
            <w:vMerge w:val="restart"/>
            <w:tcBorders>
              <w:top w:val="nil" w:sz="6" w:space="0" w:color="auto"/>
              <w:left w:val="single" w:sz="4" w:space="0" w:color="000000"/>
              <w:right w:val="single" w:sz="4" w:space="0" w:color="000000"/>
            </w:tcBorders>
            <w:shd w:val="clear" w:color="auto" w:fill="D2D2D2"/>
          </w:tcPr>
          <w:p>
            <w:pPr/>
          </w:p>
        </w:tc>
        <w:tc>
          <w:tcPr>
            <w:tcW w:w="924" w:type="dxa"/>
            <w:vMerge/>
            <w:tcBorders>
              <w:left w:val="single" w:sz="4" w:space="0" w:color="000000"/>
              <w:right w:val="single" w:sz="4" w:space="0" w:color="000000"/>
            </w:tcBorders>
            <w:shd w:val="clear" w:color="auto" w:fill="D2D2D2"/>
          </w:tcPr>
          <w:p>
            <w:pPr/>
          </w:p>
        </w:tc>
        <w:tc>
          <w:tcPr>
            <w:tcW w:w="951" w:type="dxa"/>
            <w:vMerge w:val="restart"/>
            <w:tcBorders>
              <w:top w:val="nil" w:sz="6" w:space="0" w:color="auto"/>
              <w:left w:val="single" w:sz="4" w:space="0" w:color="000000"/>
              <w:right w:val="single" w:sz="4" w:space="0" w:color="000000"/>
            </w:tcBorders>
            <w:shd w:val="clear" w:color="auto" w:fill="D2D2D2"/>
          </w:tcPr>
          <w:p>
            <w:pPr/>
          </w:p>
        </w:tc>
        <w:tc>
          <w:tcPr>
            <w:tcW w:w="1206" w:type="dxa"/>
            <w:vMerge/>
            <w:tcBorders>
              <w:left w:val="single" w:sz="4" w:space="0" w:color="000000"/>
              <w:right w:val="single" w:sz="4" w:space="0" w:color="000000"/>
            </w:tcBorders>
            <w:shd w:val="clear" w:color="auto" w:fill="D2D2D2"/>
          </w:tcPr>
          <w:p>
            <w:pPr/>
          </w:p>
        </w:tc>
        <w:tc>
          <w:tcPr>
            <w:tcW w:w="1178" w:type="dxa"/>
            <w:vMerge w:val="restart"/>
            <w:tcBorders>
              <w:top w:val="nil" w:sz="6" w:space="0" w:color="auto"/>
              <w:left w:val="single" w:sz="4" w:space="0" w:color="000000"/>
              <w:right w:val="single" w:sz="4" w:space="0" w:color="000000"/>
            </w:tcBorders>
            <w:shd w:val="clear" w:color="auto" w:fill="D2D2D2"/>
          </w:tcPr>
          <w:p>
            <w:pPr/>
          </w:p>
        </w:tc>
        <w:tc>
          <w:tcPr>
            <w:tcW w:w="1093" w:type="dxa"/>
            <w:vMerge w:val="restart"/>
            <w:tcBorders>
              <w:top w:val="nil" w:sz="6" w:space="0" w:color="auto"/>
              <w:left w:val="single" w:sz="4" w:space="0" w:color="000000"/>
              <w:right w:val="single" w:sz="4" w:space="0" w:color="000000"/>
            </w:tcBorders>
            <w:shd w:val="clear" w:color="auto" w:fill="D2D2D2"/>
          </w:tcPr>
          <w:p>
            <w:pPr/>
          </w:p>
        </w:tc>
        <w:tc>
          <w:tcPr>
            <w:tcW w:w="1025" w:type="dxa"/>
            <w:vMerge w:val="restart"/>
            <w:tcBorders>
              <w:top w:val="nil" w:sz="6" w:space="0" w:color="auto"/>
              <w:left w:val="single" w:sz="4" w:space="0" w:color="000000"/>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38"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951" w:type="dxa"/>
            <w:vMerge/>
            <w:tcBorders>
              <w:left w:val="single" w:sz="4" w:space="0" w:color="000000"/>
              <w:bottom w:val="single" w:sz="4" w:space="0" w:color="000000"/>
              <w:right w:val="single" w:sz="4" w:space="0" w:color="000000"/>
            </w:tcBorders>
            <w:shd w:val="clear" w:color="auto" w:fill="D2D2D2"/>
          </w:tcPr>
          <w:p>
            <w:pPr/>
          </w:p>
        </w:tc>
        <w:tc>
          <w:tcPr>
            <w:tcW w:w="1206" w:type="dxa"/>
            <w:vMerge/>
            <w:tcBorders>
              <w:left w:val="single" w:sz="4" w:space="0" w:color="000000"/>
              <w:bottom w:val="single" w:sz="4" w:space="0" w:color="000000"/>
              <w:right w:val="single" w:sz="4" w:space="0" w:color="000000"/>
            </w:tcBorders>
            <w:shd w:val="clear" w:color="auto" w:fill="D2D2D2"/>
          </w:tcPr>
          <w:p>
            <w:pPr/>
          </w:p>
        </w:tc>
        <w:tc>
          <w:tcPr>
            <w:tcW w:w="1178" w:type="dxa"/>
            <w:vMerge/>
            <w:tcBorders>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c>
          <w:tcPr>
            <w:tcW w:w="1025" w:type="dxa"/>
            <w:vMerge/>
            <w:tcBorders>
              <w:left w:val="single" w:sz="4" w:space="0" w:color="000000"/>
              <w:bottom w:val="single" w:sz="4" w:space="0" w:color="000000"/>
              <w:right w:val="single" w:sz="4" w:space="0" w:color="000000"/>
            </w:tcBorders>
            <w:shd w:val="clear" w:color="auto" w:fill="D2D2D2"/>
          </w:tcPr>
          <w:p>
            <w:pPr/>
          </w:p>
        </w:tc>
        <w:tc>
          <w:tcPr>
            <w:tcW w:w="80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478"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北京东港安全印刷</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24" w:type="dxa"/>
            <w:tcBorders>
              <w:top w:val="single" w:sz="50" w:space="0" w:color="D2D2D2"/>
              <w:left w:val="single" w:sz="4" w:space="0" w:color="000000"/>
              <w:bottom w:val="single" w:sz="4" w:space="0" w:color="000000"/>
              <w:right w:val="single" w:sz="4" w:space="0" w:color="000000"/>
            </w:tcBorders>
          </w:tcPr>
          <w:p>
            <w:pPr>
              <w:pStyle w:val="TableParagraph"/>
              <w:spacing w:line="154" w:lineRule="exact"/>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2" w:lineRule="exact"/>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5"/>
              <w:jc w:val="right"/>
              <w:rPr>
                <w:rFonts w:ascii="Times New Roman" w:hAnsi="Times New Roman" w:cs="Times New Roman" w:eastAsia="Times New Roman" w:hint="default"/>
                <w:sz w:val="18"/>
                <w:szCs w:val="18"/>
              </w:rPr>
            </w:pPr>
            <w:r>
              <w:rPr>
                <w:rFonts w:ascii="Times New Roman"/>
                <w:sz w:val="18"/>
              </w:rPr>
              <w:t>5,000</w:t>
            </w:r>
          </w:p>
        </w:tc>
        <w:tc>
          <w:tcPr>
            <w:tcW w:w="1206" w:type="dxa"/>
            <w:tcBorders>
              <w:top w:val="single" w:sz="50" w:space="0" w:color="D2D2D2"/>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北京东港嘉华安全</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信息技术有限公司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1" w:lineRule="exact"/>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5"/>
              <w:jc w:val="right"/>
              <w:rPr>
                <w:rFonts w:ascii="Times New Roman" w:hAnsi="Times New Roman" w:cs="Times New Roman" w:eastAsia="Times New Roman" w:hint="default"/>
                <w:sz w:val="18"/>
                <w:szCs w:val="18"/>
              </w:rPr>
            </w:pPr>
            <w:r>
              <w:rPr>
                <w:rFonts w:ascii="Times New Roman"/>
                <w:sz w:val="18"/>
              </w:rPr>
              <w:t>5,000</w:t>
            </w:r>
          </w:p>
        </w:tc>
        <w:tc>
          <w:tcPr>
            <w:tcW w:w="12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广州东港安全印刷</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1" w:lineRule="exact"/>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5"/>
              <w:jc w:val="right"/>
              <w:rPr>
                <w:rFonts w:ascii="Times New Roman" w:hAnsi="Times New Roman" w:cs="Times New Roman" w:eastAsia="Times New Roman" w:hint="default"/>
                <w:sz w:val="18"/>
                <w:szCs w:val="18"/>
              </w:rPr>
            </w:pPr>
            <w:r>
              <w:rPr>
                <w:rFonts w:ascii="Times New Roman"/>
                <w:sz w:val="18"/>
              </w:rPr>
              <w:t>5,000</w:t>
            </w:r>
          </w:p>
        </w:tc>
        <w:tc>
          <w:tcPr>
            <w:tcW w:w="12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上海东港安全印刷</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1" w:lineRule="exact"/>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5"/>
              <w:jc w:val="right"/>
              <w:rPr>
                <w:rFonts w:ascii="Times New Roman" w:hAnsi="Times New Roman" w:cs="Times New Roman" w:eastAsia="Times New Roman" w:hint="default"/>
                <w:sz w:val="18"/>
                <w:szCs w:val="18"/>
              </w:rPr>
            </w:pPr>
            <w:r>
              <w:rPr>
                <w:rFonts w:ascii="Times New Roman"/>
                <w:sz w:val="18"/>
              </w:rPr>
              <w:t>5,000</w:t>
            </w:r>
          </w:p>
        </w:tc>
        <w:tc>
          <w:tcPr>
            <w:tcW w:w="12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郑州东港安全印刷</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1" w:lineRule="exact"/>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5"/>
              <w:jc w:val="right"/>
              <w:rPr>
                <w:rFonts w:ascii="Times New Roman" w:hAnsi="Times New Roman" w:cs="Times New Roman" w:eastAsia="Times New Roman" w:hint="default"/>
                <w:sz w:val="18"/>
                <w:szCs w:val="18"/>
              </w:rPr>
            </w:pPr>
            <w:r>
              <w:rPr>
                <w:rFonts w:ascii="Times New Roman"/>
                <w:sz w:val="18"/>
              </w:rPr>
              <w:t>5,000</w:t>
            </w:r>
          </w:p>
        </w:tc>
        <w:tc>
          <w:tcPr>
            <w:tcW w:w="12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4"/>
              <w:ind w:right="6"/>
              <w:jc w:val="right"/>
              <w:rPr>
                <w:rFonts w:ascii="Times New Roman" w:hAnsi="Times New Roman" w:cs="Times New Roman" w:eastAsia="Times New Roman" w:hint="default"/>
                <w:sz w:val="18"/>
                <w:szCs w:val="18"/>
              </w:rPr>
            </w:pPr>
            <w:r>
              <w:rPr>
                <w:rFonts w:ascii="Times New Roman"/>
                <w:spacing w:val="-1"/>
                <w:sz w:val="18"/>
              </w:rPr>
              <w:t>25,000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w:t>
            </w:r>
          </w:p>
          <w:p>
            <w:pPr>
              <w:pStyle w:val="TableParagraph"/>
              <w:spacing w:line="248" w:lineRule="exact"/>
              <w:ind w:left="25" w:right="0"/>
              <w:jc w:val="left"/>
              <w:rPr>
                <w:rFonts w:ascii="宋体" w:hAnsi="宋体" w:cs="宋体" w:eastAsia="宋体" w:hint="default"/>
                <w:sz w:val="18"/>
                <w:szCs w:val="18"/>
              </w:rPr>
            </w:pPr>
            <w:r>
              <w:rPr>
                <w:rFonts w:ascii="宋体" w:hAnsi="宋体" w:cs="宋体" w:eastAsia="宋体" w:hint="default"/>
                <w:sz w:val="18"/>
                <w:szCs w:val="18"/>
              </w:rPr>
              <w:t>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0</w:t>
            </w:r>
          </w:p>
        </w:tc>
      </w:tr>
      <w:tr>
        <w:trPr>
          <w:trHeight w:val="482"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7"/>
              <w:ind w:right="6"/>
              <w:jc w:val="right"/>
              <w:rPr>
                <w:rFonts w:ascii="Times New Roman" w:hAnsi="Times New Roman" w:cs="Times New Roman" w:eastAsia="Times New Roman" w:hint="default"/>
                <w:sz w:val="18"/>
                <w:szCs w:val="18"/>
              </w:rPr>
            </w:pPr>
            <w:r>
              <w:rPr>
                <w:rFonts w:ascii="Times New Roman"/>
                <w:spacing w:val="-1"/>
                <w:sz w:val="18"/>
              </w:rPr>
              <w:t>25,000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25"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w:t>
            </w:r>
          </w:p>
          <w:p>
            <w:pPr>
              <w:pStyle w:val="TableParagraph"/>
              <w:spacing w:line="248" w:lineRule="exact"/>
              <w:ind w:left="25" w:right="0"/>
              <w:jc w:val="left"/>
              <w:rPr>
                <w:rFonts w:ascii="宋体" w:hAnsi="宋体" w:cs="宋体" w:eastAsia="宋体" w:hint="default"/>
                <w:sz w:val="18"/>
                <w:szCs w:val="18"/>
              </w:rPr>
            </w:pPr>
            <w:r>
              <w:rPr>
                <w:rFonts w:ascii="宋体" w:hAnsi="宋体" w:cs="宋体" w:eastAsia="宋体" w:hint="default"/>
                <w:sz w:val="18"/>
                <w:szCs w:val="18"/>
              </w:rPr>
              <w:t>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0</w:t>
            </w:r>
          </w:p>
        </w:tc>
      </w:tr>
      <w:tr>
        <w:trPr>
          <w:trHeight w:val="235"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1"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480"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9"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9"/>
              <w:ind w:right="6"/>
              <w:jc w:val="right"/>
              <w:rPr>
                <w:rFonts w:ascii="Times New Roman" w:hAnsi="Times New Roman" w:cs="Times New Roman" w:eastAsia="Times New Roman" w:hint="default"/>
                <w:sz w:val="18"/>
                <w:szCs w:val="18"/>
              </w:rPr>
            </w:pPr>
            <w:r>
              <w:rPr>
                <w:rFonts w:ascii="Times New Roman"/>
                <w:spacing w:val="-1"/>
                <w:sz w:val="18"/>
              </w:rPr>
              <w:t>25,000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9" w:lineRule="exact"/>
              <w:ind w:left="25"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w:t>
            </w:r>
          </w:p>
          <w:p>
            <w:pPr>
              <w:pStyle w:val="TableParagraph"/>
              <w:spacing w:line="248" w:lineRule="exact"/>
              <w:ind w:left="25"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7"/>
              <w:ind w:right="6"/>
              <w:jc w:val="right"/>
              <w:rPr>
                <w:rFonts w:ascii="Times New Roman" w:hAnsi="Times New Roman" w:cs="Times New Roman" w:eastAsia="Times New Roman" w:hint="default"/>
                <w:sz w:val="18"/>
                <w:szCs w:val="18"/>
              </w:rPr>
            </w:pPr>
            <w:r>
              <w:rPr>
                <w:rFonts w:ascii="Times New Roman"/>
                <w:spacing w:val="-1"/>
                <w:sz w:val="18"/>
              </w:rPr>
              <w:t>25,000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0</w:t>
            </w:r>
          </w:p>
        </w:tc>
      </w:tr>
      <w:tr>
        <w:trPr>
          <w:trHeight w:val="250"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14"/>
              <w:jc w:val="right"/>
              <w:rPr>
                <w:rFonts w:ascii="Times New Roman" w:hAnsi="Times New Roman" w:cs="Times New Roman" w:eastAsia="Times New Roman" w:hint="default"/>
                <w:sz w:val="18"/>
                <w:szCs w:val="18"/>
              </w:rPr>
            </w:pPr>
            <w:r>
              <w:rPr>
                <w:rFonts w:ascii="Times New Roman"/>
                <w:sz w:val="18"/>
              </w:rPr>
              <w:t>0%</w:t>
            </w:r>
          </w:p>
        </w:tc>
      </w:tr>
      <w:tr>
        <w:trPr>
          <w:trHeight w:val="23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1" w:lineRule="exact"/>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247"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4" w:lineRule="exact"/>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24"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w:t>
            </w:r>
          </w:p>
          <w:p>
            <w:pPr>
              <w:pStyle w:val="TableParagraph"/>
              <w:spacing w:line="242" w:lineRule="exact"/>
              <w:ind w:left="24" w:right="0"/>
              <w:jc w:val="left"/>
              <w:rPr>
                <w:rFonts w:ascii="宋体" w:hAnsi="宋体" w:cs="宋体" w:eastAsia="宋体" w:hint="default"/>
                <w:sz w:val="18"/>
                <w:szCs w:val="18"/>
              </w:rPr>
            </w:pPr>
            <w:r>
              <w:rPr>
                <w:rFonts w:ascii="宋体" w:hAnsi="宋体" w:cs="宋体" w:eastAsia="宋体" w:hint="default"/>
                <w:sz w:val="18"/>
                <w:szCs w:val="18"/>
              </w:rPr>
              <w:t>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18"/>
                <w:szCs w:val="18"/>
              </w:rPr>
            </w:pPr>
            <w:r>
              <w:rPr>
                <w:rFonts w:ascii="Times New Roman"/>
                <w:sz w:val="18"/>
              </w:rPr>
              <w:t>0</w:t>
            </w:r>
          </w:p>
        </w:tc>
      </w:tr>
      <w:tr>
        <w:trPr>
          <w:trHeight w:val="242"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05" w:lineRule="exact"/>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45"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05" w:lineRule="exact"/>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57" w:lineRule="auto" w:before="49"/>
        <w:ind w:right="8054"/>
        <w:jc w:val="left"/>
      </w:pPr>
      <w:r>
        <w:rPr/>
        <w:t>采用复合方式担保的具体情况说明 无</w:t>
      </w:r>
    </w:p>
    <w:p>
      <w:pPr>
        <w:pStyle w:val="Heading3"/>
        <w:spacing w:line="240" w:lineRule="auto" w:before="8"/>
        <w:ind w:right="0"/>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after="0" w:line="240" w:lineRule="auto"/>
        <w:jc w:val="left"/>
        <w:sectPr>
          <w:footerReference w:type="default" r:id="rId30"/>
          <w:pgSz w:w="11910" w:h="16840"/>
          <w:pgMar w:footer="1325" w:header="877" w:top="1060" w:bottom="1520" w:left="980" w:right="0"/>
          <w:pgNumType w:start="26"/>
        </w:sectPr>
      </w:pPr>
    </w:p>
    <w:p>
      <w:pPr>
        <w:spacing w:line="240" w:lineRule="auto" w:before="9"/>
        <w:rPr>
          <w:rFonts w:ascii="宋体" w:hAnsi="宋体" w:cs="宋体" w:eastAsia="宋体" w:hint="default"/>
          <w:b/>
          <w:bCs/>
          <w:sz w:val="25"/>
          <w:szCs w:val="25"/>
        </w:rPr>
      </w:pPr>
    </w:p>
    <w:p>
      <w:pPr>
        <w:spacing w:line="561" w:lineRule="auto" w:before="44"/>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、其他重大合同</w:t>
      </w:r>
      <w:r>
        <w:rPr>
          <w:rFonts w:ascii="宋体" w:hAnsi="宋体" w:cs="宋体" w:eastAsia="宋体" w:hint="default"/>
          <w:b/>
          <w:bCs/>
          <w:w w:val="99"/>
          <w:sz w:val="20"/>
          <w:szCs w:val="20"/>
        </w:rPr>
        <w:t> </w:t>
      </w:r>
      <w:r>
        <w:rPr>
          <w:rFonts w:ascii="宋体" w:hAnsi="宋体" w:cs="宋体" w:eastAsia="宋体" w:hint="default"/>
          <w:sz w:val="18"/>
          <w:szCs w:val="18"/>
        </w:rPr>
        <w:t>报告期内公司无其他重大合同</w:t>
      </w:r>
    </w:p>
    <w:p>
      <w:pPr>
        <w:pStyle w:val="Heading2"/>
        <w:spacing w:line="240" w:lineRule="auto" w:before="86"/>
        <w:ind w:right="0"/>
        <w:jc w:val="left"/>
        <w:rPr>
          <w:b w:val="0"/>
          <w:bCs w:val="0"/>
        </w:rPr>
      </w:pPr>
      <w:r>
        <w:rPr/>
        <w:t>四、承诺事项履行情况</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、公司或持股</w:t>
      </w:r>
      <w:r>
        <w:rPr>
          <w:spacing w:val="-57"/>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32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2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258" w:hRule="exact"/>
        </w:trPr>
        <w:tc>
          <w:tcPr>
            <w:tcW w:w="3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32" w:lineRule="exact"/>
              <w:ind w:left="24"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8"/>
              <w:ind w:left="24" w:right="158"/>
              <w:jc w:val="left"/>
              <w:rPr>
                <w:rFonts w:ascii="宋体" w:hAnsi="宋体" w:cs="宋体" w:eastAsia="宋体" w:hint="default"/>
                <w:sz w:val="18"/>
                <w:szCs w:val="18"/>
              </w:rPr>
            </w:pPr>
            <w:r>
              <w:rPr>
                <w:rFonts w:ascii="宋体" w:hAnsi="宋体" w:cs="宋体" w:eastAsia="宋体" w:hint="default"/>
                <w:sz w:val="18"/>
                <w:szCs w:val="18"/>
              </w:rPr>
              <w:t>公司实际控制 人</w:t>
            </w:r>
          </w:p>
        </w:tc>
        <w:tc>
          <w:tcPr>
            <w:tcW w:w="1277" w:type="dxa"/>
            <w:tcBorders>
              <w:top w:val="single" w:sz="4" w:space="0" w:color="000000"/>
              <w:left w:val="single" w:sz="4" w:space="0" w:color="000000"/>
              <w:bottom w:val="single" w:sz="4" w:space="0" w:color="000000"/>
              <w:right w:val="single" w:sz="13" w:space="0" w:color="FFFFFF"/>
            </w:tcBorders>
          </w:tcPr>
          <w:p>
            <w:pPr>
              <w:pStyle w:val="TableParagraph"/>
              <w:spacing w:line="228" w:lineRule="auto" w:before="19"/>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、避免同业竞 争；</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保证上市 公司独立运作； </w:t>
            </w:r>
            <w:r>
              <w:rPr>
                <w:rFonts w:ascii="Times New Roman" w:hAnsi="Times New Roman" w:cs="Times New Roman" w:eastAsia="Times New Roman" w:hint="default"/>
                <w:sz w:val="18"/>
                <w:szCs w:val="18"/>
              </w:rPr>
              <w:t>3</w:t>
            </w:r>
            <w:r>
              <w:rPr>
                <w:rFonts w:ascii="宋体" w:hAnsi="宋体" w:cs="宋体" w:eastAsia="宋体" w:hint="default"/>
                <w:sz w:val="18"/>
                <w:szCs w:val="18"/>
              </w:rPr>
              <w:t>、减少和规范 关联交易；</w:t>
            </w:r>
          </w:p>
        </w:tc>
        <w:tc>
          <w:tcPr>
            <w:tcW w:w="1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1" w:lineRule="exact" w:before="123"/>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p>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557" w:hRule="exact"/>
        </w:trPr>
        <w:tc>
          <w:tcPr>
            <w:tcW w:w="3195"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58"/>
              <w:jc w:val="left"/>
              <w:rPr>
                <w:rFonts w:ascii="宋体" w:hAnsi="宋体" w:cs="宋体" w:eastAsia="宋体" w:hint="default"/>
                <w:sz w:val="18"/>
                <w:szCs w:val="18"/>
              </w:rPr>
            </w:pPr>
            <w:r>
              <w:rPr>
                <w:rFonts w:ascii="宋体" w:hAnsi="宋体" w:cs="宋体" w:eastAsia="宋体" w:hint="default"/>
                <w:sz w:val="18"/>
                <w:szCs w:val="18"/>
              </w:rPr>
              <w:t>公司实际控制 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161"/>
              <w:jc w:val="left"/>
              <w:rPr>
                <w:rFonts w:ascii="宋体" w:hAnsi="宋体" w:cs="宋体" w:eastAsia="宋体" w:hint="default"/>
                <w:sz w:val="18"/>
                <w:szCs w:val="18"/>
              </w:rPr>
            </w:pPr>
            <w:r>
              <w:rPr>
                <w:rFonts w:ascii="宋体" w:hAnsi="宋体" w:cs="宋体" w:eastAsia="宋体" w:hint="default"/>
                <w:sz w:val="18"/>
                <w:szCs w:val="18"/>
              </w:rPr>
              <w:t>未来十二个月 的后续计划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161"/>
              <w:jc w:val="left"/>
              <w:rPr>
                <w:rFonts w:ascii="宋体" w:hAnsi="宋体" w:cs="宋体" w:eastAsia="宋体" w:hint="default"/>
                <w:sz w:val="18"/>
                <w:szCs w:val="18"/>
              </w:rPr>
            </w:pPr>
            <w:r>
              <w:rPr>
                <w:rFonts w:ascii="宋体" w:hAnsi="宋体" w:cs="宋体" w:eastAsia="宋体" w:hint="default"/>
                <w:sz w:val="18"/>
                <w:szCs w:val="18"/>
              </w:rPr>
              <w:t>自承诺出具之 日十二个月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2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90"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6"/>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前的发起人 股东和实际控 制人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避免同业竞争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2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7"/>
              <w:ind w:left="24" w:right="99"/>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公司股东和实际控制人所作出的各项承诺，均得到了严格履行。</w:t>
            </w:r>
          </w:p>
        </w:tc>
      </w:tr>
    </w:tbl>
    <w:p>
      <w:pPr>
        <w:spacing w:line="240" w:lineRule="auto" w:before="8"/>
        <w:rPr>
          <w:rFonts w:ascii="宋体" w:hAnsi="宋体" w:cs="宋体" w:eastAsia="宋体" w:hint="default"/>
          <w:b/>
          <w:bCs/>
          <w:sz w:val="19"/>
          <w:szCs w:val="19"/>
        </w:rPr>
      </w:pPr>
    </w:p>
    <w:p>
      <w:pPr>
        <w:pStyle w:val="Heading5"/>
        <w:spacing w:line="271" w:lineRule="auto" w:before="37"/>
        <w:ind w:right="1123"/>
        <w:jc w:val="left"/>
        <w:rPr>
          <w:b w:val="0"/>
          <w:bCs w:val="0"/>
        </w:rPr>
      </w:pPr>
      <w:r>
        <w:rPr>
          <w:rFonts w:ascii="Times New Roman" w:hAnsi="Times New Roman" w:cs="Times New Roman" w:eastAsia="Times New Roman" w:hint="default"/>
          <w:spacing w:val="-1"/>
          <w:w w:val="95"/>
        </w:rPr>
        <w:t>2</w:t>
      </w:r>
      <w:r>
        <w:rPr>
          <w:spacing w:val="-1"/>
          <w:w w:val="95"/>
        </w:rPr>
        <w:t>、公司资产或项目存在盈利预测，且报告期仍处在盈利预测期间，公司就资产或项目达到原盈利预测及其原因</w:t>
      </w:r>
      <w:r>
        <w:rPr>
          <w:spacing w:val="37"/>
          <w:w w:val="95"/>
        </w:rPr>
        <w:t> </w:t>
      </w:r>
      <w:r>
        <w:rPr>
          <w:spacing w:val="37"/>
          <w:w w:val="95"/>
        </w:rPr>
      </w:r>
      <w:r>
        <w:rPr/>
        <w:t>做出说明：</w:t>
      </w:r>
      <w:r>
        <w:rPr>
          <w:b w:val="0"/>
          <w:bCs w:val="0"/>
        </w:rPr>
      </w:r>
    </w:p>
    <w:p>
      <w:pPr>
        <w:spacing w:line="240" w:lineRule="auto" w:before="0"/>
        <w:rPr>
          <w:rFonts w:ascii="宋体" w:hAnsi="宋体" w:cs="宋体" w:eastAsia="宋体" w:hint="default"/>
          <w:b/>
          <w:bCs/>
          <w:sz w:val="26"/>
          <w:szCs w:val="26"/>
        </w:rPr>
      </w:pPr>
    </w:p>
    <w:p>
      <w:pPr>
        <w:pStyle w:val="BodyText"/>
        <w:spacing w:line="240" w:lineRule="auto"/>
        <w:ind w:left="426"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罗军</w:t>
            </w:r>
            <w:r>
              <w:rPr>
                <w:rFonts w:ascii="宋体" w:hAnsi="宋体" w:cs="宋体" w:eastAsia="宋体" w:hint="default"/>
                <w:spacing w:val="1"/>
                <w:sz w:val="18"/>
                <w:szCs w:val="18"/>
              </w:rPr>
              <w:t> </w:t>
            </w:r>
            <w:r>
              <w:rPr>
                <w:rFonts w:ascii="宋体" w:hAnsi="宋体" w:cs="宋体" w:eastAsia="宋体" w:hint="default"/>
                <w:sz w:val="18"/>
                <w:szCs w:val="18"/>
              </w:rPr>
              <w:t>崔迎</w:t>
            </w:r>
          </w:p>
        </w:tc>
      </w:tr>
    </w:tbl>
    <w:p>
      <w:pPr>
        <w:pStyle w:val="BodyText"/>
        <w:spacing w:line="240" w:lineRule="auto" w:before="49"/>
        <w:ind w:right="0"/>
        <w:jc w:val="left"/>
      </w:pPr>
      <w:r>
        <w:rPr/>
        <w:t>当期是否改聘会计师事务所</w:t>
      </w:r>
    </w:p>
    <w:p>
      <w:pPr>
        <w:spacing w:after="0" w:line="240" w:lineRule="auto"/>
        <w:jc w:val="left"/>
        <w:sectPr>
          <w:pgSz w:w="11910" w:h="16840"/>
          <w:pgMar w:header="877" w:footer="1325" w:top="1060" w:bottom="1520" w:left="980" w:right="0"/>
        </w:sectPr>
      </w:pPr>
    </w:p>
    <w:p>
      <w:pPr>
        <w:spacing w:line="240" w:lineRule="auto" w:before="9"/>
        <w:rPr>
          <w:rFonts w:ascii="宋体" w:hAnsi="宋体" w:cs="宋体" w:eastAsia="宋体" w:hint="default"/>
          <w:sz w:val="25"/>
          <w:szCs w:val="25"/>
        </w:rPr>
      </w:pPr>
    </w:p>
    <w:p>
      <w:pPr>
        <w:pStyle w:val="BodyText"/>
        <w:spacing w:line="340" w:lineRule="auto" w:before="44"/>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t>不适用</w:t>
      </w:r>
    </w:p>
    <w:p>
      <w:pPr>
        <w:spacing w:after="0" w:line="240" w:lineRule="auto"/>
        <w:jc w:val="left"/>
        <w:sectPr>
          <w:pgSz w:w="11910" w:h="16840"/>
          <w:pgMar w:header="877" w:footer="1325" w:top="1060" w:bottom="15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845"/>
        <w:gridCol w:w="843"/>
        <w:gridCol w:w="842"/>
        <w:gridCol w:w="842"/>
        <w:gridCol w:w="845"/>
        <w:gridCol w:w="814"/>
        <w:gridCol w:w="814"/>
      </w:tblGrid>
      <w:tr>
        <w:trPr>
          <w:trHeight w:val="40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-1,205,000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3,375,000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w:t>
            </w:r>
          </w:p>
        </w:tc>
      </w:tr>
      <w:tr>
        <w:trPr>
          <w:trHeight w:val="404"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-1,205,000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3,375,000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w:t>
            </w: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-1,205,000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3,375,000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124,124,1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98.19%</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124,124,1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1,125,000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125,249,1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249,373,3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98.66%</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124,124,1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98.19%</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124,124,1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1,125,000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125,249,1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249,373,3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98.66%</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126,414,1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126,414,1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-80,000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126,334,1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252,748,3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100%</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6"/>
          <w:szCs w:val="6"/>
        </w:rPr>
      </w:pPr>
    </w:p>
    <w:p>
      <w:pPr>
        <w:pStyle w:val="BodyText"/>
        <w:spacing w:line="393" w:lineRule="auto" w:before="44"/>
        <w:ind w:left="513" w:right="1123" w:hanging="361"/>
        <w:jc w:val="left"/>
      </w:pPr>
      <w:r>
        <w:rPr/>
        <w:t>股份变动的原因： </w:t>
      </w:r>
      <w:r>
        <w:rPr>
          <w:rFonts w:ascii="宋体" w:hAnsi="宋体" w:cs="宋体" w:eastAsia="宋体" w:hint="default"/>
          <w:spacing w:val="-2"/>
        </w:rPr>
        <w:t>1</w:t>
      </w:r>
      <w:r>
        <w:rPr>
          <w:spacing w:val="-2"/>
        </w:rPr>
        <w:t>、</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月，公司实施了</w:t>
      </w:r>
      <w:r>
        <w:rPr>
          <w:rFonts w:ascii="宋体" w:hAnsi="宋体" w:cs="宋体" w:eastAsia="宋体" w:hint="default"/>
          <w:spacing w:val="-2"/>
        </w:rPr>
        <w:t>2011</w:t>
      </w:r>
      <w:r>
        <w:rPr>
          <w:spacing w:val="-2"/>
        </w:rPr>
        <w:t>年度利润分配方案，按</w:t>
      </w:r>
      <w:r>
        <w:rPr>
          <w:rFonts w:ascii="宋体" w:hAnsi="宋体" w:cs="宋体" w:eastAsia="宋体" w:hint="default"/>
          <w:spacing w:val="-2"/>
        </w:rPr>
        <w:t>2011</w:t>
      </w:r>
      <w:r>
        <w:rPr>
          <w:spacing w:val="-2"/>
        </w:rPr>
        <w:t>年末股本总数为基数，以资本公积金向全体股东每</w:t>
      </w:r>
      <w:r>
        <w:rPr>
          <w:rFonts w:ascii="宋体" w:hAnsi="宋体" w:cs="宋体" w:eastAsia="宋体" w:hint="default"/>
          <w:spacing w:val="-2"/>
        </w:rPr>
        <w:t>10</w:t>
      </w:r>
      <w:r>
        <w:rPr>
          <w:spacing w:val="-2"/>
        </w:rPr>
        <w:t>股转增</w:t>
      </w:r>
    </w:p>
    <w:p>
      <w:pPr>
        <w:pStyle w:val="BodyText"/>
        <w:spacing w:line="240" w:lineRule="auto"/>
        <w:ind w:right="0"/>
        <w:jc w:val="left"/>
      </w:pPr>
      <w:r>
        <w:rPr>
          <w:rFonts w:ascii="宋体" w:hAnsi="宋体" w:cs="宋体" w:eastAsia="宋体" w:hint="default"/>
        </w:rPr>
        <w:t>10</w:t>
      </w:r>
      <w:r>
        <w:rPr/>
        <w:t>股，因此公司总股本增加</w:t>
      </w:r>
      <w:r>
        <w:rPr>
          <w:rFonts w:ascii="宋体" w:hAnsi="宋体" w:cs="宋体" w:eastAsia="宋体" w:hint="default"/>
        </w:rPr>
        <w:t>126,414,172</w:t>
      </w:r>
      <w:r>
        <w:rPr/>
        <w:t>股。</w:t>
      </w:r>
    </w:p>
    <w:p>
      <w:pPr>
        <w:pStyle w:val="BodyText"/>
        <w:spacing w:line="357" w:lineRule="auto" w:before="115"/>
        <w:ind w:right="0" w:firstLine="360"/>
        <w:jc w:val="left"/>
      </w:pPr>
      <w:r>
        <w:rPr>
          <w:rFonts w:ascii="宋体" w:hAnsi="宋体" w:cs="宋体" w:eastAsia="宋体" w:hint="default"/>
          <w:spacing w:val="-2"/>
        </w:rPr>
        <w:t>2</w:t>
      </w:r>
      <w:r>
        <w:rPr>
          <w:spacing w:val="-2"/>
        </w:rPr>
        <w:t>、</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月，公司限制性股票限售期满，限制性股票第一次解锁股份上市流通，因此有限售条件股份减少</w:t>
      </w:r>
      <w:r>
        <w:rPr>
          <w:rFonts w:ascii="宋体" w:hAnsi="宋体" w:cs="宋体" w:eastAsia="宋体" w:hint="default"/>
          <w:spacing w:val="-2"/>
        </w:rPr>
        <w:t>1,125,000</w:t>
      </w:r>
      <w:r>
        <w:rPr>
          <w:rFonts w:ascii="宋体" w:hAnsi="宋体" w:cs="宋体" w:eastAsia="宋体" w:hint="default"/>
        </w:rPr>
        <w:t> </w:t>
      </w:r>
      <w:r>
        <w:rPr/>
        <w:t>股，无限售条件股份增加</w:t>
      </w:r>
      <w:r>
        <w:rPr>
          <w:rFonts w:ascii="宋体" w:hAnsi="宋体" w:cs="宋体" w:eastAsia="宋体" w:hint="default"/>
        </w:rPr>
        <w:t>1,125,000</w:t>
      </w:r>
      <w:r>
        <w:rPr/>
        <w:t>股。</w:t>
      </w:r>
    </w:p>
    <w:p>
      <w:pPr>
        <w:pStyle w:val="BodyText"/>
        <w:spacing w:line="357" w:lineRule="auto" w:before="26"/>
        <w:ind w:right="1124" w:firstLine="360"/>
        <w:jc w:val="left"/>
      </w:pPr>
      <w:r>
        <w:rPr>
          <w:rFonts w:ascii="宋体" w:hAnsi="宋体" w:cs="宋体" w:eastAsia="宋体" w:hint="default"/>
        </w:rPr>
        <w:t>3</w:t>
      </w:r>
      <w:r>
        <w:rPr/>
        <w:t>、因两名限制性股票激励对象离职，公司回购注销了其所持有限制性股票</w:t>
      </w:r>
      <w:r>
        <w:rPr>
          <w:rFonts w:ascii="宋体" w:hAnsi="宋体" w:cs="宋体" w:eastAsia="宋体" w:hint="default"/>
        </w:rPr>
        <w:t>80,000</w:t>
      </w:r>
      <w:r>
        <w:rPr/>
        <w:t>股，因此有限售条件股份减少</w:t>
      </w:r>
      <w:r>
        <w:rPr>
          <w:rFonts w:ascii="宋体" w:hAnsi="宋体" w:cs="宋体" w:eastAsia="宋体" w:hint="default"/>
        </w:rPr>
        <w:t>80,000 </w:t>
      </w:r>
      <w:r>
        <w:rPr/>
        <w:t>股，公司总股本减少</w:t>
      </w:r>
      <w:r>
        <w:rPr>
          <w:rFonts w:ascii="宋体" w:hAnsi="宋体" w:cs="宋体" w:eastAsia="宋体" w:hint="default"/>
        </w:rPr>
        <w:t>80,000</w:t>
      </w:r>
      <w:r>
        <w:rPr/>
        <w:t>股。</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240" w:lineRule="auto"/>
        <w:ind w:right="0"/>
        <w:jc w:val="left"/>
      </w:pPr>
      <w:r>
        <w:rPr/>
        <w:t>股份变动的批准情况</w:t>
      </w:r>
    </w:p>
    <w:p>
      <w:pPr>
        <w:pStyle w:val="BodyText"/>
        <w:spacing w:line="415" w:lineRule="auto" w:before="115"/>
        <w:ind w:left="513" w:right="112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rPr>
        <w:t>1</w:t>
      </w:r>
      <w:r>
        <w:rPr/>
        <w:t>、公司</w:t>
      </w:r>
      <w:r>
        <w:rPr>
          <w:rFonts w:ascii="宋体" w:hAnsi="宋体" w:cs="宋体" w:eastAsia="宋体" w:hint="default"/>
        </w:rPr>
        <w:t>2011</w:t>
      </w:r>
      <w:r>
        <w:rPr/>
        <w:t>年度股东大会审议批准了《</w:t>
      </w:r>
      <w:r>
        <w:rPr>
          <w:rFonts w:ascii="宋体" w:hAnsi="宋体" w:cs="宋体" w:eastAsia="宋体" w:hint="default"/>
        </w:rPr>
        <w:t>2011</w:t>
      </w:r>
      <w:r>
        <w:rPr/>
        <w:t>年度利润分配及资本公积转增股本方案》，同意按</w:t>
      </w:r>
      <w:r>
        <w:rPr>
          <w:rFonts w:ascii="宋体" w:hAnsi="宋体" w:cs="宋体" w:eastAsia="宋体" w:hint="default"/>
        </w:rPr>
        <w:t>2011</w:t>
      </w:r>
      <w:r>
        <w:rPr/>
        <w:t>年末股本总数为基</w:t>
      </w:r>
    </w:p>
    <w:p>
      <w:pPr>
        <w:pStyle w:val="BodyText"/>
        <w:spacing w:line="477" w:lineRule="auto" w:before="101"/>
        <w:ind w:left="513" w:right="0" w:hanging="361"/>
        <w:jc w:val="left"/>
      </w:pPr>
      <w:r>
        <w:rPr/>
        <w:t>数，以资本公积金向全体股东每</w:t>
      </w:r>
      <w:r>
        <w:rPr>
          <w:rFonts w:ascii="宋体" w:hAnsi="宋体" w:cs="宋体" w:eastAsia="宋体" w:hint="default"/>
        </w:rPr>
        <w:t>10</w:t>
      </w:r>
      <w:r>
        <w:rPr/>
        <w:t>股转增</w:t>
      </w:r>
      <w:r>
        <w:rPr>
          <w:rFonts w:ascii="宋体" w:hAnsi="宋体" w:cs="宋体" w:eastAsia="宋体" w:hint="default"/>
        </w:rPr>
        <w:t>10</w:t>
      </w:r>
      <w:r>
        <w:rPr/>
        <w:t>股。 </w:t>
      </w:r>
      <w:r>
        <w:rPr>
          <w:rFonts w:ascii="宋体" w:hAnsi="宋体" w:cs="宋体" w:eastAsia="宋体" w:hint="default"/>
          <w:spacing w:val="-2"/>
        </w:rPr>
        <w:t>2</w:t>
      </w:r>
      <w:r>
        <w:rPr>
          <w:spacing w:val="-2"/>
        </w:rPr>
        <w:t>、公司第四届董事会第三次会议，审议通过了《关于限制性股票激励计划第一次解锁期可解锁的议案》，同意</w:t>
      </w:r>
      <w:r>
        <w:rPr>
          <w:rFonts w:ascii="宋体" w:hAnsi="宋体" w:cs="宋体" w:eastAsia="宋体" w:hint="default"/>
          <w:spacing w:val="-2"/>
        </w:rPr>
        <w:t>121</w:t>
      </w:r>
      <w:r>
        <w:rPr>
          <w:spacing w:val="-2"/>
        </w:rPr>
        <w:t>名符</w:t>
      </w:r>
    </w:p>
    <w:p>
      <w:pPr>
        <w:pStyle w:val="BodyText"/>
        <w:spacing w:line="477" w:lineRule="auto" w:before="54"/>
        <w:ind w:left="513" w:right="1123" w:hanging="361"/>
        <w:jc w:val="left"/>
      </w:pPr>
      <w:r>
        <w:rPr/>
        <w:t>合条件的激励对象在第一次解锁期解锁，解锁数量为</w:t>
      </w:r>
      <w:r>
        <w:rPr>
          <w:rFonts w:ascii="宋体" w:hAnsi="宋体" w:cs="宋体" w:eastAsia="宋体" w:hint="default"/>
        </w:rPr>
        <w:t>1,125,000</w:t>
      </w:r>
      <w:r>
        <w:rPr/>
        <w:t>股，上市流通日为</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7</w:t>
      </w:r>
      <w:r>
        <w:rPr/>
        <w:t>日。 </w:t>
      </w:r>
      <w:r>
        <w:rPr>
          <w:rFonts w:ascii="宋体" w:hAnsi="宋体" w:cs="宋体" w:eastAsia="宋体" w:hint="default"/>
        </w:rPr>
        <w:t>3</w:t>
      </w:r>
      <w:r>
        <w:rPr/>
        <w:t>、第四届董事会第三次会议审议通过了《关于回购注销已离职股权激励对象所持已获授但尚未解锁的限制性股票的议</w:t>
      </w:r>
    </w:p>
    <w:p>
      <w:pPr>
        <w:pStyle w:val="BodyText"/>
        <w:spacing w:line="436" w:lineRule="auto" w:before="54"/>
        <w:ind w:left="513" w:right="3734" w:hanging="361"/>
        <w:jc w:val="left"/>
      </w:pPr>
      <w:r>
        <w:rPr/>
        <w:t>案》，同意回购注销已离职股权激励对象所持有的尚未解锁的限制性股票共计</w:t>
      </w:r>
      <w:r>
        <w:rPr>
          <w:rFonts w:ascii="宋体" w:hAnsi="宋体" w:cs="宋体" w:eastAsia="宋体" w:hint="default"/>
        </w:rPr>
        <w:t>80,000</w:t>
      </w:r>
      <w:r>
        <w:rPr/>
        <w:t>股。 股份变动的过户情况：</w:t>
      </w:r>
    </w:p>
    <w:p>
      <w:pPr>
        <w:pStyle w:val="BodyText"/>
        <w:spacing w:line="240" w:lineRule="auto" w:before="46"/>
        <w:ind w:left="513" w:right="0"/>
        <w:jc w:val="left"/>
      </w:pPr>
      <w:r>
        <w:rPr>
          <w:rFonts w:ascii="宋体" w:hAnsi="宋体" w:cs="宋体" w:eastAsia="宋体" w:hint="default"/>
        </w:rPr>
        <w:t>1</w:t>
      </w:r>
      <w:r>
        <w:rPr/>
        <w:t>、</w:t>
      </w:r>
      <w:r>
        <w:rPr>
          <w:rFonts w:ascii="宋体" w:hAnsi="宋体" w:cs="宋体" w:eastAsia="宋体" w:hint="default"/>
        </w:rPr>
        <w:t>2011</w:t>
      </w:r>
      <w:r>
        <w:rPr/>
        <w:t>年度权益分派方案，已于</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25</w:t>
      </w:r>
      <w:r>
        <w:rPr/>
        <w:t>日实施完毕。</w:t>
      </w:r>
    </w:p>
    <w:p>
      <w:pPr>
        <w:spacing w:after="0" w:line="240" w:lineRule="auto"/>
        <w:jc w:val="left"/>
        <w:sectPr>
          <w:pgSz w:w="11910" w:h="16840"/>
          <w:pgMar w:header="877" w:footer="1325" w:top="1060" w:bottom="152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39" w:lineRule="auto"/>
        <w:ind w:right="1394" w:firstLine="360"/>
        <w:jc w:val="left"/>
      </w:pPr>
      <w:r>
        <w:rPr>
          <w:rFonts w:ascii="宋体" w:hAnsi="宋体" w:cs="宋体" w:eastAsia="宋体" w:hint="default"/>
        </w:rPr>
        <w:t>2</w:t>
      </w:r>
      <w:r>
        <w:rPr/>
        <w:t>、回购注销的限制性股票，已于</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15</w:t>
      </w:r>
      <w:r>
        <w:rPr/>
        <w:t>日回购注销完毕。 股份变动对最近一年和最近一期基本每股收益和稀释每股收益、归属于公司普通股股东的每股净资产等财务指标的影响</w:t>
      </w:r>
    </w:p>
    <w:p>
      <w:pPr>
        <w:pStyle w:val="BodyText"/>
        <w:spacing w:line="215" w:lineRule="exact"/>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3"/>
          <w:szCs w:val="13"/>
        </w:rPr>
      </w:pPr>
    </w:p>
    <w:p>
      <w:pPr>
        <w:pStyle w:val="BodyText"/>
        <w:spacing w:line="477" w:lineRule="auto"/>
        <w:ind w:right="0" w:firstLine="360"/>
        <w:jc w:val="left"/>
      </w:pPr>
      <w:r>
        <w:rPr/>
        <w:t>报告期内，由于公司实施了公积金转增股本</w:t>
      </w:r>
      <w:r>
        <w:rPr>
          <w:rFonts w:ascii="宋体" w:hAnsi="宋体" w:cs="宋体" w:eastAsia="宋体" w:hint="default"/>
        </w:rPr>
        <w:t>,</w:t>
      </w:r>
      <w:r>
        <w:rPr/>
        <w:t>回购注销不符合激励条件的限制性股票等方案</w:t>
      </w:r>
      <w:r>
        <w:rPr>
          <w:rFonts w:ascii="宋体" w:hAnsi="宋体" w:cs="宋体" w:eastAsia="宋体" w:hint="default"/>
        </w:rPr>
        <w:t>,</w:t>
      </w:r>
      <w:r>
        <w:rPr/>
        <w:t>使公司股本变更为 </w:t>
      </w:r>
      <w:r>
        <w:rPr>
          <w:rFonts w:ascii="宋体" w:hAnsi="宋体" w:cs="宋体" w:eastAsia="宋体" w:hint="default"/>
          <w:spacing w:val="-3"/>
        </w:rPr>
        <w:t>252,748,344</w:t>
      </w:r>
      <w:r>
        <w:rPr>
          <w:spacing w:val="-3"/>
        </w:rPr>
        <w:t>股，导致公司基本每股收益、稀释每股收益和归属于公司普通股股东的每股净资产分别比去年同期增加</w:t>
      </w:r>
      <w:r>
        <w:rPr>
          <w:rFonts w:ascii="宋体" w:hAnsi="宋体" w:cs="宋体" w:eastAsia="宋体" w:hint="default"/>
          <w:spacing w:val="-3"/>
        </w:rPr>
        <w:t>17.14%</w:t>
      </w:r>
      <w:r>
        <w:rPr>
          <w:spacing w:val="-3"/>
        </w:rPr>
        <w:t>、</w:t>
      </w:r>
    </w:p>
    <w:p>
      <w:pPr>
        <w:pStyle w:val="BodyText"/>
        <w:spacing w:line="240" w:lineRule="auto" w:before="54"/>
        <w:ind w:right="0"/>
        <w:jc w:val="left"/>
      </w:pPr>
      <w:r>
        <w:rPr>
          <w:rFonts w:ascii="宋体" w:hAnsi="宋体" w:cs="宋体" w:eastAsia="宋体" w:hint="default"/>
        </w:rPr>
        <w:t>17.14%</w:t>
      </w:r>
      <w:r>
        <w:rPr/>
        <w:t>和</w:t>
      </w:r>
      <w:r>
        <w:rPr>
          <w:rFonts w:ascii="宋体" w:hAnsi="宋体" w:cs="宋体" w:eastAsia="宋体" w:hint="default"/>
        </w:rPr>
        <w:t>3.81%</w:t>
      </w:r>
      <w:r>
        <w:rPr/>
        <w:t>。</w:t>
      </w:r>
    </w:p>
    <w:p>
      <w:pPr>
        <w:spacing w:line="240" w:lineRule="auto" w:before="10"/>
        <w:rPr>
          <w:rFonts w:ascii="宋体" w:hAnsi="宋体" w:cs="宋体" w:eastAsia="宋体" w:hint="default"/>
          <w:sz w:val="17"/>
          <w:szCs w:val="17"/>
        </w:rPr>
      </w:pPr>
    </w:p>
    <w:p>
      <w:pPr>
        <w:spacing w:line="477" w:lineRule="auto" w:before="0"/>
        <w:ind w:left="513" w:right="0" w:hanging="361"/>
        <w:jc w:val="left"/>
        <w:rPr>
          <w:rFonts w:ascii="宋体" w:hAnsi="宋体" w:cs="宋体" w:eastAsia="宋体" w:hint="default"/>
          <w:sz w:val="18"/>
          <w:szCs w:val="18"/>
        </w:rPr>
      </w:pPr>
      <w:r>
        <w:rPr>
          <w:rFonts w:ascii="宋体" w:hAnsi="宋体" w:cs="宋体" w:eastAsia="宋体" w:hint="default"/>
          <w:b/>
          <w:bCs/>
          <w:sz w:val="18"/>
          <w:szCs w:val="18"/>
        </w:rPr>
        <w:t>公司认为必要或证券监管机构要求披露的其他内容：</w:t>
      </w:r>
      <w:r>
        <w:rPr>
          <w:rFonts w:ascii="宋体" w:hAnsi="宋体" w:cs="宋体" w:eastAsia="宋体" w:hint="default"/>
          <w:b/>
          <w:bCs/>
          <w:w w:val="99"/>
          <w:sz w:val="18"/>
          <w:szCs w:val="18"/>
        </w:rPr>
        <w:t> </w:t>
      </w:r>
      <w:r>
        <w:rPr>
          <w:rFonts w:ascii="宋体" w:hAnsi="宋体" w:cs="宋体" w:eastAsia="宋体" w:hint="default"/>
          <w:spacing w:val="-2"/>
          <w:sz w:val="18"/>
          <w:szCs w:val="18"/>
        </w:rPr>
        <w:t>公司于</w:t>
      </w:r>
      <w:r>
        <w:rPr>
          <w:rFonts w:ascii="宋体" w:hAnsi="宋体" w:cs="宋体" w:eastAsia="宋体" w:hint="default"/>
          <w:spacing w:val="-2"/>
          <w:sz w:val="18"/>
          <w:szCs w:val="18"/>
        </w:rPr>
        <w:t>2012</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月实施了限制性股票回购事宜，向两名激励对象支付了股权回购款，进行了股本的会计调整，并由中瑞</w:t>
      </w:r>
    </w:p>
    <w:p>
      <w:pPr>
        <w:pStyle w:val="BodyText"/>
        <w:spacing w:line="477" w:lineRule="auto" w:before="54"/>
        <w:ind w:right="1214"/>
        <w:jc w:val="left"/>
      </w:pPr>
      <w:r>
        <w:rPr/>
        <w:t>岳华会计师事务所出具了验资报告，但在报告期内尚未完成在中国证券登记结算有限公司的登记变更手续，该手续于</w:t>
      </w:r>
      <w:r>
        <w:rPr>
          <w:rFonts w:ascii="宋体" w:hAnsi="宋体" w:cs="宋体" w:eastAsia="宋体" w:hint="default"/>
        </w:rPr>
        <w:t>2013 </w:t>
      </w:r>
      <w:r>
        <w:rPr/>
        <w:t>年</w:t>
      </w:r>
      <w:r>
        <w:rPr>
          <w:rFonts w:ascii="宋体" w:hAnsi="宋体" w:cs="宋体" w:eastAsia="宋体" w:hint="default"/>
        </w:rPr>
        <w:t>1</w:t>
      </w:r>
      <w:r>
        <w:rPr/>
        <w:t>月</w:t>
      </w:r>
      <w:r>
        <w:rPr>
          <w:rFonts w:ascii="宋体" w:hAnsi="宋体" w:cs="宋体" w:eastAsia="宋体" w:hint="default"/>
        </w:rPr>
        <w:t>15</w:t>
      </w:r>
      <w:r>
        <w:rPr/>
        <w:t>日办理完毕。因此报告期末年度报告披露的的总股本与中国证券登记结算有限公司登记的总股本存在差异。</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二、证券发行与上市情况</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48"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50"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公开增发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14,124,172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14,124,172</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439" w:lineRule="auto" w:before="49"/>
        <w:ind w:left="513" w:right="1123" w:hanging="361"/>
        <w:jc w:val="left"/>
      </w:pPr>
      <w:r>
        <w:rPr/>
        <w:t>前三年历次证券发行情况的说明 </w:t>
      </w:r>
      <w:r>
        <w:rPr>
          <w:rFonts w:ascii="宋体" w:hAnsi="宋体" w:cs="宋体" w:eastAsia="宋体" w:hint="default"/>
        </w:rPr>
        <w:t>1</w:t>
      </w:r>
      <w:r>
        <w:rPr/>
        <w:t>、经中国证监会证监许可【</w:t>
      </w:r>
      <w:r>
        <w:rPr>
          <w:rFonts w:ascii="宋体" w:hAnsi="宋体" w:cs="宋体" w:eastAsia="宋体" w:hint="default"/>
        </w:rPr>
        <w:t>2010</w:t>
      </w:r>
      <w:r>
        <w:rPr/>
        <w:t>】</w:t>
      </w:r>
      <w:r>
        <w:rPr>
          <w:rFonts w:ascii="宋体" w:hAnsi="宋体" w:cs="宋体" w:eastAsia="宋体" w:hint="default"/>
        </w:rPr>
        <w:t>1210</w:t>
      </w:r>
      <w:r>
        <w:rPr/>
        <w:t>号文核准，公司于</w:t>
      </w:r>
      <w:r>
        <w:rPr>
          <w:rFonts w:ascii="宋体" w:hAnsi="宋体" w:cs="宋体" w:eastAsia="宋体" w:hint="default"/>
        </w:rPr>
        <w:t>2010</w:t>
      </w:r>
      <w:r>
        <w:rPr/>
        <w:t>年</w:t>
      </w:r>
      <w:r>
        <w:rPr>
          <w:rFonts w:ascii="宋体" w:hAnsi="宋体" w:cs="宋体" w:eastAsia="宋体" w:hint="default"/>
        </w:rPr>
        <w:t>9</w:t>
      </w:r>
      <w:r>
        <w:rPr/>
        <w:t>月</w:t>
      </w:r>
      <w:r>
        <w:rPr>
          <w:rFonts w:ascii="宋体" w:hAnsi="宋体" w:cs="宋体" w:eastAsia="宋体" w:hint="default"/>
        </w:rPr>
        <w:t>10</w:t>
      </w:r>
      <w:r>
        <w:rPr/>
        <w:t>日增发人民币普通（</w:t>
      </w:r>
      <w:r>
        <w:rPr>
          <w:rFonts w:ascii="宋体" w:hAnsi="宋体" w:cs="宋体" w:eastAsia="宋体" w:hint="default"/>
        </w:rPr>
        <w:t>A</w:t>
      </w:r>
      <w:r>
        <w:rPr/>
        <w:t>股）</w:t>
      </w:r>
      <w:r>
        <w:rPr>
          <w:rFonts w:ascii="宋体" w:hAnsi="宋体" w:cs="宋体" w:eastAsia="宋体" w:hint="default"/>
        </w:rPr>
        <w:t>14,124,172</w:t>
      </w:r>
      <w:r>
        <w:rPr/>
        <w:t>股，每股</w:t>
      </w:r>
    </w:p>
    <w:p>
      <w:pPr>
        <w:pStyle w:val="BodyText"/>
        <w:spacing w:line="477" w:lineRule="auto" w:before="83"/>
        <w:ind w:left="513" w:right="0" w:hanging="361"/>
        <w:jc w:val="left"/>
      </w:pPr>
      <w:r>
        <w:rPr/>
        <w:t>面值</w:t>
      </w:r>
      <w:r>
        <w:rPr>
          <w:rFonts w:ascii="宋体" w:hAnsi="宋体" w:cs="宋体" w:eastAsia="宋体" w:hint="default"/>
        </w:rPr>
        <w:t>1.00</w:t>
      </w:r>
      <w:r>
        <w:rPr/>
        <w:t>元，每股发行价为</w:t>
      </w:r>
      <w:r>
        <w:rPr>
          <w:rFonts w:ascii="宋体" w:hAnsi="宋体" w:cs="宋体" w:eastAsia="宋体" w:hint="default"/>
        </w:rPr>
        <w:t>25.69</w:t>
      </w:r>
      <w:r>
        <w:rPr/>
        <w:t>元，于</w:t>
      </w:r>
      <w:r>
        <w:rPr>
          <w:rFonts w:ascii="宋体" w:hAnsi="宋体" w:cs="宋体" w:eastAsia="宋体" w:hint="default"/>
        </w:rPr>
        <w:t>2010</w:t>
      </w:r>
      <w:r>
        <w:rPr/>
        <w:t>年</w:t>
      </w:r>
      <w:r>
        <w:rPr>
          <w:rFonts w:ascii="宋体" w:hAnsi="宋体" w:cs="宋体" w:eastAsia="宋体" w:hint="default"/>
        </w:rPr>
        <w:t>9</w:t>
      </w:r>
      <w:r>
        <w:rPr/>
        <w:t>月</w:t>
      </w:r>
      <w:r>
        <w:rPr>
          <w:rFonts w:ascii="宋体" w:hAnsi="宋体" w:cs="宋体" w:eastAsia="宋体" w:hint="default"/>
        </w:rPr>
        <w:t>30</w:t>
      </w:r>
      <w:r>
        <w:rPr/>
        <w:t>日在深圳证券交易所上市交易。 </w:t>
      </w:r>
      <w:r>
        <w:rPr>
          <w:rFonts w:ascii="宋体" w:hAnsi="宋体" w:cs="宋体" w:eastAsia="宋体" w:hint="default"/>
          <w:spacing w:val="-2"/>
        </w:rPr>
        <w:t>2</w:t>
      </w:r>
      <w:r>
        <w:rPr>
          <w:spacing w:val="-2"/>
        </w:rPr>
        <w:t>、经中国证监会备案无异议，公司</w:t>
      </w:r>
      <w:r>
        <w:rPr>
          <w:rFonts w:ascii="宋体" w:hAnsi="宋体" w:cs="宋体" w:eastAsia="宋体" w:hint="default"/>
          <w:spacing w:val="-2"/>
        </w:rPr>
        <w:t>2011</w:t>
      </w:r>
      <w:r>
        <w:rPr>
          <w:spacing w:val="-2"/>
        </w:rPr>
        <w:t>年第二次临时股东大会审议并授权，公司于</w:t>
      </w:r>
      <w:r>
        <w:rPr>
          <w:rFonts w:ascii="宋体" w:hAnsi="宋体" w:cs="宋体" w:eastAsia="宋体" w:hint="default"/>
          <w:spacing w:val="-2"/>
        </w:rPr>
        <w:t>2011</w:t>
      </w:r>
      <w:r>
        <w:rPr>
          <w:spacing w:val="-2"/>
        </w:rPr>
        <w:t>年</w:t>
      </w:r>
      <w:r>
        <w:rPr>
          <w:rFonts w:ascii="宋体" w:hAnsi="宋体" w:cs="宋体" w:eastAsia="宋体" w:hint="default"/>
          <w:spacing w:val="-2"/>
        </w:rPr>
        <w:t>10</w:t>
      </w:r>
      <w:r>
        <w:rPr>
          <w:spacing w:val="-2"/>
        </w:rPr>
        <w:t>月向</w:t>
      </w:r>
      <w:r>
        <w:rPr>
          <w:rFonts w:ascii="宋体" w:hAnsi="宋体" w:cs="宋体" w:eastAsia="宋体" w:hint="default"/>
          <w:spacing w:val="-2"/>
        </w:rPr>
        <w:t>123</w:t>
      </w:r>
      <w:r>
        <w:rPr>
          <w:spacing w:val="-2"/>
        </w:rPr>
        <w:t>名激励对象授予了</w:t>
      </w:r>
    </w:p>
    <w:p>
      <w:pPr>
        <w:pStyle w:val="BodyText"/>
        <w:spacing w:line="240" w:lineRule="auto" w:before="55"/>
        <w:ind w:right="0"/>
        <w:jc w:val="left"/>
      </w:pPr>
      <w:r>
        <w:rPr>
          <w:rFonts w:ascii="宋体" w:hAnsi="宋体" w:cs="宋体" w:eastAsia="宋体" w:hint="default"/>
        </w:rPr>
        <w:t>229</w:t>
      </w:r>
      <w:r>
        <w:rPr/>
        <w:t>万股限制性股票。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6"/>
        <w:ind w:left="513" w:right="0"/>
        <w:jc w:val="left"/>
      </w:pPr>
      <w:r>
        <w:rPr>
          <w:rFonts w:ascii="宋体" w:hAnsi="宋体" w:cs="宋体" w:eastAsia="宋体" w:hint="default"/>
        </w:rPr>
        <w:t>1</w:t>
      </w:r>
      <w:r>
        <w:rPr/>
        <w:t>、</w:t>
      </w:r>
      <w:r>
        <w:rPr>
          <w:rFonts w:ascii="宋体" w:hAnsi="宋体" w:cs="宋体" w:eastAsia="宋体" w:hint="default"/>
        </w:rPr>
        <w:t>2012</w:t>
      </w:r>
      <w:r>
        <w:rPr/>
        <w:t>年</w:t>
      </w:r>
      <w:r>
        <w:rPr>
          <w:rFonts w:ascii="宋体" w:hAnsi="宋体" w:cs="宋体" w:eastAsia="宋体" w:hint="default"/>
        </w:rPr>
        <w:t>4</w:t>
      </w:r>
      <w:r>
        <w:rPr/>
        <w:t>月，公司实施了</w:t>
      </w:r>
      <w:r>
        <w:rPr>
          <w:rFonts w:ascii="宋体" w:hAnsi="宋体" w:cs="宋体" w:eastAsia="宋体" w:hint="default"/>
        </w:rPr>
        <w:t>2011</w:t>
      </w:r>
      <w:r>
        <w:rPr/>
        <w:t>年度利润分配方案，按</w:t>
      </w:r>
      <w:r>
        <w:rPr>
          <w:rFonts w:ascii="宋体" w:hAnsi="宋体" w:cs="宋体" w:eastAsia="宋体" w:hint="default"/>
        </w:rPr>
        <w:t>2011</w:t>
      </w:r>
      <w:r>
        <w:rPr/>
        <w:t>年末股本总数为基数，以资本公积金向全体股东每</w:t>
      </w:r>
      <w:r>
        <w:rPr>
          <w:rFonts w:ascii="宋体" w:hAnsi="宋体" w:cs="宋体" w:eastAsia="宋体" w:hint="default"/>
        </w:rPr>
        <w:t>10</w:t>
      </w:r>
      <w:r>
        <w:rPr/>
        <w:t>股转增</w:t>
      </w: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宋体" w:hAnsi="宋体" w:cs="宋体" w:eastAsia="宋体" w:hint="default"/>
        </w:rPr>
        <w:t>10</w:t>
      </w:r>
      <w:r>
        <w:rPr/>
        <w:t>股，因此公司总股本增加</w:t>
      </w:r>
      <w:r>
        <w:rPr>
          <w:rFonts w:ascii="宋体" w:hAnsi="宋体" w:cs="宋体" w:eastAsia="宋体" w:hint="default"/>
        </w:rPr>
        <w:t>126,414,172</w:t>
      </w:r>
      <w:r>
        <w:rPr/>
        <w:t>股。</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rFonts w:ascii="宋体" w:hAnsi="宋体" w:cs="宋体" w:eastAsia="宋体" w:hint="default"/>
        </w:rPr>
        <w:t>2</w:t>
      </w:r>
      <w:r>
        <w:rPr/>
        <w:t>、因两名限制性股票激励对象离职，公司回购注销了其所持有限制性股票</w:t>
      </w:r>
      <w:r>
        <w:rPr>
          <w:rFonts w:ascii="宋体" w:hAnsi="宋体" w:cs="宋体" w:eastAsia="宋体" w:hint="default"/>
        </w:rPr>
        <w:t>80,000</w:t>
      </w:r>
      <w:r>
        <w:rPr/>
        <w:t>股，因此公司总股本减少</w:t>
      </w:r>
      <w:r>
        <w:rPr>
          <w:rFonts w:ascii="宋体" w:hAnsi="宋体" w:cs="宋体" w:eastAsia="宋体" w:hint="default"/>
        </w:rPr>
        <w:t>80,000</w:t>
      </w:r>
      <w:r>
        <w:rPr/>
        <w:t>股。</w:t>
      </w:r>
    </w:p>
    <w:p>
      <w:pPr>
        <w:spacing w:after="0" w:line="240" w:lineRule="auto"/>
        <w:jc w:val="left"/>
        <w:sectPr>
          <w:pgSz w:w="11910" w:h="16840"/>
          <w:pgMar w:header="877" w:footer="1325" w:top="1060" w:bottom="1520" w:left="980" w:right="0"/>
        </w:sectPr>
      </w:pPr>
    </w:p>
    <w:p>
      <w:pPr>
        <w:spacing w:line="240" w:lineRule="auto" w:before="8"/>
        <w:rPr>
          <w:rFonts w:ascii="宋体" w:hAnsi="宋体" w:cs="宋体" w:eastAsia="宋体" w:hint="default"/>
          <w:sz w:val="23"/>
          <w:szCs w:val="23"/>
        </w:rPr>
      </w:pPr>
      <w:r>
        <w:rPr/>
        <w:pict>
          <v:shape style="position:absolute;margin-left:178.223007pt;margin-top:424.72998pt;width:355.55pt;height:22.05pt;mso-position-horizontal-relative:page;mso-position-vertical-relative:page;z-index:-754600" type="#_x0000_t202" filled="false" stroked="false">
            <v:textbox inset="0,0,0,0">
              <w:txbxContent>
                <w:p>
                  <w:pPr>
                    <w:spacing w:line="240" w:lineRule="auto" w:before="9"/>
                    <w:rPr>
                      <w:rFonts w:ascii="宋体" w:hAnsi="宋体" w:cs="宋体" w:eastAsia="宋体" w:hint="default"/>
                      <w:sz w:val="15"/>
                      <w:szCs w:val="15"/>
                    </w:rPr>
                  </w:pPr>
                </w:p>
                <w:p>
                  <w:pPr>
                    <w:pStyle w:val="BodyText"/>
                    <w:spacing w:line="240" w:lineRule="auto"/>
                    <w:ind w:left="0" w:right="0"/>
                    <w:jc w:val="left"/>
                  </w:pPr>
                  <w:r>
                    <w:rPr/>
                    <w:t>有）</w:t>
                  </w:r>
                </w:p>
              </w:txbxContent>
            </v:textbox>
            <w10:wrap type="none"/>
          </v:shape>
        </w:pict>
      </w:r>
      <w:r>
        <w:rPr/>
        <w:pict>
          <v:group style="position:absolute;margin-left:193.369995pt;margin-top:424.129974pt;width:341.6pt;height:28.1pt;mso-position-horizontal-relative:page;mso-position-vertical-relative:page;z-index:-754576" coordorigin="3867,8483" coordsize="6832,562">
            <v:group style="position:absolute;left:3879;top:8495;width:2;height:394" coordorigin="3879,8495" coordsize="2,394">
              <v:shape style="position:absolute;left:3879;top:8495;width:2;height:394" coordorigin="3879,8495" coordsize="0,394" path="m3879,8495l3879,8888e" filled="false" stroked="true" strokeweight="1.2pt" strokecolor="#ffffff">
                <v:path arrowok="t"/>
              </v:shape>
            </v:group>
            <v:group style="position:absolute;left:3867;top:8888;width:6832;height:157" coordorigin="3867,8888" coordsize="6832,157">
              <v:shape style="position:absolute;left:3867;top:8888;width:6832;height:157" coordorigin="3867,8888" coordsize="6832,157" path="m3867,9045l10699,9045,10699,8888,3867,8888,3867,9045xe" filled="true" fillcolor="#ffffff" stroked="false">
                <v:path arrowok="t"/>
                <v:fill type="solid"/>
              </v:shape>
            </v:group>
            <v:group style="position:absolute;left:3891;top:8495;width:6784;height:394" coordorigin="3891,8495" coordsize="6784,394">
              <v:shape style="position:absolute;left:3891;top:8495;width:6784;height:394" coordorigin="3891,8495" coordsize="6784,394" path="m3891,8888l10675,8888,10675,8495,3891,8495,3891,8888xe" filled="true" fillcolor="#ffffff" stroked="false">
                <v:path arrowok="t"/>
                <v:fill type="solid"/>
              </v:shape>
            </v:group>
            <w10:wrap type="none"/>
          </v:group>
        </w:pict>
      </w:r>
    </w:p>
    <w:p>
      <w:pPr>
        <w:pStyle w:val="Heading2"/>
        <w:spacing w:line="240" w:lineRule="auto" w:before="26"/>
        <w:ind w:right="0"/>
        <w:jc w:val="left"/>
        <w:rPr>
          <w:b w:val="0"/>
          <w:bCs w:val="0"/>
        </w:rPr>
      </w:pPr>
      <w:r>
        <w:rPr/>
        <w:t>三、股东和实际控制人情况</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1"/>
        <w:gridCol w:w="1365"/>
        <w:gridCol w:w="1378"/>
        <w:gridCol w:w="678"/>
        <w:gridCol w:w="684"/>
        <w:gridCol w:w="684"/>
        <w:gridCol w:w="684"/>
        <w:gridCol w:w="1365"/>
        <w:gridCol w:w="1372"/>
      </w:tblGrid>
      <w:tr>
        <w:trPr>
          <w:trHeight w:val="406"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78"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16,313</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15,197</w:t>
            </w:r>
          </w:p>
        </w:tc>
      </w:tr>
      <w:tr>
        <w:trPr>
          <w:trHeight w:val="39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361" w:type="dxa"/>
            <w:vMerge w:val="restart"/>
            <w:tcBorders>
              <w:top w:val="single" w:sz="4" w:space="0" w:color="000000"/>
              <w:left w:val="single" w:sz="4" w:space="0" w:color="000000"/>
              <w:right w:val="single" w:sz="4" w:space="0" w:color="000000"/>
            </w:tcBorders>
            <w:shd w:val="clear" w:color="auto" w:fill="D2D2D2"/>
          </w:tcPr>
          <w:p>
            <w:pPr/>
          </w:p>
        </w:tc>
        <w:tc>
          <w:tcPr>
            <w:tcW w:w="1365" w:type="dxa"/>
            <w:vMerge w:val="restart"/>
            <w:tcBorders>
              <w:top w:val="single" w:sz="4" w:space="0" w:color="000000"/>
              <w:left w:val="single" w:sz="4" w:space="0" w:color="000000"/>
              <w:right w:val="single" w:sz="4" w:space="0" w:color="000000"/>
            </w:tcBorders>
            <w:shd w:val="clear" w:color="auto" w:fill="D2D2D2"/>
          </w:tcPr>
          <w:p>
            <w:pPr/>
          </w:p>
        </w:tc>
        <w:tc>
          <w:tcPr>
            <w:tcW w:w="1378" w:type="dxa"/>
            <w:vMerge w:val="restart"/>
            <w:tcBorders>
              <w:top w:val="single" w:sz="4" w:space="0" w:color="000000"/>
              <w:left w:val="single" w:sz="4" w:space="0" w:color="000000"/>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65"/>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276"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365"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 w:right="65"/>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38" w:hRule="exact"/>
        </w:trPr>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5"/>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5"/>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5"/>
              <w:ind w:left="68"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365"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2" w:hRule="exact"/>
        </w:trPr>
        <w:tc>
          <w:tcPr>
            <w:tcW w:w="1361" w:type="dxa"/>
            <w:vMerge w:val="restart"/>
            <w:tcBorders>
              <w:top w:val="nil" w:sz="6" w:space="0" w:color="auto"/>
              <w:left w:val="single" w:sz="4" w:space="0" w:color="000000"/>
              <w:right w:val="single" w:sz="4" w:space="0" w:color="000000"/>
            </w:tcBorders>
            <w:shd w:val="clear" w:color="auto" w:fill="D2D2D2"/>
          </w:tcPr>
          <w:p>
            <w:pPr/>
          </w:p>
        </w:tc>
        <w:tc>
          <w:tcPr>
            <w:tcW w:w="1365" w:type="dxa"/>
            <w:vMerge w:val="restart"/>
            <w:tcBorders>
              <w:top w:val="nil" w:sz="6" w:space="0" w:color="auto"/>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5" w:type="dxa"/>
            <w:vMerge/>
            <w:tcBorders>
              <w:left w:val="single" w:sz="4" w:space="0" w:color="000000"/>
              <w:bottom w:val="nil" w:sz="6" w:space="0" w:color="auto"/>
              <w:right w:val="single" w:sz="4" w:space="0" w:color="000000"/>
            </w:tcBorders>
            <w:shd w:val="clear" w:color="auto" w:fill="D2D2D2"/>
          </w:tcPr>
          <w:p>
            <w:pPr/>
          </w:p>
        </w:tc>
        <w:tc>
          <w:tcPr>
            <w:tcW w:w="1372" w:type="dxa"/>
            <w:vMerge/>
            <w:tcBorders>
              <w:left w:val="single" w:sz="4" w:space="0" w:color="000000"/>
              <w:bottom w:val="nil" w:sz="6" w:space="0" w:color="auto"/>
              <w:right w:val="single" w:sz="4" w:space="0" w:color="000000"/>
            </w:tcBorders>
            <w:shd w:val="clear" w:color="auto" w:fill="D2D2D2"/>
          </w:tcPr>
          <w:p>
            <w:pPr/>
          </w:p>
        </w:tc>
      </w:tr>
      <w:tr>
        <w:trPr>
          <w:trHeight w:val="110" w:hRule="exact"/>
        </w:trPr>
        <w:tc>
          <w:tcPr>
            <w:tcW w:w="1361" w:type="dxa"/>
            <w:vMerge/>
            <w:tcBorders>
              <w:left w:val="single" w:sz="4" w:space="0" w:color="000000"/>
              <w:right w:val="single" w:sz="4" w:space="0" w:color="000000"/>
            </w:tcBorders>
            <w:shd w:val="clear" w:color="auto" w:fill="D2D2D2"/>
          </w:tcPr>
          <w:p>
            <w:pPr/>
          </w:p>
        </w:tc>
        <w:tc>
          <w:tcPr>
            <w:tcW w:w="1365"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5" w:type="dxa"/>
            <w:vMerge w:val="restart"/>
            <w:tcBorders>
              <w:top w:val="nil" w:sz="6" w:space="0" w:color="auto"/>
              <w:left w:val="single" w:sz="4" w:space="0" w:color="000000"/>
              <w:right w:val="single" w:sz="4" w:space="0" w:color="000000"/>
            </w:tcBorders>
            <w:shd w:val="clear" w:color="auto" w:fill="D2D2D2"/>
          </w:tcPr>
          <w:p>
            <w:pPr/>
          </w:p>
        </w:tc>
        <w:tc>
          <w:tcPr>
            <w:tcW w:w="137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1" w:type="dxa"/>
            <w:vMerge/>
            <w:tcBorders>
              <w:left w:val="single" w:sz="4" w:space="0" w:color="000000"/>
              <w:bottom w:val="single" w:sz="4" w:space="0" w:color="000000"/>
              <w:right w:val="single" w:sz="4" w:space="0" w:color="000000"/>
            </w:tcBorders>
            <w:shd w:val="clear" w:color="auto" w:fill="D2D2D2"/>
          </w:tcPr>
          <w:p>
            <w:pPr/>
          </w:p>
        </w:tc>
        <w:tc>
          <w:tcPr>
            <w:tcW w:w="1365"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1365" w:type="dxa"/>
            <w:vMerge/>
            <w:tcBorders>
              <w:left w:val="single" w:sz="4" w:space="0" w:color="000000"/>
              <w:bottom w:val="single" w:sz="4" w:space="0" w:color="000000"/>
              <w:right w:val="single" w:sz="4" w:space="0" w:color="000000"/>
            </w:tcBorders>
            <w:shd w:val="clear" w:color="auto" w:fill="D2D2D2"/>
          </w:tcPr>
          <w:p>
            <w:pPr/>
          </w:p>
        </w:tc>
        <w:tc>
          <w:tcPr>
            <w:tcW w:w="1372"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香港喜多来集团 有限公司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29.43%</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74,394,</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770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36,567,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385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74,394,</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770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浪潮电子信息产 业股份有限公司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12.34%</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31,200,</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15,600,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31,200,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北京中嘉华信息 技术有限公司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11.03%</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27,880,</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13,940,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13,940,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济南发展国有工 业资产经营有限 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9.08%</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22,960,</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11,480,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11,480,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000</w:t>
            </w:r>
          </w:p>
        </w:tc>
        <w:tc>
          <w:tcPr>
            <w:tcW w:w="136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名股东的情况（如</w:t>
            </w:r>
          </w:p>
        </w:tc>
        <w:tc>
          <w:tcPr>
            <w:tcW w:w="13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78" w:type="dxa"/>
            <w:tcBorders>
              <w:top w:val="single" w:sz="4" w:space="0" w:color="000000"/>
              <w:left w:val="nil" w:sz="6" w:space="0" w:color="auto"/>
              <w:bottom w:val="single" w:sz="4" w:space="0" w:color="000000"/>
              <w:right w:val="nil" w:sz="6" w:space="0" w:color="auto"/>
            </w:tcBorders>
          </w:tcPr>
          <w:p>
            <w:pPr/>
          </w:p>
        </w:tc>
        <w:tc>
          <w:tcPr>
            <w:tcW w:w="684" w:type="dxa"/>
            <w:tcBorders>
              <w:top w:val="single" w:sz="4" w:space="0" w:color="000000"/>
              <w:left w:val="nil" w:sz="6" w:space="0" w:color="auto"/>
              <w:bottom w:val="single" w:sz="4" w:space="0" w:color="000000"/>
              <w:right w:val="nil" w:sz="6" w:space="0" w:color="auto"/>
            </w:tcBorders>
          </w:tcPr>
          <w:p>
            <w:pPr/>
          </w:p>
        </w:tc>
        <w:tc>
          <w:tcPr>
            <w:tcW w:w="684" w:type="dxa"/>
            <w:tcBorders>
              <w:top w:val="single" w:sz="4" w:space="0" w:color="000000"/>
              <w:left w:val="nil" w:sz="6" w:space="0" w:color="auto"/>
              <w:bottom w:val="single" w:sz="4" w:space="0" w:color="000000"/>
              <w:right w:val="nil" w:sz="6" w:space="0" w:color="auto"/>
            </w:tcBorders>
          </w:tcPr>
          <w:p>
            <w:pPr/>
          </w:p>
        </w:tc>
        <w:tc>
          <w:tcPr>
            <w:tcW w:w="684" w:type="dxa"/>
            <w:tcBorders>
              <w:top w:val="single" w:sz="4" w:space="0" w:color="000000"/>
              <w:left w:val="nil" w:sz="6" w:space="0" w:color="auto"/>
              <w:bottom w:val="single" w:sz="4" w:space="0" w:color="000000"/>
              <w:right w:val="nil" w:sz="6" w:space="0" w:color="auto"/>
            </w:tcBorders>
          </w:tcPr>
          <w:p>
            <w:pPr/>
          </w:p>
        </w:tc>
        <w:tc>
          <w:tcPr>
            <w:tcW w:w="1365" w:type="dxa"/>
            <w:tcBorders>
              <w:top w:val="single" w:sz="4" w:space="0" w:color="000000"/>
              <w:left w:val="nil" w:sz="6" w:space="0" w:color="auto"/>
              <w:bottom w:val="single" w:sz="4" w:space="0" w:color="000000"/>
              <w:right w:val="nil" w:sz="6" w:space="0" w:color="auto"/>
            </w:tcBorders>
          </w:tcPr>
          <w:p>
            <w:pPr/>
          </w:p>
        </w:tc>
        <w:tc>
          <w:tcPr>
            <w:tcW w:w="1372" w:type="dxa"/>
            <w:tcBorders>
              <w:top w:val="single" w:sz="4" w:space="0" w:color="000000"/>
              <w:left w:val="nil" w:sz="6" w:space="0" w:color="auto"/>
              <w:bottom w:val="single" w:sz="4" w:space="0" w:color="000000"/>
              <w:right w:val="single" w:sz="4" w:space="0" w:color="000000"/>
            </w:tcBorders>
          </w:tcPr>
          <w:p>
            <w:pPr/>
          </w:p>
        </w:tc>
      </w:tr>
      <w:tr>
        <w:trPr>
          <w:trHeight w:val="713"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5"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2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8"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72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8"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26" w:type="dxa"/>
            <w:gridSpan w:val="2"/>
            <w:vMerge/>
            <w:tcBorders>
              <w:left w:val="single" w:sz="4" w:space="0" w:color="000000"/>
              <w:bottom w:val="nil" w:sz="6" w:space="0" w:color="auto"/>
              <w:right w:val="single" w:sz="4" w:space="0" w:color="000000"/>
            </w:tcBorders>
            <w:shd w:val="clear" w:color="auto" w:fill="D2D2D2"/>
          </w:tcPr>
          <w:p>
            <w:pPr/>
          </w:p>
        </w:tc>
        <w:tc>
          <w:tcPr>
            <w:tcW w:w="4108" w:type="dxa"/>
            <w:gridSpan w:val="5"/>
            <w:vMerge/>
            <w:tcBorders>
              <w:left w:val="single" w:sz="4" w:space="0" w:color="000000"/>
              <w:bottom w:val="nil" w:sz="6" w:space="0" w:color="auto"/>
              <w:right w:val="single" w:sz="4" w:space="0" w:color="000000"/>
            </w:tcBorders>
            <w:shd w:val="clear" w:color="auto" w:fill="D2D2D2"/>
          </w:tcPr>
          <w:p>
            <w:pPr/>
          </w:p>
        </w:tc>
        <w:tc>
          <w:tcPr>
            <w:tcW w:w="13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8"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5" w:type="dxa"/>
            <w:vMerge/>
            <w:tcBorders>
              <w:left w:val="single" w:sz="4" w:space="0" w:color="000000"/>
              <w:bottom w:val="single" w:sz="4" w:space="0" w:color="000000"/>
              <w:right w:val="single" w:sz="4" w:space="0" w:color="000000"/>
            </w:tcBorders>
            <w:shd w:val="clear" w:color="auto" w:fill="D2D2D2"/>
          </w:tcPr>
          <w:p>
            <w:pPr/>
          </w:p>
        </w:tc>
        <w:tc>
          <w:tcPr>
            <w:tcW w:w="137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香港喜多来集团有限公司</w:t>
            </w:r>
          </w:p>
        </w:tc>
        <w:tc>
          <w:tcPr>
            <w:tcW w:w="41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74,394,770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74,394,770</w:t>
            </w:r>
          </w:p>
        </w:tc>
      </w:tr>
      <w:tr>
        <w:trPr>
          <w:trHeight w:val="403"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浪潮电子信息产业股份有限公司</w:t>
            </w:r>
          </w:p>
        </w:tc>
        <w:tc>
          <w:tcPr>
            <w:tcW w:w="41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31,200,000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31,200,000</w:t>
            </w:r>
          </w:p>
        </w:tc>
      </w:tr>
      <w:tr>
        <w:trPr>
          <w:trHeight w:val="401"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41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27,880,000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27,880,000</w:t>
            </w:r>
          </w:p>
        </w:tc>
      </w:tr>
      <w:tr>
        <w:trPr>
          <w:trHeight w:val="716"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0"/>
              <w:jc w:val="left"/>
              <w:rPr>
                <w:rFonts w:ascii="宋体" w:hAnsi="宋体" w:cs="宋体" w:eastAsia="宋体" w:hint="default"/>
                <w:sz w:val="18"/>
                <w:szCs w:val="18"/>
              </w:rPr>
            </w:pPr>
            <w:r>
              <w:rPr>
                <w:rFonts w:ascii="宋体" w:hAnsi="宋体" w:cs="宋体" w:eastAsia="宋体" w:hint="default"/>
                <w:sz w:val="18"/>
                <w:szCs w:val="18"/>
              </w:rPr>
              <w:t>济南发展国有工业资产经营有限 公司</w:t>
            </w:r>
          </w:p>
        </w:tc>
        <w:tc>
          <w:tcPr>
            <w:tcW w:w="41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22,960,000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22,960,000</w:t>
            </w:r>
          </w:p>
        </w:tc>
      </w:tr>
      <w:tr>
        <w:trPr>
          <w:trHeight w:val="713"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80"/>
              <w:jc w:val="left"/>
              <w:rPr>
                <w:rFonts w:ascii="Times New Roman" w:hAnsi="Times New Roman" w:cs="Times New Roman" w:eastAsia="Times New Roman" w:hint="default"/>
                <w:sz w:val="18"/>
                <w:szCs w:val="18"/>
              </w:rPr>
            </w:pPr>
            <w:r>
              <w:rPr>
                <w:rFonts w:ascii="Times New Roman"/>
                <w:sz w:val="18"/>
              </w:rPr>
              <w:t>RICH RIVER</w:t>
            </w:r>
            <w:r>
              <w:rPr>
                <w:rFonts w:ascii="Times New Roman"/>
                <w:spacing w:val="-4"/>
                <w:sz w:val="18"/>
              </w:rPr>
              <w:t> </w:t>
            </w:r>
            <w:r>
              <w:rPr>
                <w:rFonts w:ascii="Times New Roman"/>
                <w:sz w:val="18"/>
              </w:rPr>
              <w:t>INVESTMENTS</w:t>
            </w:r>
            <w:r>
              <w:rPr>
                <w:rFonts w:ascii="Times New Roman"/>
                <w:w w:val="99"/>
                <w:sz w:val="18"/>
              </w:rPr>
              <w:t> </w:t>
            </w:r>
            <w:r>
              <w:rPr>
                <w:rFonts w:ascii="Times New Roman"/>
                <w:sz w:val="18"/>
              </w:rPr>
              <w:t>LIMITED</w:t>
            </w:r>
          </w:p>
        </w:tc>
        <w:tc>
          <w:tcPr>
            <w:tcW w:w="41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1,398,800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1,398,800</w:t>
            </w:r>
          </w:p>
        </w:tc>
      </w:tr>
      <w:tr>
        <w:trPr>
          <w:trHeight w:val="403"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徐敏高</w:t>
            </w:r>
          </w:p>
        </w:tc>
        <w:tc>
          <w:tcPr>
            <w:tcW w:w="41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1,005,800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1,005,800</w:t>
            </w:r>
          </w:p>
        </w:tc>
      </w:tr>
      <w:tr>
        <w:trPr>
          <w:trHeight w:val="1025"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0"/>
              <w:jc w:val="both"/>
              <w:rPr>
                <w:rFonts w:ascii="宋体" w:hAnsi="宋体" w:cs="宋体" w:eastAsia="宋体" w:hint="default"/>
                <w:sz w:val="18"/>
                <w:szCs w:val="18"/>
              </w:rPr>
            </w:pPr>
            <w:r>
              <w:rPr>
                <w:rFonts w:ascii="宋体" w:hAnsi="宋体" w:cs="宋体" w:eastAsia="宋体" w:hint="default"/>
                <w:sz w:val="18"/>
                <w:szCs w:val="18"/>
              </w:rPr>
              <w:t>中国建设银行－摩根士丹利华鑫 多因子精选策略股票型证券投资 基金</w:t>
            </w:r>
          </w:p>
        </w:tc>
        <w:tc>
          <w:tcPr>
            <w:tcW w:w="41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555,518</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555,518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25" w:top="1060" w:bottom="152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729"/>
        <w:gridCol w:w="4104"/>
        <w:gridCol w:w="1369"/>
        <w:gridCol w:w="1368"/>
      </w:tblGrid>
      <w:tr>
        <w:trPr>
          <w:trHeight w:val="401"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王富金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555,437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555,437</w:t>
            </w:r>
          </w:p>
        </w:tc>
      </w:tr>
      <w:tr>
        <w:trPr>
          <w:trHeight w:val="40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李明昊</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441,342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441,342</w:t>
            </w:r>
          </w:p>
        </w:tc>
      </w:tr>
      <w:tr>
        <w:trPr>
          <w:trHeight w:val="401"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蒋亚萍</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434,176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434,176</w:t>
            </w:r>
          </w:p>
        </w:tc>
      </w:tr>
      <w:tr>
        <w:trPr>
          <w:trHeight w:val="1339"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2" w:right="8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3" w:right="80"/>
              <w:jc w:val="left"/>
              <w:rPr>
                <w:rFonts w:ascii="宋体" w:hAnsi="宋体" w:cs="宋体" w:eastAsia="宋体" w:hint="default"/>
                <w:sz w:val="18"/>
                <w:szCs w:val="18"/>
              </w:rPr>
            </w:pPr>
            <w:r>
              <w:rPr>
                <w:rFonts w:ascii="宋体" w:hAnsi="宋体" w:cs="宋体" w:eastAsia="宋体" w:hint="default"/>
                <w:sz w:val="18"/>
                <w:szCs w:val="18"/>
              </w:rPr>
              <w:t>公司第五大股东</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Rich</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River</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Investments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为石林先生独资拥有，且石林先生为香 港喜多来集团有限公司的董事和实际控制人，因此香港喜多来集团有限公司和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Rich River Investments Limited</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为一致行动人。</w:t>
            </w:r>
          </w:p>
        </w:tc>
      </w:tr>
      <w:tr>
        <w:trPr>
          <w:trHeight w:val="715"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法人</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82"/>
        <w:gridCol w:w="1093"/>
        <w:gridCol w:w="888"/>
        <w:gridCol w:w="1803"/>
        <w:gridCol w:w="1801"/>
        <w:gridCol w:w="1802"/>
      </w:tblGrid>
      <w:tr>
        <w:trPr>
          <w:trHeight w:val="713"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3"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香港喜多来集团有限公司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 </w:t>
            </w:r>
            <w:r>
              <w:rPr>
                <w:rFonts w:ascii="宋体" w:hAnsi="宋体" w:cs="宋体" w:eastAsia="宋体" w:hint="default"/>
                <w:sz w:val="18"/>
                <w:szCs w:val="18"/>
              </w:rPr>
              <w:t>万港元</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6"/>
              <w:jc w:val="left"/>
              <w:rPr>
                <w:rFonts w:ascii="宋体" w:hAnsi="宋体" w:cs="宋体" w:eastAsia="宋体" w:hint="default"/>
                <w:sz w:val="18"/>
                <w:szCs w:val="18"/>
              </w:rPr>
            </w:pPr>
            <w:r>
              <w:rPr>
                <w:rFonts w:ascii="宋体" w:hAnsi="宋体" w:cs="宋体" w:eastAsia="宋体" w:hint="default"/>
                <w:sz w:val="18"/>
                <w:szCs w:val="18"/>
              </w:rPr>
              <w:t>国际原材料贸易和实 业投资</w:t>
            </w:r>
          </w:p>
        </w:tc>
      </w:tr>
      <w:tr>
        <w:trPr>
          <w:trHeight w:val="713"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香港喜多来公司主要从事实业投资和国际贸易业务，目前经营情况和财务状况良好。</w:t>
            </w:r>
          </w:p>
        </w:tc>
      </w:tr>
      <w:tr>
        <w:trPr>
          <w:trHeight w:val="1028"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6"/>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报告期控股股东变更</w:t>
      </w:r>
    </w:p>
    <w:p>
      <w:pPr>
        <w:spacing w:line="559" w:lineRule="auto" w:before="115"/>
        <w:ind w:left="152" w:right="8646" w:firstLine="0"/>
        <w:jc w:val="left"/>
        <w:rPr>
          <w:rFonts w:ascii="宋体" w:hAnsi="宋体" w:cs="宋体" w:eastAsia="宋体" w:hint="default"/>
          <w:sz w:val="18"/>
          <w:szCs w:val="18"/>
        </w:rPr>
      </w:pPr>
      <w:r>
        <w:rPr/>
        <w:pict>
          <v:shape style="position:absolute;margin-left:56.459999pt;margin-top:84.30172pt;width:479.2pt;height:127.7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6"/>
                    <w:gridCol w:w="2057"/>
                    <w:gridCol w:w="4177"/>
                  </w:tblGrid>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1991 </w:t>
                        </w:r>
                        <w:r>
                          <w:rPr>
                            <w:rFonts w:ascii="宋体" w:hAnsi="宋体" w:cs="宋体" w:eastAsia="宋体" w:hint="default"/>
                            <w:sz w:val="18"/>
                            <w:szCs w:val="18"/>
                          </w:rPr>
                          <w:t>年至今任香港喜多来集团有限公司 董事、总裁；</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年起任日照大地金 属材料加工开发有限公司董事、总经理；</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年起任日照大地依索新建材有限 公司董事长；</w:t>
                        </w:r>
                        <w:r>
                          <w:rPr>
                            <w:rFonts w:ascii="Times New Roman" w:hAnsi="Times New Roman" w:cs="Times New Roman" w:eastAsia="Times New Roman" w:hint="default"/>
                            <w:sz w:val="18"/>
                            <w:szCs w:val="18"/>
                          </w:rPr>
                          <w:t>2000 </w:t>
                        </w:r>
                        <w:r>
                          <w:rPr>
                            <w:rFonts w:ascii="宋体" w:hAnsi="宋体" w:cs="宋体" w:eastAsia="宋体" w:hint="default"/>
                            <w:sz w:val="18"/>
                            <w:szCs w:val="18"/>
                          </w:rPr>
                          <w:t>年至今任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Rich</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River</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Investments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董事；</w:t>
                        </w:r>
                        <w:r>
                          <w:rPr>
                            <w:rFonts w:ascii="Times New Roman" w:hAnsi="Times New Roman" w:cs="Times New Roman" w:eastAsia="Times New Roman" w:hint="default"/>
                            <w:sz w:val="18"/>
                            <w:szCs w:val="18"/>
                          </w:rPr>
                          <w:t>2002 </w:t>
                        </w:r>
                        <w:r>
                          <w:rPr>
                            <w:rFonts w:ascii="宋体" w:hAnsi="宋体" w:cs="宋体" w:eastAsia="宋体" w:hint="default"/>
                            <w:sz w:val="18"/>
                            <w:szCs w:val="18"/>
                          </w:rPr>
                          <w:t>年至今 任东港股份有限公司董事、副董事长。</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、公司实际控制人情况</w:t>
      </w:r>
      <w:r>
        <w:rPr>
          <w:rFonts w:ascii="宋体" w:hAnsi="宋体" w:cs="宋体" w:eastAsia="宋体" w:hint="default"/>
          <w:b/>
          <w:bCs/>
          <w:w w:val="99"/>
          <w:sz w:val="20"/>
          <w:szCs w:val="20"/>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before="44"/>
        <w:ind w:right="0"/>
        <w:jc w:val="left"/>
      </w:pPr>
      <w:r>
        <w:rPr/>
        <w:t>报告期实际控制人变更</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rFonts w:ascii="宋体" w:hAnsi="宋体" w:cs="宋体" w:eastAsia="宋体" w:hint="default"/>
          <w:spacing w:val="-1"/>
        </w:rPr>
        <w:t>2012</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12</w:t>
      </w:r>
      <w:r>
        <w:rPr>
          <w:spacing w:val="-1"/>
        </w:rPr>
        <w:t>日，本公司原实际控制人谷望江女士将</w:t>
      </w:r>
      <w:r>
        <w:rPr>
          <w:rFonts w:ascii="宋体" w:hAnsi="宋体" w:cs="宋体" w:eastAsia="宋体" w:hint="default"/>
          <w:spacing w:val="-1"/>
        </w:rPr>
        <w:t>Infomatic</w:t>
      </w:r>
      <w:r>
        <w:rPr>
          <w:rFonts w:ascii="宋体" w:hAnsi="宋体" w:cs="宋体" w:eastAsia="宋体" w:hint="default"/>
          <w:spacing w:val="-30"/>
        </w:rPr>
        <w:t> </w:t>
      </w:r>
      <w:r>
        <w:rPr>
          <w:rFonts w:ascii="宋体" w:hAnsi="宋体" w:cs="宋体" w:eastAsia="宋体" w:hint="default"/>
          <w:spacing w:val="-1"/>
        </w:rPr>
        <w:t>Ltd</w:t>
      </w:r>
      <w:r>
        <w:rPr>
          <w:spacing w:val="-1"/>
        </w:rPr>
        <w:t>的股权赠与石林先生和陈新女士，其中石林先生受赠</w:t>
      </w: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宋体" w:hAnsi="宋体" w:cs="宋体" w:eastAsia="宋体" w:hint="default"/>
          <w:spacing w:val="-2"/>
        </w:rPr>
        <w:t>51%</w:t>
      </w:r>
      <w:r>
        <w:rPr>
          <w:spacing w:val="-2"/>
        </w:rPr>
        <w:t>。</w:t>
      </w:r>
      <w:r>
        <w:rPr>
          <w:rFonts w:ascii="宋体" w:hAnsi="宋体" w:cs="宋体" w:eastAsia="宋体" w:hint="default"/>
          <w:spacing w:val="-2"/>
        </w:rPr>
        <w:t>Infomatic</w:t>
      </w:r>
      <w:r>
        <w:rPr>
          <w:rFonts w:ascii="宋体" w:hAnsi="宋体" w:cs="宋体" w:eastAsia="宋体" w:hint="default"/>
          <w:spacing w:val="-13"/>
        </w:rPr>
        <w:t> </w:t>
      </w:r>
      <w:r>
        <w:rPr>
          <w:rFonts w:ascii="宋体" w:hAnsi="宋体" w:cs="宋体" w:eastAsia="宋体" w:hint="default"/>
          <w:spacing w:val="-1"/>
        </w:rPr>
        <w:t>Ltd</w:t>
      </w:r>
      <w:r>
        <w:rPr>
          <w:spacing w:val="-1"/>
        </w:rPr>
        <w:t>持有香港喜多来集团</w:t>
      </w:r>
      <w:r>
        <w:rPr>
          <w:rFonts w:ascii="宋体" w:hAnsi="宋体" w:cs="宋体" w:eastAsia="宋体" w:hint="default"/>
          <w:spacing w:val="-1"/>
        </w:rPr>
        <w:t>100%</w:t>
      </w:r>
      <w:r>
        <w:rPr>
          <w:spacing w:val="-1"/>
        </w:rPr>
        <w:t>的股权，香港喜多来集团是东港股份的第一大股东，持有东港股份</w:t>
      </w:r>
      <w:r>
        <w:rPr>
          <w:rFonts w:ascii="宋体" w:hAnsi="宋体" w:cs="宋体" w:eastAsia="宋体" w:hint="default"/>
          <w:spacing w:val="-1"/>
        </w:rPr>
        <w:t>29.43%</w:t>
      </w:r>
      <w:r>
        <w:rPr>
          <w:spacing w:val="-1"/>
        </w:rPr>
        <w:t>的股</w:t>
      </w:r>
    </w:p>
    <w:p>
      <w:pPr>
        <w:spacing w:after="0" w:line="240" w:lineRule="auto"/>
        <w:jc w:val="left"/>
        <w:sectPr>
          <w:pgSz w:w="11910" w:h="16840"/>
          <w:pgMar w:header="877" w:footer="1325" w:top="1060" w:bottom="152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33"/>
        <w:jc w:val="both"/>
      </w:pPr>
      <w:r>
        <w:rPr/>
        <w:t>权，对东港股份具有控制权。谷望江女士将</w:t>
      </w:r>
      <w:r>
        <w:rPr>
          <w:rFonts w:ascii="宋体" w:hAnsi="宋体" w:cs="宋体" w:eastAsia="宋体" w:hint="default"/>
        </w:rPr>
        <w:t>Infomatic</w:t>
      </w:r>
      <w:r>
        <w:rPr>
          <w:rFonts w:ascii="宋体" w:hAnsi="宋体" w:cs="宋体" w:eastAsia="宋体" w:hint="default"/>
          <w:spacing w:val="-46"/>
        </w:rPr>
        <w:t> </w:t>
      </w:r>
      <w:r>
        <w:rPr>
          <w:rFonts w:ascii="宋体" w:hAnsi="宋体" w:cs="宋体" w:eastAsia="宋体" w:hint="default"/>
        </w:rPr>
        <w:t>Ltd</w:t>
      </w:r>
      <w:r>
        <w:rPr/>
        <w:t>的股权赠与石林先生和陈新女士后，石林先生持有</w:t>
      </w:r>
      <w:r>
        <w:rPr>
          <w:rFonts w:ascii="宋体" w:hAnsi="宋体" w:cs="宋体" w:eastAsia="宋体" w:hint="default"/>
        </w:rPr>
        <w:t>Infomatic</w:t>
      </w:r>
      <w:r>
        <w:rPr>
          <w:rFonts w:ascii="宋体" w:hAnsi="宋体" w:cs="宋体" w:eastAsia="宋体" w:hint="default"/>
          <w:spacing w:val="-46"/>
        </w:rPr>
        <w:t> </w:t>
      </w:r>
      <w:r>
        <w:rPr>
          <w:rFonts w:ascii="宋体" w:hAnsi="宋体" w:cs="宋体" w:eastAsia="宋体" w:hint="default"/>
        </w:rPr>
        <w:t>Ltd</w:t>
      </w:r>
      <w:r>
        <w:rPr>
          <w:rFonts w:ascii="宋体" w:hAnsi="宋体" w:cs="宋体" w:eastAsia="宋体" w:hint="default"/>
        </w:rPr>
        <w:t> 51%</w:t>
      </w:r>
      <w:r>
        <w:rPr/>
        <w:t>的股权，是</w:t>
      </w:r>
      <w:r>
        <w:rPr>
          <w:rFonts w:ascii="宋体" w:hAnsi="宋体" w:cs="宋体" w:eastAsia="宋体" w:hint="default"/>
        </w:rPr>
        <w:t>Infomatic Ltd</w:t>
      </w:r>
      <w:r>
        <w:rPr/>
        <w:t>的实际控制人，加上石林先生通过</w:t>
      </w:r>
      <w:r>
        <w:rPr>
          <w:rFonts w:ascii="宋体" w:hAnsi="宋体" w:cs="宋体" w:eastAsia="宋体" w:hint="default"/>
        </w:rPr>
        <w:t>Rich River Investments</w:t>
      </w:r>
      <w:r>
        <w:rPr>
          <w:rFonts w:ascii="宋体" w:hAnsi="宋体" w:cs="宋体" w:eastAsia="宋体" w:hint="default"/>
          <w:spacing w:val="-18"/>
        </w:rPr>
        <w:t> </w:t>
      </w:r>
      <w:r>
        <w:rPr>
          <w:rFonts w:ascii="宋体" w:hAnsi="宋体" w:cs="宋体" w:eastAsia="宋体" w:hint="default"/>
        </w:rPr>
        <w:t>Limited</w:t>
      </w:r>
      <w:r>
        <w:rPr/>
        <w:t>持有的东港股份</w:t>
      </w:r>
      <w:r>
        <w:rPr>
          <w:rFonts w:ascii="宋体" w:hAnsi="宋体" w:cs="宋体" w:eastAsia="宋体" w:hint="default"/>
        </w:rPr>
        <w:t>0.55%</w:t>
      </w:r>
      <w:r>
        <w:rPr/>
        <w:t>的 股权，石林先生间接控制东港股份</w:t>
      </w:r>
      <w:r>
        <w:rPr>
          <w:rFonts w:ascii="宋体" w:hAnsi="宋体" w:cs="宋体" w:eastAsia="宋体" w:hint="default"/>
        </w:rPr>
        <w:t>29.98%</w:t>
      </w:r>
      <w:r>
        <w:rPr/>
        <w:t>的股权，成为东港股份的实际控制人。变更详情请见</w:t>
      </w:r>
      <w:r>
        <w:rPr>
          <w:rFonts w:ascii="宋体" w:hAnsi="宋体" w:cs="宋体" w:eastAsia="宋体" w:hint="default"/>
        </w:rPr>
        <w:t>9</w:t>
      </w:r>
      <w:r>
        <w:rPr/>
        <w:t>月</w:t>
      </w:r>
      <w:r>
        <w:rPr>
          <w:rFonts w:ascii="宋体" w:hAnsi="宋体" w:cs="宋体" w:eastAsia="宋体" w:hint="default"/>
        </w:rPr>
        <w:t>14</w:t>
      </w:r>
      <w:r>
        <w:rPr/>
        <w:t>日在巨潮资讯网披露的</w:t>
      </w:r>
    </w:p>
    <w:p>
      <w:pPr>
        <w:pStyle w:val="BodyText"/>
        <w:spacing w:line="477" w:lineRule="auto" w:before="54"/>
        <w:ind w:left="513" w:right="6433" w:hanging="361"/>
        <w:jc w:val="left"/>
      </w:pPr>
      <w:r>
        <w:rPr/>
        <w:t>《详式权益变动报告书》。 公司与实际控制人之间的产权及控制关系的方框图</w:t>
      </w:r>
    </w:p>
    <w:p>
      <w:pPr>
        <w:spacing w:line="240" w:lineRule="auto" w:before="2"/>
        <w:rPr>
          <w:rFonts w:ascii="宋体" w:hAnsi="宋体" w:cs="宋体" w:eastAsia="宋体" w:hint="default"/>
          <w:sz w:val="19"/>
          <w:szCs w:val="19"/>
        </w:rPr>
      </w:pPr>
    </w:p>
    <w:p>
      <w:pPr>
        <w:spacing w:line="5755" w:lineRule="exact"/>
        <w:ind w:left="1148" w:right="0" w:firstLine="0"/>
        <w:rPr>
          <w:rFonts w:ascii="宋体" w:hAnsi="宋体" w:cs="宋体" w:eastAsia="宋体" w:hint="default"/>
          <w:sz w:val="20"/>
          <w:szCs w:val="20"/>
        </w:rPr>
      </w:pPr>
      <w:r>
        <w:rPr>
          <w:rFonts w:ascii="宋体" w:hAnsi="宋体" w:cs="宋体" w:eastAsia="宋体" w:hint="default"/>
          <w:position w:val="-114"/>
          <w:sz w:val="20"/>
          <w:szCs w:val="20"/>
        </w:rPr>
        <w:drawing>
          <wp:inline distT="0" distB="0" distL="0" distR="0">
            <wp:extent cx="4873244" cy="3654933"/>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31" cstate="print"/>
                    <a:stretch>
                      <a:fillRect/>
                    </a:stretch>
                  </pic:blipFill>
                  <pic:spPr>
                    <a:xfrm>
                      <a:off x="0" y="0"/>
                      <a:ext cx="4873244" cy="3654933"/>
                    </a:xfrm>
                    <a:prstGeom prst="rect">
                      <a:avLst/>
                    </a:prstGeom>
                  </pic:spPr>
                </pic:pic>
              </a:graphicData>
            </a:graphic>
          </wp:inline>
        </w:drawing>
      </w:r>
      <w:r>
        <w:rPr>
          <w:rFonts w:ascii="宋体" w:hAnsi="宋体" w:cs="宋体" w:eastAsia="宋体" w:hint="default"/>
          <w:position w:val="-114"/>
          <w:sz w:val="20"/>
          <w:szCs w:val="20"/>
        </w:rPr>
      </w:r>
    </w:p>
    <w:p>
      <w:pPr>
        <w:spacing w:line="240" w:lineRule="auto" w:before="0"/>
        <w:rPr>
          <w:rFonts w:ascii="宋体" w:hAnsi="宋体" w:cs="宋体" w:eastAsia="宋体" w:hint="default"/>
          <w:sz w:val="18"/>
          <w:szCs w:val="18"/>
        </w:rPr>
      </w:pPr>
    </w:p>
    <w:p>
      <w:pPr>
        <w:pStyle w:val="BodyText"/>
        <w:spacing w:line="240" w:lineRule="auto" w:before="143"/>
        <w:ind w:left="513" w:right="0"/>
        <w:jc w:val="left"/>
      </w:pPr>
      <w:r>
        <w:rPr/>
        <w:t>实际控制人通过信托或其他资产管理方式控制公司</w:t>
      </w:r>
    </w:p>
    <w:p>
      <w:pPr>
        <w:spacing w:line="240" w:lineRule="auto" w:before="11"/>
        <w:rPr>
          <w:rFonts w:ascii="宋体" w:hAnsi="宋体" w:cs="宋体" w:eastAsia="宋体" w:hint="default"/>
          <w:sz w:val="14"/>
          <w:szCs w:val="14"/>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both"/>
        <w:rPr>
          <w:b w:val="0"/>
          <w:bCs w:val="0"/>
        </w:rPr>
      </w:pPr>
      <w:r>
        <w:rPr>
          <w:rFonts w:ascii="Times New Roman" w:hAnsi="Times New Roman" w:cs="Times New Roman" w:eastAsia="Times New Roman" w:hint="default"/>
        </w:rPr>
        <w:t>4</w:t>
      </w:r>
      <w:r>
        <w:rPr/>
        <w:t>、其他持股在</w:t>
      </w:r>
      <w:r>
        <w:rPr>
          <w:spacing w:val="-54"/>
        </w:rPr>
        <w:t> </w:t>
      </w:r>
      <w:r>
        <w:rPr>
          <w:rFonts w:ascii="Times New Roman" w:hAnsi="Times New Roman" w:cs="Times New Roman" w:eastAsia="Times New Roman" w:hint="default"/>
        </w:rPr>
        <w:t>10%</w:t>
      </w:r>
      <w:r>
        <w:rPr/>
        <w:t>以上的法人股东</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182"/>
        <w:gridCol w:w="1093"/>
        <w:gridCol w:w="888"/>
        <w:gridCol w:w="1803"/>
        <w:gridCol w:w="1801"/>
        <w:gridCol w:w="1802"/>
      </w:tblGrid>
      <w:tr>
        <w:trPr>
          <w:trHeight w:val="713"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3"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7" w:right="84" w:hanging="632"/>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2546"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浪潮电子信息产业股份有 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70626660-1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2"/>
              <w:jc w:val="left"/>
              <w:rPr>
                <w:rFonts w:ascii="宋体" w:hAnsi="宋体" w:cs="宋体" w:eastAsia="宋体" w:hint="default"/>
                <w:sz w:val="18"/>
                <w:szCs w:val="18"/>
              </w:rPr>
            </w:pPr>
            <w:r>
              <w:rPr>
                <w:rFonts w:ascii="宋体" w:hAnsi="宋体" w:cs="宋体" w:eastAsia="宋体" w:hint="default"/>
                <w:spacing w:val="-6"/>
                <w:sz w:val="18"/>
                <w:szCs w:val="18"/>
              </w:rPr>
              <w:t>计算机及软件、电子产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品及其他通信设备（不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含无线电发射设备）、 </w:t>
            </w:r>
            <w:r>
              <w:rPr>
                <w:rFonts w:ascii="宋体" w:hAnsi="宋体" w:cs="宋体" w:eastAsia="宋体" w:hint="default"/>
                <w:spacing w:val="-6"/>
                <w:sz w:val="18"/>
                <w:szCs w:val="18"/>
              </w:rPr>
              <w:t>商业机具、电子工业用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控制设备、空调数控装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置、电子计时器、电控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玩具、教学用具的开 </w:t>
            </w:r>
            <w:r>
              <w:rPr>
                <w:rFonts w:ascii="宋体" w:hAnsi="宋体" w:cs="宋体" w:eastAsia="宋体" w:hint="default"/>
                <w:spacing w:val="-6"/>
                <w:sz w:val="18"/>
                <w:szCs w:val="18"/>
              </w:rPr>
              <w:t>发、生产、销售；技术</w:t>
            </w:r>
          </w:p>
        </w:tc>
      </w:tr>
    </w:tbl>
    <w:p>
      <w:pPr>
        <w:spacing w:after="0" w:line="316" w:lineRule="auto"/>
        <w:jc w:val="left"/>
        <w:rPr>
          <w:rFonts w:ascii="宋体" w:hAnsi="宋体" w:cs="宋体" w:eastAsia="宋体" w:hint="default"/>
          <w:sz w:val="18"/>
          <w:szCs w:val="18"/>
        </w:rPr>
        <w:sectPr>
          <w:pgSz w:w="11910" w:h="16840"/>
          <w:pgMar w:header="877" w:footer="1325"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82"/>
        <w:gridCol w:w="1093"/>
        <w:gridCol w:w="888"/>
        <w:gridCol w:w="1803"/>
        <w:gridCol w:w="1801"/>
        <w:gridCol w:w="1802"/>
      </w:tblGrid>
      <w:tr>
        <w:trPr>
          <w:trHeight w:val="1611" w:hRule="exact"/>
        </w:trPr>
        <w:tc>
          <w:tcPr>
            <w:tcW w:w="2182"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jc w:val="left"/>
              <w:rPr>
                <w:rFonts w:ascii="宋体" w:hAnsi="宋体" w:cs="宋体" w:eastAsia="宋体" w:hint="default"/>
                <w:sz w:val="18"/>
                <w:szCs w:val="18"/>
              </w:rPr>
            </w:pPr>
            <w:r>
              <w:rPr>
                <w:rFonts w:ascii="宋体" w:hAnsi="宋体" w:cs="宋体" w:eastAsia="宋体" w:hint="default"/>
                <w:spacing w:val="-6"/>
                <w:sz w:val="18"/>
                <w:szCs w:val="18"/>
              </w:rPr>
              <w:t>信息服务、计算机租赁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业务；电器设备的安装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与维修及技术服务；批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准范围内的自营进出 口业务，房屋租赁。</w:t>
            </w:r>
          </w:p>
        </w:tc>
      </w:tr>
      <w:tr>
        <w:trPr>
          <w:trHeight w:val="2897"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北京中嘉华信息技术有限 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李安龙</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73347967-X</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pacing w:val="-6"/>
                <w:sz w:val="18"/>
                <w:szCs w:val="18"/>
              </w:rPr>
              <w:t>软件开发、数据处理服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务，经济贸易咨询，投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资咨询、企业管理咨 </w:t>
            </w:r>
            <w:r>
              <w:rPr>
                <w:rFonts w:ascii="宋体" w:hAnsi="宋体" w:cs="宋体" w:eastAsia="宋体" w:hint="default"/>
                <w:spacing w:val="-6"/>
                <w:sz w:val="18"/>
                <w:szCs w:val="18"/>
              </w:rPr>
              <w:t>询；销售计算机、软件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及辅助设备（计算机信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息系统安全专用产品 </w:t>
            </w:r>
            <w:r>
              <w:rPr>
                <w:rFonts w:ascii="宋体" w:hAnsi="宋体" w:cs="宋体" w:eastAsia="宋体" w:hint="default"/>
                <w:spacing w:val="-6"/>
                <w:sz w:val="18"/>
                <w:szCs w:val="18"/>
              </w:rPr>
              <w:t>除外）、电子产品、日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用品、五金交电、机械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设备、纸张。</w:t>
            </w:r>
          </w:p>
        </w:tc>
      </w:tr>
    </w:tbl>
    <w:p>
      <w:pPr>
        <w:spacing w:after="0" w:line="316" w:lineRule="auto"/>
        <w:jc w:val="left"/>
        <w:rPr>
          <w:rFonts w:ascii="宋体" w:hAnsi="宋体" w:cs="宋体" w:eastAsia="宋体" w:hint="default"/>
          <w:sz w:val="18"/>
          <w:szCs w:val="18"/>
        </w:rPr>
        <w:sectPr>
          <w:pgSz w:w="11910" w:h="16840"/>
          <w:pgMar w:header="877" w:footer="1325"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1679" w:right="0"/>
        <w:jc w:val="left"/>
        <w:rPr>
          <w:b w:val="0"/>
          <w:bCs w:val="0"/>
        </w:rPr>
      </w:pPr>
      <w:bookmarkStart w:name="_TOC_250004"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1027"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699,400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38,640,733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39,340,133</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6,560,000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周南征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赵福蕊</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刘洪渭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刘素英</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郑钢</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谷望江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37,827,385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37,827,385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75,654,770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汤云为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李保政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王景涛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常务副总 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1,640,000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 </w:t>
            </w:r>
            <w:r>
              <w:rPr>
                <w:rFonts w:ascii="宋体" w:hAnsi="宋体" w:cs="宋体" w:eastAsia="宋体" w:hint="default"/>
                <w:spacing w:val="2"/>
                <w:sz w:val="18"/>
                <w:szCs w:val="18"/>
              </w:rPr>
              <w:t> </w:t>
            </w:r>
            <w:r>
              <w:rPr>
                <w:rFonts w:ascii="宋体" w:hAnsi="宋体" w:cs="宋体" w:eastAsia="宋体" w:hint="default"/>
                <w:sz w:val="18"/>
                <w:szCs w:val="18"/>
              </w:rPr>
              <w:t>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25" w:top="1060" w:bottom="152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pacing w:val="2"/>
                <w:sz w:val="18"/>
                <w:szCs w:val="18"/>
              </w:rPr>
              <w:t> </w:t>
            </w:r>
            <w:r>
              <w:rPr>
                <w:rFonts w:ascii="宋体" w:hAnsi="宋体" w:cs="宋体" w:eastAsia="宋体" w:hint="default"/>
                <w:sz w:val="18"/>
                <w:szCs w:val="18"/>
              </w:rPr>
              <w:t>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2,460,000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 </w:t>
            </w:r>
            <w:r>
              <w:rPr>
                <w:rFonts w:ascii="宋体" w:hAnsi="宋体" w:cs="宋体" w:eastAsia="宋体" w:hint="default"/>
                <w:spacing w:val="2"/>
                <w:sz w:val="18"/>
                <w:szCs w:val="18"/>
              </w:rPr>
              <w:t> </w:t>
            </w:r>
            <w:r>
              <w:rPr>
                <w:rFonts w:ascii="宋体" w:hAnsi="宋体" w:cs="宋体" w:eastAsia="宋体" w:hint="default"/>
                <w:sz w:val="18"/>
                <w:szCs w:val="18"/>
              </w:rPr>
              <w:t>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18"/>
                <w:sz w:val="18"/>
                <w:szCs w:val="18"/>
              </w:rPr>
              <w:t>副总裁、财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务负责人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714"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402"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44,776,785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82,718,118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75,654,770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51,840,133</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415" w:lineRule="auto"/>
        <w:ind w:left="513" w:right="3823" w:hanging="361"/>
        <w:jc w:val="left"/>
      </w:pPr>
      <w:r>
        <w:rPr/>
        <w:t>公司现任董事、监事、高级管理人员最近</w:t>
      </w:r>
      <w:r>
        <w:rPr>
          <w:spacing w:val="-45"/>
        </w:rPr>
        <w:t> </w:t>
      </w:r>
      <w:r>
        <w:rPr>
          <w:rFonts w:ascii="Times New Roman" w:hAnsi="Times New Roman" w:cs="Times New Roman" w:eastAsia="Times New Roman" w:hint="default"/>
        </w:rPr>
        <w:t>5 </w:t>
      </w:r>
      <w:r>
        <w:rPr/>
        <w:t>年的主要工作经历 董事长王爱先先生：</w:t>
      </w:r>
      <w:r>
        <w:rPr>
          <w:rFonts w:ascii="宋体" w:hAnsi="宋体" w:cs="宋体" w:eastAsia="宋体" w:hint="default"/>
        </w:rPr>
        <w:t>2002</w:t>
      </w:r>
      <w:r>
        <w:rPr/>
        <w:t>年</w:t>
      </w:r>
      <w:r>
        <w:rPr>
          <w:rFonts w:ascii="宋体" w:hAnsi="宋体" w:cs="宋体" w:eastAsia="宋体" w:hint="default"/>
        </w:rPr>
        <w:t>12</w:t>
      </w:r>
      <w:r>
        <w:rPr/>
        <w:t>月起任本公司副董事长，</w:t>
      </w:r>
      <w:r>
        <w:rPr>
          <w:rFonts w:ascii="宋体" w:hAnsi="宋体" w:cs="宋体" w:eastAsia="宋体" w:hint="default"/>
        </w:rPr>
        <w:t>2012</w:t>
      </w:r>
      <w:r>
        <w:rPr/>
        <w:t>年</w:t>
      </w:r>
      <w:r>
        <w:rPr>
          <w:rFonts w:ascii="宋体" w:hAnsi="宋体" w:cs="宋体" w:eastAsia="宋体" w:hint="default"/>
        </w:rPr>
        <w:t>9</w:t>
      </w:r>
      <w:r>
        <w:rPr/>
        <w:t>月起任公司董事长。</w:t>
      </w:r>
    </w:p>
    <w:p>
      <w:pPr>
        <w:pStyle w:val="BodyText"/>
        <w:spacing w:line="477" w:lineRule="auto" w:before="101"/>
        <w:ind w:left="513" w:right="1123"/>
        <w:jc w:val="left"/>
      </w:pPr>
      <w:r>
        <w:rPr/>
        <w:t>副董事长石林先生：</w:t>
      </w:r>
      <w:r>
        <w:rPr>
          <w:rFonts w:ascii="宋体" w:hAnsi="宋体" w:cs="宋体" w:eastAsia="宋体" w:hint="default"/>
        </w:rPr>
        <w:t>2002</w:t>
      </w:r>
      <w:r>
        <w:rPr/>
        <w:t>年</w:t>
      </w:r>
      <w:r>
        <w:rPr>
          <w:rFonts w:ascii="宋体" w:hAnsi="宋体" w:cs="宋体" w:eastAsia="宋体" w:hint="default"/>
        </w:rPr>
        <w:t>12</w:t>
      </w:r>
      <w:r>
        <w:rPr/>
        <w:t>月起任本公司董事，</w:t>
      </w:r>
      <w:r>
        <w:rPr>
          <w:rFonts w:ascii="宋体" w:hAnsi="宋体" w:cs="宋体" w:eastAsia="宋体" w:hint="default"/>
        </w:rPr>
        <w:t>2012</w:t>
      </w:r>
      <w:r>
        <w:rPr/>
        <w:t>年</w:t>
      </w:r>
      <w:r>
        <w:rPr>
          <w:rFonts w:ascii="宋体" w:hAnsi="宋体" w:cs="宋体" w:eastAsia="宋体" w:hint="default"/>
        </w:rPr>
        <w:t>9</w:t>
      </w:r>
      <w:r>
        <w:rPr/>
        <w:t>月起任本公司副董事长。 董事周南征先生：</w:t>
      </w:r>
      <w:r>
        <w:rPr>
          <w:rFonts w:ascii="宋体" w:hAnsi="宋体" w:cs="宋体" w:eastAsia="宋体" w:hint="default"/>
        </w:rPr>
        <w:t>2009</w:t>
      </w:r>
      <w:r>
        <w:rPr/>
        <w:t>年</w:t>
      </w:r>
      <w:r>
        <w:rPr>
          <w:rFonts w:ascii="宋体" w:hAnsi="宋体" w:cs="宋体" w:eastAsia="宋体" w:hint="default"/>
        </w:rPr>
        <w:t>5</w:t>
      </w:r>
      <w:r>
        <w:rPr/>
        <w:t>月至今，任北京国元经典文化发展有限公司总经理；</w:t>
      </w:r>
      <w:r>
        <w:rPr>
          <w:rFonts w:ascii="宋体" w:hAnsi="宋体" w:cs="宋体" w:eastAsia="宋体" w:hint="default"/>
        </w:rPr>
        <w:t>2012</w:t>
      </w:r>
      <w:r>
        <w:rPr/>
        <w:t>年</w:t>
      </w:r>
      <w:r>
        <w:rPr>
          <w:rFonts w:ascii="宋体" w:hAnsi="宋体" w:cs="宋体" w:eastAsia="宋体" w:hint="default"/>
        </w:rPr>
        <w:t>9</w:t>
      </w:r>
      <w:r>
        <w:rPr/>
        <w:t>月起任本公司董事。 董事、总裁史建中先生：</w:t>
      </w:r>
      <w:r>
        <w:rPr>
          <w:rFonts w:ascii="宋体" w:hAnsi="宋体" w:cs="宋体" w:eastAsia="宋体" w:hint="default"/>
        </w:rPr>
        <w:t>2002</w:t>
      </w:r>
      <w:r>
        <w:rPr/>
        <w:t>年</w:t>
      </w:r>
      <w:r>
        <w:rPr>
          <w:rFonts w:ascii="宋体" w:hAnsi="宋体" w:cs="宋体" w:eastAsia="宋体" w:hint="default"/>
        </w:rPr>
        <w:t>12</w:t>
      </w:r>
      <w:r>
        <w:rPr/>
        <w:t>月起至今任本公司董事、总裁。 董事赵福蕊女士：曾任济南市历城区物资局副局长，非公务员，</w:t>
      </w:r>
      <w:r>
        <w:rPr>
          <w:rFonts w:ascii="宋体" w:hAnsi="宋体" w:cs="宋体" w:eastAsia="宋体" w:hint="default"/>
        </w:rPr>
        <w:t>2008</w:t>
      </w:r>
      <w:r>
        <w:rPr/>
        <w:t>年</w:t>
      </w:r>
      <w:r>
        <w:rPr>
          <w:rFonts w:ascii="宋体" w:hAnsi="宋体" w:cs="宋体" w:eastAsia="宋体" w:hint="default"/>
        </w:rPr>
        <w:t>6</w:t>
      </w:r>
      <w:r>
        <w:rPr/>
        <w:t>月离岗。</w:t>
      </w:r>
      <w:r>
        <w:rPr>
          <w:rFonts w:ascii="宋体" w:hAnsi="宋体" w:cs="宋体" w:eastAsia="宋体" w:hint="default"/>
        </w:rPr>
        <w:t>2009</w:t>
      </w:r>
      <w:r>
        <w:rPr/>
        <w:t>年</w:t>
      </w:r>
      <w:r>
        <w:rPr>
          <w:rFonts w:ascii="宋体" w:hAnsi="宋体" w:cs="宋体" w:eastAsia="宋体" w:hint="default"/>
        </w:rPr>
        <w:t>8</w:t>
      </w:r>
      <w:r>
        <w:rPr/>
        <w:t>月起任本公司董事。 独立董事刘洪渭先生：曾任山东大学管理学院副院长、教授，现任山东大学财务部部长。</w:t>
      </w:r>
      <w:r>
        <w:rPr>
          <w:rFonts w:ascii="宋体" w:hAnsi="宋体" w:cs="宋体" w:eastAsia="宋体" w:hint="default"/>
        </w:rPr>
        <w:t>2012</w:t>
      </w:r>
      <w:r>
        <w:rPr/>
        <w:t>年</w:t>
      </w:r>
      <w:r>
        <w:rPr>
          <w:rFonts w:ascii="宋体" w:hAnsi="宋体" w:cs="宋体" w:eastAsia="宋体" w:hint="default"/>
        </w:rPr>
        <w:t>9</w:t>
      </w:r>
      <w:r>
        <w:rPr/>
        <w:t>月起任本公司独立董</w:t>
      </w:r>
    </w:p>
    <w:p>
      <w:pPr>
        <w:pStyle w:val="BodyText"/>
        <w:spacing w:line="240" w:lineRule="auto" w:before="54"/>
        <w:ind w:right="0"/>
        <w:jc w:val="left"/>
      </w:pPr>
      <w:r>
        <w:rPr/>
        <w:t>事。</w:t>
      </w:r>
    </w:p>
    <w:p>
      <w:pPr>
        <w:spacing w:line="240" w:lineRule="auto" w:before="10"/>
        <w:rPr>
          <w:rFonts w:ascii="宋体" w:hAnsi="宋体" w:cs="宋体" w:eastAsia="宋体" w:hint="default"/>
          <w:sz w:val="17"/>
          <w:szCs w:val="17"/>
        </w:rPr>
      </w:pPr>
    </w:p>
    <w:p>
      <w:pPr>
        <w:pStyle w:val="BodyText"/>
        <w:spacing w:line="477" w:lineRule="auto"/>
        <w:ind w:right="1123" w:firstLine="360"/>
        <w:jc w:val="left"/>
      </w:pPr>
      <w:r>
        <w:rPr>
          <w:spacing w:val="-2"/>
        </w:rPr>
        <w:t>独立董事刘素英女士：曾任国家审计署新闻通讯审计局局长助理、副局级审计员，</w:t>
      </w:r>
      <w:r>
        <w:rPr>
          <w:rFonts w:ascii="宋体" w:hAnsi="宋体" w:cs="宋体" w:eastAsia="宋体" w:hint="default"/>
          <w:spacing w:val="-2"/>
        </w:rPr>
        <w:t>2004</w:t>
      </w:r>
      <w:r>
        <w:rPr>
          <w:spacing w:val="-2"/>
        </w:rPr>
        <w:t>年</w:t>
      </w:r>
      <w:r>
        <w:rPr>
          <w:rFonts w:ascii="宋体" w:hAnsi="宋体" w:cs="宋体" w:eastAsia="宋体" w:hint="default"/>
          <w:spacing w:val="-2"/>
        </w:rPr>
        <w:t>1</w:t>
      </w:r>
      <w:r>
        <w:rPr>
          <w:spacing w:val="-2"/>
        </w:rPr>
        <w:t>月退休。</w:t>
      </w:r>
      <w:r>
        <w:rPr>
          <w:rFonts w:ascii="宋体" w:hAnsi="宋体" w:cs="宋体" w:eastAsia="宋体" w:hint="default"/>
          <w:spacing w:val="-2"/>
        </w:rPr>
        <w:t>2009</w:t>
      </w:r>
      <w:r>
        <w:rPr>
          <w:spacing w:val="-2"/>
        </w:rPr>
        <w:t>年</w:t>
      </w:r>
      <w:r>
        <w:rPr>
          <w:rFonts w:ascii="宋体" w:hAnsi="宋体" w:cs="宋体" w:eastAsia="宋体" w:hint="default"/>
          <w:spacing w:val="-2"/>
        </w:rPr>
        <w:t>8</w:t>
      </w:r>
      <w:r>
        <w:rPr>
          <w:spacing w:val="-2"/>
        </w:rPr>
        <w:t>月起任本公</w:t>
      </w:r>
      <w:r>
        <w:rPr/>
        <w:t> 司独立董事。</w:t>
      </w:r>
    </w:p>
    <w:p>
      <w:pPr>
        <w:pStyle w:val="BodyText"/>
        <w:spacing w:line="477" w:lineRule="auto" w:before="54"/>
        <w:ind w:left="513" w:right="1213"/>
        <w:jc w:val="left"/>
        <w:rPr>
          <w:rFonts w:ascii="宋体" w:hAnsi="宋体" w:cs="宋体" w:eastAsia="宋体" w:hint="default"/>
        </w:rPr>
      </w:pPr>
      <w:r>
        <w:rPr/>
        <w:t>独立董事郑钢先生：曾任山东省检察院副检察长，</w:t>
      </w:r>
      <w:r>
        <w:rPr>
          <w:rFonts w:ascii="宋体" w:hAnsi="宋体" w:cs="宋体" w:eastAsia="宋体" w:hint="default"/>
        </w:rPr>
        <w:t>2005</w:t>
      </w:r>
      <w:r>
        <w:rPr/>
        <w:t>年</w:t>
      </w:r>
      <w:r>
        <w:rPr>
          <w:rFonts w:ascii="宋体" w:hAnsi="宋体" w:cs="宋体" w:eastAsia="宋体" w:hint="default"/>
        </w:rPr>
        <w:t>3</w:t>
      </w:r>
      <w:r>
        <w:rPr/>
        <w:t>月退休。</w:t>
      </w:r>
      <w:r>
        <w:rPr>
          <w:rFonts w:ascii="宋体" w:hAnsi="宋体" w:cs="宋体" w:eastAsia="宋体" w:hint="default"/>
        </w:rPr>
        <w:t>2009</w:t>
      </w:r>
      <w:r>
        <w:rPr/>
        <w:t>年</w:t>
      </w:r>
      <w:r>
        <w:rPr>
          <w:rFonts w:ascii="宋体" w:hAnsi="宋体" w:cs="宋体" w:eastAsia="宋体" w:hint="default"/>
        </w:rPr>
        <w:t>8</w:t>
      </w:r>
      <w:r>
        <w:rPr/>
        <w:t>月起任本公司独立董事。 监事会主席孙敬女士：现任本公司客服总监兼任销售管理总部副总经理。</w:t>
      </w:r>
      <w:r>
        <w:rPr>
          <w:rFonts w:ascii="宋体" w:hAnsi="宋体" w:cs="宋体" w:eastAsia="宋体" w:hint="default"/>
        </w:rPr>
        <w:t>2003</w:t>
      </w:r>
      <w:r>
        <w:rPr/>
        <w:t>年</w:t>
      </w:r>
      <w:r>
        <w:rPr>
          <w:rFonts w:ascii="宋体" w:hAnsi="宋体" w:cs="宋体" w:eastAsia="宋体" w:hint="default"/>
        </w:rPr>
        <w:t>12</w:t>
      </w:r>
      <w:r>
        <w:rPr/>
        <w:t>月起任本公司职工代表监事，</w:t>
      </w:r>
      <w:r>
        <w:rPr>
          <w:rFonts w:ascii="宋体" w:hAnsi="宋体" w:cs="宋体" w:eastAsia="宋体" w:hint="default"/>
        </w:rPr>
        <w:t>2009</w:t>
      </w:r>
    </w:p>
    <w:p>
      <w:pPr>
        <w:pStyle w:val="BodyText"/>
        <w:spacing w:line="477" w:lineRule="auto" w:before="54"/>
        <w:ind w:left="513" w:right="2023" w:hanging="361"/>
        <w:jc w:val="left"/>
      </w:pPr>
      <w:r>
        <w:rPr/>
        <w:t>年</w:t>
      </w:r>
      <w:r>
        <w:rPr>
          <w:rFonts w:ascii="宋体" w:hAnsi="宋体" w:cs="宋体" w:eastAsia="宋体" w:hint="default"/>
        </w:rPr>
        <w:t>8</w:t>
      </w:r>
      <w:r>
        <w:rPr/>
        <w:t>月起至今任本公司监事会主席。 监事李保政先生，现任浪潮集团有限公司财金中心经理。</w:t>
      </w:r>
      <w:r>
        <w:rPr>
          <w:rFonts w:ascii="宋体" w:hAnsi="宋体" w:cs="宋体" w:eastAsia="宋体" w:hint="default"/>
        </w:rPr>
        <w:t>2002</w:t>
      </w:r>
      <w:r>
        <w:rPr/>
        <w:t>年</w:t>
      </w:r>
      <w:r>
        <w:rPr>
          <w:rFonts w:ascii="宋体" w:hAnsi="宋体" w:cs="宋体" w:eastAsia="宋体" w:hint="default"/>
        </w:rPr>
        <w:t>12</w:t>
      </w:r>
      <w:r>
        <w:rPr/>
        <w:t>月起至今任本公司监事。 监事王景涛先生，现任济南市历城区经济和信息局科长（非公务员）。</w:t>
      </w:r>
      <w:r>
        <w:rPr>
          <w:rFonts w:ascii="宋体" w:hAnsi="宋体" w:cs="宋体" w:eastAsia="宋体" w:hint="default"/>
        </w:rPr>
        <w:t>2009</w:t>
      </w:r>
      <w:r>
        <w:rPr/>
        <w:t>年</w:t>
      </w:r>
      <w:r>
        <w:rPr>
          <w:rFonts w:ascii="宋体" w:hAnsi="宋体" w:cs="宋体" w:eastAsia="宋体" w:hint="default"/>
        </w:rPr>
        <w:t>8</w:t>
      </w:r>
      <w:r>
        <w:rPr/>
        <w:t>月起至今任本公司监事。 常务副总裁唐国奇先生，</w:t>
      </w:r>
      <w:r>
        <w:rPr>
          <w:rFonts w:ascii="宋体" w:hAnsi="宋体" w:cs="宋体" w:eastAsia="宋体" w:hint="default"/>
        </w:rPr>
        <w:t>2002</w:t>
      </w:r>
      <w:r>
        <w:rPr/>
        <w:t>年</w:t>
      </w:r>
      <w:r>
        <w:rPr>
          <w:rFonts w:ascii="宋体" w:hAnsi="宋体" w:cs="宋体" w:eastAsia="宋体" w:hint="default"/>
        </w:rPr>
        <w:t>12</w:t>
      </w:r>
      <w:r>
        <w:rPr/>
        <w:t>月起任本公司常务副总裁、技术负责人。 副总裁朱震先生，</w:t>
      </w:r>
      <w:r>
        <w:rPr>
          <w:rFonts w:ascii="宋体" w:hAnsi="宋体" w:cs="宋体" w:eastAsia="宋体" w:hint="default"/>
        </w:rPr>
        <w:t>2006</w:t>
      </w:r>
      <w:r>
        <w:rPr/>
        <w:t>年</w:t>
      </w:r>
      <w:r>
        <w:rPr>
          <w:rFonts w:ascii="宋体" w:hAnsi="宋体" w:cs="宋体" w:eastAsia="宋体" w:hint="default"/>
        </w:rPr>
        <w:t>3</w:t>
      </w:r>
      <w:r>
        <w:rPr/>
        <w:t>月起任本公司副总裁兼销售管理总部经理。 副总裁刘宏先生：</w:t>
      </w:r>
      <w:r>
        <w:rPr>
          <w:rFonts w:ascii="宋体" w:hAnsi="宋体" w:cs="宋体" w:eastAsia="宋体" w:hint="default"/>
        </w:rPr>
        <w:t>2006</w:t>
      </w:r>
      <w:r>
        <w:rPr/>
        <w:t>年</w:t>
      </w:r>
      <w:r>
        <w:rPr>
          <w:rFonts w:ascii="宋体" w:hAnsi="宋体" w:cs="宋体" w:eastAsia="宋体" w:hint="default"/>
        </w:rPr>
        <w:t>3</w:t>
      </w:r>
      <w:r>
        <w:rPr/>
        <w:t>月起任本公司副总裁，现兼任</w:t>
      </w:r>
      <w:r>
        <w:rPr>
          <w:rFonts w:ascii="宋体" w:hAnsi="宋体" w:cs="宋体" w:eastAsia="宋体" w:hint="default"/>
        </w:rPr>
        <w:t>RFID</w:t>
      </w:r>
      <w:r>
        <w:rPr/>
        <w:t>事业部总经理。 副总裁、财务负责人郑理女士：</w:t>
      </w:r>
      <w:r>
        <w:rPr>
          <w:rFonts w:ascii="宋体" w:hAnsi="宋体" w:cs="宋体" w:eastAsia="宋体" w:hint="default"/>
        </w:rPr>
        <w:t>2006</w:t>
      </w:r>
      <w:r>
        <w:rPr/>
        <w:t>年</w:t>
      </w:r>
      <w:r>
        <w:rPr>
          <w:rFonts w:ascii="宋体" w:hAnsi="宋体" w:cs="宋体" w:eastAsia="宋体" w:hint="default"/>
        </w:rPr>
        <w:t>3</w:t>
      </w:r>
      <w:r>
        <w:rPr/>
        <w:t>月起任本公司副总裁兼财务负责人，现兼任财务管理总部总经理。 副总裁、董事秘书齐利国先生：</w:t>
      </w:r>
      <w:r>
        <w:rPr>
          <w:rFonts w:ascii="宋体" w:hAnsi="宋体" w:cs="宋体" w:eastAsia="宋体" w:hint="default"/>
        </w:rPr>
        <w:t>2006</w:t>
      </w:r>
      <w:r>
        <w:rPr/>
        <w:t>年</w:t>
      </w:r>
      <w:r>
        <w:rPr>
          <w:rFonts w:ascii="宋体" w:hAnsi="宋体" w:cs="宋体" w:eastAsia="宋体" w:hint="default"/>
        </w:rPr>
        <w:t>3</w:t>
      </w:r>
      <w:r>
        <w:rPr/>
        <w:t>月起任本公司副总裁兼董事会秘书、集团办公室主任。</w:t>
      </w:r>
    </w:p>
    <w:p>
      <w:pPr>
        <w:spacing w:line="240" w:lineRule="auto" w:before="0"/>
        <w:rPr>
          <w:rFonts w:ascii="宋体" w:hAnsi="宋体" w:cs="宋体" w:eastAsia="宋体" w:hint="default"/>
          <w:sz w:val="18"/>
          <w:szCs w:val="18"/>
        </w:rPr>
      </w:pPr>
    </w:p>
    <w:p>
      <w:pPr>
        <w:pStyle w:val="BodyText"/>
        <w:spacing w:line="240" w:lineRule="auto" w:before="133"/>
        <w:ind w:right="0"/>
        <w:jc w:val="left"/>
      </w:pPr>
      <w:r>
        <w:rPr/>
        <w:t>在股东单位任职情况</w:t>
      </w:r>
    </w:p>
    <w:p>
      <w:pPr>
        <w:pStyle w:val="BodyText"/>
        <w:spacing w:line="240" w:lineRule="auto" w:before="11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877" w:footer="1325" w:top="1060" w:bottom="152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478"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在股东单位</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在股东单位是否领</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取报酬津贴</w:t>
            </w:r>
          </w:p>
        </w:tc>
      </w:tr>
      <w:tr>
        <w:trPr>
          <w:trHeight w:val="47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6" w:right="0"/>
              <w:jc w:val="left"/>
              <w:rPr>
                <w:rFonts w:ascii="宋体" w:hAnsi="宋体" w:cs="宋体" w:eastAsia="宋体" w:hint="default"/>
                <w:sz w:val="18"/>
                <w:szCs w:val="18"/>
              </w:rPr>
            </w:pPr>
            <w:r>
              <w:rPr>
                <w:rFonts w:ascii="宋体" w:hAnsi="宋体" w:cs="宋体" w:eastAsia="宋体" w:hint="default"/>
                <w:sz w:val="18"/>
                <w:szCs w:val="18"/>
              </w:rPr>
              <w:t>香港喜多来集团有限公司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 w:right="0"/>
              <w:jc w:val="left"/>
              <w:rPr>
                <w:rFonts w:ascii="Times New Roman" w:hAnsi="Times New Roman" w:cs="Times New Roman" w:eastAsia="Times New Roman" w:hint="default"/>
                <w:sz w:val="18"/>
                <w:szCs w:val="18"/>
              </w:rPr>
            </w:pPr>
            <w:r>
              <w:rPr>
                <w:rFonts w:ascii="Times New Roman"/>
                <w:sz w:val="18"/>
              </w:rPr>
              <w:t>Rich River Investments</w:t>
            </w:r>
            <w:r>
              <w:rPr>
                <w:rFonts w:ascii="Times New Roman"/>
                <w:spacing w:val="-10"/>
                <w:sz w:val="18"/>
              </w:rPr>
              <w:t> </w:t>
            </w:r>
            <w:r>
              <w:rPr>
                <w:rFonts w:ascii="Times New Roman"/>
                <w:sz w:val="18"/>
              </w:rPr>
              <w:t>Limited</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在股东单位任</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在其他单位任职情况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55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6" w:right="0"/>
              <w:jc w:val="left"/>
              <w:rPr>
                <w:rFonts w:ascii="宋体" w:hAnsi="宋体" w:cs="宋体" w:eastAsia="宋体" w:hint="default"/>
                <w:sz w:val="18"/>
                <w:szCs w:val="18"/>
              </w:rPr>
            </w:pPr>
            <w:r>
              <w:rPr>
                <w:rFonts w:ascii="宋体" w:hAnsi="宋体" w:cs="宋体" w:eastAsia="宋体" w:hint="default"/>
                <w:sz w:val="18"/>
                <w:szCs w:val="18"/>
              </w:rPr>
              <w:t>淄博矿业集团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山东东港数据处理有限公司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山东交通运输集团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北京东港安全印刷有限公司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新疆东港安全印刷有限公司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广州东港安全印刷有限公司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北京东港嘉华安全信息技术有限公司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成都东港安全印刷有限公司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Infomatic Resources</w:t>
            </w:r>
            <w:r>
              <w:rPr>
                <w:rFonts w:ascii="Times New Roman"/>
                <w:spacing w:val="-12"/>
                <w:sz w:val="18"/>
              </w:rPr>
              <w:t> </w:t>
            </w:r>
            <w:r>
              <w:rPr>
                <w:rFonts w:ascii="Times New Roman"/>
                <w:sz w:val="18"/>
              </w:rPr>
              <w:t>Limited</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日照大地金属加工发展有限公司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日照大地依索新建材有限公司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周南征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北京国元经典文化发展有限公司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郑州东港安全印刷有限公司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北京东港安全印刷有限公司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新疆东港安全印刷有限公司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上海东港安全印刷有限公司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青海东港安全印刷有限公司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北京东港嘉华安全信息技术有限公司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325" w:top="1060" w:bottom="152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754504" coordorigin="9206,15298" coordsize="2700,1540">
            <v:shape style="position:absolute;left:9206;top:15298;width:2700;height:1540" type="#_x0000_t75" stroked="false">
              <v:imagedata r:id="rId16"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38</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广州东港安全印刷有限公司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上海东港数据处理有限公司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山东东港数据处理有限公司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刘洪渭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东阿阿胶股份有限公司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刘洪渭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民生投资股份有限公司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刘洪渭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史丹利化肥股份有限公司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刘洪渭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九阳股份有限公司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刘素英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中视传媒股份有限公司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刘素英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外部监事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李保政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浪潮集团有限公司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129"/>
              <w:jc w:val="left"/>
              <w:rPr>
                <w:rFonts w:ascii="宋体" w:hAnsi="宋体" w:cs="宋体" w:eastAsia="宋体" w:hint="default"/>
                <w:sz w:val="18"/>
                <w:szCs w:val="18"/>
              </w:rPr>
            </w:pPr>
            <w:r>
              <w:rPr>
                <w:rFonts w:ascii="宋体" w:hAnsi="宋体" w:cs="宋体" w:eastAsia="宋体" w:hint="default"/>
                <w:sz w:val="18"/>
                <w:szCs w:val="18"/>
              </w:rPr>
              <w:t>财金中心经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王景涛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济南市历城区经济和信息化局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21"/>
              <w:jc w:val="left"/>
              <w:rPr>
                <w:rFonts w:ascii="宋体" w:hAnsi="宋体" w:cs="宋体" w:eastAsia="宋体" w:hint="default"/>
                <w:sz w:val="18"/>
                <w:szCs w:val="18"/>
              </w:rPr>
            </w:pPr>
            <w:r>
              <w:rPr>
                <w:rFonts w:ascii="宋体" w:hAnsi="宋体" w:cs="宋体" w:eastAsia="宋体" w:hint="default"/>
                <w:spacing w:val="-12"/>
                <w:sz w:val="18"/>
                <w:szCs w:val="18"/>
              </w:rPr>
              <w:t>科长（非公务</w:t>
            </w:r>
            <w:r>
              <w:rPr>
                <w:rFonts w:ascii="宋体" w:hAnsi="宋体" w:cs="宋体" w:eastAsia="宋体" w:hint="default"/>
                <w:sz w:val="18"/>
                <w:szCs w:val="18"/>
              </w:rPr>
              <w:t> 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郑州东港安全印刷有限公司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上海东港安全印刷有限公司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上海东港数据处理有限公司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广州东港安全印刷有限公司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郑州东港安全印刷有限公司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北京东港安全印刷有限公司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北京东港嘉华安全信息技术有限公司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郑理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上海东港安全印刷有限公司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郑理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上海东港数据处理有限公司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上海东港安全印刷有限公司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青海东港安全印刷有限公司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上海东港数据处理有限公司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成都东港安全印刷有限公司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headerReference w:type="default" r:id="rId32"/>
          <w:footerReference w:type="default" r:id="rId33"/>
          <w:pgSz w:w="11910" w:h="16840"/>
          <w:pgMar w:header="877" w:footer="0" w:top="1060" w:bottom="0" w:left="980" w:right="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436" w:lineRule="auto"/>
        <w:ind w:left="513" w:right="0" w:hanging="361"/>
        <w:jc w:val="left"/>
      </w:pPr>
      <w:r>
        <w:rPr/>
        <w:t>董事、监事、高级管理人员报酬的决策程序、确定依据、实际支付情况 </w:t>
      </w:r>
      <w:r>
        <w:rPr>
          <w:spacing w:val="-2"/>
        </w:rPr>
        <w:t>公司按照《公司章程》的规定确定董事、监事和高级管理人员的报酬。董事和监事实行津贴制，报酬和支付方法由股东</w:t>
      </w:r>
    </w:p>
    <w:p>
      <w:pPr>
        <w:pStyle w:val="BodyText"/>
        <w:spacing w:line="458" w:lineRule="auto" w:before="85"/>
        <w:ind w:right="1129"/>
        <w:jc w:val="left"/>
      </w:pPr>
      <w:r>
        <w:rPr/>
        <w:pict>
          <v:shape style="position:absolute;margin-left:56.400002pt;margin-top:66.361725pt;width:479.3pt;height:449.4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姓名</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1,044,372.70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1,044,372.70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周南征</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赵福蕊</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刘洪渭</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刘素英</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郑钢</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谷望江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23,104.00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汤云为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孙敬</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87,376.68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87,376.68</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李保政</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王景涛</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495,599.67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495,599.67</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 </w:t>
                        </w:r>
                        <w:r>
                          <w:rPr>
                            <w:rFonts w:ascii="宋体" w:hAnsi="宋体" w:cs="宋体" w:eastAsia="宋体" w:hint="default"/>
                            <w:spacing w:val="2"/>
                            <w:sz w:val="18"/>
                            <w:szCs w:val="18"/>
                          </w:rPr>
                          <w:t> </w:t>
                        </w:r>
                        <w:r>
                          <w:rPr>
                            <w:rFonts w:ascii="宋体" w:hAnsi="宋体" w:cs="宋体" w:eastAsia="宋体" w:hint="default"/>
                            <w:sz w:val="18"/>
                            <w:szCs w:val="18"/>
                          </w:rPr>
                          <w:t>震</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418,200.84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418,200.84</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pacing w:val="2"/>
                            <w:sz w:val="18"/>
                            <w:szCs w:val="18"/>
                          </w:rPr>
                          <w:t> </w:t>
                        </w:r>
                        <w:r>
                          <w:rPr>
                            <w:rFonts w:ascii="宋体" w:hAnsi="宋体" w:cs="宋体" w:eastAsia="宋体" w:hint="default"/>
                            <w:sz w:val="18"/>
                            <w:szCs w:val="18"/>
                          </w:rPr>
                          <w:t>宏</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418,636.67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418,636.67</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 </w:t>
                        </w:r>
                        <w:r>
                          <w:rPr>
                            <w:rFonts w:ascii="宋体" w:hAnsi="宋体" w:cs="宋体" w:eastAsia="宋体" w:hint="default"/>
                            <w:spacing w:val="2"/>
                            <w:sz w:val="18"/>
                            <w:szCs w:val="18"/>
                          </w:rPr>
                          <w:t> </w:t>
                        </w:r>
                        <w:r>
                          <w:rPr>
                            <w:rFonts w:ascii="宋体" w:hAnsi="宋体" w:cs="宋体" w:eastAsia="宋体" w:hint="default"/>
                            <w:sz w:val="18"/>
                            <w:szCs w:val="18"/>
                          </w:rPr>
                          <w:t>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副总裁、财务 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398,334.67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398,334.67</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副总裁、董事 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397,810.67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397,810.67</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0"/>
                          <w:jc w:val="righ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3,671,435.90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3,671,435.90</w:t>
                        </w:r>
                      </w:p>
                    </w:tc>
                  </w:tr>
                </w:tbl>
                <w:p>
                  <w:pPr/>
                </w:p>
              </w:txbxContent>
            </v:textbox>
            <w10:wrap type="none"/>
          </v:shape>
        </w:pict>
      </w:r>
      <w:r>
        <w:rPr>
          <w:spacing w:val="-5"/>
        </w:rPr>
        <w:t>大会确定；高级管理人员实行年薪制，报酬和支付方法由董事会确定。公司以行业薪酬水平、经济发展状况、居民生活标准、</w:t>
      </w:r>
      <w:r>
        <w:rPr>
          <w:spacing w:val="-80"/>
        </w:rPr>
        <w:t> </w:t>
      </w:r>
      <w:r>
        <w:rPr>
          <w:spacing w:val="-80"/>
        </w:rPr>
      </w:r>
      <w:r>
        <w:rPr/>
        <w:t>公司经营业绩、岗位职责要求等为依据，在充分协商的前提下确定董事、监事和高级管理人员的年度薪酬。 公司报告期内董事、监事和高级管理人员报酬情况</w:t>
      </w:r>
    </w:p>
    <w:p>
      <w:pPr>
        <w:spacing w:after="0" w:line="458" w:lineRule="auto"/>
        <w:jc w:val="left"/>
        <w:sectPr>
          <w:footerReference w:type="default" r:id="rId34"/>
          <w:pgSz w:w="11910" w:h="16840"/>
          <w:pgMar w:footer="1340" w:header="877" w:top="1060" w:bottom="1540" w:left="980" w:right="0"/>
          <w:pgNumType w:start="39"/>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公司董事、监事、高级管理人员报告期内被授予的股权激励情况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58"/>
        <w:gridCol w:w="958"/>
        <w:gridCol w:w="958"/>
        <w:gridCol w:w="955"/>
        <w:gridCol w:w="958"/>
        <w:gridCol w:w="958"/>
        <w:gridCol w:w="958"/>
      </w:tblGrid>
      <w:tr>
        <w:trPr>
          <w:trHeight w:val="1339"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8"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56"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20" w:hanging="89"/>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23" w:hanging="89"/>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312" w:lineRule="auto" w:before="49"/>
              <w:ind w:left="23" w:right="21" w:hanging="2"/>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9"/>
                <w:sz w:val="18"/>
                <w:szCs w:val="18"/>
              </w:rPr>
              <w:t>权价格（元</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5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19"/>
              <w:ind w:left="89"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副总裁、财 务负责人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副总裁、董 事会秘书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958"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w:t>
            </w:r>
          </w:p>
        </w:tc>
      </w:tr>
      <w:tr>
        <w:trPr>
          <w:trHeight w:val="473" w:hRule="exact"/>
        </w:trPr>
        <w:tc>
          <w:tcPr>
            <w:tcW w:w="958" w:type="dxa"/>
            <w:tcBorders>
              <w:top w:val="single" w:sz="4" w:space="0" w:color="000000"/>
              <w:left w:val="single" w:sz="4" w:space="0" w:color="000000"/>
              <w:bottom w:val="nil" w:sz="6" w:space="0" w:color="auto"/>
              <w:right w:val="single" w:sz="13" w:space="0" w:color="FFFFFF"/>
            </w:tcBorders>
            <w:shd w:val="clear" w:color="auto" w:fill="D2D2D2"/>
          </w:tcPr>
          <w:p>
            <w:pPr/>
          </w:p>
        </w:tc>
        <w:tc>
          <w:tcPr>
            <w:tcW w:w="8615" w:type="dxa"/>
            <w:gridSpan w:val="9"/>
            <w:vMerge w:val="restart"/>
            <w:tcBorders>
              <w:top w:val="single" w:sz="4" w:space="0" w:color="000000"/>
              <w:left w:val="single" w:sz="13" w:space="0" w:color="FFFFFF"/>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公司高级管理人员郑理、齐利国，本报告期初分别持有限制性股票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 </w:t>
            </w:r>
            <w:r>
              <w:rPr>
                <w:rFonts w:ascii="宋体" w:hAnsi="宋体" w:cs="宋体" w:eastAsia="宋体" w:hint="default"/>
                <w:sz w:val="18"/>
                <w:szCs w:val="18"/>
              </w:rPr>
              <w:t>股。</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月，公司实施了以资</w:t>
            </w:r>
          </w:p>
          <w:p>
            <w:pPr>
              <w:pStyle w:val="TableParagraph"/>
              <w:spacing w:line="240" w:lineRule="auto" w:before="63"/>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本公积金每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股的权益分派方案，郑理、齐利国分别持有的限制性股票增加为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 </w:t>
            </w:r>
            <w:r>
              <w:rPr>
                <w:rFonts w:ascii="宋体" w:hAnsi="宋体" w:cs="宋体" w:eastAsia="宋体" w:hint="default"/>
                <w:sz w:val="18"/>
                <w:szCs w:val="18"/>
              </w:rPr>
              <w:t>股。</w:t>
            </w:r>
            <w:r>
              <w:rPr>
                <w:rFonts w:ascii="Times New Roman" w:hAnsi="Times New Roman" w:cs="Times New Roman" w:eastAsia="Times New Roman" w:hint="default"/>
                <w:sz w:val="18"/>
                <w:szCs w:val="18"/>
              </w:rPr>
              <w:t>2012</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月，公司限制性股票限售满，郑理、齐利国分别解锁</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股限制性股票，因此本报告期末，两人持有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的限制性股票为各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394" w:hRule="exact"/>
        </w:trPr>
        <w:tc>
          <w:tcPr>
            <w:tcW w:w="958"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8615" w:type="dxa"/>
            <w:gridSpan w:val="9"/>
            <w:vMerge/>
            <w:tcBorders>
              <w:left w:val="single" w:sz="13" w:space="0" w:color="FFFFFF"/>
              <w:right w:val="single" w:sz="4" w:space="0" w:color="000000"/>
            </w:tcBorders>
          </w:tcPr>
          <w:p>
            <w:pPr/>
          </w:p>
        </w:tc>
      </w:tr>
      <w:tr>
        <w:trPr>
          <w:trHeight w:val="473" w:hRule="exact"/>
        </w:trPr>
        <w:tc>
          <w:tcPr>
            <w:tcW w:w="958" w:type="dxa"/>
            <w:tcBorders>
              <w:top w:val="nil" w:sz="6" w:space="0" w:color="auto"/>
              <w:left w:val="single" w:sz="4" w:space="0" w:color="000000"/>
              <w:bottom w:val="single" w:sz="4" w:space="0" w:color="000000"/>
              <w:right w:val="single" w:sz="13" w:space="0" w:color="FFFFFF"/>
            </w:tcBorders>
            <w:shd w:val="clear" w:color="auto" w:fill="D2D2D2"/>
          </w:tcPr>
          <w:p>
            <w:pPr/>
          </w:p>
        </w:tc>
        <w:tc>
          <w:tcPr>
            <w:tcW w:w="8615" w:type="dxa"/>
            <w:gridSpan w:val="9"/>
            <w:vMerge/>
            <w:tcBorders>
              <w:left w:val="single" w:sz="13" w:space="0" w:color="FFFFFF"/>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pict>
          <v:shape style="position:absolute;margin-left:71.642998pt;margin-top:-61.124374pt;width:462.25pt;height:20pt;mso-position-horizontal-relative:page;mso-position-vertical-relative:paragraph;z-index:-754456" type="#_x0000_t202" filled="false" stroked="false">
            <v:textbox inset="0,0,0,0">
              <w:txbxContent>
                <w:p>
                  <w:pPr>
                    <w:spacing w:line="240" w:lineRule="auto" w:before="7"/>
                    <w:rPr>
                      <w:rFonts w:ascii="宋体" w:hAnsi="宋体" w:cs="宋体" w:eastAsia="宋体" w:hint="default"/>
                      <w:sz w:val="12"/>
                      <w:szCs w:val="12"/>
                    </w:rPr>
                  </w:pPr>
                </w:p>
                <w:p>
                  <w:pPr>
                    <w:pStyle w:val="BodyText"/>
                    <w:spacing w:line="240" w:lineRule="auto"/>
                    <w:ind w:left="0" w:right="0"/>
                    <w:jc w:val="left"/>
                  </w:pPr>
                  <w:r>
                    <w:rPr/>
                    <w:t>（如有）</w:t>
                  </w:r>
                </w:p>
              </w:txbxContent>
            </v:textbox>
            <w10:wrap type="none"/>
          </v:shape>
        </w:pict>
      </w:r>
      <w:r>
        <w:rPr/>
        <w:pict>
          <v:group style="position:absolute;margin-left:105.980003pt;margin-top:-61.124374pt;width:427.9pt;height:15.6pt;mso-position-horizontal-relative:page;mso-position-vertical-relative:paragraph;z-index:-754432" coordorigin="2120,-1222" coordsize="8558,312">
            <v:shape style="position:absolute;left:2120;top:-1222;width:8558;height:312" coordorigin="2120,-1222" coordsize="8558,312" path="m2120,-910l10677,-910,10677,-1222,2120,-1222,2120,-910xe" filled="true" fillcolor="#ffffff" stroked="false">
              <v:path arrowok="t"/>
              <v:fill type="solid"/>
            </v:shape>
            <w10:wrap type="none"/>
          </v:group>
        </w:pict>
      </w:r>
      <w:r>
        <w:rPr/>
        <w:t>四、公司董事、监事、高级管理人员离职和解聘情况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谷望江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任职届满。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汤云为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任职届满。</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六、公司员工情况</w:t>
      </w:r>
      <w:r>
        <w:rPr>
          <w:b w:val="0"/>
          <w:bCs w:val="0"/>
        </w:rPr>
      </w:r>
    </w:p>
    <w:p>
      <w:pPr>
        <w:spacing w:line="240" w:lineRule="auto" w:before="4"/>
        <w:rPr>
          <w:rFonts w:ascii="宋体" w:hAnsi="宋体" w:cs="宋体" w:eastAsia="宋体" w:hint="default"/>
          <w:b/>
          <w:bCs/>
          <w:sz w:val="32"/>
          <w:szCs w:val="32"/>
        </w:rPr>
      </w:pPr>
    </w:p>
    <w:p>
      <w:pPr>
        <w:pStyle w:val="BodyText"/>
        <w:spacing w:line="477" w:lineRule="auto"/>
        <w:ind w:left="513" w:right="4724"/>
        <w:jc w:val="left"/>
      </w:pPr>
      <w:r>
        <w:rPr/>
        <w:t>截止</w:t>
      </w:r>
      <w:r>
        <w:rPr>
          <w:rFonts w:ascii="宋体" w:hAnsi="宋体" w:cs="宋体" w:eastAsia="宋体" w:hint="default"/>
        </w:rPr>
        <w:t>2012</w:t>
      </w:r>
      <w:r>
        <w:rPr/>
        <w:t>年</w:t>
      </w:r>
      <w:r>
        <w:rPr>
          <w:rFonts w:ascii="宋体" w:hAnsi="宋体" w:cs="宋体" w:eastAsia="宋体" w:hint="default"/>
        </w:rPr>
        <w:t>12 </w:t>
      </w:r>
      <w:r>
        <w:rPr/>
        <w:t>月</w:t>
      </w:r>
      <w:r>
        <w:rPr>
          <w:rFonts w:ascii="宋体" w:hAnsi="宋体" w:cs="宋体" w:eastAsia="宋体" w:hint="default"/>
        </w:rPr>
        <w:t>31 </w:t>
      </w:r>
      <w:r>
        <w:rPr/>
        <w:t>日，本公司（含控股子公司）员工总数为</w:t>
      </w:r>
      <w:r>
        <w:rPr>
          <w:spacing w:val="-1"/>
        </w:rPr>
        <w:t> </w:t>
      </w:r>
      <w:r>
        <w:rPr>
          <w:rFonts w:ascii="宋体" w:hAnsi="宋体" w:cs="宋体" w:eastAsia="宋体" w:hint="default"/>
        </w:rPr>
        <w:t>1592</w:t>
      </w:r>
      <w:r>
        <w:rPr/>
        <w:t>人。 </w:t>
      </w:r>
      <w:r>
        <w:rPr>
          <w:rFonts w:ascii="宋体" w:hAnsi="宋体" w:cs="宋体" w:eastAsia="宋体" w:hint="default"/>
        </w:rPr>
        <w:t>1</w:t>
      </w:r>
      <w:r>
        <w:rPr/>
        <w:t>、专业构成情况如下：</w:t>
      </w:r>
    </w:p>
    <w:p>
      <w:pPr>
        <w:spacing w:line="240" w:lineRule="auto" w:before="2"/>
        <w:rPr>
          <w:rFonts w:ascii="宋体" w:hAnsi="宋体" w:cs="宋体" w:eastAsia="宋体" w:hint="default"/>
          <w:sz w:val="2"/>
          <w:szCs w:val="2"/>
        </w:rPr>
      </w:pPr>
    </w:p>
    <w:tbl>
      <w:tblPr>
        <w:tblW w:w="0" w:type="auto"/>
        <w:jc w:val="left"/>
        <w:tblInd w:w="337" w:type="dxa"/>
        <w:tblLayout w:type="fixed"/>
        <w:tblCellMar>
          <w:top w:w="0" w:type="dxa"/>
          <w:left w:w="0" w:type="dxa"/>
          <w:bottom w:w="0" w:type="dxa"/>
          <w:right w:w="0" w:type="dxa"/>
        </w:tblCellMar>
        <w:tblLook w:val="01E0"/>
      </w:tblPr>
      <w:tblGrid>
        <w:gridCol w:w="1256"/>
        <w:gridCol w:w="1377"/>
        <w:gridCol w:w="2294"/>
      </w:tblGrid>
      <w:tr>
        <w:trPr>
          <w:trHeight w:val="262" w:hRule="exact"/>
        </w:trPr>
        <w:tc>
          <w:tcPr>
            <w:tcW w:w="1256" w:type="dxa"/>
            <w:tcBorders>
              <w:top w:val="nil" w:sz="6" w:space="0" w:color="auto"/>
              <w:left w:val="nil" w:sz="6" w:space="0" w:color="auto"/>
              <w:bottom w:val="nil" w:sz="6" w:space="0" w:color="auto"/>
              <w:right w:val="nil" w:sz="6" w:space="0" w:color="auto"/>
            </w:tcBorders>
          </w:tcPr>
          <w:p>
            <w:pPr>
              <w:pStyle w:val="TableParagraph"/>
              <w:spacing w:line="211" w:lineRule="exact"/>
              <w:ind w:right="133"/>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377" w:type="dxa"/>
            <w:tcBorders>
              <w:top w:val="nil" w:sz="6" w:space="0" w:color="auto"/>
              <w:left w:val="nil" w:sz="6" w:space="0" w:color="auto"/>
              <w:bottom w:val="nil" w:sz="6" w:space="0" w:color="auto"/>
              <w:right w:val="nil" w:sz="6" w:space="0" w:color="auto"/>
            </w:tcBorders>
          </w:tcPr>
          <w:p>
            <w:pPr>
              <w:pStyle w:val="TableParagraph"/>
              <w:spacing w:line="211" w:lineRule="exact"/>
              <w:ind w:left="140" w:right="0"/>
              <w:jc w:val="center"/>
              <w:rPr>
                <w:rFonts w:ascii="宋体" w:hAnsi="宋体" w:cs="宋体" w:eastAsia="宋体" w:hint="default"/>
                <w:sz w:val="21"/>
                <w:szCs w:val="21"/>
              </w:rPr>
            </w:pPr>
            <w:r>
              <w:rPr>
                <w:rFonts w:ascii="宋体" w:hAnsi="宋体" w:cs="宋体" w:eastAsia="宋体" w:hint="default"/>
                <w:b/>
                <w:bCs/>
                <w:sz w:val="21"/>
                <w:szCs w:val="21"/>
              </w:rPr>
              <w:t>员工人数</w:t>
            </w:r>
            <w:r>
              <w:rPr>
                <w:rFonts w:ascii="宋体" w:hAnsi="宋体" w:cs="宋体" w:eastAsia="宋体" w:hint="default"/>
                <w:sz w:val="21"/>
                <w:szCs w:val="21"/>
              </w:rPr>
            </w:r>
          </w:p>
        </w:tc>
        <w:tc>
          <w:tcPr>
            <w:tcW w:w="2294" w:type="dxa"/>
            <w:tcBorders>
              <w:top w:val="nil" w:sz="6" w:space="0" w:color="auto"/>
              <w:left w:val="nil" w:sz="6" w:space="0" w:color="auto"/>
              <w:bottom w:val="nil" w:sz="6" w:space="0" w:color="auto"/>
              <w:right w:val="nil" w:sz="6" w:space="0" w:color="auto"/>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b/>
                <w:bCs/>
                <w:sz w:val="21"/>
                <w:szCs w:val="21"/>
              </w:rPr>
              <w:t>占总人数比例（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63" w:hRule="exact"/>
        </w:trPr>
        <w:tc>
          <w:tcPr>
            <w:tcW w:w="1256" w:type="dxa"/>
            <w:tcBorders>
              <w:top w:val="nil" w:sz="6" w:space="0" w:color="auto"/>
              <w:left w:val="nil" w:sz="6" w:space="0" w:color="auto"/>
              <w:bottom w:val="nil" w:sz="6" w:space="0" w:color="auto"/>
              <w:right w:val="nil" w:sz="6" w:space="0" w:color="auto"/>
            </w:tcBorders>
          </w:tcPr>
          <w:p>
            <w:pPr>
              <w:pStyle w:val="TableParagraph"/>
              <w:spacing w:line="226" w:lineRule="exact"/>
              <w:ind w:right="133"/>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0" w:right="0"/>
              <w:jc w:val="center"/>
              <w:rPr>
                <w:rFonts w:ascii="Times New Roman" w:hAnsi="Times New Roman" w:cs="Times New Roman" w:eastAsia="Times New Roman" w:hint="default"/>
                <w:sz w:val="18"/>
                <w:szCs w:val="18"/>
              </w:rPr>
            </w:pPr>
            <w:r>
              <w:rPr>
                <w:rFonts w:ascii="Times New Roman"/>
                <w:sz w:val="18"/>
              </w:rPr>
              <w:t>730</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
              <w:jc w:val="center"/>
              <w:rPr>
                <w:rFonts w:ascii="Times New Roman" w:hAnsi="Times New Roman" w:cs="Times New Roman" w:eastAsia="Times New Roman" w:hint="default"/>
                <w:sz w:val="18"/>
                <w:szCs w:val="18"/>
              </w:rPr>
            </w:pPr>
            <w:r>
              <w:rPr>
                <w:rFonts w:ascii="Times New Roman"/>
                <w:sz w:val="18"/>
              </w:rPr>
              <w:t>45.85%</w:t>
            </w:r>
          </w:p>
        </w:tc>
      </w:tr>
      <w:tr>
        <w:trPr>
          <w:trHeight w:val="258" w:hRule="exact"/>
        </w:trPr>
        <w:tc>
          <w:tcPr>
            <w:tcW w:w="1256" w:type="dxa"/>
            <w:tcBorders>
              <w:top w:val="nil" w:sz="6" w:space="0" w:color="auto"/>
              <w:left w:val="nil" w:sz="6" w:space="0" w:color="auto"/>
              <w:bottom w:val="nil" w:sz="6" w:space="0" w:color="auto"/>
              <w:right w:val="nil" w:sz="6" w:space="0" w:color="auto"/>
            </w:tcBorders>
          </w:tcPr>
          <w:p>
            <w:pPr>
              <w:pStyle w:val="TableParagraph"/>
              <w:spacing w:line="224" w:lineRule="exact"/>
              <w:ind w:right="133"/>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40" w:right="0"/>
              <w:jc w:val="center"/>
              <w:rPr>
                <w:rFonts w:ascii="Times New Roman" w:hAnsi="Times New Roman" w:cs="Times New Roman" w:eastAsia="Times New Roman" w:hint="default"/>
                <w:sz w:val="18"/>
                <w:szCs w:val="18"/>
              </w:rPr>
            </w:pPr>
            <w:r>
              <w:rPr>
                <w:rFonts w:ascii="Times New Roman"/>
                <w:sz w:val="18"/>
              </w:rPr>
              <w:t>170</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center"/>
              <w:rPr>
                <w:rFonts w:ascii="Times New Roman" w:hAnsi="Times New Roman" w:cs="Times New Roman" w:eastAsia="Times New Roman" w:hint="default"/>
                <w:sz w:val="18"/>
                <w:szCs w:val="18"/>
              </w:rPr>
            </w:pPr>
            <w:r>
              <w:rPr>
                <w:rFonts w:ascii="Times New Roman"/>
                <w:sz w:val="18"/>
              </w:rPr>
              <w:t>10.68%</w:t>
            </w:r>
          </w:p>
        </w:tc>
      </w:tr>
      <w:tr>
        <w:trPr>
          <w:trHeight w:val="254" w:hRule="exact"/>
        </w:trPr>
        <w:tc>
          <w:tcPr>
            <w:tcW w:w="1256" w:type="dxa"/>
            <w:tcBorders>
              <w:top w:val="nil" w:sz="6" w:space="0" w:color="auto"/>
              <w:left w:val="nil" w:sz="6" w:space="0" w:color="auto"/>
              <w:bottom w:val="nil" w:sz="6" w:space="0" w:color="auto"/>
              <w:right w:val="nil" w:sz="6" w:space="0" w:color="auto"/>
            </w:tcBorders>
          </w:tcPr>
          <w:p>
            <w:pPr>
              <w:pStyle w:val="TableParagraph"/>
              <w:spacing w:line="221" w:lineRule="exact"/>
              <w:ind w:right="133"/>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0" w:right="0"/>
              <w:jc w:val="center"/>
              <w:rPr>
                <w:rFonts w:ascii="Times New Roman" w:hAnsi="Times New Roman" w:cs="Times New Roman" w:eastAsia="Times New Roman" w:hint="default"/>
                <w:sz w:val="18"/>
                <w:szCs w:val="18"/>
              </w:rPr>
            </w:pPr>
            <w:r>
              <w:rPr>
                <w:rFonts w:ascii="Times New Roman"/>
                <w:sz w:val="18"/>
              </w:rPr>
              <w:t>482</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sz w:val="18"/>
              </w:rPr>
              <w:t>30.28%</w:t>
            </w:r>
          </w:p>
        </w:tc>
      </w:tr>
      <w:tr>
        <w:trPr>
          <w:trHeight w:val="253" w:hRule="exact"/>
        </w:trPr>
        <w:tc>
          <w:tcPr>
            <w:tcW w:w="1256" w:type="dxa"/>
            <w:tcBorders>
              <w:top w:val="nil" w:sz="6" w:space="0" w:color="auto"/>
              <w:left w:val="nil" w:sz="6" w:space="0" w:color="auto"/>
              <w:bottom w:val="nil" w:sz="6" w:space="0" w:color="auto"/>
              <w:right w:val="nil" w:sz="6" w:space="0" w:color="auto"/>
            </w:tcBorders>
          </w:tcPr>
          <w:p>
            <w:pPr>
              <w:pStyle w:val="TableParagraph"/>
              <w:spacing w:line="221" w:lineRule="exact"/>
              <w:ind w:right="133"/>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0" w:right="0"/>
              <w:jc w:val="center"/>
              <w:rPr>
                <w:rFonts w:ascii="Times New Roman" w:hAnsi="Times New Roman" w:cs="Times New Roman" w:eastAsia="Times New Roman" w:hint="default"/>
                <w:sz w:val="18"/>
                <w:szCs w:val="18"/>
              </w:rPr>
            </w:pPr>
            <w:r>
              <w:rPr>
                <w:rFonts w:ascii="Times New Roman"/>
                <w:sz w:val="18"/>
              </w:rPr>
              <w:t>41</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
              <w:jc w:val="center"/>
              <w:rPr>
                <w:rFonts w:ascii="Times New Roman" w:hAnsi="Times New Roman" w:cs="Times New Roman" w:eastAsia="Times New Roman" w:hint="default"/>
                <w:sz w:val="18"/>
                <w:szCs w:val="18"/>
              </w:rPr>
            </w:pPr>
            <w:r>
              <w:rPr>
                <w:rFonts w:ascii="Times New Roman"/>
                <w:sz w:val="18"/>
              </w:rPr>
              <w:t>2.70%</w:t>
            </w:r>
          </w:p>
        </w:tc>
      </w:tr>
      <w:tr>
        <w:trPr>
          <w:trHeight w:val="253" w:hRule="exact"/>
        </w:trPr>
        <w:tc>
          <w:tcPr>
            <w:tcW w:w="1256" w:type="dxa"/>
            <w:tcBorders>
              <w:top w:val="nil" w:sz="6" w:space="0" w:color="auto"/>
              <w:left w:val="nil" w:sz="6" w:space="0" w:color="auto"/>
              <w:bottom w:val="nil" w:sz="6" w:space="0" w:color="auto"/>
              <w:right w:val="nil" w:sz="6" w:space="0" w:color="auto"/>
            </w:tcBorders>
          </w:tcPr>
          <w:p>
            <w:pPr>
              <w:pStyle w:val="TableParagraph"/>
              <w:spacing w:line="219" w:lineRule="exact"/>
              <w:ind w:right="133"/>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0" w:right="0"/>
              <w:jc w:val="center"/>
              <w:rPr>
                <w:rFonts w:ascii="Times New Roman" w:hAnsi="Times New Roman" w:cs="Times New Roman" w:eastAsia="Times New Roman" w:hint="default"/>
                <w:sz w:val="18"/>
                <w:szCs w:val="18"/>
              </w:rPr>
            </w:pPr>
            <w:r>
              <w:rPr>
                <w:rFonts w:ascii="Times New Roman"/>
                <w:sz w:val="18"/>
              </w:rPr>
              <w:t>167</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10.49%</w:t>
            </w:r>
          </w:p>
        </w:tc>
      </w:tr>
      <w:tr>
        <w:trPr>
          <w:trHeight w:val="221" w:hRule="exact"/>
        </w:trPr>
        <w:tc>
          <w:tcPr>
            <w:tcW w:w="1256" w:type="dxa"/>
            <w:tcBorders>
              <w:top w:val="nil" w:sz="6" w:space="0" w:color="auto"/>
              <w:left w:val="nil" w:sz="6" w:space="0" w:color="auto"/>
              <w:bottom w:val="nil" w:sz="6" w:space="0" w:color="auto"/>
              <w:right w:val="nil" w:sz="6" w:space="0" w:color="auto"/>
            </w:tcBorders>
          </w:tcPr>
          <w:p>
            <w:pPr>
              <w:pStyle w:val="TableParagraph"/>
              <w:spacing w:line="221" w:lineRule="exact"/>
              <w:ind w:right="133"/>
              <w:jc w:val="center"/>
              <w:rPr>
                <w:rFonts w:ascii="宋体" w:hAnsi="宋体" w:cs="宋体" w:eastAsia="宋体" w:hint="default"/>
                <w:sz w:val="18"/>
                <w:szCs w:val="18"/>
              </w:rPr>
            </w:pPr>
            <w:r>
              <w:rPr>
                <w:rFonts w:ascii="宋体" w:hAnsi="宋体" w:cs="宋体" w:eastAsia="宋体" w:hint="default"/>
                <w:sz w:val="18"/>
                <w:szCs w:val="18"/>
              </w:rPr>
              <w:t>合计</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0" w:right="0"/>
              <w:jc w:val="center"/>
              <w:rPr>
                <w:rFonts w:ascii="Times New Roman" w:hAnsi="Times New Roman" w:cs="Times New Roman" w:eastAsia="Times New Roman" w:hint="default"/>
                <w:sz w:val="18"/>
                <w:szCs w:val="18"/>
              </w:rPr>
            </w:pPr>
            <w:r>
              <w:rPr>
                <w:rFonts w:ascii="Times New Roman"/>
                <w:sz w:val="18"/>
              </w:rPr>
              <w:t>1592</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p>
      <w:pPr>
        <w:spacing w:line="3958" w:lineRule="exact"/>
        <w:ind w:left="1688"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4179891" cy="2513647"/>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35" cstate="print"/>
                    <a:stretch>
                      <a:fillRect/>
                    </a:stretch>
                  </pic:blipFill>
                  <pic:spPr>
                    <a:xfrm>
                      <a:off x="0" y="0"/>
                      <a:ext cx="4179891" cy="2513647"/>
                    </a:xfrm>
                    <a:prstGeom prst="rect">
                      <a:avLst/>
                    </a:prstGeom>
                  </pic:spPr>
                </pic:pic>
              </a:graphicData>
            </a:graphic>
          </wp:inline>
        </w:drawing>
      </w:r>
      <w:r>
        <w:rPr>
          <w:rFonts w:ascii="宋体" w:hAnsi="宋体" w:cs="宋体" w:eastAsia="宋体" w:hint="default"/>
          <w:position w:val="-78"/>
          <w:sz w:val="20"/>
          <w:szCs w:val="20"/>
        </w:rPr>
      </w:r>
    </w:p>
    <w:p>
      <w:pPr>
        <w:spacing w:line="240" w:lineRule="auto" w:before="2"/>
        <w:rPr>
          <w:rFonts w:ascii="宋体" w:hAnsi="宋体" w:cs="宋体" w:eastAsia="宋体" w:hint="default"/>
          <w:sz w:val="27"/>
          <w:szCs w:val="27"/>
        </w:rPr>
      </w:pPr>
    </w:p>
    <w:p>
      <w:pPr>
        <w:pStyle w:val="Heading4"/>
        <w:spacing w:line="240" w:lineRule="auto"/>
        <w:ind w:left="573" w:right="0"/>
        <w:jc w:val="left"/>
      </w:pPr>
      <w:r>
        <w:rPr>
          <w:rFonts w:ascii="Times New Roman" w:hAnsi="Times New Roman" w:cs="Times New Roman" w:eastAsia="Times New Roman" w:hint="default"/>
        </w:rPr>
        <w:t>2</w:t>
      </w:r>
      <w:r>
        <w:rPr/>
        <w:t>、员工受教育程度构成如下：</w:t>
      </w:r>
    </w:p>
    <w:p>
      <w:pPr>
        <w:spacing w:line="240" w:lineRule="auto" w:before="7"/>
        <w:rPr>
          <w:rFonts w:ascii="宋体" w:hAnsi="宋体" w:cs="宋体" w:eastAsia="宋体" w:hint="default"/>
          <w:sz w:val="8"/>
          <w:szCs w:val="8"/>
        </w:rPr>
      </w:pPr>
    </w:p>
    <w:tbl>
      <w:tblPr>
        <w:tblW w:w="0" w:type="auto"/>
        <w:jc w:val="left"/>
        <w:tblInd w:w="378" w:type="dxa"/>
        <w:tblLayout w:type="fixed"/>
        <w:tblCellMar>
          <w:top w:w="0" w:type="dxa"/>
          <w:left w:w="0" w:type="dxa"/>
          <w:bottom w:w="0" w:type="dxa"/>
          <w:right w:w="0" w:type="dxa"/>
        </w:tblCellMar>
        <w:tblLook w:val="01E0"/>
      </w:tblPr>
      <w:tblGrid>
        <w:gridCol w:w="1830"/>
        <w:gridCol w:w="1432"/>
        <w:gridCol w:w="2316"/>
      </w:tblGrid>
      <w:tr>
        <w:trPr>
          <w:trHeight w:val="252" w:hRule="exact"/>
        </w:trPr>
        <w:tc>
          <w:tcPr>
            <w:tcW w:w="1830" w:type="dxa"/>
            <w:tcBorders>
              <w:top w:val="nil" w:sz="6" w:space="0" w:color="auto"/>
              <w:left w:val="nil" w:sz="6" w:space="0" w:color="auto"/>
              <w:bottom w:val="nil" w:sz="6" w:space="0" w:color="auto"/>
              <w:right w:val="nil" w:sz="6" w:space="0" w:color="auto"/>
            </w:tcBorders>
          </w:tcPr>
          <w:p>
            <w:pPr>
              <w:pStyle w:val="TableParagraph"/>
              <w:spacing w:line="211" w:lineRule="exact"/>
              <w:ind w:right="169"/>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432" w:type="dxa"/>
            <w:tcBorders>
              <w:top w:val="nil" w:sz="6" w:space="0" w:color="auto"/>
              <w:left w:val="nil" w:sz="6" w:space="0" w:color="auto"/>
              <w:bottom w:val="nil" w:sz="6" w:space="0" w:color="auto"/>
              <w:right w:val="nil" w:sz="6" w:space="0" w:color="auto"/>
            </w:tcBorders>
          </w:tcPr>
          <w:p>
            <w:pPr>
              <w:pStyle w:val="TableParagraph"/>
              <w:spacing w:line="211" w:lineRule="exact"/>
              <w:ind w:left="152" w:right="0"/>
              <w:jc w:val="center"/>
              <w:rPr>
                <w:rFonts w:ascii="宋体" w:hAnsi="宋体" w:cs="宋体" w:eastAsia="宋体" w:hint="default"/>
                <w:sz w:val="21"/>
                <w:szCs w:val="21"/>
              </w:rPr>
            </w:pPr>
            <w:r>
              <w:rPr>
                <w:rFonts w:ascii="宋体" w:hAnsi="宋体" w:cs="宋体" w:eastAsia="宋体" w:hint="default"/>
                <w:b/>
                <w:bCs/>
                <w:sz w:val="21"/>
                <w:szCs w:val="21"/>
              </w:rPr>
              <w:t>员工人数</w:t>
            </w:r>
            <w:r>
              <w:rPr>
                <w:rFonts w:ascii="宋体" w:hAnsi="宋体" w:cs="宋体" w:eastAsia="宋体" w:hint="default"/>
                <w:sz w:val="21"/>
                <w:szCs w:val="21"/>
              </w:rPr>
            </w:r>
          </w:p>
        </w:tc>
        <w:tc>
          <w:tcPr>
            <w:tcW w:w="2316" w:type="dxa"/>
            <w:tcBorders>
              <w:top w:val="nil" w:sz="6" w:space="0" w:color="auto"/>
              <w:left w:val="nil" w:sz="6" w:space="0" w:color="auto"/>
              <w:bottom w:val="nil" w:sz="6" w:space="0" w:color="auto"/>
              <w:right w:val="nil" w:sz="6" w:space="0" w:color="auto"/>
            </w:tcBorders>
          </w:tcPr>
          <w:p>
            <w:pPr>
              <w:pStyle w:val="TableParagraph"/>
              <w:spacing w:line="227" w:lineRule="exact"/>
              <w:ind w:left="17" w:right="0"/>
              <w:jc w:val="center"/>
              <w:rPr>
                <w:rFonts w:ascii="宋体" w:hAnsi="宋体" w:cs="宋体" w:eastAsia="宋体" w:hint="default"/>
                <w:sz w:val="21"/>
                <w:szCs w:val="21"/>
              </w:rPr>
            </w:pPr>
            <w:r>
              <w:rPr>
                <w:rFonts w:ascii="宋体" w:hAnsi="宋体" w:cs="宋体" w:eastAsia="宋体" w:hint="default"/>
                <w:b/>
                <w:bCs/>
                <w:sz w:val="21"/>
                <w:szCs w:val="21"/>
              </w:rPr>
              <w:t>占总人数比例（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50" w:hRule="exact"/>
        </w:trPr>
        <w:tc>
          <w:tcPr>
            <w:tcW w:w="1830" w:type="dxa"/>
            <w:tcBorders>
              <w:top w:val="nil" w:sz="6" w:space="0" w:color="auto"/>
              <w:left w:val="nil" w:sz="6" w:space="0" w:color="auto"/>
              <w:bottom w:val="nil" w:sz="6" w:space="0" w:color="auto"/>
              <w:right w:val="nil" w:sz="6" w:space="0" w:color="auto"/>
            </w:tcBorders>
          </w:tcPr>
          <w:p>
            <w:pPr>
              <w:pStyle w:val="TableParagraph"/>
              <w:spacing w:line="216" w:lineRule="exact"/>
              <w:ind w:right="167"/>
              <w:jc w:val="center"/>
              <w:rPr>
                <w:rFonts w:ascii="宋体" w:hAnsi="宋体" w:cs="宋体" w:eastAsia="宋体" w:hint="default"/>
                <w:sz w:val="18"/>
                <w:szCs w:val="18"/>
              </w:rPr>
            </w:pPr>
            <w:r>
              <w:rPr>
                <w:rFonts w:ascii="宋体" w:hAnsi="宋体" w:cs="宋体" w:eastAsia="宋体" w:hint="default"/>
                <w:sz w:val="18"/>
                <w:szCs w:val="18"/>
              </w:rPr>
              <w:t>本科及本科以上</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
              <w:ind w:left="153" w:right="0"/>
              <w:jc w:val="center"/>
              <w:rPr>
                <w:rFonts w:ascii="Times New Roman" w:hAnsi="Times New Roman" w:cs="Times New Roman" w:eastAsia="Times New Roman" w:hint="default"/>
                <w:sz w:val="18"/>
                <w:szCs w:val="18"/>
              </w:rPr>
            </w:pPr>
            <w:r>
              <w:rPr>
                <w:rFonts w:ascii="Times New Roman"/>
                <w:sz w:val="18"/>
              </w:rPr>
              <w:t>375</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 w:right="0"/>
              <w:jc w:val="center"/>
              <w:rPr>
                <w:rFonts w:ascii="Times New Roman" w:hAnsi="Times New Roman" w:cs="Times New Roman" w:eastAsia="Times New Roman" w:hint="default"/>
                <w:sz w:val="18"/>
                <w:szCs w:val="18"/>
              </w:rPr>
            </w:pPr>
            <w:r>
              <w:rPr>
                <w:rFonts w:ascii="Times New Roman"/>
                <w:sz w:val="18"/>
              </w:rPr>
              <w:t>23.56%</w:t>
            </w:r>
          </w:p>
        </w:tc>
      </w:tr>
      <w:tr>
        <w:trPr>
          <w:trHeight w:val="253" w:hRule="exact"/>
        </w:trPr>
        <w:tc>
          <w:tcPr>
            <w:tcW w:w="1830" w:type="dxa"/>
            <w:tcBorders>
              <w:top w:val="nil" w:sz="6" w:space="0" w:color="auto"/>
              <w:left w:val="nil" w:sz="6" w:space="0" w:color="auto"/>
              <w:bottom w:val="nil" w:sz="6" w:space="0" w:color="auto"/>
              <w:right w:val="nil" w:sz="6" w:space="0" w:color="auto"/>
            </w:tcBorders>
          </w:tcPr>
          <w:p>
            <w:pPr>
              <w:pStyle w:val="TableParagraph"/>
              <w:spacing w:line="221" w:lineRule="exact"/>
              <w:ind w:right="170"/>
              <w:jc w:val="center"/>
              <w:rPr>
                <w:rFonts w:ascii="宋体" w:hAnsi="宋体" w:cs="宋体" w:eastAsia="宋体" w:hint="default"/>
                <w:sz w:val="18"/>
                <w:szCs w:val="18"/>
              </w:rPr>
            </w:pPr>
            <w:r>
              <w:rPr>
                <w:rFonts w:ascii="宋体" w:hAnsi="宋体" w:cs="宋体" w:eastAsia="宋体" w:hint="default"/>
                <w:sz w:val="18"/>
                <w:szCs w:val="18"/>
              </w:rPr>
              <w:t>大专</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3" w:right="0"/>
              <w:jc w:val="center"/>
              <w:rPr>
                <w:rFonts w:ascii="Times New Roman" w:hAnsi="Times New Roman" w:cs="Times New Roman" w:eastAsia="Times New Roman" w:hint="default"/>
                <w:sz w:val="18"/>
                <w:szCs w:val="18"/>
              </w:rPr>
            </w:pPr>
            <w:r>
              <w:rPr>
                <w:rFonts w:ascii="Times New Roman"/>
                <w:sz w:val="18"/>
              </w:rPr>
              <w:t>474</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 w:right="0"/>
              <w:jc w:val="center"/>
              <w:rPr>
                <w:rFonts w:ascii="Times New Roman" w:hAnsi="Times New Roman" w:cs="Times New Roman" w:eastAsia="Times New Roman" w:hint="default"/>
                <w:sz w:val="18"/>
                <w:szCs w:val="18"/>
              </w:rPr>
            </w:pPr>
            <w:r>
              <w:rPr>
                <w:rFonts w:ascii="Times New Roman"/>
                <w:sz w:val="18"/>
              </w:rPr>
              <w:t>29.77%</w:t>
            </w:r>
          </w:p>
        </w:tc>
      </w:tr>
      <w:tr>
        <w:trPr>
          <w:trHeight w:val="253" w:hRule="exact"/>
        </w:trPr>
        <w:tc>
          <w:tcPr>
            <w:tcW w:w="1830" w:type="dxa"/>
            <w:tcBorders>
              <w:top w:val="nil" w:sz="6" w:space="0" w:color="auto"/>
              <w:left w:val="nil" w:sz="6" w:space="0" w:color="auto"/>
              <w:bottom w:val="nil" w:sz="6" w:space="0" w:color="auto"/>
              <w:right w:val="nil" w:sz="6" w:space="0" w:color="auto"/>
            </w:tcBorders>
          </w:tcPr>
          <w:p>
            <w:pPr>
              <w:pStyle w:val="TableParagraph"/>
              <w:spacing w:line="219" w:lineRule="exact"/>
              <w:ind w:right="167"/>
              <w:jc w:val="center"/>
              <w:rPr>
                <w:rFonts w:ascii="宋体" w:hAnsi="宋体" w:cs="宋体" w:eastAsia="宋体" w:hint="default"/>
                <w:sz w:val="18"/>
                <w:szCs w:val="18"/>
              </w:rPr>
            </w:pPr>
            <w:r>
              <w:rPr>
                <w:rFonts w:ascii="宋体" w:hAnsi="宋体" w:cs="宋体" w:eastAsia="宋体" w:hint="default"/>
                <w:sz w:val="18"/>
                <w:szCs w:val="18"/>
              </w:rPr>
              <w:t>中专及以下</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53" w:right="0"/>
              <w:jc w:val="center"/>
              <w:rPr>
                <w:rFonts w:ascii="Times New Roman" w:hAnsi="Times New Roman" w:cs="Times New Roman" w:eastAsia="Times New Roman" w:hint="default"/>
                <w:sz w:val="18"/>
                <w:szCs w:val="18"/>
              </w:rPr>
            </w:pPr>
            <w:r>
              <w:rPr>
                <w:rFonts w:ascii="Times New Roman"/>
                <w:sz w:val="18"/>
              </w:rPr>
              <w:t>743</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0" w:right="0"/>
              <w:jc w:val="center"/>
              <w:rPr>
                <w:rFonts w:ascii="Times New Roman" w:hAnsi="Times New Roman" w:cs="Times New Roman" w:eastAsia="Times New Roman" w:hint="default"/>
                <w:sz w:val="18"/>
                <w:szCs w:val="18"/>
              </w:rPr>
            </w:pPr>
            <w:r>
              <w:rPr>
                <w:rFonts w:ascii="Times New Roman"/>
                <w:sz w:val="18"/>
              </w:rPr>
              <w:t>46.67%</w:t>
            </w:r>
          </w:p>
        </w:tc>
      </w:tr>
      <w:tr>
        <w:trPr>
          <w:trHeight w:val="221" w:hRule="exact"/>
        </w:trPr>
        <w:tc>
          <w:tcPr>
            <w:tcW w:w="1830" w:type="dxa"/>
            <w:tcBorders>
              <w:top w:val="nil" w:sz="6" w:space="0" w:color="auto"/>
              <w:left w:val="nil" w:sz="6" w:space="0" w:color="auto"/>
              <w:bottom w:val="nil" w:sz="6" w:space="0" w:color="auto"/>
              <w:right w:val="nil" w:sz="6" w:space="0" w:color="auto"/>
            </w:tcBorders>
          </w:tcPr>
          <w:p>
            <w:pPr>
              <w:pStyle w:val="TableParagraph"/>
              <w:spacing w:line="221" w:lineRule="exact"/>
              <w:ind w:right="170"/>
              <w:jc w:val="center"/>
              <w:rPr>
                <w:rFonts w:ascii="宋体" w:hAnsi="宋体" w:cs="宋体" w:eastAsia="宋体" w:hint="default"/>
                <w:sz w:val="18"/>
                <w:szCs w:val="18"/>
              </w:rPr>
            </w:pPr>
            <w:r>
              <w:rPr>
                <w:rFonts w:ascii="宋体" w:hAnsi="宋体" w:cs="宋体" w:eastAsia="宋体" w:hint="default"/>
                <w:sz w:val="18"/>
                <w:szCs w:val="18"/>
              </w:rPr>
              <w:t>合计</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9" w:right="0"/>
              <w:jc w:val="center"/>
              <w:rPr>
                <w:rFonts w:ascii="Times New Roman" w:hAnsi="Times New Roman" w:cs="Times New Roman" w:eastAsia="Times New Roman" w:hint="default"/>
                <w:sz w:val="18"/>
                <w:szCs w:val="18"/>
              </w:rPr>
            </w:pPr>
            <w:r>
              <w:rPr>
                <w:rFonts w:ascii="Times New Roman"/>
                <w:sz w:val="18"/>
              </w:rPr>
              <w:t>1592</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6"/>
        <w:rPr>
          <w:rFonts w:ascii="宋体" w:hAnsi="宋体" w:cs="宋体" w:eastAsia="宋体" w:hint="default"/>
          <w:sz w:val="5"/>
          <w:szCs w:val="5"/>
        </w:rPr>
      </w:pPr>
    </w:p>
    <w:p>
      <w:pPr>
        <w:spacing w:line="3132" w:lineRule="exact"/>
        <w:ind w:left="2803"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2715504" cy="1988820"/>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36" cstate="print"/>
                    <a:stretch>
                      <a:fillRect/>
                    </a:stretch>
                  </pic:blipFill>
                  <pic:spPr>
                    <a:xfrm>
                      <a:off x="0" y="0"/>
                      <a:ext cx="2715504" cy="1988820"/>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7"/>
        <w:rPr>
          <w:rFonts w:ascii="宋体" w:hAnsi="宋体" w:cs="宋体" w:eastAsia="宋体" w:hint="default"/>
          <w:sz w:val="26"/>
          <w:szCs w:val="26"/>
        </w:rPr>
      </w:pPr>
    </w:p>
    <w:p>
      <w:pPr>
        <w:pStyle w:val="Heading4"/>
        <w:spacing w:line="240" w:lineRule="auto"/>
        <w:ind w:right="0"/>
        <w:jc w:val="left"/>
        <w:rPr>
          <w:sz w:val="18"/>
          <w:szCs w:val="18"/>
        </w:rPr>
      </w:pPr>
      <w:r>
        <w:rPr>
          <w:rFonts w:ascii="Times New Roman" w:hAnsi="Times New Roman" w:cs="Times New Roman" w:eastAsia="Times New Roman" w:hint="default"/>
        </w:rPr>
        <w:t>3</w:t>
      </w:r>
      <w:r>
        <w:rPr/>
        <w:t>、本公司没有需承担费用的离退休员工</w:t>
      </w:r>
      <w:r>
        <w:rPr>
          <w:sz w:val="18"/>
          <w:szCs w:val="18"/>
        </w:rPr>
        <w:t>。</w:t>
      </w:r>
    </w:p>
    <w:p>
      <w:pPr>
        <w:spacing w:after="0" w:line="240" w:lineRule="auto"/>
        <w:jc w:val="left"/>
        <w:rPr>
          <w:sz w:val="18"/>
          <w:szCs w:val="18"/>
        </w:rPr>
        <w:sectPr>
          <w:pgSz w:w="11910" w:h="16840"/>
          <w:pgMar w:header="877" w:footer="1340" w:top="1060" w:bottom="1540" w:left="980" w:right="0"/>
        </w:sectPr>
      </w:pPr>
    </w:p>
    <w:p>
      <w:pPr>
        <w:spacing w:line="240" w:lineRule="auto" w:before="0"/>
        <w:rPr>
          <w:rFonts w:ascii="宋体" w:hAnsi="宋体" w:cs="宋体" w:eastAsia="宋体" w:hint="default"/>
          <w:sz w:val="20"/>
          <w:szCs w:val="20"/>
        </w:rPr>
      </w:pPr>
      <w:r>
        <w:rPr/>
        <w:pict>
          <v:shape style="position:absolute;margin-left:333.309998pt;margin-top:669.700012pt;width:120.65pt;height:22.05pt;mso-position-horizontal-relative:page;mso-position-vertical-relative:page;z-index:-754360" type="#_x0000_t202" filled="false" stroked="false">
            <v:textbox inset="0,0,0,0">
              <w:txbxContent>
                <w:p>
                  <w:pPr>
                    <w:spacing w:line="240" w:lineRule="auto" w:before="9"/>
                    <w:rPr>
                      <w:rFonts w:ascii="宋体" w:hAnsi="宋体" w:cs="宋体" w:eastAsia="宋体" w:hint="default"/>
                      <w:b/>
                      <w:bCs/>
                      <w:sz w:val="15"/>
                      <w:szCs w:val="15"/>
                    </w:rPr>
                  </w:pPr>
                </w:p>
                <w:p>
                  <w:pPr>
                    <w:pStyle w:val="BodyText"/>
                    <w:spacing w:line="240" w:lineRule="auto"/>
                    <w:ind w:left="0" w:right="0"/>
                    <w:jc w:val="left"/>
                  </w:pPr>
                  <w:r>
                    <w:rPr/>
                    <w:t>案的情况。</w:t>
                  </w:r>
                </w:p>
              </w:txbxContent>
            </v:textbox>
            <w10:wrap type="none"/>
          </v:shape>
        </w:pict>
      </w:r>
      <w:r>
        <w:rPr/>
        <w:pict>
          <v:group style="position:absolute;margin-left:375.910004pt;margin-top:669.099976pt;width:79.25pt;height:89.4pt;mso-position-horizontal-relative:page;mso-position-vertical-relative:page;z-index:-754336" coordorigin="7518,13382" coordsize="1585,1788">
            <v:group style="position:absolute;left:7530;top:13394;width:2;height:394" coordorigin="7530,13394" coordsize="2,394">
              <v:shape style="position:absolute;left:7530;top:13394;width:2;height:394" coordorigin="7530,13394" coordsize="0,394" path="m7530,13394l7530,13788e" filled="false" stroked="true" strokeweight="1.2pt" strokecolor="#ffffff">
                <v:path arrowok="t"/>
              </v:shape>
            </v:group>
            <v:group style="position:absolute;left:7518;top:13788;width:1585;height:1383" coordorigin="7518,13788" coordsize="1585,1383">
              <v:shape style="position:absolute;left:7518;top:13788;width:1585;height:1383" coordorigin="7518,13788" coordsize="1585,1383" path="m7518,15170l9103,15170,9103,13788,7518,13788,7518,15170xe" filled="true" fillcolor="#ffffff" stroked="false">
                <v:path arrowok="t"/>
                <v:fill type="solid"/>
              </v:shape>
            </v:group>
            <v:group style="position:absolute;left:7542;top:13394;width:1537;height:394" coordorigin="7542,13394" coordsize="1537,394">
              <v:shape style="position:absolute;left:7542;top:13394;width:1537;height:394" coordorigin="7542,13394" coordsize="1537,394" path="m7542,13788l9079,13788,9079,13394,7542,13394,7542,13788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4482"/>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一、公司治理的基本状况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034" w:firstLine="350"/>
        <w:jc w:val="left"/>
      </w:pPr>
      <w:r>
        <w:rPr>
          <w:spacing w:val="-2"/>
        </w:rPr>
        <w:t>公司严格按照《公司法》、《证券法》、《上市公司治理准则》、《深圳证券交易所股票上市规则》和中国证监会及深</w:t>
      </w:r>
      <w:r>
        <w:rPr/>
        <w:t> 圳证券交易所颁布的其他相关法律法规的要求，制定《公司章程》及其他内部控制规章制度，完善公司内部法人治理结构，</w:t>
      </w:r>
      <w:r>
        <w:rPr>
          <w:spacing w:val="-86"/>
        </w:rPr>
        <w:t> </w:t>
      </w:r>
      <w:r>
        <w:rPr>
          <w:spacing w:val="-86"/>
        </w:rPr>
      </w:r>
      <w:r>
        <w:rPr/>
        <w:t>健全内部管理制度，规范公司行为。公司的治理结构符合中国证监会关于上市公司治理的相关规范性文件。</w:t>
      </w:r>
    </w:p>
    <w:p>
      <w:pPr>
        <w:pStyle w:val="BodyText"/>
        <w:spacing w:line="240" w:lineRule="auto" w:before="54"/>
        <w:ind w:left="515" w:right="0"/>
        <w:jc w:val="left"/>
      </w:pPr>
      <w:r>
        <w:rPr/>
        <w:t>报告期内，公司根据中国证监会《关于进一步落实上市公司现金分红有关事项的通知》的要求，对公司《章程》中有关</w:t>
      </w:r>
    </w:p>
    <w:p>
      <w:pPr>
        <w:spacing w:line="240" w:lineRule="auto" w:before="11"/>
        <w:rPr>
          <w:rFonts w:ascii="宋体" w:hAnsi="宋体" w:cs="宋体" w:eastAsia="宋体" w:hint="default"/>
          <w:sz w:val="17"/>
          <w:szCs w:val="17"/>
        </w:rPr>
      </w:pPr>
    </w:p>
    <w:p>
      <w:pPr>
        <w:pStyle w:val="BodyText"/>
        <w:spacing w:line="436" w:lineRule="auto"/>
        <w:ind w:right="5084"/>
        <w:jc w:val="left"/>
      </w:pPr>
      <w:r>
        <w:rPr/>
        <w:t>利润分配的条款进行了修订，并制定了《</w:t>
      </w:r>
      <w:r>
        <w:rPr>
          <w:rFonts w:ascii="宋体" w:hAnsi="宋体" w:cs="宋体" w:eastAsia="宋体" w:hint="default"/>
        </w:rPr>
        <w:t>2012-2014</w:t>
      </w:r>
      <w:r>
        <w:rPr/>
        <w:t>年分红回报规划》。 公司治理与《公司法》和中国证监会相关规定的要求是否存在差异</w:t>
      </w:r>
    </w:p>
    <w:p>
      <w:pPr>
        <w:pStyle w:val="BodyText"/>
        <w:spacing w:line="216" w:lineRule="exact"/>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57" w:lineRule="auto" w:before="103"/>
        <w:ind w:right="4454" w:firstLine="362"/>
        <w:jc w:val="left"/>
      </w:pPr>
      <w:r>
        <w:rPr/>
        <w:t>公司治理与《公司法》和中国证监会相关规定的要求不存在差异。 公司治理专项活动开展情况以及内幕信息知情人登记管理制度的制定、实施情况</w:t>
      </w:r>
    </w:p>
    <w:p>
      <w:pPr>
        <w:pStyle w:val="BodyText"/>
        <w:spacing w:line="477" w:lineRule="auto" w:before="108"/>
        <w:ind w:right="0" w:firstLine="360"/>
        <w:jc w:val="left"/>
      </w:pPr>
      <w:r>
        <w:rPr>
          <w:spacing w:val="-5"/>
        </w:rPr>
        <w:t>截至</w:t>
      </w:r>
      <w:r>
        <w:rPr>
          <w:rFonts w:ascii="宋体" w:hAnsi="宋体" w:cs="宋体" w:eastAsia="宋体" w:hint="default"/>
          <w:spacing w:val="-5"/>
        </w:rPr>
        <w:t>2007</w:t>
      </w:r>
      <w:r>
        <w:rPr>
          <w:spacing w:val="-5"/>
        </w:rPr>
        <w:t>年</w:t>
      </w:r>
      <w:r>
        <w:rPr>
          <w:rFonts w:ascii="宋体" w:hAnsi="宋体" w:cs="宋体" w:eastAsia="宋体" w:hint="default"/>
          <w:spacing w:val="-5"/>
        </w:rPr>
        <w:t>10</w:t>
      </w:r>
      <w:r>
        <w:rPr>
          <w:spacing w:val="-5"/>
        </w:rPr>
        <w:t>月</w:t>
      </w:r>
      <w:r>
        <w:rPr>
          <w:rFonts w:ascii="宋体" w:hAnsi="宋体" w:cs="宋体" w:eastAsia="宋体" w:hint="default"/>
          <w:spacing w:val="-5"/>
        </w:rPr>
        <w:t>31</w:t>
      </w:r>
      <w:r>
        <w:rPr>
          <w:spacing w:val="-5"/>
        </w:rPr>
        <w:t>日，我公司在治理专项活动中所发现问题的整改工作已基本完成。治理专项活动开展情况，可参见</w:t>
      </w:r>
      <w:r>
        <w:rPr>
          <w:rFonts w:ascii="宋体" w:hAnsi="宋体" w:cs="宋体" w:eastAsia="宋体" w:hint="default"/>
          <w:spacing w:val="-5"/>
        </w:rPr>
        <w:t>2007</w:t>
      </w:r>
      <w:r>
        <w:rPr>
          <w:rFonts w:ascii="宋体" w:hAnsi="宋体" w:cs="宋体" w:eastAsia="宋体" w:hint="default"/>
        </w:rPr>
        <w:t> </w:t>
      </w:r>
      <w:r>
        <w:rPr/>
        <w:t>年</w:t>
      </w:r>
      <w:r>
        <w:rPr>
          <w:rFonts w:ascii="宋体" w:hAnsi="宋体" w:cs="宋体" w:eastAsia="宋体" w:hint="default"/>
        </w:rPr>
        <w:t>10</w:t>
      </w:r>
      <w:r>
        <w:rPr/>
        <w:t>月</w:t>
      </w:r>
      <w:r>
        <w:rPr>
          <w:rFonts w:ascii="宋体" w:hAnsi="宋体" w:cs="宋体" w:eastAsia="宋体" w:hint="default"/>
        </w:rPr>
        <w:t>31</w:t>
      </w:r>
      <w:r>
        <w:rPr/>
        <w:t>日在巨潮资讯网上披露的《上市公司治理专项活动整改报告 》。</w:t>
      </w:r>
    </w:p>
    <w:p>
      <w:pPr>
        <w:pStyle w:val="BodyText"/>
        <w:spacing w:line="477" w:lineRule="auto" w:before="54"/>
        <w:ind w:right="1130" w:firstLine="360"/>
        <w:jc w:val="both"/>
      </w:pPr>
      <w:r>
        <w:rPr>
          <w:spacing w:val="-2"/>
        </w:rPr>
        <w:t>我公司于</w:t>
      </w:r>
      <w:r>
        <w:rPr>
          <w:rFonts w:ascii="宋体" w:hAnsi="宋体" w:cs="宋体" w:eastAsia="宋体" w:hint="default"/>
          <w:spacing w:val="-2"/>
        </w:rPr>
        <w:t>2010</w:t>
      </w:r>
      <w:r>
        <w:rPr>
          <w:spacing w:val="-2"/>
        </w:rPr>
        <w:t>年</w:t>
      </w:r>
      <w:r>
        <w:rPr>
          <w:rFonts w:ascii="宋体" w:hAnsi="宋体" w:cs="宋体" w:eastAsia="宋体" w:hint="default"/>
          <w:spacing w:val="-2"/>
        </w:rPr>
        <w:t>3</w:t>
      </w:r>
      <w:r>
        <w:rPr>
          <w:spacing w:val="-2"/>
        </w:rPr>
        <w:t>月制定了《内幕信息知情人管理制度》，并于</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月对该项制度进行了完善修订。该制度界定了内</w:t>
      </w:r>
      <w:r>
        <w:rPr/>
        <w:t> </w:t>
      </w:r>
      <w:r>
        <w:rPr>
          <w:spacing w:val="-2"/>
        </w:rPr>
        <w:t>幕信息的范围、内幕信息知情人的范围和相关管理制度。报告期内，公司未发生内幕信息知情人在影响公司股价的重大敏感</w:t>
      </w:r>
      <w:r>
        <w:rPr>
          <w:spacing w:val="-63"/>
        </w:rPr>
        <w:t> </w:t>
      </w:r>
      <w:r>
        <w:rPr>
          <w:spacing w:val="-63"/>
        </w:rPr>
      </w:r>
      <w:r>
        <w:rPr>
          <w:spacing w:val="-2"/>
        </w:rPr>
        <w:t>信息披露前利用内幕信息买卖公司股份的情况，也不存在监管部门的查处和整改情况。公司按规定将内幕知情人名单向山东</w:t>
      </w:r>
      <w:r>
        <w:rPr>
          <w:spacing w:val="-64"/>
        </w:rPr>
        <w:t> </w:t>
      </w:r>
      <w:r>
        <w:rPr>
          <w:spacing w:val="-64"/>
        </w:rPr>
      </w:r>
      <w:r>
        <w:rPr/>
        <w:t>证监局备案和深圳证券交易所报备。</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r>
        <w:rPr/>
        <w:pict>
          <v:shape style="position:absolute;margin-left:217.610001pt;margin-top:51.525681pt;width:157.85pt;height:61.35pt;mso-position-horizontal-relative:page;mso-position-vertical-relative:paragraph;z-index:-75438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15"/>
                      <w:szCs w:val="15"/>
                    </w:rPr>
                  </w:pPr>
                </w:p>
                <w:p>
                  <w:pPr>
                    <w:pStyle w:val="BodyText"/>
                    <w:spacing w:line="240" w:lineRule="auto"/>
                    <w:ind w:left="0" w:right="0"/>
                    <w:jc w:val="left"/>
                  </w:pPr>
                  <w:r>
                    <w:rPr/>
                    <w:t>度监事会工作报告》；</w:t>
                  </w:r>
                </w:p>
              </w:txbxContent>
            </v:textbox>
            <w10:wrap type="none"/>
          </v:shape>
        </w:pict>
      </w:r>
      <w:r>
        <w:rPr>
          <w:rFonts w:ascii="Times New Roman" w:hAnsi="Times New Roman" w:cs="Times New Roman" w:eastAsia="Times New Roman" w:hint="default"/>
        </w:rPr>
        <w:t>1</w:t>
      </w:r>
      <w:r>
        <w:rPr/>
        <w:t>、本报告期年度股东大会情况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774"/>
        <w:gridCol w:w="141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17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年度董事会工 作报告》；《</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312" w:lineRule="auto"/>
              <w:ind w:left="23"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 </w:t>
            </w:r>
            <w:r>
              <w:rPr>
                <w:rFonts w:ascii="宋体" w:hAnsi="宋体" w:cs="宋体" w:eastAsia="宋体" w:hint="default"/>
                <w:spacing w:val="-17"/>
                <w:sz w:val="18"/>
                <w:szCs w:val="18"/>
              </w:rPr>
              <w:t>及其摘要；《关于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年度利润分配及资本 公积转增股本的议 </w:t>
            </w:r>
            <w:r>
              <w:rPr>
                <w:rFonts w:ascii="宋体" w:hAnsi="宋体" w:cs="宋体" w:eastAsia="宋体" w:hint="default"/>
                <w:spacing w:val="-9"/>
                <w:sz w:val="18"/>
                <w:szCs w:val="18"/>
              </w:rPr>
              <w:t>案》；《关于增加公司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5"/>
                <w:sz w:val="18"/>
                <w:szCs w:val="18"/>
              </w:rPr>
              <w:t>注册资本的议案》；《关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于调整公司经营范围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226" w:lineRule="exact"/>
              <w:ind w:right="-51"/>
              <w:jc w:val="left"/>
              <w:rPr>
                <w:rFonts w:ascii="宋体" w:hAnsi="宋体" w:cs="宋体" w:eastAsia="宋体" w:hint="default"/>
                <w:sz w:val="20"/>
                <w:szCs w:val="20"/>
              </w:rPr>
            </w:pPr>
            <w:r>
              <w:rPr>
                <w:rFonts w:ascii="宋体" w:hAnsi="宋体" w:cs="宋体" w:eastAsia="宋体" w:hint="default"/>
                <w:position w:val="-24"/>
                <w:sz w:val="20"/>
                <w:szCs w:val="20"/>
              </w:rPr>
              <w:pict>
                <v:group style="width:70.350pt;height:61.35pt;mso-position-horizontal-relative:char;mso-position-vertical-relative:line" coordorigin="0,0" coordsize="1407,1227">
                  <v:group style="position:absolute;left:0;top:0;width:1407;height:1227" coordorigin="0,0" coordsize="1407,1227">
                    <v:shape style="position:absolute;left:0;top:0;width:1407;height:1227" coordorigin="0,0" coordsize="1407,1227" path="m0,1227l1407,1227,1407,0,0,0,0,1227xe" filled="true" fillcolor="#ffffff" stroked="false">
                      <v:path arrowok="t"/>
                      <v:fill type="solid"/>
                    </v:shape>
                  </v:group>
                </v:group>
              </w:pict>
            </w:r>
            <w:r>
              <w:rPr>
                <w:rFonts w:ascii="宋体" w:hAnsi="宋体" w:cs="宋体" w:eastAsia="宋体" w:hint="default"/>
                <w:position w:val="-24"/>
                <w:sz w:val="20"/>
                <w:szCs w:val="20"/>
              </w:rPr>
            </w:r>
          </w:p>
          <w:p>
            <w:pPr>
              <w:pStyle w:val="TableParagraph"/>
              <w:spacing w:line="316" w:lineRule="auto" w:before="50"/>
              <w:ind w:left="23" w:right="120"/>
              <w:jc w:val="left"/>
              <w:rPr>
                <w:rFonts w:ascii="宋体" w:hAnsi="宋体" w:cs="宋体" w:eastAsia="宋体" w:hint="default"/>
                <w:sz w:val="18"/>
                <w:szCs w:val="18"/>
              </w:rPr>
            </w:pPr>
            <w:r>
              <w:rPr>
                <w:rFonts w:ascii="宋体" w:hAnsi="宋体" w:cs="宋体" w:eastAsia="宋体" w:hint="default"/>
                <w:sz w:val="18"/>
                <w:szCs w:val="18"/>
              </w:rPr>
              <w:t>本次股东大会无 否决提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12" w:lineRule="exact" w:before="23"/>
              <w:ind w:left="23"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度股东大会决议公 告》，公告编号： </w:t>
            </w:r>
            <w:r>
              <w:rPr>
                <w:rFonts w:ascii="Times New Roman" w:hAnsi="Times New Roman" w:cs="Times New Roman" w:eastAsia="Times New Roman" w:hint="default"/>
                <w:sz w:val="18"/>
                <w:szCs w:val="18"/>
              </w:rPr>
              <w:t>2012-014</w:t>
            </w:r>
          </w:p>
        </w:tc>
      </w:tr>
    </w:tbl>
    <w:p>
      <w:pPr>
        <w:spacing w:after="0" w:line="312" w:lineRule="exact"/>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b/>
          <w:bCs/>
          <w:sz w:val="28"/>
          <w:szCs w:val="28"/>
        </w:rPr>
      </w:pPr>
      <w:r>
        <w:rPr/>
        <w:pict>
          <v:shape style="position:absolute;margin-left:217.610001pt;margin-top:478.749969pt;width:156.65pt;height:20pt;mso-position-horizontal-relative:page;mso-position-vertical-relative:page;z-index:-754312" type="#_x0000_t202" filled="false" stroked="false">
            <v:textbox inset="0,0,0,0">
              <w:txbxContent>
                <w:p>
                  <w:pPr>
                    <w:spacing w:line="240" w:lineRule="auto" w:before="7"/>
                    <w:rPr>
                      <w:rFonts w:ascii="宋体" w:hAnsi="宋体" w:cs="宋体" w:eastAsia="宋体" w:hint="default"/>
                      <w:b/>
                      <w:bCs/>
                      <w:sz w:val="12"/>
                      <w:szCs w:val="12"/>
                    </w:rPr>
                  </w:pPr>
                </w:p>
                <w:p>
                  <w:pPr>
                    <w:pStyle w:val="BodyText"/>
                    <w:spacing w:line="240" w:lineRule="auto"/>
                    <w:ind w:left="0" w:right="0"/>
                    <w:jc w:val="left"/>
                  </w:pPr>
                  <w:r>
                    <w:rPr/>
                    <w:t>充流动资金的议案》；</w:t>
                  </w:r>
                </w:p>
              </w:txbxContent>
            </v:textbox>
            <w10:wrap type="none"/>
          </v:shape>
        </w:pict>
      </w:r>
      <w:r>
        <w:rPr/>
        <w:pict>
          <v:shape style="position:absolute;margin-left:306.290009pt;margin-top:468.909973pt;width:147.65pt;height:22.05pt;mso-position-horizontal-relative:page;mso-position-vertical-relative:page;z-index:-754288" type="#_x0000_t202" filled="false" stroked="false">
            <v:textbox inset="0,0,0,0">
              <w:txbxContent>
                <w:p>
                  <w:pPr>
                    <w:spacing w:line="240" w:lineRule="auto" w:before="9"/>
                    <w:rPr>
                      <w:rFonts w:ascii="宋体" w:hAnsi="宋体" w:cs="宋体" w:eastAsia="宋体" w:hint="default"/>
                      <w:b/>
                      <w:bCs/>
                      <w:sz w:val="15"/>
                      <w:szCs w:val="15"/>
                    </w:rPr>
                  </w:pPr>
                </w:p>
                <w:p>
                  <w:pPr>
                    <w:pStyle w:val="BodyText"/>
                    <w:spacing w:line="240" w:lineRule="auto"/>
                    <w:ind w:left="0" w:right="0"/>
                    <w:jc w:val="left"/>
                  </w:pPr>
                  <w:r>
                    <w:rPr/>
                    <w:t>否决提案的情况。</w:t>
                  </w:r>
                </w:p>
              </w:txbxContent>
            </v:textbox>
            <w10:wrap type="none"/>
          </v:shape>
        </w:pict>
      </w:r>
      <w:r>
        <w:rPr/>
        <w:pict>
          <v:shape style="position:absolute;margin-left:289.609985pt;margin-top:567.075989pt;width:85.85pt;height:62.45pt;mso-position-horizontal-relative:page;mso-position-vertical-relative:page;z-index:-75426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1"/>
                      <w:szCs w:val="21"/>
                    </w:rPr>
                  </w:pPr>
                </w:p>
                <w:p>
                  <w:pPr>
                    <w:pStyle w:val="BodyText"/>
                    <w:spacing w:line="240" w:lineRule="auto"/>
                    <w:ind w:left="0" w:right="0"/>
                    <w:jc w:val="left"/>
                  </w:pPr>
                  <w:r>
                    <w:rPr/>
                    <w:t>》；</w:t>
                  </w:r>
                </w:p>
              </w:txbxContent>
            </v:textbox>
            <w10:wrap type="none"/>
          </v:shape>
        </w:pict>
      </w:r>
      <w:r>
        <w:rPr/>
        <w:pict>
          <v:shape style="position:absolute;margin-left:306.290009pt;margin-top:637.299988pt;width:147.65pt;height:21.95pt;mso-position-horizontal-relative:page;mso-position-vertical-relative:page;z-index:-754240" type="#_x0000_t202" filled="false" stroked="false">
            <v:textbox inset="0,0,0,0">
              <w:txbxContent>
                <w:p>
                  <w:pPr>
                    <w:spacing w:line="240" w:lineRule="auto" w:before="6"/>
                    <w:rPr>
                      <w:rFonts w:ascii="宋体" w:hAnsi="宋体" w:cs="宋体" w:eastAsia="宋体" w:hint="default"/>
                      <w:b/>
                      <w:bCs/>
                      <w:sz w:val="15"/>
                      <w:szCs w:val="15"/>
                    </w:rPr>
                  </w:pPr>
                </w:p>
                <w:p>
                  <w:pPr>
                    <w:pStyle w:val="BodyText"/>
                    <w:spacing w:line="240" w:lineRule="auto"/>
                    <w:ind w:left="0" w:right="0"/>
                    <w:jc w:val="left"/>
                  </w:pPr>
                  <w:r>
                    <w:rPr/>
                    <w:t>否决提案的情况。</w:t>
                  </w:r>
                </w:p>
              </w:txbxContent>
            </v:textbox>
            <w10:wrap type="none"/>
          </v:shape>
        </w:pict>
      </w:r>
      <w:r>
        <w:rPr/>
        <w:pict>
          <v:group style="position:absolute;margin-left:305.089996pt;margin-top:468.909973pt;width:150.050pt;height:160.6pt;mso-position-horizontal-relative:page;mso-position-vertical-relative:page;z-index:-754216" coordorigin="6102,9378" coordsize="3001,3212">
            <v:group style="position:absolute;left:6102;top:9928;width:1407;height:1404" coordorigin="6102,9928" coordsize="1407,1404">
              <v:shape style="position:absolute;left:6102;top:9928;width:1407;height:1404" coordorigin="6102,9928" coordsize="1407,1404" path="m6102,11332l7509,11332,7509,9928,6102,9928,6102,11332xe" filled="true" fillcolor="#ffffff" stroked="false">
                <v:path arrowok="t"/>
                <v:fill type="solid"/>
              </v:shape>
            </v:group>
            <v:group style="position:absolute;left:6126;top:9575;width:1359;height:353" coordorigin="6126,9575" coordsize="1359,353">
              <v:shape style="position:absolute;left:6126;top:9575;width:1359;height:353" coordorigin="6126,9575" coordsize="1359,353" path="m6126,9928l7485,9928,7485,9575,6126,9575,6126,9928xe" filled="true" fillcolor="#ffffff" stroked="false">
                <v:path arrowok="t"/>
                <v:fill type="solid"/>
              </v:shape>
            </v:group>
            <v:group style="position:absolute;left:7518;top:9772;width:1585;height:1560" coordorigin="7518,9772" coordsize="1585,1560">
              <v:shape style="position:absolute;left:7518;top:9772;width:1585;height:1560" coordorigin="7518,9772" coordsize="1585,1560" path="m7518,11332l9103,11332,9103,9772,7518,9772,7518,11332xe" filled="true" fillcolor="#ffffff" stroked="false">
                <v:path arrowok="t"/>
                <v:fill type="solid"/>
              </v:shape>
            </v:group>
            <v:group style="position:absolute;left:7542;top:9378;width:1537;height:394" coordorigin="7542,9378" coordsize="1537,394">
              <v:shape style="position:absolute;left:7542;top:9378;width:1537;height:394" coordorigin="7542,9378" coordsize="1537,394" path="m7542,9772l9079,9772,9079,9378,7542,9378,7542,9772xe" filled="true" fillcolor="#ffffff" stroked="false">
                <v:path arrowok="t"/>
                <v:fill type="solid"/>
              </v:shape>
            </v:group>
            <v:group style="position:absolute;left:6102;top:11342;width:1407;height:1249" coordorigin="6102,11342" coordsize="1407,1249">
              <v:shape style="position:absolute;left:6102;top:11342;width:1407;height:1249" coordorigin="6102,11342" coordsize="1407,1249" path="m6102,12590l7509,12590,7509,11342,6102,11342,6102,12590xe" filled="true" fillcolor="#ffffff" stroked="false">
                <v:path arrowok="t"/>
                <v:fill type="solid"/>
              </v:shape>
            </v:group>
            <w10:wrap type="none"/>
          </v:group>
        </w:pict>
      </w:r>
      <w:r>
        <w:rPr/>
        <w:pict>
          <v:group style="position:absolute;margin-left:375.910004pt;margin-top:636.700012pt;width:79.25pt;height:90.4pt;mso-position-horizontal-relative:page;mso-position-vertical-relative:page;z-index:-754192" coordorigin="7518,12734" coordsize="1585,1808">
            <v:group style="position:absolute;left:7530;top:12746;width:2;height:392" coordorigin="7530,12746" coordsize="2,392">
              <v:shape style="position:absolute;left:7530;top:12746;width:2;height:392" coordorigin="7530,12746" coordsize="0,392" path="m7530,12746l7530,13137e" filled="false" stroked="true" strokeweight="1.2pt" strokecolor="#ffffff">
                <v:path arrowok="t"/>
              </v:shape>
            </v:group>
            <v:group style="position:absolute;left:7518;top:13137;width:1585;height:1404" coordorigin="7518,13137" coordsize="1585,1404">
              <v:shape style="position:absolute;left:7518;top:13137;width:1585;height:1404" coordorigin="7518,13137" coordsize="1585,1404" path="m7518,14541l9103,14541,9103,13137,7518,13137,7518,14541xe" filled="true" fillcolor="#ffffff" stroked="false">
                <v:path arrowok="t"/>
                <v:fill type="solid"/>
              </v:shape>
            </v:group>
            <v:group style="position:absolute;left:7542;top:12746;width:1537;height:392" coordorigin="7542,12746" coordsize="1537,392">
              <v:shape style="position:absolute;left:7542;top:12746;width:1537;height:392" coordorigin="7542,12746" coordsize="1537,392" path="m7542,13137l9079,13137,9079,12746,7542,12746,7542,13137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596"/>
        <w:gridCol w:w="1594"/>
        <w:gridCol w:w="1774"/>
        <w:gridCol w:w="1416"/>
        <w:gridCol w:w="1594"/>
        <w:gridCol w:w="1594"/>
      </w:tblGrid>
      <w:tr>
        <w:trPr>
          <w:trHeight w:val="315" w:hRule="exact"/>
        </w:trPr>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7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并更改公司名称的议</w:t>
            </w:r>
          </w:p>
        </w:tc>
        <w:tc>
          <w:tcPr>
            <w:tcW w:w="141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9"/>
                <w:sz w:val="18"/>
                <w:szCs w:val="18"/>
              </w:rPr>
              <w:t>案》；《关于修订公司</w:t>
            </w:r>
          </w:p>
        </w:tc>
        <w:tc>
          <w:tcPr>
            <w:tcW w:w="141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9"/>
                <w:sz w:val="18"/>
                <w:szCs w:val="18"/>
              </w:rPr>
              <w:t>章程的议案》；《关于</w:t>
            </w:r>
          </w:p>
        </w:tc>
        <w:tc>
          <w:tcPr>
            <w:tcW w:w="141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为控股子公司提供担</w:t>
            </w:r>
          </w:p>
        </w:tc>
        <w:tc>
          <w:tcPr>
            <w:tcW w:w="141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9"/>
                <w:sz w:val="18"/>
                <w:szCs w:val="18"/>
              </w:rPr>
              <w:t>保的议案》；《关于申</w:t>
            </w:r>
          </w:p>
        </w:tc>
        <w:tc>
          <w:tcPr>
            <w:tcW w:w="141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请银行授信业务的议</w:t>
            </w:r>
          </w:p>
        </w:tc>
        <w:tc>
          <w:tcPr>
            <w:tcW w:w="141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9"/>
                <w:sz w:val="18"/>
                <w:szCs w:val="18"/>
              </w:rPr>
              <w:t>案》；《关于提请股东</w:t>
            </w:r>
          </w:p>
        </w:tc>
        <w:tc>
          <w:tcPr>
            <w:tcW w:w="141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大会延续授权董事会</w:t>
            </w:r>
          </w:p>
        </w:tc>
        <w:tc>
          <w:tcPr>
            <w:tcW w:w="141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对外投资权限的期限</w:t>
            </w:r>
          </w:p>
        </w:tc>
        <w:tc>
          <w:tcPr>
            <w:tcW w:w="141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9"/>
                <w:sz w:val="18"/>
                <w:szCs w:val="18"/>
              </w:rPr>
              <w:t>的议案》；《关于使用</w:t>
            </w:r>
          </w:p>
        </w:tc>
        <w:tc>
          <w:tcPr>
            <w:tcW w:w="141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部分闲置募集资金暂</w:t>
            </w:r>
          </w:p>
        </w:tc>
        <w:tc>
          <w:tcPr>
            <w:tcW w:w="141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时补充流动资金的议</w:t>
            </w:r>
          </w:p>
        </w:tc>
        <w:tc>
          <w:tcPr>
            <w:tcW w:w="141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9"/>
                <w:sz w:val="18"/>
                <w:szCs w:val="18"/>
              </w:rPr>
              <w:t>案》；《关于续聘中瑞</w:t>
            </w:r>
          </w:p>
        </w:tc>
        <w:tc>
          <w:tcPr>
            <w:tcW w:w="141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岳华会计师事务所为</w:t>
            </w:r>
          </w:p>
        </w:tc>
        <w:tc>
          <w:tcPr>
            <w:tcW w:w="141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年度审计机构的</w:t>
            </w:r>
          </w:p>
        </w:tc>
        <w:tc>
          <w:tcPr>
            <w:tcW w:w="141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55" w:hRule="exact"/>
        </w:trPr>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7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议案》。</w:t>
            </w:r>
          </w:p>
        </w:tc>
        <w:tc>
          <w:tcPr>
            <w:tcW w:w="141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b/>
          <w:bCs/>
          <w:sz w:val="19"/>
          <w:szCs w:val="19"/>
        </w:rPr>
      </w:pPr>
    </w:p>
    <w:p>
      <w:pPr>
        <w:pStyle w:val="Heading5"/>
        <w:spacing w:line="240" w:lineRule="auto" w:before="37"/>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774"/>
        <w:gridCol w:w="141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74" w:type="dxa"/>
            <w:tcBorders>
              <w:top w:val="single" w:sz="4" w:space="0" w:color="000000"/>
              <w:left w:val="single" w:sz="4" w:space="0" w:color="000000"/>
              <w:bottom w:val="single" w:sz="4" w:space="0" w:color="000000"/>
              <w:right w:val="single" w:sz="10" w:space="0" w:color="FFFFFF"/>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《关于修订公司</w:t>
            </w:r>
            <w:r>
              <w:rPr>
                <w:rFonts w:ascii="Times New Roman" w:hAnsi="Times New Roman" w:cs="Times New Roman" w:eastAsia="Times New Roman" w:hint="default"/>
                <w:sz w:val="18"/>
                <w:szCs w:val="18"/>
              </w:rPr>
              <w:t>&lt;</w:t>
            </w:r>
            <w:r>
              <w:rPr>
                <w:rFonts w:ascii="宋体" w:hAnsi="宋体" w:cs="宋体" w:eastAsia="宋体" w:hint="default"/>
                <w:sz w:val="18"/>
                <w:szCs w:val="18"/>
              </w:rPr>
              <w:t>章 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的议案》；《关于 制定</w:t>
            </w:r>
            <w:r>
              <w:rPr>
                <w:rFonts w:ascii="Times New Roman" w:hAnsi="Times New Roman" w:cs="Times New Roman" w:eastAsia="Times New Roman" w:hint="default"/>
                <w:sz w:val="18"/>
                <w:szCs w:val="18"/>
              </w:rPr>
              <w:t>&lt;2012-2014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年分</w:t>
            </w:r>
          </w:p>
          <w:p>
            <w:pPr>
              <w:pStyle w:val="TableParagraph"/>
              <w:spacing w:line="309" w:lineRule="auto" w:before="13"/>
              <w:ind w:left="23" w:right="17"/>
              <w:jc w:val="left"/>
              <w:rPr>
                <w:rFonts w:ascii="宋体" w:hAnsi="宋体" w:cs="宋体" w:eastAsia="宋体" w:hint="default"/>
                <w:sz w:val="18"/>
                <w:szCs w:val="18"/>
              </w:rPr>
            </w:pPr>
            <w:r>
              <w:rPr>
                <w:rFonts w:ascii="宋体" w:hAnsi="宋体" w:cs="宋体" w:eastAsia="宋体" w:hint="default"/>
                <w:sz w:val="18"/>
                <w:szCs w:val="18"/>
              </w:rPr>
              <w:t>红回报规划</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 </w:t>
            </w:r>
            <w:r>
              <w:rPr>
                <w:rFonts w:ascii="宋体" w:hAnsi="宋体" w:cs="宋体" w:eastAsia="宋体" w:hint="default"/>
                <w:spacing w:val="-9"/>
                <w:sz w:val="18"/>
                <w:szCs w:val="18"/>
              </w:rPr>
              <w:t>案》；《关于使用部分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闲置募集资金暂时补</w:t>
            </w:r>
          </w:p>
          <w:p>
            <w:pPr>
              <w:pStyle w:val="TableParagraph"/>
              <w:spacing w:line="240" w:lineRule="auto" w:before="9"/>
              <w:ind w:right="0"/>
              <w:jc w:val="left"/>
              <w:rPr>
                <w:rFonts w:ascii="宋体" w:hAnsi="宋体" w:cs="宋体" w:eastAsia="宋体" w:hint="default"/>
                <w:b/>
                <w:bCs/>
                <w:sz w:val="25"/>
                <w:szCs w:val="25"/>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《关于公司董事会换 </w:t>
            </w:r>
            <w:r>
              <w:rPr>
                <w:rFonts w:ascii="宋体" w:hAnsi="宋体" w:cs="宋体" w:eastAsia="宋体" w:hint="default"/>
                <w:spacing w:val="-9"/>
                <w:sz w:val="18"/>
                <w:szCs w:val="18"/>
              </w:rPr>
              <w:t>届选举的议案》；《关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于公司监事会换届选 举的议案》。</w:t>
            </w:r>
          </w:p>
        </w:tc>
        <w:tc>
          <w:tcPr>
            <w:tcW w:w="1416" w:type="dxa"/>
            <w:tcBorders>
              <w:top w:val="single" w:sz="4" w:space="0" w:color="000000"/>
              <w:left w:val="single" w:sz="10" w:space="0" w:color="FFFFFF"/>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本次股东大会无</w:t>
            </w:r>
          </w:p>
        </w:tc>
        <w:tc>
          <w:tcPr>
            <w:tcW w:w="159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12" w:lineRule="auto" w:before="63"/>
              <w:ind w:left="23"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第一次临时股东大 </w:t>
            </w:r>
            <w:r>
              <w:rPr>
                <w:rFonts w:ascii="宋体" w:hAnsi="宋体" w:cs="宋体" w:eastAsia="宋体" w:hint="default"/>
                <w:spacing w:val="-10"/>
                <w:sz w:val="18"/>
                <w:szCs w:val="18"/>
              </w:rPr>
              <w:t>会决议公告》，公告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2012-038</w:t>
            </w:r>
          </w:p>
        </w:tc>
      </w:tr>
      <w:tr>
        <w:trPr>
          <w:trHeight w:val="32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0"/>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both"/>
              <w:rPr>
                <w:rFonts w:ascii="宋体" w:hAnsi="宋体" w:cs="宋体" w:eastAsia="宋体" w:hint="default"/>
                <w:sz w:val="18"/>
                <w:szCs w:val="18"/>
              </w:rPr>
            </w:pPr>
            <w:r>
              <w:rPr>
                <w:rFonts w:ascii="宋体" w:hAnsi="宋体" w:cs="宋体" w:eastAsia="宋体" w:hint="default"/>
                <w:sz w:val="18"/>
                <w:szCs w:val="18"/>
              </w:rPr>
              <w:t>《关于回购注销已离 职股权激励对象所持 已获授但尚未解锁的 限制性股票的议案</w:t>
            </w:r>
          </w:p>
          <w:p>
            <w:pPr>
              <w:pStyle w:val="TableParagraph"/>
              <w:spacing w:line="316" w:lineRule="auto" w:before="19"/>
              <w:ind w:left="23" w:right="24"/>
              <w:jc w:val="left"/>
              <w:rPr>
                <w:rFonts w:ascii="宋体" w:hAnsi="宋体" w:cs="宋体" w:eastAsia="宋体" w:hint="default"/>
                <w:sz w:val="18"/>
                <w:szCs w:val="18"/>
              </w:rPr>
            </w:pPr>
            <w:r>
              <w:rPr>
                <w:rFonts w:ascii="宋体" w:hAnsi="宋体" w:cs="宋体" w:eastAsia="宋体" w:hint="default"/>
                <w:sz w:val="18"/>
                <w:szCs w:val="18"/>
              </w:rPr>
              <w:t>《关于变更公司注册 </w:t>
            </w:r>
            <w:r>
              <w:rPr>
                <w:rFonts w:ascii="宋体" w:hAnsi="宋体" w:cs="宋体" w:eastAsia="宋体" w:hint="default"/>
                <w:spacing w:val="-9"/>
                <w:sz w:val="18"/>
                <w:szCs w:val="18"/>
              </w:rPr>
              <w:t>资本的议案》；《关于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修订公司章程的议 </w:t>
            </w:r>
            <w:r>
              <w:rPr>
                <w:rFonts w:ascii="宋体" w:hAnsi="宋体" w:cs="宋体" w:eastAsia="宋体" w:hint="default"/>
                <w:spacing w:val="-9"/>
                <w:sz w:val="18"/>
                <w:szCs w:val="18"/>
              </w:rPr>
              <w:t>案》；《关于修订公司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章程第一百一十条的 议案》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本次股东大会无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12" w:lineRule="auto" w:before="63"/>
              <w:ind w:left="23"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第二次临时股东大 </w:t>
            </w:r>
            <w:r>
              <w:rPr>
                <w:rFonts w:ascii="宋体" w:hAnsi="宋体" w:cs="宋体" w:eastAsia="宋体" w:hint="default"/>
                <w:spacing w:val="-10"/>
                <w:sz w:val="18"/>
                <w:szCs w:val="18"/>
              </w:rPr>
              <w:t>会决议公告》，公告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2012-053</w:t>
            </w:r>
          </w:p>
        </w:tc>
      </w:tr>
    </w:tbl>
    <w:p>
      <w:pPr>
        <w:spacing w:after="0" w:line="312"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三、报告期内独立董事履行职责的情况</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刘素英</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郑钢</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刘洪渭</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汤云为</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57" w:lineRule="auto" w:before="49"/>
        <w:ind w:right="8054"/>
        <w:jc w:val="left"/>
      </w:pPr>
      <w:r>
        <w:rPr/>
        <w:t>连续两次未亲自出席董事会的说明 无</w:t>
      </w:r>
    </w:p>
    <w:p>
      <w:pPr>
        <w:spacing w:line="240" w:lineRule="auto" w:before="13"/>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13"/>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477" w:lineRule="auto" w:before="118"/>
        <w:ind w:right="1135" w:firstLine="360"/>
        <w:jc w:val="both"/>
      </w:pPr>
      <w:r>
        <w:rPr>
          <w:spacing w:val="-2"/>
        </w:rPr>
        <w:t>报告期内，公司尊重独立董事提出的各项建议和意见，在信息披露、财务审计、利润分配、重大投资决策等方面，提请</w:t>
      </w:r>
      <w:r>
        <w:rPr/>
        <w:t> 独立董事审议，确保独立董事能够全面和深入了解具体内容，为公司规范化治理的提高，起到了积极地推动作用。</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四、董事会下设专门委员会在报告期内履行职责情况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t>（一）董事会审计委员会履职情况</w:t>
      </w:r>
      <w:r>
        <w:rPr>
          <w:b w:val="0"/>
          <w:bCs w:val="0"/>
        </w:rPr>
      </w:r>
    </w:p>
    <w:p>
      <w:pPr>
        <w:pStyle w:val="BodyText"/>
        <w:spacing w:line="477" w:lineRule="auto" w:before="137"/>
        <w:ind w:right="1139" w:firstLine="360"/>
        <w:jc w:val="both"/>
      </w:pPr>
      <w:r>
        <w:rPr>
          <w:rFonts w:ascii="宋体" w:hAnsi="宋体" w:cs="宋体" w:eastAsia="宋体" w:hint="default"/>
        </w:rPr>
        <w:t>1</w:t>
      </w:r>
      <w:r>
        <w:rPr/>
        <w:t>、审计委员会认真审议了公司编制的</w:t>
      </w:r>
      <w:r>
        <w:rPr>
          <w:rFonts w:ascii="宋体" w:hAnsi="宋体" w:cs="宋体" w:eastAsia="宋体" w:hint="default"/>
        </w:rPr>
        <w:t>2012</w:t>
      </w:r>
      <w:r>
        <w:rPr/>
        <w:t>年各期的财务报表，审议认为公司的财务报表符合会计准则和《企业会计制 度》的相关规定，能够如实反映企业的生产经营状况，财务数据准确无误，不存在重大遗漏或篡改财务数据的情况。</w:t>
      </w:r>
    </w:p>
    <w:p>
      <w:pPr>
        <w:pStyle w:val="BodyText"/>
        <w:spacing w:line="477" w:lineRule="auto" w:before="54"/>
        <w:ind w:right="1134" w:firstLine="360"/>
        <w:jc w:val="both"/>
      </w:pPr>
      <w:r>
        <w:rPr>
          <w:rFonts w:ascii="宋体" w:hAnsi="宋体" w:cs="宋体" w:eastAsia="宋体" w:hint="default"/>
        </w:rPr>
        <w:t>2</w:t>
      </w:r>
      <w:r>
        <w:rPr/>
        <w:t>、在中瑞岳华会计师事务所对公司</w:t>
      </w:r>
      <w:r>
        <w:rPr>
          <w:rFonts w:ascii="宋体" w:hAnsi="宋体" w:cs="宋体" w:eastAsia="宋体" w:hint="default"/>
        </w:rPr>
        <w:t>2012</w:t>
      </w:r>
      <w:r>
        <w:rPr/>
        <w:t>年度财务状况的审计过程中，审计委员会按照《审计委员会年度财务报告审议 </w:t>
      </w:r>
      <w:r>
        <w:rPr>
          <w:spacing w:val="-2"/>
        </w:rPr>
        <w:t>工作规则》的要求，在审计前审阅了公司编制的财务报表，并出具了“公司编制的财务报表，符合会计准则的相关规定，反</w:t>
      </w:r>
      <w:r>
        <w:rPr>
          <w:spacing w:val="-68"/>
        </w:rPr>
        <w:t> </w:t>
      </w:r>
      <w:r>
        <w:rPr>
          <w:spacing w:val="-68"/>
        </w:rPr>
      </w:r>
      <w:r>
        <w:rPr/>
        <w:t>映了公司的财务状况，不存在重大偏差或重大遗漏”的审阅意见。</w:t>
      </w:r>
    </w:p>
    <w:p>
      <w:pPr>
        <w:pStyle w:val="BodyText"/>
        <w:spacing w:line="240" w:lineRule="auto" w:before="54"/>
        <w:ind w:left="513" w:right="0"/>
        <w:jc w:val="left"/>
      </w:pPr>
      <w:r>
        <w:rPr>
          <w:rFonts w:ascii="宋体" w:hAnsi="宋体" w:cs="宋体" w:eastAsia="宋体" w:hint="default"/>
        </w:rPr>
        <w:t>3</w:t>
      </w:r>
      <w:r>
        <w:rPr/>
        <w:t>、审计委员与会计师事务所的审计人员就审计计划和工作安排进行了沟通，确定了审计报告的出具日期。在审计过程</w:t>
      </w:r>
    </w:p>
    <w:p>
      <w:pPr>
        <w:spacing w:after="0" w:line="240"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0"/>
        <w:jc w:val="left"/>
      </w:pPr>
      <w:r>
        <w:rPr/>
        <w:t>中，审计委员会根据审计计划，督促会计师事务所在约定的时间内提交审计报告，并在审计会计师出具初步审计意见后和董 事会审议年报前，与注册会计师沟通，了解到在审计过程中未发现重大问题。通过审阅经会计师审计的公司财务报表，审计 </w:t>
      </w:r>
      <w:r>
        <w:rPr>
          <w:spacing w:val="-2"/>
        </w:rPr>
        <w:t>委员会认为公司在审计前编制的财务报表与审计后的财务报表没有重大出入，经审计的财务报表如实反映了公司的财务状况。</w:t>
      </w:r>
    </w:p>
    <w:p>
      <w:pPr>
        <w:pStyle w:val="BodyText"/>
        <w:spacing w:line="477" w:lineRule="auto" w:before="54"/>
        <w:ind w:right="1128" w:firstLine="360"/>
        <w:jc w:val="both"/>
      </w:pPr>
      <w:r>
        <w:rPr>
          <w:rFonts w:ascii="宋体" w:hAnsi="宋体" w:cs="宋体" w:eastAsia="宋体" w:hint="default"/>
        </w:rPr>
        <w:t>4</w:t>
      </w:r>
      <w:r>
        <w:rPr/>
        <w:t>、审计委员会开会表决认为，经审计的财务报表和公司财务报告符合会计准则和《企业会计制度》的相关规定，能够 </w:t>
      </w:r>
      <w:r>
        <w:rPr>
          <w:spacing w:val="-2"/>
        </w:rPr>
        <w:t>如实反映企业的生产经营状况，财务数据准确无误，不存在重大遗漏，同意提交董事会审议。审计委员会就审计师事务所的</w:t>
      </w:r>
      <w:r>
        <w:rPr>
          <w:spacing w:val="-64"/>
        </w:rPr>
        <w:t> </w:t>
      </w:r>
      <w:r>
        <w:rPr>
          <w:spacing w:val="-64"/>
        </w:rPr>
      </w:r>
      <w:r>
        <w:rPr>
          <w:spacing w:val="-2"/>
        </w:rPr>
        <w:t>审计工作出具了总结报告，认为审计人员认真、尽责的完成了年度审计工作，并向董事会提议，在</w:t>
      </w:r>
      <w:r>
        <w:rPr>
          <w:rFonts w:ascii="宋体" w:hAnsi="宋体" w:cs="宋体" w:eastAsia="宋体" w:hint="default"/>
          <w:spacing w:val="-2"/>
        </w:rPr>
        <w:t>2013</w:t>
      </w:r>
      <w:r>
        <w:rPr>
          <w:spacing w:val="-2"/>
        </w:rPr>
        <w:t>年度续聘中瑞岳华会</w:t>
      </w:r>
      <w:r>
        <w:rPr>
          <w:spacing w:val="-59"/>
        </w:rPr>
        <w:t> </w:t>
      </w:r>
      <w:r>
        <w:rPr>
          <w:spacing w:val="-59"/>
        </w:rPr>
      </w:r>
      <w:r>
        <w:rPr/>
        <w:t>计师事务所作为我公司的审计机构。</w:t>
      </w:r>
    </w:p>
    <w:p>
      <w:pPr>
        <w:pStyle w:val="Heading3"/>
        <w:spacing w:line="229" w:lineRule="exact"/>
        <w:ind w:right="0"/>
        <w:jc w:val="left"/>
        <w:rPr>
          <w:b w:val="0"/>
          <w:bCs w:val="0"/>
        </w:rPr>
      </w:pPr>
      <w:r>
        <w:rPr/>
        <w:t>（二）董事会薪酬与考核委员会履职情况</w:t>
      </w:r>
      <w:r>
        <w:rPr>
          <w:b w:val="0"/>
          <w:bCs w:val="0"/>
        </w:rPr>
      </w:r>
    </w:p>
    <w:p>
      <w:pPr>
        <w:pStyle w:val="BodyText"/>
        <w:spacing w:line="477" w:lineRule="auto" w:before="137"/>
        <w:ind w:right="1130" w:firstLine="360"/>
        <w:jc w:val="both"/>
      </w:pPr>
      <w:r>
        <w:rPr>
          <w:spacing w:val="-2"/>
        </w:rPr>
        <w:t>本年度薪酬委员会对公司董事、监事和高级管理人员所披露的薪酬情况进行了审核，经审核认为，所披露的薪酬数据真</w:t>
      </w:r>
      <w:r>
        <w:rPr/>
        <w:t> 实，公司为董事、独立董事、监事所发放的津贴</w:t>
      </w:r>
      <w:r>
        <w:rPr>
          <w:rFonts w:ascii="宋体" w:hAnsi="宋体" w:cs="宋体" w:eastAsia="宋体" w:hint="default"/>
        </w:rPr>
        <w:t>,</w:t>
      </w:r>
      <w:r>
        <w:rPr/>
        <w:t>为高级管理人员所发放的年薪，符合董事会和股东大会的决议内容。</w:t>
      </w:r>
    </w:p>
    <w:p>
      <w:pPr>
        <w:pStyle w:val="BodyText"/>
        <w:spacing w:line="477" w:lineRule="auto" w:before="54"/>
        <w:ind w:right="1131" w:firstLine="360"/>
        <w:jc w:val="both"/>
      </w:pPr>
      <w:r>
        <w:rPr>
          <w:spacing w:val="-2"/>
        </w:rPr>
        <w:t>报告期内，薪酬与考核委员会根据公司《限制性股票激励计划》的规定，对公司和激励对象在第一个解锁期的业绩完成</w:t>
      </w:r>
      <w:r>
        <w:rPr/>
        <w:t> 情况进行了考核评价，除</w:t>
      </w:r>
      <w:r>
        <w:rPr>
          <w:rFonts w:ascii="宋体" w:hAnsi="宋体" w:cs="宋体" w:eastAsia="宋体" w:hint="default"/>
        </w:rPr>
        <w:t>2</w:t>
      </w:r>
      <w:r>
        <w:rPr/>
        <w:t>名激励对象因离职不符合解锁条件以外，其余</w:t>
      </w:r>
      <w:r>
        <w:rPr>
          <w:rFonts w:ascii="宋体" w:hAnsi="宋体" w:cs="宋体" w:eastAsia="宋体" w:hint="default"/>
        </w:rPr>
        <w:t>121</w:t>
      </w:r>
      <w:r>
        <w:rPr/>
        <w:t>名激励满足解锁条件，可以解锁。</w:t>
      </w:r>
    </w:p>
    <w:p>
      <w:pPr>
        <w:pStyle w:val="Heading3"/>
        <w:spacing w:line="229" w:lineRule="exact"/>
        <w:ind w:right="0"/>
        <w:jc w:val="left"/>
        <w:rPr>
          <w:b w:val="0"/>
          <w:bCs w:val="0"/>
        </w:rPr>
      </w:pPr>
      <w:r>
        <w:rPr/>
        <w:t>（三）董事会提名委员会履职情况</w:t>
      </w:r>
      <w:r>
        <w:rPr>
          <w:b w:val="0"/>
          <w:bCs w:val="0"/>
        </w:rPr>
      </w:r>
    </w:p>
    <w:p>
      <w:pPr>
        <w:pStyle w:val="BodyText"/>
        <w:spacing w:line="477" w:lineRule="auto" w:before="137"/>
        <w:ind w:right="1130" w:firstLine="360"/>
        <w:jc w:val="both"/>
      </w:pPr>
      <w:r>
        <w:rPr>
          <w:spacing w:val="-5"/>
        </w:rPr>
        <w:t>报告期内，公司第三届董事会提名委员会对第四届董事会董事候选人的任职资格进行了核查，经核查，提名委员会认为，</w:t>
      </w:r>
      <w:r>
        <w:rPr/>
        <w:t> </w:t>
      </w:r>
      <w:r>
        <w:rPr>
          <w:spacing w:val="-2"/>
        </w:rPr>
        <w:t>第四届董事会董事候选人符合《公司法》和《公司章程》规定的董事、独立董事的任职资格，且未受到过证券监管机关的处</w:t>
      </w:r>
      <w:r>
        <w:rPr>
          <w:spacing w:val="-70"/>
        </w:rPr>
        <w:t> </w:t>
      </w:r>
      <w:r>
        <w:rPr>
          <w:spacing w:val="-70"/>
        </w:rPr>
      </w:r>
      <w:r>
        <w:rPr/>
        <w:t>罚。</w:t>
      </w:r>
    </w:p>
    <w:p>
      <w:pPr>
        <w:pStyle w:val="BodyText"/>
        <w:spacing w:line="477" w:lineRule="auto" w:before="54"/>
        <w:ind w:right="1130" w:firstLine="360"/>
        <w:jc w:val="both"/>
      </w:pPr>
      <w:r>
        <w:rPr>
          <w:spacing w:val="-2"/>
        </w:rPr>
        <w:t>公司第四届董事会提名委员会对公司拟聘的高级管理人员的任职资格进行了核查，经核查，提名委员会认为，拟聘的高</w:t>
      </w:r>
      <w:r>
        <w:rPr/>
        <w:t> </w:t>
      </w:r>
      <w:r>
        <w:rPr>
          <w:spacing w:val="-2"/>
        </w:rPr>
        <w:t>级管理人员符合《公司法》和《公司章程》规定的高级管理人员任职资格，且未受到过证券监管机关的处罚，同意提名上述</w:t>
      </w:r>
      <w:r>
        <w:rPr>
          <w:spacing w:val="-68"/>
        </w:rPr>
        <w:t> </w:t>
      </w:r>
      <w:r>
        <w:rPr>
          <w:spacing w:val="-68"/>
        </w:rPr>
      </w:r>
      <w:r>
        <w:rPr/>
        <w:t>人员担任公司高级管理人员。</w:t>
      </w:r>
    </w:p>
    <w:p>
      <w:pPr>
        <w:pStyle w:val="Heading3"/>
        <w:spacing w:line="229" w:lineRule="exact"/>
        <w:ind w:right="0"/>
        <w:jc w:val="left"/>
        <w:rPr>
          <w:b w:val="0"/>
          <w:bCs w:val="0"/>
        </w:rPr>
      </w:pPr>
      <w:r>
        <w:rPr/>
        <w:t>（四）战略与发展委员会履职情况</w:t>
      </w:r>
      <w:r>
        <w:rPr>
          <w:b w:val="0"/>
          <w:bCs w:val="0"/>
        </w:rPr>
      </w:r>
    </w:p>
    <w:p>
      <w:pPr>
        <w:pStyle w:val="BodyText"/>
        <w:spacing w:line="477" w:lineRule="auto" w:before="137"/>
        <w:ind w:right="1133" w:firstLine="360"/>
        <w:jc w:val="both"/>
      </w:pPr>
      <w:r>
        <w:rPr>
          <w:spacing w:val="-2"/>
        </w:rPr>
        <w:t>报告期内，战略与发展委员会对公司更名，重大投资计划、向控股子公司增资等事项进行了研究和审议，并向董事会提</w:t>
      </w:r>
      <w:r>
        <w:rPr/>
        <w:t> 出了相关议案。</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五、监事会工作情况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8"/>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27" w:firstLine="360"/>
        <w:jc w:val="both"/>
      </w:pPr>
      <w:r>
        <w:rPr>
          <w:spacing w:val="-2"/>
        </w:rPr>
        <w:t>公司具备完整、规范的产、供、销生产经营管理体制和运行机制，公司与控股股东在业务、人员、资产、机构、财务等</w:t>
      </w:r>
      <w:r>
        <w:rPr/>
        <w:t> 方面完全分开，具有独立完整的业务及自主经营能力。</w:t>
      </w:r>
    </w:p>
    <w:p>
      <w:pPr>
        <w:pStyle w:val="BodyText"/>
        <w:spacing w:line="240" w:lineRule="auto" w:before="54"/>
        <w:ind w:left="513" w:right="0"/>
        <w:jc w:val="left"/>
      </w:pPr>
      <w:r>
        <w:rPr/>
        <w:t>（一）业务独立：公司具有完整的采购供应体系、完整的生产管理体系和独立的销售运作体系，</w:t>
      </w:r>
      <w:r>
        <w:rPr>
          <w:spacing w:val="2"/>
        </w:rPr>
        <w:t> </w:t>
      </w:r>
      <w:r>
        <w:rPr/>
        <w:t>独立开展业务，不依</w:t>
      </w:r>
    </w:p>
    <w:p>
      <w:pPr>
        <w:spacing w:after="0" w:line="240" w:lineRule="auto"/>
        <w:jc w:val="left"/>
        <w:sectPr>
          <w:footerReference w:type="default" r:id="rId37"/>
          <w:pgSz w:w="11910" w:h="16840"/>
          <w:pgMar w:footer="1248" w:header="877" w:top="1060" w:bottom="1440" w:left="980" w:right="0"/>
          <w:pgNumType w:start="45"/>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t>赖于任何股东及关联方。</w:t>
      </w:r>
    </w:p>
    <w:p>
      <w:pPr>
        <w:spacing w:line="240" w:lineRule="auto" w:before="10"/>
        <w:rPr>
          <w:rFonts w:ascii="宋体" w:hAnsi="宋体" w:cs="宋体" w:eastAsia="宋体" w:hint="default"/>
          <w:sz w:val="17"/>
          <w:szCs w:val="17"/>
        </w:rPr>
      </w:pPr>
    </w:p>
    <w:p>
      <w:pPr>
        <w:pStyle w:val="BodyText"/>
        <w:spacing w:line="477" w:lineRule="auto"/>
        <w:ind w:right="0" w:firstLine="360"/>
        <w:jc w:val="left"/>
      </w:pPr>
      <w:r>
        <w:rPr>
          <w:spacing w:val="-2"/>
        </w:rPr>
        <w:t>（二）人员独立：本公司董事、监事及高级管理人员严格按照《公司法》《公司章程》的有关规定产生；公司建有独立</w:t>
      </w:r>
      <w:r>
        <w:rPr/>
        <w:t> 的人事及工资管理系统；公司还制订了严格的《人事管理制度》，人员管理做到了制度化。</w:t>
      </w:r>
    </w:p>
    <w:p>
      <w:pPr>
        <w:pStyle w:val="BodyText"/>
        <w:spacing w:line="477" w:lineRule="auto" w:before="54"/>
        <w:ind w:right="0" w:firstLine="360"/>
        <w:jc w:val="left"/>
      </w:pPr>
      <w:r>
        <w:rPr>
          <w:spacing w:val="-2"/>
        </w:rPr>
        <w:t>（三）资产独立：本公司的主要资产包括主营业务所需的完整的生产设备、土地、厂房、办公用房、仓储用房、交通工</w:t>
      </w:r>
      <w:r>
        <w:rPr/>
        <w:t> 具和知识产权，具有完整的配套设施。上述资产产权清晰，完全独立于股东单位。</w:t>
      </w:r>
    </w:p>
    <w:p>
      <w:pPr>
        <w:pStyle w:val="BodyText"/>
        <w:spacing w:line="477" w:lineRule="auto" w:before="54"/>
        <w:ind w:right="0" w:firstLine="360"/>
        <w:jc w:val="left"/>
      </w:pPr>
      <w:r>
        <w:rPr>
          <w:spacing w:val="-2"/>
        </w:rPr>
        <w:t>（四）机构独立：本公司设股东大会、董事会、监事会，按照《公司章程》的规定履行相关权利和义务。公司拥有独立</w:t>
      </w:r>
      <w:r>
        <w:rPr/>
        <w:t> 的组织机构，拥有独立的运作、管理和考核机制。公司总裁、副总裁等高级管理人员均在公司领取报酬。</w:t>
      </w:r>
    </w:p>
    <w:p>
      <w:pPr>
        <w:pStyle w:val="BodyText"/>
        <w:spacing w:line="477" w:lineRule="auto" w:before="54"/>
        <w:ind w:right="0" w:firstLine="360"/>
        <w:jc w:val="left"/>
      </w:pPr>
      <w:r>
        <w:rPr>
          <w:spacing w:val="-2"/>
        </w:rPr>
        <w:t>（五）财务独立：公司设有独立的财务部门，建立独立的财务会计核算体系和财务管理制度，财务人员与股东单位完全</w:t>
      </w:r>
      <w:r>
        <w:rPr/>
        <w:t> 独立，不存在交叉任职情况。公司独立开设银行帐户，作为独立的纳税人依法独立纳税。</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七、同业竞争情况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13" w:right="0"/>
        <w:jc w:val="left"/>
        <w:rPr>
          <w:sz w:val="21"/>
          <w:szCs w:val="21"/>
        </w:rPr>
      </w:pPr>
      <w:r>
        <w:rPr>
          <w:spacing w:val="-3"/>
        </w:rPr>
        <w:t>公司持股</w:t>
      </w:r>
      <w:r>
        <w:rPr>
          <w:rFonts w:ascii="宋体" w:hAnsi="宋体" w:cs="宋体" w:eastAsia="宋体" w:hint="default"/>
          <w:spacing w:val="-3"/>
        </w:rPr>
        <w:t>5%</w:t>
      </w:r>
      <w:r>
        <w:rPr>
          <w:spacing w:val="-3"/>
        </w:rPr>
        <w:t>以上股东和实际控制人已作出的避免同业竞争的承诺，目前正在履行中，报告期内未发生同业竞争的情形</w:t>
      </w:r>
      <w:r>
        <w:rPr>
          <w:spacing w:val="-3"/>
          <w:sz w:val="21"/>
          <w:szCs w:val="21"/>
        </w:rPr>
        <w:t>。</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32"/>
          <w:szCs w:val="32"/>
        </w:rPr>
      </w:pPr>
    </w:p>
    <w:p>
      <w:pPr>
        <w:pStyle w:val="BodyText"/>
        <w:spacing w:line="477" w:lineRule="auto"/>
        <w:ind w:right="1124" w:firstLine="360"/>
        <w:jc w:val="left"/>
      </w:pPr>
      <w:r>
        <w:rPr>
          <w:rFonts w:ascii="宋体" w:hAnsi="宋体" w:cs="宋体" w:eastAsia="宋体" w:hint="default"/>
        </w:rPr>
        <w:t>1</w:t>
      </w:r>
      <w:r>
        <w:rPr/>
        <w:t>、考评机制：由公司董事会按年度对公司高级管理人员的业绩和履职情况进行考评，并根据工作业绩决定年度薪酬， 以考核结果作为下一年度的岗位安排、年薪档次、是否续聘及职位升降和下一届任免的依据。</w:t>
      </w:r>
    </w:p>
    <w:p>
      <w:pPr>
        <w:pStyle w:val="BodyText"/>
        <w:spacing w:line="477" w:lineRule="auto" w:before="54"/>
        <w:ind w:right="1034" w:firstLine="360"/>
        <w:jc w:val="left"/>
      </w:pPr>
      <w:r>
        <w:rPr>
          <w:rFonts w:ascii="宋体" w:hAnsi="宋体" w:cs="宋体" w:eastAsia="宋体" w:hint="default"/>
        </w:rPr>
        <w:t>2</w:t>
      </w:r>
      <w:r>
        <w:rPr/>
        <w:t>、激励机制：公司对高级管理人员实行年薪制，分为工资和奖金两部分。董事会根据公司近几年的经营状况和个人的 岗位职责，确定年度工资额；每年年终董事会根据高级管理人员本年度的工作业绩进行考评后确定对高管人员的奖金总额。</w:t>
      </w:r>
    </w:p>
    <w:p>
      <w:pPr>
        <w:spacing w:after="0" w:line="477" w:lineRule="auto"/>
        <w:jc w:val="left"/>
        <w:sectPr>
          <w:pgSz w:w="11910" w:h="16840"/>
          <w:pgMar w:header="877" w:footer="1248" w:top="1060" w:bottom="14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4482"/>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一、内部控制建设情况</w:t>
      </w:r>
      <w:r>
        <w:rPr>
          <w:b w:val="0"/>
          <w:bCs w:val="0"/>
        </w:rPr>
      </w:r>
    </w:p>
    <w:p>
      <w:pPr>
        <w:spacing w:line="240" w:lineRule="auto" w:before="4"/>
        <w:rPr>
          <w:rFonts w:ascii="宋体" w:hAnsi="宋体" w:cs="宋体" w:eastAsia="宋体" w:hint="default"/>
          <w:b/>
          <w:bCs/>
          <w:sz w:val="32"/>
          <w:szCs w:val="32"/>
        </w:rPr>
      </w:pPr>
    </w:p>
    <w:p>
      <w:pPr>
        <w:pStyle w:val="BodyText"/>
        <w:spacing w:line="240" w:lineRule="auto"/>
        <w:ind w:left="604" w:right="0"/>
        <w:jc w:val="left"/>
      </w:pPr>
      <w:r>
        <w:rPr/>
        <w:t>公司根据中国证监会关于规范公司治理结构的相关文件</w:t>
      </w:r>
      <w:r>
        <w:rPr>
          <w:spacing w:val="-58"/>
        </w:rPr>
        <w:t>，</w:t>
      </w:r>
      <w:r>
        <w:rPr/>
        <w:t>建立健全了包</w:t>
      </w:r>
      <w:r>
        <w:rPr>
          <w:spacing w:val="-58"/>
        </w:rPr>
        <w:t>括</w:t>
      </w:r>
      <w:r>
        <w:rPr/>
        <w:t>《股东大会议事规则</w:t>
      </w:r>
      <w:r>
        <w:rPr>
          <w:spacing w:val="-58"/>
        </w:rPr>
        <w:t>》</w:t>
      </w:r>
      <w:r>
        <w:rPr>
          <w:spacing w:val="-116"/>
        </w:rPr>
        <w:t>、</w:t>
      </w:r>
      <w:r>
        <w:rPr/>
        <w:t>《董事会议事规</w:t>
      </w:r>
      <w:r>
        <w:rPr>
          <w:spacing w:val="-3"/>
        </w:rPr>
        <w:t>则</w:t>
      </w:r>
      <w:r>
        <w:rPr>
          <w:spacing w:val="-58"/>
        </w:rPr>
        <w:t>》</w:t>
      </w:r>
      <w:r>
        <w:rPr/>
        <w:t>、</w:t>
      </w:r>
    </w:p>
    <w:p>
      <w:pPr>
        <w:spacing w:line="240" w:lineRule="auto" w:before="10"/>
        <w:rPr>
          <w:rFonts w:ascii="宋体" w:hAnsi="宋体" w:cs="宋体" w:eastAsia="宋体" w:hint="default"/>
          <w:sz w:val="17"/>
          <w:szCs w:val="17"/>
        </w:rPr>
      </w:pPr>
    </w:p>
    <w:p>
      <w:pPr>
        <w:pStyle w:val="BodyText"/>
        <w:spacing w:line="477" w:lineRule="auto"/>
        <w:ind w:right="1034"/>
        <w:jc w:val="left"/>
      </w:pPr>
      <w:r>
        <w:rPr/>
        <w:t>《监事会议事规则》、《独立董事制度》、《募集资金管理制度》等在内的内部控制制度，并在上市公司治理专项活动中，</w:t>
      </w:r>
      <w:r>
        <w:rPr>
          <w:spacing w:val="-86"/>
        </w:rPr>
        <w:t> </w:t>
      </w:r>
      <w:r>
        <w:rPr>
          <w:spacing w:val="-86"/>
        </w:rPr>
      </w:r>
      <w:r>
        <w:rPr>
          <w:spacing w:val="-2"/>
        </w:rPr>
        <w:t>进行了修订和完善，达到了证券监管部门的要求。董事会及其下设的专业委员会发挥职能，负责审议公司的经营战略和重大</w:t>
      </w:r>
      <w:r>
        <w:rPr>
          <w:spacing w:val="-63"/>
        </w:rPr>
        <w:t> </w:t>
      </w:r>
      <w:r>
        <w:rPr>
          <w:spacing w:val="-63"/>
        </w:rPr>
      </w:r>
      <w:r>
        <w:rPr>
          <w:spacing w:val="-2"/>
        </w:rPr>
        <w:t>决策，公司管理层在董事会的授权范围内，负责公司的日常生产经营活动，管理层和董事会之间责权关系明确。公司的各项</w:t>
      </w:r>
      <w:r>
        <w:rPr>
          <w:spacing w:val="-65"/>
        </w:rPr>
        <w:t> </w:t>
      </w:r>
      <w:r>
        <w:rPr>
          <w:spacing w:val="-65"/>
        </w:rPr>
      </w:r>
      <w:r>
        <w:rPr>
          <w:spacing w:val="-2"/>
        </w:rPr>
        <w:t>内部控制制度健全，并将内控制度的检查融入了日常工作中，并不断完善，以适应公司管理和发展的需要，有效保证了公司</w:t>
      </w:r>
      <w:r>
        <w:rPr>
          <w:spacing w:val="-63"/>
        </w:rPr>
        <w:t> </w:t>
      </w:r>
      <w:r>
        <w:rPr>
          <w:spacing w:val="-63"/>
        </w:rPr>
      </w:r>
      <w:r>
        <w:rPr>
          <w:spacing w:val="-2"/>
        </w:rPr>
        <w:t>正常的生产经营和规范化运作。董事会下属的审计委员会和审计部认真履行职责，通过内部审计发现问题，预防风险，通过</w:t>
      </w:r>
      <w:r>
        <w:rPr>
          <w:spacing w:val="-64"/>
        </w:rPr>
        <w:t> </w:t>
      </w:r>
      <w:r>
        <w:rPr>
          <w:spacing w:val="-64"/>
        </w:rPr>
      </w:r>
      <w:r>
        <w:rPr/>
        <w:t>对内部财务数据和工作流程的审计，规范内部运作，提高财务信息披露质量，保证了公司日常生产经营的合法性和规范化。</w:t>
      </w:r>
      <w:r>
        <w:rPr>
          <w:spacing w:val="-86"/>
        </w:rPr>
        <w:t> </w:t>
      </w:r>
      <w:r>
        <w:rPr>
          <w:spacing w:val="-86"/>
        </w:rPr>
      </w:r>
      <w:r>
        <w:rPr/>
        <w:t>公司将在今后的工作中进一步完善内部控制制度，规范运作，为公司健康稳定的发展奠定基础。</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二、董事会关于内部控制责任的声明</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29" w:firstLine="451"/>
        <w:jc w:val="both"/>
      </w:pPr>
      <w:r>
        <w:rPr/>
        <w:t>公司董事会对公司内部控制的建立健全和有效运行负全面责任。公司将按照《企业内部控制基本规范》和《企业内部 </w:t>
      </w:r>
      <w:r>
        <w:rPr>
          <w:spacing w:val="-2"/>
        </w:rPr>
        <w:t>控制配套指引》的相关要求逐步建立健全内部控制体系，提高公司风险防范能力和规范运作水平，保证企业经营管理合法合</w:t>
      </w:r>
      <w:r>
        <w:rPr>
          <w:spacing w:val="-62"/>
        </w:rPr>
        <w:t> </w:t>
      </w:r>
      <w:r>
        <w:rPr>
          <w:spacing w:val="-62"/>
        </w:rPr>
      </w:r>
      <w:r>
        <w:rPr/>
        <w:t>规、资产安全、财务报告及相关信息真实完整，提高经营效率和效益，推进公司发展战略的实现。</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三、建立财务报告内部控制的依据</w:t>
      </w:r>
      <w:r>
        <w:rPr>
          <w:b w:val="0"/>
          <w:bCs w:val="0"/>
        </w:rPr>
      </w:r>
    </w:p>
    <w:p>
      <w:pPr>
        <w:spacing w:line="240" w:lineRule="auto" w:before="4"/>
        <w:rPr>
          <w:rFonts w:ascii="宋体" w:hAnsi="宋体" w:cs="宋体" w:eastAsia="宋体" w:hint="default"/>
          <w:b/>
          <w:bCs/>
          <w:sz w:val="32"/>
          <w:szCs w:val="32"/>
        </w:rPr>
      </w:pPr>
    </w:p>
    <w:p>
      <w:pPr>
        <w:pStyle w:val="BodyText"/>
        <w:spacing w:line="477" w:lineRule="auto"/>
        <w:ind w:right="1132" w:firstLine="451"/>
        <w:jc w:val="both"/>
      </w:pPr>
      <w:r>
        <w:rPr/>
        <w:t>公司根据《会计法》及财政部颁布的各项会计制度建立了完备的会计核算体系，建立健全了关于财务核算方面的内部 </w:t>
      </w:r>
      <w:r>
        <w:rPr>
          <w:spacing w:val="-2"/>
        </w:rPr>
        <w:t>控制制度。公司财务部是会计系统的核算机构，负责制定财务管理制度，并指导各子公司的财务工作。公司在货币资金、采</w:t>
      </w:r>
      <w:r>
        <w:rPr>
          <w:spacing w:val="-67"/>
        </w:rPr>
        <w:t> </w:t>
      </w:r>
      <w:r>
        <w:rPr>
          <w:spacing w:val="-67"/>
        </w:rPr>
      </w:r>
      <w:r>
        <w:rPr>
          <w:spacing w:val="-2"/>
        </w:rPr>
        <w:t>购、生产、销售收入、成本结转、贷款、费用归集、投资与筹资、财务报告编制等各个环节均制定了明确的审批、授权和监</w:t>
      </w:r>
      <w:r>
        <w:rPr>
          <w:spacing w:val="-68"/>
        </w:rPr>
        <w:t> </w:t>
      </w:r>
      <w:r>
        <w:rPr>
          <w:spacing w:val="-68"/>
        </w:rPr>
      </w:r>
      <w:r>
        <w:rPr>
          <w:spacing w:val="-2"/>
        </w:rPr>
        <w:t>管制度，并在日常工作中得到了较好的执行。为完善公司治理机制，强化内部控制，做好财务报告的编制工作，公司制定了</w:t>
      </w:r>
    </w:p>
    <w:p>
      <w:pPr>
        <w:pStyle w:val="BodyText"/>
        <w:spacing w:line="477" w:lineRule="auto" w:before="55"/>
        <w:ind w:right="0"/>
        <w:jc w:val="left"/>
      </w:pPr>
      <w:r>
        <w:rPr>
          <w:spacing w:val="-2"/>
        </w:rPr>
        <w:t>《独立董事年报工作制度》、《审计委员会年报工作制度、《年报信息披露重大差错责任追究制度》，以充分发挥独立董事</w:t>
      </w:r>
      <w:r>
        <w:rPr>
          <w:spacing w:val="-69"/>
        </w:rPr>
        <w:t> </w:t>
      </w:r>
      <w:r>
        <w:rPr>
          <w:spacing w:val="-69"/>
        </w:rPr>
      </w:r>
      <w:r>
        <w:rPr/>
        <w:t>和审计委员会的审核和监督作用。</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pict>
          <v:group style="position:absolute;margin-left:460.320007pt;margin-top:90.875626pt;width:135pt;height:77pt;mso-position-horizontal-relative:page;mso-position-vertical-relative:paragraph;z-index:-754144" coordorigin="9206,1818" coordsize="2700,1540">
            <v:shape style="position:absolute;left:9206;top:1818;width:2700;height:1540" type="#_x0000_t75" stroked="false">
              <v:imagedata r:id="rId16" o:title=""/>
            </v:shape>
            <v:shape style="position:absolute;left:10593;top:2178;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47</w:t>
                    </w:r>
                  </w:p>
                </w:txbxContent>
              </v:textbox>
              <w10:wrap type="none"/>
            </v:shape>
            <w10:wrap type="none"/>
          </v:group>
        </w:pict>
      </w:r>
      <w:r>
        <w:rPr/>
        <w:t>四、内部控制自我评价报告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0"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3" w:hRule="exact"/>
        </w:trPr>
        <w:tc>
          <w:tcPr>
            <w:tcW w:w="9571" w:type="dxa"/>
            <w:gridSpan w:val="2"/>
            <w:tcBorders>
              <w:top w:val="single" w:sz="4" w:space="0" w:color="000000"/>
              <w:left w:val="single" w:sz="4" w:space="0" w:color="000000"/>
              <w:bottom w:val="single" w:sz="8" w:space="0" w:color="D2D2D2"/>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headerReference w:type="default" r:id="rId38"/>
          <w:footerReference w:type="default" r:id="rId39"/>
          <w:pgSz w:w="11910" w:h="16840"/>
          <w:pgMar w:header="877" w:footer="0" w:top="1060" w:bottom="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36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日期</w:t>
            </w:r>
          </w:p>
        </w:tc>
        <w:tc>
          <w:tcPr>
            <w:tcW w:w="690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请见在巨潮资讯网披露的《内部控制自我评价报告》</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五、内部控制审计报告</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会计师事务所是否出具非标准意见的内部控制审计报告</w:t>
      </w:r>
    </w:p>
    <w:p>
      <w:pPr>
        <w:pStyle w:val="BodyText"/>
        <w:spacing w:line="340" w:lineRule="auto" w:before="39"/>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会计师事务所出具的内部控制审计报告与董事会的自我评价报告意见是否一致</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76" w:firstLine="360"/>
        <w:jc w:val="left"/>
      </w:pPr>
      <w:r>
        <w:rPr>
          <w:rFonts w:ascii="宋体" w:hAnsi="宋体" w:cs="宋体" w:eastAsia="宋体" w:hint="default"/>
        </w:rPr>
        <w:t>2010</w:t>
      </w:r>
      <w:r>
        <w:rPr>
          <w:rFonts w:ascii="宋体" w:hAnsi="宋体" w:cs="宋体" w:eastAsia="宋体" w:hint="default"/>
          <w:spacing w:val="-45"/>
        </w:rPr>
        <w:t> </w:t>
      </w:r>
      <w:r>
        <w:rPr/>
        <w:t>年</w:t>
      </w:r>
      <w:r>
        <w:rPr>
          <w:spacing w:val="-49"/>
        </w:rPr>
        <w:t> </w:t>
      </w:r>
      <w:r>
        <w:rPr>
          <w:rFonts w:ascii="宋体" w:hAnsi="宋体" w:cs="宋体" w:eastAsia="宋体" w:hint="default"/>
        </w:rPr>
        <w:t>3</w:t>
      </w:r>
      <w:r>
        <w:rPr>
          <w:rFonts w:ascii="宋体" w:hAnsi="宋体" w:cs="宋体" w:eastAsia="宋体" w:hint="default"/>
          <w:spacing w:val="-46"/>
        </w:rPr>
        <w:t> </w:t>
      </w:r>
      <w:r>
        <w:rPr/>
        <w:t>月，经公司第三届董事会第</w:t>
      </w:r>
      <w:r>
        <w:rPr>
          <w:spacing w:val="-46"/>
        </w:rPr>
        <w:t> </w:t>
      </w:r>
      <w:r>
        <w:rPr>
          <w:rFonts w:ascii="宋体" w:hAnsi="宋体" w:cs="宋体" w:eastAsia="宋体" w:hint="default"/>
        </w:rPr>
        <w:t>6</w:t>
      </w:r>
      <w:r>
        <w:rPr>
          <w:rFonts w:ascii="宋体" w:hAnsi="宋体" w:cs="宋体" w:eastAsia="宋体" w:hint="default"/>
          <w:spacing w:val="-46"/>
        </w:rPr>
        <w:t> </w:t>
      </w:r>
      <w:r>
        <w:rPr/>
        <w:t>次会议审议，公司制定了《年报信息披露重大差错责任追究制度》。报告期内 公司未发生重大会计差错更正、重大遗漏信息补充及等情况。</w:t>
      </w:r>
    </w:p>
    <w:p>
      <w:pPr>
        <w:spacing w:after="0" w:line="316" w:lineRule="auto"/>
        <w:jc w:val="left"/>
        <w:sectPr>
          <w:footerReference w:type="default" r:id="rId40"/>
          <w:pgSz w:w="11910" w:h="16840"/>
          <w:pgMar w:footer="1272" w:header="877" w:top="1060" w:bottom="1460" w:left="980" w:right="0"/>
          <w:pgNumType w:start="4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4482"/>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中瑞岳华会计师事务所</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中瑞岳华审字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pStyle w:val="BodyText"/>
        <w:spacing w:line="240" w:lineRule="auto" w:before="49"/>
        <w:ind w:left="3506" w:right="4484"/>
        <w:jc w:val="center"/>
      </w:pPr>
      <w:r>
        <w:rPr/>
        <w:t>审计报告正文</w:t>
      </w:r>
    </w:p>
    <w:p>
      <w:pPr>
        <w:spacing w:line="240" w:lineRule="auto" w:before="5"/>
        <w:rPr>
          <w:rFonts w:ascii="宋体" w:hAnsi="宋体" w:cs="宋体" w:eastAsia="宋体" w:hint="default"/>
          <w:sz w:val="14"/>
          <w:szCs w:val="14"/>
        </w:rPr>
      </w:pPr>
    </w:p>
    <w:p>
      <w:pPr>
        <w:pStyle w:val="Heading6"/>
        <w:spacing w:line="240" w:lineRule="auto"/>
        <w:ind w:right="0"/>
        <w:jc w:val="left"/>
        <w:rPr>
          <w:b w:val="0"/>
          <w:bCs w:val="0"/>
        </w:rPr>
      </w:pPr>
      <w:r>
        <w:rPr/>
        <w:t>东港股份有限公司全体股东：</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17"/>
          <w:szCs w:val="17"/>
        </w:rPr>
      </w:pPr>
    </w:p>
    <w:p>
      <w:pPr>
        <w:pStyle w:val="BodyText"/>
        <w:spacing w:line="477" w:lineRule="auto"/>
        <w:ind w:right="1128" w:firstLine="360"/>
        <w:jc w:val="both"/>
      </w:pPr>
      <w:r>
        <w:rPr/>
        <w:t>我们审计了后附的东港股份有限公司(“贵公司”)及其子公司</w:t>
      </w:r>
      <w:r>
        <w:rPr>
          <w:rFonts w:ascii="宋体" w:hAnsi="宋体" w:cs="宋体" w:eastAsia="宋体" w:hint="default"/>
        </w:rPr>
        <w:t>(</w:t>
      </w:r>
      <w:r>
        <w:rPr/>
        <w:t>统称“贵集团”)财务报表，包括</w:t>
      </w:r>
      <w:r>
        <w:rPr>
          <w:spacing w:val="-44"/>
        </w:rPr>
        <w:t> </w:t>
      </w:r>
      <w:r>
        <w:rPr>
          <w:rFonts w:ascii="宋体" w:hAnsi="宋体" w:cs="宋体" w:eastAsia="宋体" w:hint="default"/>
        </w:rPr>
        <w:t>2012</w:t>
      </w:r>
      <w:r>
        <w:rPr>
          <w:rFonts w:ascii="宋体" w:hAnsi="宋体" w:cs="宋体" w:eastAsia="宋体" w:hint="default"/>
          <w:spacing w:val="-44"/>
        </w:rPr>
        <w:t> </w:t>
      </w:r>
      <w:r>
        <w:rPr/>
        <w:t>年</w:t>
      </w:r>
      <w:r>
        <w:rPr>
          <w:spacing w:val="-47"/>
        </w:rPr>
        <w:t> </w:t>
      </w:r>
      <w:r>
        <w:rPr>
          <w:rFonts w:ascii="宋体" w:hAnsi="宋体" w:cs="宋体" w:eastAsia="宋体" w:hint="default"/>
        </w:rPr>
        <w:t>12</w:t>
      </w:r>
      <w:r>
        <w:rPr>
          <w:rFonts w:ascii="宋体" w:hAnsi="宋体" w:cs="宋体" w:eastAsia="宋体" w:hint="default"/>
          <w:spacing w:val="-44"/>
        </w:rPr>
        <w:t> </w:t>
      </w:r>
      <w:r>
        <w:rPr/>
        <w:t>月</w:t>
      </w:r>
      <w:r>
        <w:rPr>
          <w:spacing w:val="-45"/>
        </w:rPr>
        <w:t> </w:t>
      </w:r>
      <w:r>
        <w:rPr>
          <w:rFonts w:ascii="宋体" w:hAnsi="宋体" w:cs="宋体" w:eastAsia="宋体" w:hint="default"/>
        </w:rPr>
        <w:t>31</w:t>
      </w:r>
      <w:r>
        <w:rPr>
          <w:rFonts w:ascii="宋体" w:hAnsi="宋体" w:cs="宋体" w:eastAsia="宋体" w:hint="default"/>
          <w:spacing w:val="-44"/>
        </w:rPr>
        <w:t> </w:t>
      </w:r>
      <w:r>
        <w:rPr/>
        <w:t>日的 合并及公司的资产负债表，</w:t>
      </w:r>
      <w:r>
        <w:rPr>
          <w:rFonts w:ascii="宋体" w:hAnsi="宋体" w:cs="宋体" w:eastAsia="宋体" w:hint="default"/>
        </w:rPr>
        <w:t>2012</w:t>
      </w:r>
      <w:r>
        <w:rPr>
          <w:rFonts w:ascii="宋体" w:hAnsi="宋体" w:cs="宋体" w:eastAsia="宋体" w:hint="default"/>
          <w:spacing w:val="5"/>
        </w:rPr>
        <w:t> </w:t>
      </w:r>
      <w:r>
        <w:rPr/>
        <w:t>年度合并及公司的利润表、合并及公司的现金流量表和合并及公司的股东权益变动表以及 财务报表附注。</w:t>
      </w:r>
    </w:p>
    <w:p>
      <w:pPr>
        <w:spacing w:line="516" w:lineRule="auto" w:before="95"/>
        <w:ind w:left="513" w:right="1123" w:firstLine="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编制和公允列报财务报表是贵公司管理层的责任。这种责任包括：（</w:t>
      </w:r>
      <w:r>
        <w:rPr>
          <w:rFonts w:ascii="宋体" w:hAnsi="宋体" w:cs="宋体" w:eastAsia="宋体" w:hint="default"/>
          <w:sz w:val="18"/>
          <w:szCs w:val="18"/>
        </w:rPr>
        <w:t>1</w:t>
      </w:r>
      <w:r>
        <w:rPr>
          <w:rFonts w:ascii="宋体" w:hAnsi="宋体" w:cs="宋体" w:eastAsia="宋体" w:hint="default"/>
          <w:sz w:val="18"/>
          <w:szCs w:val="18"/>
        </w:rPr>
        <w:t>）按照企业会计准则的规定编制财务报表，并使</w:t>
      </w:r>
    </w:p>
    <w:p>
      <w:pPr>
        <w:pStyle w:val="BodyText"/>
        <w:spacing w:line="240" w:lineRule="auto" w:before="26"/>
        <w:ind w:right="0"/>
        <w:jc w:val="left"/>
      </w:pPr>
      <w:r>
        <w:rPr/>
        <w:t>其实现公允反映；（</w:t>
      </w:r>
      <w:r>
        <w:rPr>
          <w:rFonts w:ascii="宋体" w:hAnsi="宋体" w:cs="宋体" w:eastAsia="宋体" w:hint="default"/>
        </w:rPr>
        <w:t>2</w:t>
      </w:r>
      <w:r>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pStyle w:val="BodyText"/>
        <w:spacing w:line="518" w:lineRule="auto"/>
        <w:ind w:left="513" w:right="0"/>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477" w:lineRule="auto" w:before="23"/>
        <w:ind w:right="0"/>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477" w:lineRule="auto" w:before="92"/>
        <w:ind w:right="103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w:t>
      </w:r>
    </w:p>
    <w:p>
      <w:pPr>
        <w:pStyle w:val="BodyText"/>
        <w:spacing w:line="240" w:lineRule="auto" w:before="95"/>
        <w:ind w:left="633" w:right="0"/>
        <w:jc w:val="left"/>
      </w:pPr>
      <w:r>
        <w:rPr/>
        <w:t>我们相信，我们获取的审计证据是充分、适当的，为发表审计意见提供了基础。</w:t>
      </w:r>
    </w:p>
    <w:p>
      <w:pPr>
        <w:spacing w:after="0" w:line="240" w:lineRule="auto"/>
        <w:jc w:val="left"/>
        <w:sectPr>
          <w:pgSz w:w="11910" w:h="16840"/>
          <w:pgMar w:header="877" w:footer="1272" w:top="1060" w:bottom="15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518" w:lineRule="auto"/>
        <w:ind w:left="513" w:right="1112"/>
        <w:jc w:val="left"/>
        <w:rPr>
          <w:rFonts w:ascii="宋体" w:hAnsi="宋体" w:cs="宋体" w:eastAsia="宋体" w:hint="default"/>
        </w:rPr>
      </w:pPr>
      <w:r>
        <w:rPr>
          <w:rFonts w:ascii="宋体" w:hAnsi="宋体" w:cs="宋体" w:eastAsia="宋体" w:hint="default"/>
          <w:b/>
          <w:bCs/>
        </w:rPr>
        <w:t>三、审计意见</w:t>
      </w:r>
      <w:r>
        <w:rPr>
          <w:rFonts w:ascii="宋体" w:hAnsi="宋体" w:cs="宋体" w:eastAsia="宋体" w:hint="default"/>
          <w:b/>
          <w:bCs/>
          <w:w w:val="99"/>
        </w:rPr>
        <w:t> </w:t>
      </w:r>
      <w:r>
        <w:rPr>
          <w:spacing w:val="-3"/>
        </w:rPr>
        <w:t>我们认为，上述财务报表在所有重大方面按照企业会计准则的规定编制，公允反映了东港股份有限公司及其子公司</w:t>
      </w:r>
      <w:r>
        <w:rPr>
          <w:spacing w:val="-19"/>
        </w:rPr>
        <w:t> </w:t>
      </w:r>
      <w:r>
        <w:rPr>
          <w:rFonts w:ascii="宋体" w:hAnsi="宋体" w:cs="宋体" w:eastAsia="宋体" w:hint="default"/>
        </w:rPr>
        <w:t>2012</w:t>
      </w:r>
    </w:p>
    <w:p>
      <w:pPr>
        <w:pStyle w:val="BodyText"/>
        <w:spacing w:line="240" w:lineRule="auto" w:before="23"/>
        <w:ind w:right="0"/>
        <w:jc w:val="left"/>
      </w:pPr>
      <w:r>
        <w:rPr/>
        <w:t>年</w:t>
      </w:r>
      <w:r>
        <w:rPr>
          <w:spacing w:val="-44"/>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46"/>
        </w:rPr>
        <w:t> </w:t>
      </w:r>
      <w:r>
        <w:rPr/>
        <w:t>月</w:t>
      </w:r>
      <w:r>
        <w:rPr>
          <w:spacing w:val="-45"/>
        </w:rPr>
        <w:t> </w:t>
      </w:r>
      <w:r>
        <w:rPr>
          <w:rFonts w:ascii="宋体" w:hAnsi="宋体" w:cs="宋体" w:eastAsia="宋体" w:hint="default"/>
          <w:spacing w:val="-2"/>
        </w:rPr>
        <w:t>3</w:t>
      </w:r>
      <w:r>
        <w:rPr>
          <w:rFonts w:ascii="宋体" w:hAnsi="宋体" w:cs="宋体" w:eastAsia="宋体" w:hint="default"/>
        </w:rPr>
        <w:t>1</w:t>
      </w:r>
      <w:r>
        <w:rPr>
          <w:rFonts w:ascii="宋体" w:hAnsi="宋体" w:cs="宋体" w:eastAsia="宋体" w:hint="default"/>
          <w:spacing w:val="-44"/>
        </w:rPr>
        <w:t> </w:t>
      </w:r>
      <w:r>
        <w:rPr/>
        <w:t>日的合并财务状</w:t>
      </w:r>
      <w:r>
        <w:rPr>
          <w:spacing w:val="-3"/>
        </w:rPr>
        <w:t>况</w:t>
      </w:r>
      <w:r>
        <w:rPr/>
        <w:t>以及</w:t>
      </w:r>
      <w:r>
        <w:rPr>
          <w:spacing w:val="-44"/>
        </w:rPr>
        <w:t> </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43"/>
        </w:rPr>
        <w:t> </w:t>
      </w:r>
      <w:r>
        <w:rPr/>
        <w:t>年度的合并经营成</w:t>
      </w:r>
      <w:r>
        <w:rPr>
          <w:spacing w:val="-3"/>
        </w:rPr>
        <w:t>果</w:t>
      </w:r>
      <w:r>
        <w:rPr/>
        <w:t>和合并现金流量</w:t>
      </w:r>
      <w:r>
        <w:rPr>
          <w:spacing w:val="-82"/>
        </w:rPr>
        <w:t>，</w:t>
      </w:r>
      <w:r>
        <w:rPr/>
        <w:t>以及东港股份有限公司</w:t>
      </w:r>
      <w:r>
        <w:rPr>
          <w:spacing w:val="-44"/>
        </w:rPr>
        <w:t> </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46"/>
        </w:rPr>
        <w:t> </w:t>
      </w:r>
      <w:r>
        <w:rPr/>
        <w:t>年</w:t>
      </w:r>
      <w:r>
        <w:rPr>
          <w:spacing w:val="-45"/>
        </w:rPr>
        <w:t> </w:t>
      </w:r>
      <w:r>
        <w:rPr>
          <w:rFonts w:ascii="宋体" w:hAnsi="宋体" w:cs="宋体" w:eastAsia="宋体" w:hint="default"/>
          <w:spacing w:val="-2"/>
        </w:rPr>
        <w:t>1</w:t>
      </w:r>
      <w:r>
        <w:rPr>
          <w:rFonts w:ascii="宋体" w:hAnsi="宋体" w:cs="宋体" w:eastAsia="宋体" w:hint="default"/>
        </w:rPr>
        <w:t>2</w:t>
      </w:r>
      <w:r>
        <w:rPr>
          <w:rFonts w:ascii="宋体" w:hAnsi="宋体" w:cs="宋体" w:eastAsia="宋体" w:hint="default"/>
          <w:spacing w:val="-44"/>
        </w:rPr>
        <w:t> </w:t>
      </w:r>
      <w:r>
        <w:rPr/>
        <w:t>月</w:t>
      </w:r>
      <w:r>
        <w:rPr>
          <w:spacing w:val="-47"/>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44"/>
        </w:rPr>
        <w:t> </w:t>
      </w:r>
      <w:r>
        <w:rPr/>
        <w:t>日的</w:t>
      </w:r>
    </w:p>
    <w:p>
      <w:pPr>
        <w:spacing w:line="240" w:lineRule="auto" w:before="10"/>
        <w:rPr>
          <w:rFonts w:ascii="宋体" w:hAnsi="宋体" w:cs="宋体" w:eastAsia="宋体" w:hint="default"/>
          <w:sz w:val="17"/>
          <w:szCs w:val="17"/>
        </w:rPr>
      </w:pPr>
    </w:p>
    <w:p>
      <w:pPr>
        <w:pStyle w:val="BodyText"/>
        <w:spacing w:line="240" w:lineRule="auto"/>
        <w:ind w:right="0"/>
        <w:jc w:val="left"/>
      </w:pPr>
      <w:r>
        <w:rPr/>
        <w:t>财务状况以及</w:t>
      </w:r>
      <w:r>
        <w:rPr>
          <w:spacing w:val="-46"/>
        </w:rPr>
        <w:t> </w:t>
      </w:r>
      <w:r>
        <w:rPr>
          <w:rFonts w:ascii="宋体" w:hAnsi="宋体" w:cs="宋体" w:eastAsia="宋体" w:hint="default"/>
        </w:rPr>
        <w:t>2012</w:t>
      </w:r>
      <w:r>
        <w:rPr>
          <w:rFonts w:ascii="宋体" w:hAnsi="宋体" w:cs="宋体" w:eastAsia="宋体" w:hint="default"/>
          <w:spacing w:val="-45"/>
        </w:rPr>
        <w:t> </w:t>
      </w:r>
      <w:r>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tbl>
      <w:tblPr>
        <w:tblW w:w="0" w:type="auto"/>
        <w:jc w:val="left"/>
        <w:tblInd w:w="313" w:type="dxa"/>
        <w:tblLayout w:type="fixed"/>
        <w:tblCellMar>
          <w:top w:w="0" w:type="dxa"/>
          <w:left w:w="0" w:type="dxa"/>
          <w:bottom w:w="0" w:type="dxa"/>
          <w:right w:w="0" w:type="dxa"/>
        </w:tblCellMar>
        <w:tblLook w:val="01E0"/>
      </w:tblPr>
      <w:tblGrid>
        <w:gridCol w:w="4475"/>
        <w:gridCol w:w="2675"/>
      </w:tblGrid>
      <w:tr>
        <w:trPr>
          <w:trHeight w:val="982" w:hRule="exact"/>
        </w:trPr>
        <w:tc>
          <w:tcPr>
            <w:tcW w:w="4475" w:type="dxa"/>
            <w:tcBorders>
              <w:top w:val="nil" w:sz="6" w:space="0" w:color="auto"/>
              <w:left w:val="nil" w:sz="6" w:space="0" w:color="auto"/>
              <w:bottom w:val="nil" w:sz="6" w:space="0" w:color="auto"/>
              <w:right w:val="nil" w:sz="6" w:space="0" w:color="auto"/>
            </w:tcBorders>
          </w:tcPr>
          <w:p>
            <w:pPr>
              <w:pStyle w:val="TableParagraph"/>
              <w:spacing w:line="180" w:lineRule="exact"/>
              <w:ind w:right="832"/>
              <w:jc w:val="center"/>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c>
          <w:tcPr>
            <w:tcW w:w="2675" w:type="dxa"/>
            <w:tcBorders>
              <w:top w:val="nil" w:sz="6" w:space="0" w:color="auto"/>
              <w:left w:val="nil" w:sz="6" w:space="0" w:color="auto"/>
              <w:bottom w:val="nil" w:sz="6" w:space="0" w:color="auto"/>
              <w:right w:val="nil" w:sz="6" w:space="0" w:color="auto"/>
            </w:tcBorders>
          </w:tcPr>
          <w:p>
            <w:pPr>
              <w:pStyle w:val="TableParagraph"/>
              <w:spacing w:line="180" w:lineRule="exact"/>
              <w:ind w:left="834" w:right="0"/>
              <w:jc w:val="center"/>
              <w:rPr>
                <w:rFonts w:ascii="宋体" w:hAnsi="宋体" w:cs="宋体" w:eastAsia="宋体" w:hint="default"/>
                <w:sz w:val="18"/>
                <w:szCs w:val="18"/>
              </w:rPr>
            </w:pPr>
            <w:r>
              <w:rPr>
                <w:rFonts w:ascii="宋体" w:hAnsi="宋体" w:cs="宋体" w:eastAsia="宋体" w:hint="default"/>
                <w:sz w:val="18"/>
                <w:szCs w:val="18"/>
              </w:rPr>
              <w:t>中国注册会计师：</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39" w:right="0"/>
              <w:jc w:val="center"/>
              <w:rPr>
                <w:rFonts w:ascii="宋体" w:hAnsi="宋体" w:cs="宋体" w:eastAsia="宋体" w:hint="default"/>
                <w:sz w:val="18"/>
                <w:szCs w:val="18"/>
              </w:rPr>
            </w:pPr>
            <w:r>
              <w:rPr>
                <w:rFonts w:ascii="宋体" w:hAnsi="宋体" w:cs="宋体" w:eastAsia="宋体" w:hint="default"/>
                <w:sz w:val="18"/>
                <w:szCs w:val="18"/>
              </w:rPr>
              <w:t>罗 </w:t>
            </w:r>
            <w:r>
              <w:rPr>
                <w:rFonts w:ascii="宋体" w:hAnsi="宋体" w:cs="宋体" w:eastAsia="宋体" w:hint="default"/>
                <w:spacing w:val="2"/>
                <w:sz w:val="18"/>
                <w:szCs w:val="18"/>
              </w:rPr>
              <w:t> </w:t>
            </w:r>
            <w:r>
              <w:rPr>
                <w:rFonts w:ascii="宋体" w:hAnsi="宋体" w:cs="宋体" w:eastAsia="宋体" w:hint="default"/>
                <w:sz w:val="18"/>
                <w:szCs w:val="18"/>
              </w:rPr>
              <w:t>军</w:t>
            </w:r>
          </w:p>
        </w:tc>
      </w:tr>
      <w:tr>
        <w:trPr>
          <w:trHeight w:val="1396" w:hRule="exact"/>
        </w:trPr>
        <w:tc>
          <w:tcPr>
            <w:tcW w:w="44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835"/>
              <w:jc w:val="center"/>
              <w:rPr>
                <w:rFonts w:ascii="宋体" w:hAnsi="宋体" w:cs="宋体" w:eastAsia="宋体" w:hint="default"/>
                <w:sz w:val="18"/>
                <w:szCs w:val="18"/>
              </w:rPr>
            </w:pPr>
            <w:r>
              <w:rPr>
                <w:rFonts w:ascii="宋体" w:hAnsi="宋体" w:cs="宋体" w:eastAsia="宋体" w:hint="default"/>
                <w:sz w:val="18"/>
                <w:szCs w:val="18"/>
              </w:rPr>
              <w:t>中国·北京</w:t>
            </w:r>
          </w:p>
        </w:tc>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408" w:lineRule="auto"/>
              <w:ind w:left="1486" w:right="198" w:hanging="452"/>
              <w:jc w:val="left"/>
              <w:rPr>
                <w:rFonts w:ascii="宋体" w:hAnsi="宋体" w:cs="宋体" w:eastAsia="宋体" w:hint="default"/>
                <w:sz w:val="18"/>
                <w:szCs w:val="18"/>
              </w:rPr>
            </w:pPr>
            <w:r>
              <w:rPr>
                <w:rFonts w:ascii="宋体" w:hAnsi="宋体" w:cs="宋体" w:eastAsia="宋体" w:hint="default"/>
                <w:sz w:val="18"/>
                <w:szCs w:val="18"/>
              </w:rPr>
              <w:t>中国注册会计师： 崔 </w:t>
            </w:r>
            <w:r>
              <w:rPr>
                <w:rFonts w:ascii="宋体" w:hAnsi="宋体" w:cs="宋体" w:eastAsia="宋体" w:hint="default"/>
                <w:spacing w:val="2"/>
                <w:sz w:val="18"/>
                <w:szCs w:val="18"/>
              </w:rPr>
              <w:t> </w:t>
            </w:r>
            <w:r>
              <w:rPr>
                <w:rFonts w:ascii="宋体" w:hAnsi="宋体" w:cs="宋体" w:eastAsia="宋体" w:hint="default"/>
                <w:sz w:val="18"/>
                <w:szCs w:val="18"/>
              </w:rPr>
              <w:t>迎</w:t>
            </w:r>
          </w:p>
        </w:tc>
      </w:tr>
      <w:tr>
        <w:trPr>
          <w:trHeight w:val="592" w:hRule="exact"/>
        </w:trPr>
        <w:tc>
          <w:tcPr>
            <w:tcW w:w="4475" w:type="dxa"/>
            <w:tcBorders>
              <w:top w:val="nil" w:sz="6" w:space="0" w:color="auto"/>
              <w:left w:val="nil" w:sz="6" w:space="0" w:color="auto"/>
              <w:bottom w:val="nil" w:sz="6" w:space="0" w:color="auto"/>
              <w:right w:val="nil" w:sz="6" w:space="0" w:color="auto"/>
            </w:tcBorders>
          </w:tcPr>
          <w:p>
            <w:pPr/>
          </w:p>
        </w:tc>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05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1272"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0"/>
        <w:jc w:val="left"/>
      </w:pPr>
      <w:r>
        <w:rPr/>
        <w:t>编制单位：东港股份有限公司</w:t>
      </w:r>
    </w:p>
    <w:p>
      <w:pPr>
        <w:pStyle w:val="BodyText"/>
        <w:spacing w:line="240" w:lineRule="auto" w:before="117"/>
        <w:ind w:left="0" w:right="1131"/>
        <w:jc w:val="right"/>
      </w:pPr>
      <w:r>
        <w:rPr/>
        <w:t>单位：元</w:t>
      </w:r>
    </w:p>
    <w:p>
      <w:pPr>
        <w:spacing w:line="240" w:lineRule="auto" w:before="5"/>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249,046,494.36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366,072,642.31</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2,908,057.00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1,336,000.00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106,809,486.36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102,999,782.68</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2,076,834.47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2,123,932.68</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18,907.77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19,633.34</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12,184,633.06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9,907,302.84</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101,162,883.38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89,116,638.51</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190,783,531.56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415,629.04</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664,990,827.96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571,991,561.40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12,641,235.66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13,343,393.34</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678,927,929.23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676,763,621.49</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506,475.01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17,128,603.68</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88,907,203.13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62,501,081.22</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5,007,194.53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6,220,791.03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2" w:top="1060" w:bottom="15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468,623.38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783,408.34</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2,239,117.60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1,388,410.09</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788,697,778.54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778,129,309.19</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1,453,688,606.50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1,350,120,870.59</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74,165,902.22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71,894,750.28</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112,893,266.26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113,845,351.02</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45,093,386.37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22,315,644.85</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15,369,092.79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8,159,385.86</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13,590,408.84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6,708,203.71</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39,887.41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1,514,468.36</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32,760,495.30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25,746,036.13</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293,912,439.19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252,183,840.21</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293,912,439.19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252,183,840.21</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252,748,344.00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126,414,172.00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477,995,131.69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600,125,278.69</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72"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85,773,617.98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75,247,802.48</w:t>
            </w: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289,687,732.96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247,754,599.37</w:t>
            </w: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1,106,204,826.63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1,049,541,852.54</w:t>
            </w: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53,571,340.68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48,395,177.84</w:t>
            </w: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1,159,776,167.31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1,097,937,030.38</w:t>
            </w:r>
          </w:p>
        </w:tc>
      </w:tr>
      <w:tr>
        <w:trPr>
          <w:trHeight w:val="63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51"/>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1,453,688,606.50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1,350,120,870.59</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before="44"/>
        <w:ind w:right="0"/>
        <w:jc w:val="left"/>
      </w:pPr>
      <w:r>
        <w:rPr/>
        <w:t>法定代表人：王爱先</w:t>
        <w:tab/>
      </w:r>
      <w:r>
        <w:rPr>
          <w:spacing w:val="-1"/>
        </w:rPr>
        <w:t>主管会计工作负责人：史建中</w:t>
        <w:tab/>
      </w:r>
      <w:r>
        <w:rPr/>
        <w:t>会计机构负责人：郑理</w:t>
      </w:r>
    </w:p>
    <w:p>
      <w:pPr>
        <w:spacing w:line="240" w:lineRule="auto" w:before="0"/>
        <w:rPr>
          <w:rFonts w:ascii="宋体" w:hAnsi="宋体" w:cs="宋体" w:eastAsia="宋体" w:hint="default"/>
          <w:sz w:val="18"/>
          <w:szCs w:val="18"/>
        </w:rPr>
      </w:pPr>
    </w:p>
    <w:p>
      <w:pPr>
        <w:pStyle w:val="Heading5"/>
        <w:spacing w:line="240" w:lineRule="auto" w:before="125"/>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0"/>
        <w:jc w:val="left"/>
      </w:pPr>
      <w:r>
        <w:rPr/>
        <w:t>编制单位：东港股份有限公司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204,821,424.28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275,917,341.63</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2,908,057.00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1,336,000.00</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45,276,374.48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40,734,630.71</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1,571,166.68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1,313,867.29</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8,850,307.64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8,017,260.79</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54,699,468.05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44,898,466.46</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190,622,333.85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146,897.81</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508,749,131.98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372,364,464.69</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336,719,488.19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312,107,767.50</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429,804,798.18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415,693,333.30</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191,062.40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17,102,197.70</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72"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45,974,329.88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42,077,885.97</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5,007,194.53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6,220,791.03</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468,623.38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783,408.34</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1,319,445.60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726,167.21</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819,484,942.16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794,711,551.05</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1,328,234,074.14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1,167,076,015.74</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74,165,902.22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73,093,354.31</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65,652,548.02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64,966,965.07</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38,895,904.50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16,434,328.01</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9,665,082.19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5,610,193.34</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8,471,703.86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4,197,928.32</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130,139,052.14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25,355,825.02</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326,990,192.93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189,658,594.07</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326,990,192.93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189,658,594.07</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252,748,344.00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126,414,172.00</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476,814,259.15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598,944,406.15</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85,773,617.98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75,247,802.48</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185,907,660.08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176,811,041.04</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1,001,243,881.21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977,417,421.67</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1,328,234,074.14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1,167,076,015.74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2"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4"/>
        <w:gridCol w:w="3303"/>
        <w:gridCol w:w="3303"/>
      </w:tblGrid>
      <w:tr>
        <w:trPr>
          <w:trHeight w:val="322"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before="44"/>
        <w:ind w:right="0"/>
        <w:jc w:val="left"/>
      </w:pPr>
      <w:r>
        <w:rPr/>
        <w:t>法定代表人：王爱先</w:t>
        <w:tab/>
      </w:r>
      <w:r>
        <w:rPr>
          <w:spacing w:val="-1"/>
        </w:rPr>
        <w:t>主管会计工作负责人：史建中</w:t>
        <w:tab/>
      </w:r>
      <w:r>
        <w:rPr/>
        <w:t>会计机构负责人：郑理</w:t>
      </w:r>
    </w:p>
    <w:p>
      <w:pPr>
        <w:spacing w:line="240" w:lineRule="auto" w:before="0"/>
        <w:rPr>
          <w:rFonts w:ascii="宋体" w:hAnsi="宋体" w:cs="宋体" w:eastAsia="宋体" w:hint="default"/>
          <w:sz w:val="18"/>
          <w:szCs w:val="18"/>
        </w:rPr>
      </w:pPr>
    </w:p>
    <w:p>
      <w:pPr>
        <w:pStyle w:val="Heading5"/>
        <w:spacing w:line="240" w:lineRule="auto" w:before="127"/>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0"/>
        <w:jc w:val="left"/>
      </w:pPr>
      <w:r>
        <w:rPr/>
        <w:t>编制单位：东港股份有限公司</w:t>
      </w:r>
    </w:p>
    <w:p>
      <w:pPr>
        <w:pStyle w:val="BodyText"/>
        <w:spacing w:line="240" w:lineRule="auto" w:before="117"/>
        <w:ind w:left="0" w:right="1131"/>
        <w:jc w:val="right"/>
      </w:pPr>
      <w:r>
        <w:rPr/>
        <w:t>单位：元</w:t>
      </w:r>
    </w:p>
    <w:p>
      <w:pPr>
        <w:spacing w:line="240" w:lineRule="auto" w:before="5"/>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817,400,719.25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781,765,641.17</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817,400,719.25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781,765,641.17</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690,102,490.86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670,776,429.99</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500,682,616.49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510,572,616.08</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8,001,814.14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6,684,791.82</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77,801,746.08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66,493,066.60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110,197,807.06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88,107,773.05</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-7,305,835.64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-3,318,551.13</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724,342.73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2,236,733.57</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7"/>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127,298,228.39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110,989,211.18</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10,135,232.74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2,797,362.39</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170,945.38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549,323.68</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56,639.46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461,544.53</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7"/>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137,262,515.75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113,237,249.89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2" w:top="1060" w:bottom="162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20,811,491.62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17,080,900.35</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116,451,024.13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96,156,349.54</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103,008,617.89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86,964,360.30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13,442,406.24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9,191,989.24</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0.35</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0.35</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116,451,024.13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96,156,349.54</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103,008,617.89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86,964,360.30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13,442,406.24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9,191,989.24</w:t>
            </w:r>
          </w:p>
        </w:tc>
      </w:tr>
    </w:tbl>
    <w:p>
      <w:pPr>
        <w:pStyle w:val="BodyText"/>
        <w:spacing w:line="240" w:lineRule="auto" w:before="49"/>
        <w:ind w:right="0"/>
        <w:jc w:val="left"/>
      </w:pPr>
      <w:r>
        <w:rPr/>
        <w:t>本期发生同一控制下企业合并的，被合并方在合并前实现的净利润为：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pStyle w:val="BodyText"/>
        <w:tabs>
          <w:tab w:pos="3667" w:val="left" w:leader="none"/>
          <w:tab w:pos="7899" w:val="left" w:leader="none"/>
        </w:tabs>
        <w:spacing w:line="240" w:lineRule="auto" w:before="125"/>
        <w:ind w:right="0"/>
        <w:jc w:val="left"/>
      </w:pPr>
      <w:r>
        <w:rPr/>
        <w:t>法定代表人：王爱先</w:t>
        <w:tab/>
      </w:r>
      <w:r>
        <w:rPr>
          <w:spacing w:val="-1"/>
        </w:rPr>
        <w:t>主管会计工作负责人：史建中</w:t>
        <w:tab/>
      </w:r>
      <w:r>
        <w:rPr/>
        <w:t>会计机构负责人：郑理</w:t>
      </w:r>
    </w:p>
    <w:p>
      <w:pPr>
        <w:spacing w:line="240" w:lineRule="auto" w:before="0"/>
        <w:rPr>
          <w:rFonts w:ascii="宋体" w:hAnsi="宋体" w:cs="宋体" w:eastAsia="宋体" w:hint="default"/>
          <w:sz w:val="18"/>
          <w:szCs w:val="18"/>
        </w:rPr>
      </w:pPr>
    </w:p>
    <w:p>
      <w:pPr>
        <w:pStyle w:val="Heading5"/>
        <w:spacing w:line="240" w:lineRule="auto" w:before="127"/>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0"/>
        <w:jc w:val="left"/>
      </w:pPr>
      <w:r>
        <w:rPr/>
        <w:t>编制单位：东港股份有限公司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553,339,751.18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540,463,246.00</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407,047,665.34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411,757,887.23</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3,844,839.81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3,230,535.82</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42,249,410.53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34,273,401.40</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56,041,681.89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44,982,400.72</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-5,747,688.20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-3,216,860.67</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812,142.63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411,866.04</w:t>
            </w:r>
          </w:p>
        </w:tc>
      </w:tr>
      <w:tr>
        <w:trPr>
          <w:trHeight w:val="63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28,211,331.46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37,533,079.52</w:t>
            </w:r>
          </w:p>
        </w:tc>
      </w:tr>
      <w:tr>
        <w:trPr>
          <w:trHeight w:val="63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77,303,030.64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86,557,094.98</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1,553,645.57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1,670,040.18</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79,510.68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347,815.22</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32,525.65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64,187.35</w:t>
            </w:r>
          </w:p>
        </w:tc>
      </w:tr>
      <w:tr>
        <w:trPr>
          <w:trHeight w:val="63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78,777,165.53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87,879,319.94</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8,605,062.19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7,606,169.55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2" w:top="1060" w:bottom="152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70,172,103.34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80,273,150.39</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0.64</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pacing w:val="-1"/>
                <w:sz w:val="18"/>
              </w:rPr>
              <w:t>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0.64</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70,172,103.34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80,273,150.39</w:t>
            </w:r>
          </w:p>
        </w:tc>
      </w:tr>
    </w:tbl>
    <w:p>
      <w:pPr>
        <w:spacing w:line="240" w:lineRule="auto" w:before="2"/>
        <w:rPr>
          <w:rFonts w:ascii="宋体" w:hAnsi="宋体" w:cs="宋体" w:eastAsia="宋体" w:hint="default"/>
          <w:sz w:val="20"/>
          <w:szCs w:val="20"/>
        </w:rPr>
      </w:pPr>
    </w:p>
    <w:p>
      <w:pPr>
        <w:pStyle w:val="BodyText"/>
        <w:tabs>
          <w:tab w:pos="3667" w:val="left" w:leader="none"/>
          <w:tab w:pos="7899" w:val="left" w:leader="none"/>
        </w:tabs>
        <w:spacing w:line="240" w:lineRule="auto" w:before="44"/>
        <w:ind w:right="0"/>
        <w:jc w:val="left"/>
      </w:pPr>
      <w:r>
        <w:rPr/>
        <w:t>法定代表人：王爱先</w:t>
        <w:tab/>
      </w:r>
      <w:r>
        <w:rPr>
          <w:spacing w:val="-1"/>
        </w:rPr>
        <w:t>主管会计工作负责人：史建中</w:t>
        <w:tab/>
      </w:r>
      <w:r>
        <w:rPr/>
        <w:t>会计机构负责人：郑理</w:t>
      </w:r>
    </w:p>
    <w:p>
      <w:pPr>
        <w:spacing w:line="240" w:lineRule="auto" w:before="0"/>
        <w:rPr>
          <w:rFonts w:ascii="宋体" w:hAnsi="宋体" w:cs="宋体" w:eastAsia="宋体" w:hint="default"/>
          <w:sz w:val="18"/>
          <w:szCs w:val="18"/>
        </w:rPr>
      </w:pPr>
    </w:p>
    <w:p>
      <w:pPr>
        <w:pStyle w:val="Heading5"/>
        <w:spacing w:line="240" w:lineRule="auto" w:before="127"/>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0"/>
        <w:jc w:val="left"/>
      </w:pPr>
      <w:r>
        <w:rPr/>
        <w:t>编制单位：东港股份有限公司</w:t>
      </w:r>
    </w:p>
    <w:p>
      <w:pPr>
        <w:pStyle w:val="BodyText"/>
        <w:spacing w:line="240" w:lineRule="auto" w:before="115"/>
        <w:ind w:left="0" w:right="1131"/>
        <w:jc w:val="right"/>
      </w:pPr>
      <w:r>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951,737,578.61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853,240,024.82</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632,292.39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1,789,786.84</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49,325,274.88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23,263,535.75</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1,001,695,145.88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878,293,347.41</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511,035,234.12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453,898,584.21</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93,681,411.26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85,946,814.34</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93,301,400.57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80,998,066.25</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93,279,597.91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79,628,065.13</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791,297,643.86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700,471,529.93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2" w:top="1060" w:bottom="160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210,397,502.02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177,821,817.48</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84,992.65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58,100.00</w:t>
            </w:r>
          </w:p>
        </w:tc>
      </w:tr>
      <w:tr>
        <w:trPr>
          <w:trHeight w:val="63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84,992.65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58,100.00</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78,342,456.08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110,138,776.84</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268,342,456.08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110,138,776.84</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-268,257,463.43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-110,080,676.84</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22,281,700.00</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22,281,700.00</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58,776,868.80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33,773,923.95</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8,914,200.00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6,174,546.83</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389,200.00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59,166,068.80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133,773,923.95</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-59,166,068.80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-111,492,223.95</w:t>
            </w:r>
          </w:p>
        </w:tc>
      </w:tr>
      <w:tr>
        <w:trPr>
          <w:trHeight w:val="63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-1,090.22</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-117,026,147.95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-43,752,173.53</w:t>
            </w:r>
          </w:p>
        </w:tc>
      </w:tr>
      <w:tr>
        <w:trPr>
          <w:trHeight w:val="32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366,072,642.31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409,824,815.84</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249,046,494.36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366,072,642.31</w:t>
            </w:r>
          </w:p>
        </w:tc>
      </w:tr>
    </w:tbl>
    <w:p>
      <w:pPr>
        <w:spacing w:line="240" w:lineRule="auto" w:before="2"/>
        <w:rPr>
          <w:rFonts w:ascii="宋体" w:hAnsi="宋体" w:cs="宋体" w:eastAsia="宋体" w:hint="default"/>
          <w:sz w:val="20"/>
          <w:szCs w:val="20"/>
        </w:rPr>
      </w:pPr>
    </w:p>
    <w:p>
      <w:pPr>
        <w:pStyle w:val="BodyText"/>
        <w:tabs>
          <w:tab w:pos="3667" w:val="left" w:leader="none"/>
          <w:tab w:pos="7899" w:val="left" w:leader="none"/>
        </w:tabs>
        <w:spacing w:line="240" w:lineRule="auto" w:before="44"/>
        <w:ind w:right="0"/>
        <w:jc w:val="left"/>
      </w:pPr>
      <w:r>
        <w:rPr/>
        <w:t>法定代表人：王爱先</w:t>
        <w:tab/>
      </w:r>
      <w:r>
        <w:rPr>
          <w:spacing w:val="-1"/>
        </w:rPr>
        <w:t>主管会计工作负责人：史建中</w:t>
        <w:tab/>
      </w:r>
      <w:r>
        <w:rPr/>
        <w:t>会计机构负责人：郑理</w:t>
      </w:r>
    </w:p>
    <w:p>
      <w:pPr>
        <w:spacing w:after="0" w:line="240" w:lineRule="auto"/>
        <w:jc w:val="left"/>
        <w:sectPr>
          <w:pgSz w:w="11910" w:h="16840"/>
          <w:pgMar w:header="877" w:footer="1272" w:top="1060" w:bottom="1520" w:left="980" w:right="0"/>
        </w:sectPr>
      </w:pPr>
    </w:p>
    <w:p>
      <w:pPr>
        <w:spacing w:line="240" w:lineRule="auto" w:before="3"/>
        <w:rPr>
          <w:rFonts w:ascii="宋体" w:hAnsi="宋体" w:cs="宋体" w:eastAsia="宋体" w:hint="default"/>
          <w:sz w:val="25"/>
          <w:szCs w:val="25"/>
        </w:rPr>
      </w:pPr>
    </w:p>
    <w:p>
      <w:pPr>
        <w:pStyle w:val="Heading5"/>
        <w:spacing w:line="240" w:lineRule="auto" w:before="37"/>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0"/>
        <w:jc w:val="left"/>
      </w:pPr>
      <w:r>
        <w:rPr/>
        <w:t>编制单位：东港股份有限公司</w:t>
      </w:r>
    </w:p>
    <w:p>
      <w:pPr>
        <w:pStyle w:val="BodyText"/>
        <w:spacing w:line="240" w:lineRule="auto" w:before="115"/>
        <w:ind w:left="0" w:right="1131"/>
        <w:jc w:val="right"/>
      </w:pPr>
      <w:r>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643,481,380.88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641,641,942.52</w:t>
            </w:r>
          </w:p>
        </w:tc>
      </w:tr>
      <w:tr>
        <w:trPr>
          <w:trHeight w:val="32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225,872,422.56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50,222,311.67</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869,353,803.44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691,864,254.19</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519,841,919.44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505,548,266.04</w:t>
            </w:r>
          </w:p>
        </w:tc>
      </w:tr>
      <w:tr>
        <w:trPr>
          <w:trHeight w:val="63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51,729,989.13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51,568,965.79</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46,107,455.90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37,869,686.74</w:t>
            </w:r>
          </w:p>
        </w:tc>
      </w:tr>
      <w:tr>
        <w:trPr>
          <w:trHeight w:val="32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51,854,593.29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56,293,930.54</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669,533,957.76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651,280,849.11</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199,819,845.68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40,583,405.08</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28,211,331.46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37,533,079.52</w:t>
            </w:r>
          </w:p>
        </w:tc>
      </w:tr>
      <w:tr>
        <w:trPr>
          <w:trHeight w:val="63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20"/>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1,539,967.75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21,380,620.01</w:t>
            </w:r>
          </w:p>
        </w:tc>
      </w:tr>
      <w:tr>
        <w:trPr>
          <w:trHeight w:val="63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7"/>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29,751,299.21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58,913,699.53</w:t>
            </w:r>
          </w:p>
        </w:tc>
      </w:tr>
      <w:tr>
        <w:trPr>
          <w:trHeight w:val="63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7"/>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35,803,407.59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75,027,371.41</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214,611,720.69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63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20"/>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250,415,128.28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205,027,371.41</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-220,663,829.07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-146,113,671.88</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22,281,700.00</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22,281,700.00</w:t>
            </w:r>
          </w:p>
        </w:tc>
      </w:tr>
      <w:tr>
        <w:trPr>
          <w:trHeight w:val="32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7"/>
              <w:ind w:left="12"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49,862,668.80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24,851,580.83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2" w:top="1060" w:bottom="15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389,200.00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50,251,868.80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24,851,580.83</w:t>
            </w: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-50,251,868.80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-2,569,880.83</w:t>
            </w:r>
          </w:p>
        </w:tc>
      </w:tr>
      <w:tr>
        <w:trPr>
          <w:trHeight w:val="63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-65.16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-71,095,917.35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-108,100,147.63</w:t>
            </w: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275,917,341.63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384,017,489.26</w:t>
            </w:r>
          </w:p>
        </w:tc>
      </w:tr>
      <w:tr>
        <w:trPr>
          <w:trHeight w:val="32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204,821,424.28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275,917,341.63</w:t>
            </w:r>
          </w:p>
        </w:tc>
      </w:tr>
    </w:tbl>
    <w:p>
      <w:pPr>
        <w:spacing w:line="240" w:lineRule="auto" w:before="2"/>
        <w:rPr>
          <w:rFonts w:ascii="宋体" w:hAnsi="宋体" w:cs="宋体" w:eastAsia="宋体" w:hint="default"/>
          <w:sz w:val="20"/>
          <w:szCs w:val="20"/>
        </w:rPr>
      </w:pPr>
    </w:p>
    <w:p>
      <w:pPr>
        <w:pStyle w:val="BodyText"/>
        <w:tabs>
          <w:tab w:pos="3667" w:val="left" w:leader="none"/>
          <w:tab w:pos="7899" w:val="left" w:leader="none"/>
        </w:tabs>
        <w:spacing w:line="240" w:lineRule="auto" w:before="44"/>
        <w:ind w:right="0"/>
        <w:jc w:val="left"/>
      </w:pPr>
      <w:r>
        <w:rPr/>
        <w:t>法定代表人：王爱先</w:t>
        <w:tab/>
      </w:r>
      <w:r>
        <w:rPr>
          <w:spacing w:val="-1"/>
        </w:rPr>
        <w:t>主管会计工作负责人：史建中</w:t>
        <w:tab/>
      </w:r>
      <w:r>
        <w:rPr/>
        <w:t>会计机构负责人：郑理</w:t>
      </w:r>
    </w:p>
    <w:p>
      <w:pPr>
        <w:spacing w:line="240" w:lineRule="auto" w:before="0"/>
        <w:rPr>
          <w:rFonts w:ascii="宋体" w:hAnsi="宋体" w:cs="宋体" w:eastAsia="宋体" w:hint="default"/>
          <w:sz w:val="18"/>
          <w:szCs w:val="18"/>
        </w:rPr>
      </w:pPr>
    </w:p>
    <w:p>
      <w:pPr>
        <w:pStyle w:val="Heading5"/>
        <w:spacing w:line="240" w:lineRule="auto" w:before="127"/>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1272" w:top="1060" w:bottom="1640" w:left="980" w:right="0"/>
        </w:sectPr>
      </w:pPr>
    </w:p>
    <w:p>
      <w:pPr>
        <w:pStyle w:val="BodyText"/>
        <w:spacing w:line="360" w:lineRule="auto" w:before="44"/>
        <w:ind w:right="-20"/>
        <w:jc w:val="left"/>
      </w:pPr>
      <w:r>
        <w:rPr/>
        <w:t>编制单位：东港股份有限公司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2493" w:space="6427"/>
            <w:col w:w="2010"/>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322"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17"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2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22"/>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22"/>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7"/>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7"/>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7"/>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7"/>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7"/>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7"/>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12"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2"/>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62"/>
              <w:ind w:left="70" w:right="0"/>
              <w:jc w:val="left"/>
              <w:rPr>
                <w:rFonts w:ascii="Times New Roman" w:hAnsi="Times New Roman" w:cs="Times New Roman" w:eastAsia="Times New Roman" w:hint="default"/>
                <w:sz w:val="18"/>
                <w:szCs w:val="18"/>
              </w:rPr>
            </w:pPr>
            <w:r>
              <w:rPr>
                <w:rFonts w:ascii="Times New Roman"/>
                <w:sz w:val="18"/>
              </w:rPr>
              <w:t>126,414</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,172.00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600,125,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278.69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62"/>
              <w:ind w:left="113" w:right="0"/>
              <w:jc w:val="left"/>
              <w:rPr>
                <w:rFonts w:ascii="Times New Roman" w:hAnsi="Times New Roman" w:cs="Times New Roman" w:eastAsia="Times New Roman" w:hint="default"/>
                <w:sz w:val="18"/>
                <w:szCs w:val="18"/>
              </w:rPr>
            </w:pPr>
            <w:r>
              <w:rPr>
                <w:rFonts w:ascii="Times New Roman"/>
                <w:sz w:val="18"/>
              </w:rPr>
              <w:t>75,247,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802.48</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247,754,</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599.37</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62"/>
              <w:ind w:left="64" w:right="0"/>
              <w:jc w:val="left"/>
              <w:rPr>
                <w:rFonts w:ascii="Times New Roman" w:hAnsi="Times New Roman" w:cs="Times New Roman" w:eastAsia="Times New Roman" w:hint="default"/>
                <w:sz w:val="18"/>
                <w:szCs w:val="18"/>
              </w:rPr>
            </w:pPr>
            <w:r>
              <w:rPr>
                <w:rFonts w:ascii="Times New Roman"/>
                <w:sz w:val="18"/>
              </w:rPr>
              <w:t>48,395,17</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7.84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62"/>
              <w:ind w:left="95" w:right="0"/>
              <w:jc w:val="left"/>
              <w:rPr>
                <w:rFonts w:ascii="Times New Roman" w:hAnsi="Times New Roman" w:cs="Times New Roman" w:eastAsia="Times New Roman" w:hint="default"/>
                <w:sz w:val="18"/>
                <w:szCs w:val="18"/>
              </w:rPr>
            </w:pPr>
            <w:r>
              <w:rPr>
                <w:rFonts w:ascii="Times New Roman"/>
                <w:sz w:val="18"/>
              </w:rPr>
              <w:t>1,097,937,</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030.38</w:t>
            </w:r>
          </w:p>
        </w:tc>
      </w:tr>
      <w:tr>
        <w:trPr>
          <w:trHeight w:val="312"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322"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60"/>
              <w:ind w:left="70" w:right="0"/>
              <w:jc w:val="left"/>
              <w:rPr>
                <w:rFonts w:ascii="Times New Roman" w:hAnsi="Times New Roman" w:cs="Times New Roman" w:eastAsia="Times New Roman" w:hint="default"/>
                <w:sz w:val="18"/>
                <w:szCs w:val="18"/>
              </w:rPr>
            </w:pPr>
            <w:r>
              <w:rPr>
                <w:rFonts w:ascii="Times New Roman"/>
                <w:sz w:val="18"/>
              </w:rPr>
              <w:t>126,414</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,172.00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600,125,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278.69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60"/>
              <w:ind w:left="113" w:right="0"/>
              <w:jc w:val="left"/>
              <w:rPr>
                <w:rFonts w:ascii="Times New Roman" w:hAnsi="Times New Roman" w:cs="Times New Roman" w:eastAsia="Times New Roman" w:hint="default"/>
                <w:sz w:val="18"/>
                <w:szCs w:val="18"/>
              </w:rPr>
            </w:pPr>
            <w:r>
              <w:rPr>
                <w:rFonts w:ascii="Times New Roman"/>
                <w:sz w:val="18"/>
              </w:rPr>
              <w:t>75,247,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802.48</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0"/>
              <w:ind w:left="8" w:right="0"/>
              <w:jc w:val="center"/>
              <w:rPr>
                <w:rFonts w:ascii="Times New Roman" w:hAnsi="Times New Roman" w:cs="Times New Roman" w:eastAsia="Times New Roman" w:hint="default"/>
                <w:sz w:val="18"/>
                <w:szCs w:val="18"/>
              </w:rPr>
            </w:pPr>
            <w:r>
              <w:rPr>
                <w:rFonts w:ascii="Times New Roman"/>
                <w:sz w:val="18"/>
              </w:rPr>
              <w:t>247,754,</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599.37</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60"/>
              <w:ind w:left="64" w:right="0"/>
              <w:jc w:val="left"/>
              <w:rPr>
                <w:rFonts w:ascii="Times New Roman" w:hAnsi="Times New Roman" w:cs="Times New Roman" w:eastAsia="Times New Roman" w:hint="default"/>
                <w:sz w:val="18"/>
                <w:szCs w:val="18"/>
              </w:rPr>
            </w:pPr>
            <w:r>
              <w:rPr>
                <w:rFonts w:ascii="Times New Roman"/>
                <w:sz w:val="18"/>
              </w:rPr>
              <w:t>48,395,17</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7.84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60"/>
              <w:ind w:left="95" w:right="0"/>
              <w:jc w:val="left"/>
              <w:rPr>
                <w:rFonts w:ascii="Times New Roman" w:hAnsi="Times New Roman" w:cs="Times New Roman" w:eastAsia="Times New Roman" w:hint="default"/>
                <w:sz w:val="18"/>
                <w:szCs w:val="18"/>
              </w:rPr>
            </w:pPr>
            <w:r>
              <w:rPr>
                <w:rFonts w:ascii="Times New Roman"/>
                <w:sz w:val="18"/>
              </w:rPr>
              <w:t>1,097,937,</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030.38</w:t>
            </w:r>
          </w:p>
        </w:tc>
      </w:tr>
      <w:tr>
        <w:trPr>
          <w:trHeight w:val="312"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634"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7"/>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0"/>
              <w:ind w:left="70" w:right="0"/>
              <w:jc w:val="left"/>
              <w:rPr>
                <w:rFonts w:ascii="Times New Roman" w:hAnsi="Times New Roman" w:cs="Times New Roman" w:eastAsia="Times New Roman" w:hint="default"/>
                <w:sz w:val="18"/>
                <w:szCs w:val="18"/>
              </w:rPr>
            </w:pPr>
            <w:r>
              <w:rPr>
                <w:rFonts w:ascii="Times New Roman"/>
                <w:sz w:val="18"/>
              </w:rPr>
              <w:t>126,334</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,172.00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-122,13</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0,147.00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3" w:right="0"/>
              <w:jc w:val="left"/>
              <w:rPr>
                <w:rFonts w:ascii="Times New Roman" w:hAnsi="Times New Roman" w:cs="Times New Roman" w:eastAsia="Times New Roman" w:hint="default"/>
                <w:sz w:val="18"/>
                <w:szCs w:val="18"/>
              </w:rPr>
            </w:pPr>
            <w:r>
              <w:rPr>
                <w:rFonts w:ascii="Times New Roman"/>
                <w:sz w:val="18"/>
              </w:rPr>
              <w:t>10,525,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815.50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sz w:val="18"/>
              </w:rPr>
              <w:t>41,933,1</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33.59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5,176,162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61,839,136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.93</w:t>
            </w:r>
          </w:p>
        </w:tc>
      </w:tr>
      <w:tr>
        <w:trPr>
          <w:trHeight w:val="163"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103,008,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617.89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62"/>
              <w:ind w:left="64" w:right="0"/>
              <w:jc w:val="left"/>
              <w:rPr>
                <w:rFonts w:ascii="Times New Roman" w:hAnsi="Times New Roman" w:cs="Times New Roman" w:eastAsia="Times New Roman" w:hint="default"/>
                <w:sz w:val="18"/>
                <w:szCs w:val="18"/>
              </w:rPr>
            </w:pPr>
            <w:r>
              <w:rPr>
                <w:rFonts w:ascii="Times New Roman"/>
                <w:sz w:val="18"/>
              </w:rPr>
              <w:t>13,442,40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6.24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Times New Roman"/>
                <w:sz w:val="18"/>
              </w:rPr>
              <w:t>116,451,02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4.13</w:t>
            </w:r>
          </w:p>
        </w:tc>
      </w:tr>
      <w:tr>
        <w:trPr>
          <w:trHeight w:val="312"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322"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0"/>
              <w:ind w:left="8" w:right="0"/>
              <w:jc w:val="center"/>
              <w:rPr>
                <w:rFonts w:ascii="Times New Roman" w:hAnsi="Times New Roman" w:cs="Times New Roman" w:eastAsia="Times New Roman" w:hint="default"/>
                <w:sz w:val="18"/>
                <w:szCs w:val="18"/>
              </w:rPr>
            </w:pPr>
            <w:r>
              <w:rPr>
                <w:rFonts w:ascii="Times New Roman"/>
                <w:sz w:val="18"/>
              </w:rPr>
              <w:t>103,008,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617.89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60"/>
              <w:ind w:left="64" w:right="0"/>
              <w:jc w:val="left"/>
              <w:rPr>
                <w:rFonts w:ascii="Times New Roman" w:hAnsi="Times New Roman" w:cs="Times New Roman" w:eastAsia="Times New Roman" w:hint="default"/>
                <w:sz w:val="18"/>
                <w:szCs w:val="18"/>
              </w:rPr>
            </w:pPr>
            <w:r>
              <w:rPr>
                <w:rFonts w:ascii="Times New Roman"/>
                <w:sz w:val="18"/>
              </w:rPr>
              <w:t>13,442,40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6.24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60"/>
              <w:ind w:left="50" w:right="0"/>
              <w:jc w:val="left"/>
              <w:rPr>
                <w:rFonts w:ascii="Times New Roman" w:hAnsi="Times New Roman" w:cs="Times New Roman" w:eastAsia="Times New Roman" w:hint="default"/>
                <w:sz w:val="18"/>
                <w:szCs w:val="18"/>
              </w:rPr>
            </w:pPr>
            <w:r>
              <w:rPr>
                <w:rFonts w:ascii="Times New Roman"/>
                <w:sz w:val="18"/>
              </w:rPr>
              <w:t>116,451,02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4.13</w:t>
            </w:r>
          </w:p>
        </w:tc>
      </w:tr>
      <w:tr>
        <w:trPr>
          <w:trHeight w:val="313" w:hRule="exact"/>
        </w:trPr>
        <w:tc>
          <w:tcPr>
            <w:tcW w:w="2344" w:type="dxa"/>
            <w:tcBorders>
              <w:top w:val="nil" w:sz="6" w:space="0" w:color="auto"/>
              <w:left w:val="single" w:sz="13" w:space="0" w:color="D2D2D2"/>
              <w:bottom w:val="nil" w:sz="6" w:space="0" w:color="auto"/>
              <w:right w:val="single" w:sz="10" w:space="0" w:color="D2D2D2"/>
            </w:tcBorders>
          </w:tcPr>
          <w:p>
            <w:pPr>
              <w:pStyle w:val="TableParagraph"/>
              <w:tabs>
                <w:tab w:pos="2311" w:val="left" w:leader="none"/>
              </w:tabs>
              <w:spacing w:line="240" w:lineRule="auto" w:before="17"/>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45"/>
                <w:sz w:val="18"/>
                <w:szCs w:val="18"/>
                <w:shd w:fill="D2D2D2" w:color="auto" w:val="clear"/>
              </w:rPr>
              <w:t> </w:t>
            </w:r>
            <w:r>
              <w:rPr>
                <w:rFonts w:ascii="宋体" w:hAnsi="宋体" w:cs="宋体" w:eastAsia="宋体" w:hint="default"/>
                <w:sz w:val="18"/>
                <w:szCs w:val="18"/>
                <w:shd w:fill="D2D2D2" w:color="auto" w:val="clear"/>
              </w:rPr>
              <w:t>上述（一）和（二）小计</w:t>
              <w:tab/>
            </w:r>
            <w:r>
              <w:rPr>
                <w:rFonts w:ascii="宋体" w:hAnsi="宋体" w:cs="宋体" w:eastAsia="宋体" w:hint="default"/>
                <w:sz w:val="18"/>
                <w:szCs w:val="18"/>
              </w:rPr>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-309,20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-389,200.0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2344" w:type="dxa"/>
            <w:tcBorders>
              <w:top w:val="nil" w:sz="6" w:space="0" w:color="auto"/>
              <w:left w:val="single" w:sz="13" w:space="0" w:color="D2D2D2"/>
              <w:bottom w:val="nil" w:sz="6" w:space="0" w:color="auto"/>
              <w:right w:val="single" w:sz="10" w:space="0" w:color="D2D2D2"/>
            </w:tcBorders>
          </w:tcPr>
          <w:p>
            <w:pPr>
              <w:pStyle w:val="TableParagraph"/>
              <w:spacing w:line="240" w:lineRule="auto" w:before="17"/>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45"/>
                <w:sz w:val="18"/>
                <w:szCs w:val="18"/>
                <w:shd w:fill="D2D2D2" w:color="auto" w:val="clear"/>
              </w:rPr>
              <w:t> </w:t>
            </w:r>
            <w:r>
              <w:rPr>
                <w:rFonts w:ascii="宋体" w:hAnsi="宋体" w:cs="宋体" w:eastAsia="宋体" w:hint="default"/>
                <w:spacing w:val="-3"/>
                <w:sz w:val="18"/>
                <w:szCs w:val="18"/>
                <w:shd w:fill="D2D2D2" w:color="auto" w:val="clear"/>
              </w:rPr>
              <w:t>（三）所有者投入和减少资本</w:t>
            </w:r>
            <w:r>
              <w:rPr>
                <w:rFonts w:ascii="宋体" w:hAnsi="宋体" w:cs="宋体" w:eastAsia="宋体" w:hint="default"/>
                <w:spacing w:val="-3"/>
                <w:sz w:val="18"/>
                <w:szCs w:val="18"/>
              </w:rPr>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322"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7"/>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-309,20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-389,200.0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324"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3" w:right="0"/>
              <w:jc w:val="left"/>
              <w:rPr>
                <w:rFonts w:ascii="Times New Roman" w:hAnsi="Times New Roman" w:cs="Times New Roman" w:eastAsia="Times New Roman" w:hint="default"/>
                <w:sz w:val="18"/>
                <w:szCs w:val="18"/>
              </w:rPr>
            </w:pPr>
            <w:r>
              <w:rPr>
                <w:rFonts w:ascii="Times New Roman"/>
                <w:sz w:val="18"/>
              </w:rPr>
              <w:t>10,525,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7" w:right="0"/>
              <w:jc w:val="left"/>
              <w:rPr>
                <w:rFonts w:ascii="Times New Roman" w:hAnsi="Times New Roman" w:cs="Times New Roman" w:eastAsia="Times New Roman" w:hint="default"/>
                <w:sz w:val="18"/>
                <w:szCs w:val="18"/>
              </w:rPr>
            </w:pPr>
            <w:r>
              <w:rPr>
                <w:rFonts w:ascii="Times New Roman"/>
                <w:sz w:val="18"/>
              </w:rPr>
              <w:t>-61,075,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6" w:right="0"/>
              <w:jc w:val="left"/>
              <w:rPr>
                <w:rFonts w:ascii="Times New Roman" w:hAnsi="Times New Roman" w:cs="Times New Roman" w:eastAsia="Times New Roman" w:hint="default"/>
                <w:sz w:val="18"/>
                <w:szCs w:val="18"/>
              </w:rPr>
            </w:pPr>
            <w:r>
              <w:rPr>
                <w:rFonts w:ascii="Times New Roman"/>
                <w:sz w:val="18"/>
              </w:rPr>
              <w:t>-8,266,24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1" w:right="0"/>
              <w:jc w:val="left"/>
              <w:rPr>
                <w:rFonts w:ascii="Times New Roman" w:hAnsi="Times New Roman" w:cs="Times New Roman" w:eastAsia="Times New Roman" w:hint="default"/>
                <w:sz w:val="18"/>
                <w:szCs w:val="18"/>
              </w:rPr>
            </w:pPr>
            <w:r>
              <w:rPr>
                <w:rFonts w:ascii="Times New Roman"/>
                <w:sz w:val="18"/>
              </w:rPr>
              <w:t>-58,815,91</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32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 w:right="0"/>
              <w:jc w:val="left"/>
              <w:rPr>
                <w:rFonts w:ascii="Times New Roman" w:hAnsi="Times New Roman" w:cs="Times New Roman" w:eastAsia="Times New Roman" w:hint="default"/>
                <w:sz w:val="18"/>
                <w:szCs w:val="18"/>
              </w:rPr>
            </w:pPr>
            <w:r>
              <w:rPr>
                <w:rFonts w:ascii="Times New Roman"/>
                <w:sz w:val="18"/>
              </w:rPr>
              <w:t>815.50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3" w:right="0"/>
              <w:jc w:val="left"/>
              <w:rPr>
                <w:rFonts w:ascii="Times New Roman" w:hAnsi="Times New Roman" w:cs="Times New Roman" w:eastAsia="Times New Roman" w:hint="default"/>
                <w:sz w:val="18"/>
                <w:szCs w:val="18"/>
              </w:rPr>
            </w:pPr>
            <w:r>
              <w:rPr>
                <w:rFonts w:ascii="Times New Roman"/>
                <w:sz w:val="18"/>
              </w:rPr>
              <w:t>484.30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0" w:right="0"/>
              <w:jc w:val="left"/>
              <w:rPr>
                <w:rFonts w:ascii="Times New Roman" w:hAnsi="Times New Roman" w:cs="Times New Roman" w:eastAsia="Times New Roman" w:hint="default"/>
                <w:sz w:val="18"/>
                <w:szCs w:val="18"/>
              </w:rPr>
            </w:pPr>
            <w:r>
              <w:rPr>
                <w:rFonts w:ascii="Times New Roman"/>
                <w:sz w:val="18"/>
              </w:rPr>
              <w:t>3.40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7" w:right="0"/>
              <w:jc w:val="left"/>
              <w:rPr>
                <w:rFonts w:ascii="Times New Roman" w:hAnsi="Times New Roman" w:cs="Times New Roman" w:eastAsia="Times New Roman" w:hint="default"/>
                <w:sz w:val="18"/>
                <w:szCs w:val="18"/>
              </w:rPr>
            </w:pPr>
            <w:r>
              <w:rPr>
                <w:rFonts w:ascii="Times New Roman"/>
                <w:sz w:val="18"/>
              </w:rPr>
              <w:t>2.20</w:t>
            </w:r>
          </w:p>
        </w:tc>
      </w:tr>
      <w:tr>
        <w:trPr>
          <w:trHeight w:val="63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3" w:right="0"/>
              <w:jc w:val="left"/>
              <w:rPr>
                <w:rFonts w:ascii="Times New Roman" w:hAnsi="Times New Roman" w:cs="Times New Roman" w:eastAsia="Times New Roman" w:hint="default"/>
                <w:sz w:val="18"/>
                <w:szCs w:val="18"/>
              </w:rPr>
            </w:pPr>
            <w:r>
              <w:rPr>
                <w:rFonts w:ascii="Times New Roman"/>
                <w:sz w:val="18"/>
              </w:rPr>
              <w:t>10,525,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815.50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 w:right="0"/>
              <w:jc w:val="center"/>
              <w:rPr>
                <w:rFonts w:ascii="Times New Roman" w:hAnsi="Times New Roman" w:cs="Times New Roman" w:eastAsia="Times New Roman" w:hint="default"/>
                <w:sz w:val="18"/>
                <w:szCs w:val="18"/>
              </w:rPr>
            </w:pPr>
            <w:r>
              <w:rPr>
                <w:rFonts w:ascii="Times New Roman"/>
                <w:sz w:val="18"/>
              </w:rPr>
              <w:t>-10,525,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815.50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 w:right="0"/>
              <w:jc w:val="center"/>
              <w:rPr>
                <w:rFonts w:ascii="Times New Roman" w:hAnsi="Times New Roman" w:cs="Times New Roman" w:eastAsia="Times New Roman" w:hint="default"/>
                <w:sz w:val="18"/>
                <w:szCs w:val="18"/>
              </w:rPr>
            </w:pPr>
            <w:r>
              <w:rPr>
                <w:rFonts w:ascii="Times New Roman"/>
                <w:sz w:val="18"/>
              </w:rPr>
              <w:t>-50,549,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668.80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6" w:right="0"/>
              <w:jc w:val="left"/>
              <w:rPr>
                <w:rFonts w:ascii="Times New Roman" w:hAnsi="Times New Roman" w:cs="Times New Roman" w:eastAsia="Times New Roman" w:hint="default"/>
                <w:sz w:val="18"/>
                <w:szCs w:val="18"/>
              </w:rPr>
            </w:pPr>
            <w:r>
              <w:rPr>
                <w:rFonts w:ascii="Times New Roman"/>
                <w:sz w:val="18"/>
              </w:rPr>
              <w:t>-8,266,24</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3.40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 w:right="0"/>
              <w:jc w:val="left"/>
              <w:rPr>
                <w:rFonts w:ascii="Times New Roman" w:hAnsi="Times New Roman" w:cs="Times New Roman" w:eastAsia="Times New Roman" w:hint="default"/>
                <w:sz w:val="18"/>
                <w:szCs w:val="18"/>
              </w:rPr>
            </w:pPr>
            <w:r>
              <w:rPr>
                <w:rFonts w:ascii="Times New Roman"/>
                <w:sz w:val="18"/>
              </w:rPr>
              <w:t>-58,815,91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2.20</w:t>
            </w:r>
          </w:p>
        </w:tc>
      </w:tr>
      <w:tr>
        <w:trPr>
          <w:trHeight w:val="32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7" w:right="0"/>
              <w:jc w:val="left"/>
              <w:rPr>
                <w:rFonts w:ascii="Times New Roman" w:hAnsi="Times New Roman" w:cs="Times New Roman" w:eastAsia="Times New Roman" w:hint="default"/>
                <w:sz w:val="18"/>
                <w:szCs w:val="18"/>
              </w:rPr>
            </w:pPr>
            <w:r>
              <w:rPr>
                <w:rFonts w:ascii="Times New Roman"/>
                <w:sz w:val="18"/>
              </w:rPr>
              <w:t>126,414</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,172.00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-126,41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4,172.00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7" w:right="0"/>
              <w:jc w:val="left"/>
              <w:rPr>
                <w:rFonts w:ascii="Times New Roman" w:hAnsi="Times New Roman" w:cs="Times New Roman" w:eastAsia="Times New Roman" w:hint="default"/>
                <w:sz w:val="18"/>
                <w:szCs w:val="18"/>
              </w:rPr>
            </w:pPr>
            <w:r>
              <w:rPr>
                <w:rFonts w:ascii="Times New Roman"/>
                <w:sz w:val="18"/>
              </w:rPr>
              <w:t>126,414</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,172.00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-126,41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4,172.00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4,593,22</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4,593,225.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63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7" w:right="0"/>
              <w:jc w:val="left"/>
              <w:rPr>
                <w:rFonts w:ascii="Times New Roman" w:hAnsi="Times New Roman" w:cs="Times New Roman" w:eastAsia="Times New Roman" w:hint="default"/>
                <w:sz w:val="18"/>
                <w:szCs w:val="18"/>
              </w:rPr>
            </w:pPr>
            <w:r>
              <w:rPr>
                <w:rFonts w:ascii="Times New Roman"/>
                <w:sz w:val="18"/>
              </w:rPr>
              <w:t>252,748</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,344.00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477,995,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131.69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3" w:right="0"/>
              <w:jc w:val="left"/>
              <w:rPr>
                <w:rFonts w:ascii="Times New Roman" w:hAnsi="Times New Roman" w:cs="Times New Roman" w:eastAsia="Times New Roman" w:hint="default"/>
                <w:sz w:val="18"/>
                <w:szCs w:val="18"/>
              </w:rPr>
            </w:pPr>
            <w:r>
              <w:rPr>
                <w:rFonts w:ascii="Times New Roman"/>
                <w:sz w:val="18"/>
              </w:rPr>
              <w:t>85,773,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617.98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 w:right="0"/>
              <w:jc w:val="center"/>
              <w:rPr>
                <w:rFonts w:ascii="Times New Roman" w:hAnsi="Times New Roman" w:cs="Times New Roman" w:eastAsia="Times New Roman" w:hint="default"/>
                <w:sz w:val="18"/>
                <w:szCs w:val="18"/>
              </w:rPr>
            </w:pPr>
            <w:r>
              <w:rPr>
                <w:rFonts w:ascii="Times New Roman"/>
                <w:sz w:val="18"/>
              </w:rPr>
              <w:t>289,687,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732.96</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 w:right="0"/>
              <w:jc w:val="left"/>
              <w:rPr>
                <w:rFonts w:ascii="Times New Roman" w:hAnsi="Times New Roman" w:cs="Times New Roman" w:eastAsia="Times New Roman" w:hint="default"/>
                <w:sz w:val="18"/>
                <w:szCs w:val="18"/>
              </w:rPr>
            </w:pPr>
            <w:r>
              <w:rPr>
                <w:rFonts w:ascii="Times New Roman"/>
                <w:sz w:val="18"/>
              </w:rPr>
              <w:t>53,571,34</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0.68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5" w:right="0"/>
              <w:jc w:val="left"/>
              <w:rPr>
                <w:rFonts w:ascii="Times New Roman" w:hAnsi="Times New Roman" w:cs="Times New Roman" w:eastAsia="Times New Roman" w:hint="default"/>
                <w:sz w:val="18"/>
                <w:szCs w:val="18"/>
              </w:rPr>
            </w:pPr>
            <w:r>
              <w:rPr>
                <w:rFonts w:ascii="Times New Roman"/>
                <w:sz w:val="18"/>
              </w:rPr>
              <w:t>1,159,776,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167.31</w:t>
            </w:r>
          </w:p>
        </w:tc>
      </w:tr>
    </w:tbl>
    <w:p>
      <w:pPr>
        <w:pStyle w:val="BodyText"/>
        <w:tabs>
          <w:tab w:pos="8890" w:val="left" w:leader="none"/>
        </w:tabs>
        <w:spacing w:line="240" w:lineRule="auto" w:before="49"/>
        <w:ind w:right="0"/>
        <w:jc w:val="left"/>
      </w:pPr>
      <w:r>
        <w:rPr/>
        <w:t>上年金额</w:t>
        <w:tab/>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55"/>
        <w:gridCol w:w="687"/>
        <w:gridCol w:w="686"/>
        <w:gridCol w:w="686"/>
        <w:gridCol w:w="686"/>
        <w:gridCol w:w="684"/>
        <w:gridCol w:w="684"/>
        <w:gridCol w:w="686"/>
        <w:gridCol w:w="687"/>
        <w:gridCol w:w="818"/>
        <w:gridCol w:w="893"/>
      </w:tblGrid>
      <w:tr>
        <w:trPr>
          <w:trHeight w:val="322" w:hRule="exact"/>
        </w:trPr>
        <w:tc>
          <w:tcPr>
            <w:tcW w:w="2355" w:type="dxa"/>
            <w:vMerge w:val="restart"/>
            <w:tcBorders>
              <w:top w:val="single" w:sz="4" w:space="0" w:color="000000"/>
              <w:left w:val="single" w:sz="4" w:space="0" w:color="000000"/>
              <w:right w:val="single" w:sz="4" w:space="0" w:color="000000"/>
            </w:tcBorders>
            <w:shd w:val="clear" w:color="auto" w:fill="D2D2D2"/>
          </w:tcPr>
          <w:p>
            <w:pPr/>
          </w:p>
        </w:tc>
        <w:tc>
          <w:tcPr>
            <w:tcW w:w="719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03"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548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7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2" w:hRule="exact"/>
        </w:trPr>
        <w:tc>
          <w:tcPr>
            <w:tcW w:w="2355" w:type="dxa"/>
            <w:vMerge w:val="restart"/>
            <w:tcBorders>
              <w:top w:val="nil" w:sz="6" w:space="0" w:color="auto"/>
              <w:left w:val="single" w:sz="4" w:space="0" w:color="000000"/>
              <w:right w:val="single" w:sz="4" w:space="0" w:color="000000"/>
            </w:tcBorders>
            <w:shd w:val="clear" w:color="auto" w:fill="D2D2D2"/>
          </w:tcPr>
          <w:p>
            <w:pPr>
              <w:pStyle w:val="TableParagraph"/>
              <w:spacing w:line="202" w:lineRule="exact"/>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6"/>
              <w:ind w:left="67"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6"/>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6"/>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13"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资本公</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92"/>
                <w:sz w:val="18"/>
                <w:szCs w:val="18"/>
              </w:rPr>
              <w:t>：</w:t>
            </w:r>
            <w:r>
              <w:rPr>
                <w:rFonts w:ascii="宋体" w:hAnsi="宋体" w:cs="宋体" w:eastAsia="宋体" w:hint="default"/>
                <w:sz w:val="18"/>
                <w:szCs w:val="18"/>
              </w:rPr>
              <w:t>库存</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专项储</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盈余公</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69" w:right="0"/>
              <w:jc w:val="left"/>
              <w:rPr>
                <w:rFonts w:ascii="宋体" w:hAnsi="宋体" w:cs="宋体" w:eastAsia="宋体" w:hint="default"/>
                <w:sz w:val="18"/>
                <w:szCs w:val="18"/>
              </w:rPr>
            </w:pPr>
            <w:r>
              <w:rPr>
                <w:rFonts w:ascii="宋体" w:hAnsi="宋体" w:cs="宋体" w:eastAsia="宋体" w:hint="default"/>
                <w:sz w:val="18"/>
                <w:szCs w:val="18"/>
              </w:rPr>
              <w:t>一般风</w:t>
            </w: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160" w:right="0" w:hanging="89"/>
              <w:jc w:val="left"/>
              <w:rPr>
                <w:rFonts w:ascii="宋体" w:hAnsi="宋体" w:cs="宋体" w:eastAsia="宋体" w:hint="default"/>
                <w:sz w:val="18"/>
                <w:szCs w:val="18"/>
              </w:rPr>
            </w:pPr>
            <w:r>
              <w:rPr>
                <w:rFonts w:ascii="宋体" w:hAnsi="宋体" w:cs="宋体" w:eastAsia="宋体" w:hint="default"/>
                <w:sz w:val="18"/>
                <w:szCs w:val="18"/>
              </w:rPr>
              <w:t>未分配</w:t>
            </w: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233" w:hRule="exact"/>
        </w:trPr>
        <w:tc>
          <w:tcPr>
            <w:tcW w:w="2355" w:type="dxa"/>
            <w:vMerge w:val="restart"/>
            <w:tcBorders>
              <w:top w:val="nil" w:sz="6" w:space="0" w:color="auto"/>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0" w:lineRule="exact"/>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45" w:hRule="exact"/>
        </w:trPr>
        <w:tc>
          <w:tcPr>
            <w:tcW w:w="2355"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8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9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50"/>
              <w:ind w:left="60" w:right="0"/>
              <w:jc w:val="left"/>
              <w:rPr>
                <w:rFonts w:ascii="Times New Roman" w:hAnsi="Times New Roman" w:cs="Times New Roman" w:eastAsia="Times New Roman" w:hint="default"/>
                <w:sz w:val="18"/>
                <w:szCs w:val="18"/>
              </w:rPr>
            </w:pPr>
            <w:r>
              <w:rPr>
                <w:rFonts w:ascii="Times New Roman"/>
                <w:sz w:val="18"/>
              </w:rPr>
              <w:t>124,124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,172.00</w:t>
            </w:r>
          </w:p>
        </w:tc>
        <w:tc>
          <w:tcPr>
            <w:tcW w:w="686" w:type="dxa"/>
            <w:vMerge w:val="restart"/>
            <w:tcBorders>
              <w:top w:val="single" w:sz="47" w:space="0" w:color="D2D2D2"/>
              <w:left w:val="single" w:sz="4" w:space="0" w:color="000000"/>
              <w:right w:val="single" w:sz="4" w:space="0" w:color="000000"/>
            </w:tcBorders>
          </w:tcPr>
          <w:p>
            <w:pPr>
              <w:pStyle w:val="TableParagraph"/>
              <w:spacing w:line="203" w:lineRule="exact"/>
              <w:ind w:left="3" w:right="0"/>
              <w:jc w:val="center"/>
              <w:rPr>
                <w:rFonts w:ascii="Times New Roman" w:hAnsi="Times New Roman" w:cs="Times New Roman" w:eastAsia="Times New Roman" w:hint="default"/>
                <w:sz w:val="18"/>
                <w:szCs w:val="18"/>
              </w:rPr>
            </w:pPr>
            <w:r>
              <w:rPr>
                <w:rFonts w:ascii="Times New Roman"/>
                <w:sz w:val="18"/>
              </w:rPr>
              <w:t>579,516,</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203.70</w:t>
            </w:r>
          </w:p>
        </w:tc>
        <w:tc>
          <w:tcPr>
            <w:tcW w:w="686" w:type="dxa"/>
            <w:vMerge w:val="restart"/>
            <w:tcBorders>
              <w:top w:val="single" w:sz="47" w:space="0" w:color="D2D2D2"/>
              <w:left w:val="single" w:sz="4" w:space="0" w:color="000000"/>
              <w:right w:val="single" w:sz="4" w:space="0" w:color="000000"/>
            </w:tcBorders>
          </w:tcPr>
          <w:p>
            <w:pPr/>
          </w:p>
        </w:tc>
        <w:tc>
          <w:tcPr>
            <w:tcW w:w="686" w:type="dxa"/>
            <w:vMerge w:val="restart"/>
            <w:tcBorders>
              <w:top w:val="single" w:sz="47" w:space="0" w:color="D2D2D2"/>
              <w:left w:val="single" w:sz="4" w:space="0" w:color="000000"/>
              <w:right w:val="single" w:sz="4" w:space="0" w:color="000000"/>
            </w:tcBorders>
          </w:tcPr>
          <w:p>
            <w:pPr/>
          </w:p>
        </w:tc>
        <w:tc>
          <w:tcPr>
            <w:tcW w:w="684" w:type="dxa"/>
            <w:vMerge w:val="restart"/>
            <w:tcBorders>
              <w:top w:val="single" w:sz="47" w:space="0" w:color="D2D2D2"/>
              <w:left w:val="single" w:sz="4" w:space="0" w:color="000000"/>
              <w:right w:val="single" w:sz="4" w:space="0" w:color="000000"/>
            </w:tcBorders>
          </w:tcPr>
          <w:p>
            <w:pPr>
              <w:pStyle w:val="TableParagraph"/>
              <w:spacing w:line="203" w:lineRule="exact"/>
              <w:ind w:left="113" w:right="0"/>
              <w:jc w:val="left"/>
              <w:rPr>
                <w:rFonts w:ascii="Times New Roman" w:hAnsi="Times New Roman" w:cs="Times New Roman" w:eastAsia="Times New Roman" w:hint="default"/>
                <w:sz w:val="18"/>
                <w:szCs w:val="18"/>
              </w:rPr>
            </w:pPr>
            <w:r>
              <w:rPr>
                <w:rFonts w:ascii="Times New Roman"/>
                <w:sz w:val="18"/>
              </w:rPr>
              <w:t>63,206,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829.92</w:t>
            </w:r>
          </w:p>
        </w:tc>
        <w:tc>
          <w:tcPr>
            <w:tcW w:w="684" w:type="dxa"/>
            <w:vMerge w:val="restart"/>
            <w:tcBorders>
              <w:top w:val="single" w:sz="47" w:space="0" w:color="D2D2D2"/>
              <w:left w:val="single" w:sz="4" w:space="0" w:color="000000"/>
              <w:right w:val="single" w:sz="4" w:space="0" w:color="000000"/>
            </w:tcBorders>
          </w:tcPr>
          <w:p>
            <w:pPr/>
          </w:p>
        </w:tc>
        <w:tc>
          <w:tcPr>
            <w:tcW w:w="686" w:type="dxa"/>
            <w:vMerge w:val="restart"/>
            <w:tcBorders>
              <w:top w:val="single" w:sz="47" w:space="0" w:color="D2D2D2"/>
              <w:left w:val="single" w:sz="4" w:space="0" w:color="000000"/>
              <w:right w:val="single" w:sz="4" w:space="0" w:color="000000"/>
            </w:tcBorders>
          </w:tcPr>
          <w:p>
            <w:pPr>
              <w:pStyle w:val="TableParagraph"/>
              <w:spacing w:line="203" w:lineRule="exact"/>
              <w:ind w:left="8" w:right="0"/>
              <w:jc w:val="center"/>
              <w:rPr>
                <w:rFonts w:ascii="Times New Roman" w:hAnsi="Times New Roman" w:cs="Times New Roman" w:eastAsia="Times New Roman" w:hint="default"/>
                <w:sz w:val="18"/>
                <w:szCs w:val="18"/>
              </w:rPr>
            </w:pPr>
            <w:r>
              <w:rPr>
                <w:rFonts w:ascii="Times New Roman"/>
                <w:sz w:val="18"/>
              </w:rPr>
              <w:t>197,437,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212.68</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50"/>
              <w:ind w:left="64" w:right="0"/>
              <w:jc w:val="left"/>
              <w:rPr>
                <w:rFonts w:ascii="Times New Roman" w:hAnsi="Times New Roman" w:cs="Times New Roman" w:eastAsia="Times New Roman" w:hint="default"/>
                <w:sz w:val="18"/>
                <w:szCs w:val="18"/>
              </w:rPr>
            </w:pPr>
            <w:r>
              <w:rPr>
                <w:rFonts w:ascii="Times New Roman"/>
                <w:sz w:val="18"/>
              </w:rPr>
              <w:t>46,347,39</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2.00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50"/>
              <w:ind w:left="95" w:right="0"/>
              <w:jc w:val="left"/>
              <w:rPr>
                <w:rFonts w:ascii="Times New Roman" w:hAnsi="Times New Roman" w:cs="Times New Roman" w:eastAsia="Times New Roman" w:hint="default"/>
                <w:sz w:val="18"/>
                <w:szCs w:val="18"/>
              </w:rPr>
            </w:pPr>
            <w:r>
              <w:rPr>
                <w:rFonts w:ascii="Times New Roman"/>
                <w:sz w:val="18"/>
              </w:rPr>
              <w:t>1,010,631,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810.30</w:t>
            </w:r>
          </w:p>
        </w:tc>
      </w:tr>
      <w:tr>
        <w:trPr>
          <w:trHeight w:val="312"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634"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19"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4"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53"/>
              <w:ind w:left="60" w:right="0"/>
              <w:jc w:val="left"/>
              <w:rPr>
                <w:rFonts w:ascii="Times New Roman" w:hAnsi="Times New Roman" w:cs="Times New Roman" w:eastAsia="Times New Roman" w:hint="default"/>
                <w:sz w:val="18"/>
                <w:szCs w:val="18"/>
              </w:rPr>
            </w:pPr>
            <w:r>
              <w:rPr>
                <w:rFonts w:ascii="Times New Roman"/>
                <w:sz w:val="18"/>
              </w:rPr>
              <w:t>124,124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,172.00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18"/>
                <w:szCs w:val="18"/>
              </w:rPr>
            </w:pPr>
            <w:r>
              <w:rPr>
                <w:rFonts w:ascii="Times New Roman"/>
                <w:sz w:val="18"/>
              </w:rPr>
              <w:t>579,516,</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203.70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53"/>
              <w:ind w:left="113" w:right="0"/>
              <w:jc w:val="left"/>
              <w:rPr>
                <w:rFonts w:ascii="Times New Roman" w:hAnsi="Times New Roman" w:cs="Times New Roman" w:eastAsia="Times New Roman" w:hint="default"/>
                <w:sz w:val="18"/>
                <w:szCs w:val="18"/>
              </w:rPr>
            </w:pPr>
            <w:r>
              <w:rPr>
                <w:rFonts w:ascii="Times New Roman"/>
                <w:sz w:val="18"/>
              </w:rPr>
              <w:t>63,206,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829.92</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53"/>
              <w:ind w:left="8" w:right="0"/>
              <w:jc w:val="center"/>
              <w:rPr>
                <w:rFonts w:ascii="Times New Roman" w:hAnsi="Times New Roman" w:cs="Times New Roman" w:eastAsia="Times New Roman" w:hint="default"/>
                <w:sz w:val="18"/>
                <w:szCs w:val="18"/>
              </w:rPr>
            </w:pPr>
            <w:r>
              <w:rPr>
                <w:rFonts w:ascii="Times New Roman"/>
                <w:sz w:val="18"/>
              </w:rPr>
              <w:t>197,437,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212.68</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53"/>
              <w:ind w:left="64" w:right="0"/>
              <w:jc w:val="left"/>
              <w:rPr>
                <w:rFonts w:ascii="Times New Roman" w:hAnsi="Times New Roman" w:cs="Times New Roman" w:eastAsia="Times New Roman" w:hint="default"/>
                <w:sz w:val="18"/>
                <w:szCs w:val="18"/>
              </w:rPr>
            </w:pPr>
            <w:r>
              <w:rPr>
                <w:rFonts w:ascii="Times New Roman"/>
                <w:sz w:val="18"/>
              </w:rPr>
              <w:t>46,347,39</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2.00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53"/>
              <w:ind w:left="95" w:right="0"/>
              <w:jc w:val="left"/>
              <w:rPr>
                <w:rFonts w:ascii="Times New Roman" w:hAnsi="Times New Roman" w:cs="Times New Roman" w:eastAsia="Times New Roman" w:hint="default"/>
                <w:sz w:val="18"/>
                <w:szCs w:val="18"/>
              </w:rPr>
            </w:pPr>
            <w:r>
              <w:rPr>
                <w:rFonts w:ascii="Times New Roman"/>
                <w:sz w:val="18"/>
              </w:rPr>
              <w:t>1,010,631,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810.30</w:t>
            </w:r>
          </w:p>
        </w:tc>
      </w:tr>
      <w:tr>
        <w:trPr>
          <w:trHeight w:val="312"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634"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81" w:right="0"/>
              <w:jc w:val="center"/>
              <w:rPr>
                <w:rFonts w:ascii="Times New Roman" w:hAnsi="Times New Roman" w:cs="Times New Roman" w:eastAsia="Times New Roman" w:hint="default"/>
                <w:sz w:val="18"/>
                <w:szCs w:val="18"/>
              </w:rPr>
            </w:pPr>
            <w:r>
              <w:rPr>
                <w:rFonts w:ascii="Times New Roman"/>
                <w:sz w:val="18"/>
              </w:rPr>
              <w:t>2,290,0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20,609,0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74.99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3" w:right="0"/>
              <w:jc w:val="left"/>
              <w:rPr>
                <w:rFonts w:ascii="Times New Roman" w:hAnsi="Times New Roman" w:cs="Times New Roman" w:eastAsia="Times New Roman" w:hint="default"/>
                <w:sz w:val="18"/>
                <w:szCs w:val="18"/>
              </w:rPr>
            </w:pPr>
            <w:r>
              <w:rPr>
                <w:rFonts w:ascii="Times New Roman"/>
                <w:sz w:val="18"/>
              </w:rPr>
              <w:t>12,040,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972.56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Times New Roman" w:hAnsi="Times New Roman" w:cs="Times New Roman" w:eastAsia="Times New Roman" w:hint="default"/>
                <w:sz w:val="18"/>
                <w:szCs w:val="18"/>
              </w:rPr>
            </w:pPr>
            <w:r>
              <w:rPr>
                <w:rFonts w:ascii="Times New Roman"/>
                <w:sz w:val="18"/>
              </w:rPr>
              <w:t>50,317,3</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86.69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2,047,785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87,305,220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w:t>
            </w: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50"/>
              <w:ind w:left="26" w:right="0"/>
              <w:jc w:val="left"/>
              <w:rPr>
                <w:rFonts w:ascii="Times New Roman" w:hAnsi="Times New Roman" w:cs="Times New Roman" w:eastAsia="Times New Roman" w:hint="default"/>
                <w:sz w:val="18"/>
                <w:szCs w:val="18"/>
              </w:rPr>
            </w:pPr>
            <w:r>
              <w:rPr>
                <w:rFonts w:ascii="Times New Roman"/>
                <w:sz w:val="18"/>
              </w:rPr>
              <w:t>86,964,3</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60.30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9,191,989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96,156,349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.54</w:t>
            </w:r>
          </w:p>
        </w:tc>
      </w:tr>
      <w:tr>
        <w:trPr>
          <w:trHeight w:val="312"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322"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50"/>
              <w:ind w:left="26" w:right="0"/>
              <w:jc w:val="left"/>
              <w:rPr>
                <w:rFonts w:ascii="Times New Roman" w:hAnsi="Times New Roman" w:cs="Times New Roman" w:eastAsia="Times New Roman" w:hint="default"/>
                <w:sz w:val="18"/>
                <w:szCs w:val="18"/>
              </w:rPr>
            </w:pPr>
            <w:r>
              <w:rPr>
                <w:rFonts w:ascii="Times New Roman"/>
                <w:sz w:val="18"/>
              </w:rPr>
              <w:t>86,964,3</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60.30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9,191,989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96,156,349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.54</w:t>
            </w:r>
          </w:p>
        </w:tc>
      </w:tr>
      <w:tr>
        <w:trPr>
          <w:trHeight w:val="312" w:hRule="exact"/>
        </w:trPr>
        <w:tc>
          <w:tcPr>
            <w:tcW w:w="2355" w:type="dxa"/>
            <w:tcBorders>
              <w:top w:val="nil" w:sz="6" w:space="0" w:color="auto"/>
              <w:left w:val="single" w:sz="13" w:space="0" w:color="D2D2D2"/>
              <w:bottom w:val="nil" w:sz="6" w:space="0" w:color="auto"/>
              <w:right w:val="single" w:sz="10" w:space="0" w:color="D2D2D2"/>
            </w:tcBorders>
          </w:tcPr>
          <w:p>
            <w:pPr>
              <w:pStyle w:val="TableParagraph"/>
              <w:tabs>
                <w:tab w:pos="2311" w:val="left" w:leader="none"/>
              </w:tabs>
              <w:spacing w:line="240" w:lineRule="auto" w:before="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45"/>
                <w:sz w:val="18"/>
                <w:szCs w:val="18"/>
                <w:shd w:fill="D2D2D2" w:color="auto" w:val="clear"/>
              </w:rPr>
              <w:t> </w:t>
            </w:r>
            <w:r>
              <w:rPr>
                <w:rFonts w:ascii="宋体" w:hAnsi="宋体" w:cs="宋体" w:eastAsia="宋体" w:hint="default"/>
                <w:sz w:val="18"/>
                <w:szCs w:val="18"/>
                <w:shd w:fill="D2D2D2" w:color="auto" w:val="clear"/>
              </w:rPr>
              <w:t>上述（一）和（二）小计</w:t>
              <w:tab/>
            </w:r>
            <w:r>
              <w:rPr>
                <w:rFonts w:ascii="宋体" w:hAnsi="宋体" w:cs="宋体" w:eastAsia="宋体" w:hint="default"/>
                <w:sz w:val="18"/>
                <w:szCs w:val="18"/>
              </w:rPr>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272" w:top="1060" w:bottom="152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63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8" w:right="0"/>
              <w:jc w:val="center"/>
              <w:rPr>
                <w:rFonts w:ascii="Times New Roman" w:hAnsi="Times New Roman" w:cs="Times New Roman" w:eastAsia="Times New Roman" w:hint="default"/>
                <w:sz w:val="18"/>
                <w:szCs w:val="18"/>
              </w:rPr>
            </w:pPr>
            <w:r>
              <w:rPr>
                <w:rFonts w:ascii="Times New Roman"/>
                <w:sz w:val="18"/>
              </w:rPr>
              <w:t>2,290,0</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20,773,2</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23,063,200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63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8" w:right="0"/>
              <w:jc w:val="center"/>
              <w:rPr>
                <w:rFonts w:ascii="Times New Roman" w:hAnsi="Times New Roman" w:cs="Times New Roman" w:eastAsia="Times New Roman" w:hint="default"/>
                <w:sz w:val="18"/>
                <w:szCs w:val="18"/>
              </w:rPr>
            </w:pPr>
            <w:r>
              <w:rPr>
                <w:rFonts w:ascii="Times New Roman"/>
                <w:sz w:val="18"/>
              </w:rPr>
              <w:t>2,290,0</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19,991,7</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22,281,700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63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781,500.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781,500.00</w:t>
            </w:r>
          </w:p>
        </w:tc>
      </w:tr>
      <w:tr>
        <w:trPr>
          <w:trHeight w:val="32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3" w:right="0"/>
              <w:jc w:val="left"/>
              <w:rPr>
                <w:rFonts w:ascii="Times New Roman" w:hAnsi="Times New Roman" w:cs="Times New Roman" w:eastAsia="Times New Roman" w:hint="default"/>
                <w:sz w:val="18"/>
                <w:szCs w:val="18"/>
              </w:rPr>
            </w:pPr>
            <w:r>
              <w:rPr>
                <w:rFonts w:ascii="Times New Roman"/>
                <w:sz w:val="18"/>
              </w:rPr>
              <w:t>12,040,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972.56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 w:right="0"/>
              <w:jc w:val="center"/>
              <w:rPr>
                <w:rFonts w:ascii="Times New Roman" w:hAnsi="Times New Roman" w:cs="Times New Roman" w:eastAsia="Times New Roman" w:hint="default"/>
                <w:sz w:val="18"/>
                <w:szCs w:val="18"/>
              </w:rPr>
            </w:pPr>
            <w:r>
              <w:rPr>
                <w:rFonts w:ascii="Times New Roman"/>
                <w:sz w:val="18"/>
              </w:rPr>
              <w:t>-36,865,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806.96</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6" w:right="0"/>
              <w:jc w:val="left"/>
              <w:rPr>
                <w:rFonts w:ascii="Times New Roman" w:hAnsi="Times New Roman" w:cs="Times New Roman" w:eastAsia="Times New Roman" w:hint="default"/>
                <w:sz w:val="18"/>
                <w:szCs w:val="18"/>
              </w:rPr>
            </w:pPr>
            <w:r>
              <w:rPr>
                <w:rFonts w:ascii="Times New Roman"/>
                <w:sz w:val="18"/>
              </w:rPr>
              <w:t>-7,089,49</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5.06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1" w:right="0"/>
              <w:jc w:val="left"/>
              <w:rPr>
                <w:rFonts w:ascii="Times New Roman" w:hAnsi="Times New Roman" w:cs="Times New Roman" w:eastAsia="Times New Roman" w:hint="default"/>
                <w:sz w:val="18"/>
                <w:szCs w:val="18"/>
              </w:rPr>
            </w:pPr>
            <w:r>
              <w:rPr>
                <w:rFonts w:ascii="Times New Roman"/>
                <w:sz w:val="18"/>
              </w:rPr>
              <w:t>-31,914,32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9.46</w:t>
            </w:r>
          </w:p>
        </w:tc>
      </w:tr>
      <w:tr>
        <w:trPr>
          <w:trHeight w:val="63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3" w:right="0"/>
              <w:jc w:val="left"/>
              <w:rPr>
                <w:rFonts w:ascii="Times New Roman" w:hAnsi="Times New Roman" w:cs="Times New Roman" w:eastAsia="Times New Roman" w:hint="default"/>
                <w:sz w:val="18"/>
                <w:szCs w:val="18"/>
              </w:rPr>
            </w:pPr>
            <w:r>
              <w:rPr>
                <w:rFonts w:ascii="Times New Roman"/>
                <w:sz w:val="18"/>
              </w:rPr>
              <w:t>12,040,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972.56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 w:right="0"/>
              <w:jc w:val="center"/>
              <w:rPr>
                <w:rFonts w:ascii="Times New Roman" w:hAnsi="Times New Roman" w:cs="Times New Roman" w:eastAsia="Times New Roman" w:hint="default"/>
                <w:sz w:val="18"/>
                <w:szCs w:val="18"/>
              </w:rPr>
            </w:pPr>
            <w:r>
              <w:rPr>
                <w:rFonts w:ascii="Times New Roman"/>
                <w:sz w:val="18"/>
              </w:rPr>
              <w:t>-12,040,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972.56</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Times New Roman" w:hAnsi="Times New Roman" w:cs="Times New Roman" w:eastAsia="Times New Roman" w:hint="default"/>
                <w:sz w:val="18"/>
                <w:szCs w:val="18"/>
              </w:rPr>
            </w:pPr>
            <w:r>
              <w:rPr>
                <w:rFonts w:ascii="Times New Roman"/>
                <w:sz w:val="18"/>
              </w:rPr>
              <w:t>-24,824,</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834.40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6" w:right="0"/>
              <w:jc w:val="left"/>
              <w:rPr>
                <w:rFonts w:ascii="Times New Roman" w:hAnsi="Times New Roman" w:cs="Times New Roman" w:eastAsia="Times New Roman" w:hint="default"/>
                <w:sz w:val="18"/>
                <w:szCs w:val="18"/>
              </w:rPr>
            </w:pPr>
            <w:r>
              <w:rPr>
                <w:rFonts w:ascii="Times New Roman"/>
                <w:sz w:val="18"/>
              </w:rPr>
              <w:t>-7,089,49</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5.06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1" w:right="0"/>
              <w:jc w:val="left"/>
              <w:rPr>
                <w:rFonts w:ascii="Times New Roman" w:hAnsi="Times New Roman" w:cs="Times New Roman" w:eastAsia="Times New Roman" w:hint="default"/>
                <w:sz w:val="18"/>
                <w:szCs w:val="18"/>
              </w:rPr>
            </w:pPr>
            <w:r>
              <w:rPr>
                <w:rFonts w:ascii="Times New Roman"/>
                <w:sz w:val="18"/>
              </w:rPr>
              <w:t>-31,914,32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9.46</w:t>
            </w:r>
          </w:p>
        </w:tc>
      </w:tr>
      <w:tr>
        <w:trPr>
          <w:trHeight w:val="32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Times New Roman" w:hAnsi="Times New Roman" w:cs="Times New Roman" w:eastAsia="Times New Roman" w:hint="default"/>
                <w:sz w:val="18"/>
                <w:szCs w:val="18"/>
              </w:rPr>
            </w:pPr>
            <w:r>
              <w:rPr>
                <w:rFonts w:ascii="Times New Roman"/>
                <w:sz w:val="18"/>
              </w:rPr>
              <w:t>-164,12</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5.01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z w:val="18"/>
              </w:rPr>
              <w:t>218,833.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-54,708.3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-164,12</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5.01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218,833.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-54,708.3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7" w:right="0"/>
              <w:jc w:val="left"/>
              <w:rPr>
                <w:rFonts w:ascii="Times New Roman" w:hAnsi="Times New Roman" w:cs="Times New Roman" w:eastAsia="Times New Roman" w:hint="default"/>
                <w:sz w:val="18"/>
                <w:szCs w:val="18"/>
              </w:rPr>
            </w:pPr>
            <w:r>
              <w:rPr>
                <w:rFonts w:ascii="Times New Roman"/>
                <w:sz w:val="18"/>
              </w:rPr>
              <w:t>126,414</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,172.00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600,125,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278.69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3" w:right="0"/>
              <w:jc w:val="left"/>
              <w:rPr>
                <w:rFonts w:ascii="Times New Roman" w:hAnsi="Times New Roman" w:cs="Times New Roman" w:eastAsia="Times New Roman" w:hint="default"/>
                <w:sz w:val="18"/>
                <w:szCs w:val="18"/>
              </w:rPr>
            </w:pPr>
            <w:r>
              <w:rPr>
                <w:rFonts w:ascii="Times New Roman"/>
                <w:sz w:val="18"/>
              </w:rPr>
              <w:t>75,247,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802.48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 w:right="0"/>
              <w:jc w:val="center"/>
              <w:rPr>
                <w:rFonts w:ascii="Times New Roman" w:hAnsi="Times New Roman" w:cs="Times New Roman" w:eastAsia="Times New Roman" w:hint="default"/>
                <w:sz w:val="18"/>
                <w:szCs w:val="18"/>
              </w:rPr>
            </w:pPr>
            <w:r>
              <w:rPr>
                <w:rFonts w:ascii="Times New Roman"/>
                <w:sz w:val="18"/>
              </w:rPr>
              <w:t>247,754,</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599.37</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 w:right="0"/>
              <w:jc w:val="left"/>
              <w:rPr>
                <w:rFonts w:ascii="Times New Roman" w:hAnsi="Times New Roman" w:cs="Times New Roman" w:eastAsia="Times New Roman" w:hint="default"/>
                <w:sz w:val="18"/>
                <w:szCs w:val="18"/>
              </w:rPr>
            </w:pPr>
            <w:r>
              <w:rPr>
                <w:rFonts w:ascii="Times New Roman"/>
                <w:sz w:val="18"/>
              </w:rPr>
              <w:t>48,395,17</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7.84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5" w:right="0"/>
              <w:jc w:val="left"/>
              <w:rPr>
                <w:rFonts w:ascii="Times New Roman" w:hAnsi="Times New Roman" w:cs="Times New Roman" w:eastAsia="Times New Roman" w:hint="default"/>
                <w:sz w:val="18"/>
                <w:szCs w:val="18"/>
              </w:rPr>
            </w:pPr>
            <w:r>
              <w:rPr>
                <w:rFonts w:ascii="Times New Roman"/>
                <w:sz w:val="18"/>
              </w:rPr>
              <w:t>1,097,937,</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030.38</w:t>
            </w:r>
          </w:p>
        </w:tc>
      </w:tr>
    </w:tbl>
    <w:p>
      <w:pPr>
        <w:spacing w:line="240" w:lineRule="auto" w:before="2"/>
        <w:rPr>
          <w:rFonts w:ascii="宋体" w:hAnsi="宋体" w:cs="宋体" w:eastAsia="宋体" w:hint="default"/>
          <w:sz w:val="20"/>
          <w:szCs w:val="20"/>
        </w:rPr>
      </w:pPr>
    </w:p>
    <w:p>
      <w:pPr>
        <w:pStyle w:val="BodyText"/>
        <w:tabs>
          <w:tab w:pos="3667" w:val="left" w:leader="none"/>
          <w:tab w:pos="7899" w:val="left" w:leader="none"/>
        </w:tabs>
        <w:spacing w:line="240" w:lineRule="auto" w:before="44"/>
        <w:ind w:right="0"/>
        <w:jc w:val="left"/>
      </w:pPr>
      <w:r>
        <w:rPr/>
        <w:t>法定代表人：王爱先</w:t>
        <w:tab/>
      </w:r>
      <w:r>
        <w:rPr>
          <w:spacing w:val="-1"/>
        </w:rPr>
        <w:t>主管会计工作负责人：史建中</w:t>
        <w:tab/>
      </w:r>
      <w:r>
        <w:rPr/>
        <w:t>会计机构负责人：郑理</w:t>
      </w:r>
    </w:p>
    <w:p>
      <w:pPr>
        <w:spacing w:line="240" w:lineRule="auto" w:before="0"/>
        <w:rPr>
          <w:rFonts w:ascii="宋体" w:hAnsi="宋体" w:cs="宋体" w:eastAsia="宋体" w:hint="default"/>
          <w:sz w:val="18"/>
          <w:szCs w:val="18"/>
        </w:rPr>
      </w:pPr>
    </w:p>
    <w:p>
      <w:pPr>
        <w:pStyle w:val="Heading5"/>
        <w:spacing w:line="240" w:lineRule="auto" w:before="127"/>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1272" w:top="1060" w:bottom="1520" w:left="980" w:right="0"/>
        </w:sectPr>
      </w:pPr>
    </w:p>
    <w:p>
      <w:pPr>
        <w:pStyle w:val="BodyText"/>
        <w:spacing w:line="360" w:lineRule="auto" w:before="44"/>
        <w:ind w:right="-20"/>
        <w:jc w:val="left"/>
      </w:pPr>
      <w:r>
        <w:rPr/>
        <w:t>编制单位：东港股份有限公司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2493" w:space="6427"/>
            <w:col w:w="201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44"/>
        <w:ind w:left="3378" w:right="0"/>
        <w:jc w:val="left"/>
      </w:pPr>
      <w:r>
        <w:rPr/>
        <w:pict>
          <v:shape style="position:absolute;margin-left:56.400002pt;margin-top:-30.368279pt;width:479.15pt;height:79.9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77"/>
                    <w:gridCol w:w="884"/>
                    <w:gridCol w:w="886"/>
                    <w:gridCol w:w="886"/>
                    <w:gridCol w:w="886"/>
                    <w:gridCol w:w="886"/>
                    <w:gridCol w:w="886"/>
                    <w:gridCol w:w="888"/>
                    <w:gridCol w:w="890"/>
                  </w:tblGrid>
                  <w:tr>
                    <w:trPr>
                      <w:trHeight w:val="317"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23" w:space="0" w:color="D2D2D2"/>
                          <w:right w:val="single" w:sz="22" w:space="0" w:color="D2D2D2"/>
                        </w:tcBorders>
                      </w:tcPr>
                      <w:p>
                        <w:pPr>
                          <w:pStyle w:val="TableParagraph"/>
                          <w:tabs>
                            <w:tab w:pos="830" w:val="left" w:leader="none"/>
                          </w:tabs>
                          <w:spacing w:line="240" w:lineRule="auto" w:before="8"/>
                          <w:ind w:left="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7"/>
                            <w:sz w:val="18"/>
                            <w:szCs w:val="18"/>
                            <w:shd w:fill="D2D2D2" w:color="auto" w:val="clear"/>
                          </w:rPr>
                          <w:t> </w:t>
                        </w:r>
                        <w:r>
                          <w:rPr>
                            <w:rFonts w:ascii="宋体" w:hAnsi="宋体" w:cs="宋体" w:eastAsia="宋体" w:hint="default"/>
                            <w:sz w:val="18"/>
                            <w:szCs w:val="18"/>
                            <w:shd w:fill="D2D2D2" w:color="auto" w:val="clear"/>
                          </w:rPr>
                          <w:t>资本公积</w:t>
                          <w:tab/>
                        </w:r>
                        <w:r>
                          <w:rPr>
                            <w:rFonts w:ascii="宋体" w:hAnsi="宋体" w:cs="宋体" w:eastAsia="宋体" w:hint="default"/>
                            <w:sz w:val="18"/>
                            <w:szCs w:val="18"/>
                          </w:rPr>
                        </w:r>
                      </w:p>
                    </w:tc>
                    <w:tc>
                      <w:tcPr>
                        <w:tcW w:w="886" w:type="dxa"/>
                        <w:vMerge w:val="restart"/>
                        <w:tcBorders>
                          <w:top w:val="nil" w:sz="6" w:space="0" w:color="auto"/>
                          <w:left w:val="single" w:sz="22" w:space="0" w:color="D2D2D2"/>
                          <w:right w:val="single" w:sz="9" w:space="0" w:color="D2D2D2"/>
                        </w:tcBorders>
                      </w:tcPr>
                      <w:p>
                        <w:pPr>
                          <w:pStyle w:val="TableParagraph"/>
                          <w:spacing w:line="240" w:lineRule="auto" w:before="8"/>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45"/>
                            <w:sz w:val="18"/>
                            <w:szCs w:val="18"/>
                            <w:shd w:fill="D2D2D2" w:color="auto" w:val="clear"/>
                          </w:rPr>
                          <w:t> </w:t>
                        </w:r>
                        <w:r>
                          <w:rPr>
                            <w:rFonts w:ascii="宋体" w:hAnsi="宋体" w:cs="宋体" w:eastAsia="宋体" w:hint="default"/>
                            <w:sz w:val="18"/>
                            <w:szCs w:val="18"/>
                            <w:shd w:fill="D2D2D2" w:color="auto" w:val="clear"/>
                          </w:rPr>
                          <w:t>减</w:t>
                        </w:r>
                        <w:r>
                          <w:rPr>
                            <w:rFonts w:ascii="宋体" w:hAnsi="宋体" w:cs="宋体" w:eastAsia="宋体" w:hint="default"/>
                            <w:spacing w:val="-72"/>
                            <w:sz w:val="18"/>
                            <w:szCs w:val="18"/>
                            <w:shd w:fill="D2D2D2" w:color="auto" w:val="clear"/>
                          </w:rPr>
                          <w:t>：</w:t>
                        </w:r>
                        <w:r>
                          <w:rPr>
                            <w:rFonts w:ascii="宋体" w:hAnsi="宋体" w:cs="宋体" w:eastAsia="宋体" w:hint="default"/>
                            <w:sz w:val="18"/>
                            <w:szCs w:val="18"/>
                            <w:shd w:fill="D2D2D2" w:color="auto" w:val="clear"/>
                          </w:rPr>
                          <w:t>库存</w:t>
                        </w:r>
                        <w:r>
                          <w:rPr>
                            <w:rFonts w:ascii="宋体" w:hAnsi="宋体" w:cs="宋体" w:eastAsia="宋体" w:hint="default"/>
                            <w:spacing w:val="2"/>
                            <w:sz w:val="18"/>
                            <w:szCs w:val="18"/>
                            <w:shd w:fill="D2D2D2" w:color="auto" w:val="clear"/>
                          </w:rPr>
                          <w:t>股</w:t>
                        </w:r>
                        <w:r>
                          <w:rPr>
                            <w:rFonts w:ascii="宋体" w:hAnsi="宋体" w:cs="宋体" w:eastAsia="宋体" w:hint="default"/>
                            <w:spacing w:val="2"/>
                            <w:sz w:val="18"/>
                            <w:szCs w:val="18"/>
                          </w:rPr>
                        </w:r>
                        <w:r>
                          <w:rPr>
                            <w:rFonts w:ascii="宋体" w:hAnsi="宋体" w:cs="宋体" w:eastAsia="宋体" w:hint="default"/>
                            <w:sz w:val="18"/>
                            <w:szCs w:val="18"/>
                          </w:rPr>
                        </w:r>
                      </w:p>
                    </w:tc>
                    <w:tc>
                      <w:tcPr>
                        <w:tcW w:w="886" w:type="dxa"/>
                        <w:vMerge w:val="restart"/>
                        <w:tcBorders>
                          <w:top w:val="nil" w:sz="6" w:space="0" w:color="auto"/>
                          <w:left w:val="single" w:sz="9" w:space="0" w:color="D2D2D2"/>
                          <w:right w:val="single" w:sz="22" w:space="0" w:color="D2D2D2"/>
                        </w:tcBorders>
                      </w:tcPr>
                      <w:p>
                        <w:pPr>
                          <w:pStyle w:val="TableParagraph"/>
                          <w:tabs>
                            <w:tab w:pos="848" w:val="left" w:leader="none"/>
                          </w:tabs>
                          <w:spacing w:line="240" w:lineRule="auto" w:before="8"/>
                          <w:ind w:left="18"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0"/>
                            <w:sz w:val="18"/>
                            <w:szCs w:val="18"/>
                            <w:shd w:fill="D2D2D2" w:color="auto" w:val="clear"/>
                          </w:rPr>
                          <w:t> </w:t>
                        </w:r>
                        <w:r>
                          <w:rPr>
                            <w:rFonts w:ascii="宋体" w:hAnsi="宋体" w:cs="宋体" w:eastAsia="宋体" w:hint="default"/>
                            <w:sz w:val="18"/>
                            <w:szCs w:val="18"/>
                            <w:shd w:fill="D2D2D2" w:color="auto" w:val="clear"/>
                          </w:rPr>
                          <w:t>专项储备</w:t>
                          <w:tab/>
                        </w:r>
                        <w:r>
                          <w:rPr>
                            <w:rFonts w:ascii="宋体" w:hAnsi="宋体" w:cs="宋体" w:eastAsia="宋体" w:hint="default"/>
                            <w:sz w:val="18"/>
                            <w:szCs w:val="18"/>
                          </w:rPr>
                        </w:r>
                      </w:p>
                    </w:tc>
                    <w:tc>
                      <w:tcPr>
                        <w:tcW w:w="886" w:type="dxa"/>
                        <w:vMerge w:val="restart"/>
                        <w:tcBorders>
                          <w:top w:val="nil" w:sz="6" w:space="0" w:color="auto"/>
                          <w:left w:val="single" w:sz="22" w:space="0" w:color="D2D2D2"/>
                          <w:right w:val="single" w:sz="22" w:space="0" w:color="D2D2D2"/>
                        </w:tcBorders>
                      </w:tcPr>
                      <w:p>
                        <w:pPr>
                          <w:pStyle w:val="TableParagraph"/>
                          <w:tabs>
                            <w:tab w:pos="831" w:val="left" w:leader="none"/>
                          </w:tabs>
                          <w:spacing w:line="240" w:lineRule="auto" w:before="8"/>
                          <w:ind w:left="1"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0"/>
                            <w:sz w:val="18"/>
                            <w:szCs w:val="18"/>
                            <w:shd w:fill="D2D2D2" w:color="auto" w:val="clear"/>
                          </w:rPr>
                          <w:t> </w:t>
                        </w:r>
                        <w:r>
                          <w:rPr>
                            <w:rFonts w:ascii="宋体" w:hAnsi="宋体" w:cs="宋体" w:eastAsia="宋体" w:hint="default"/>
                            <w:sz w:val="18"/>
                            <w:szCs w:val="18"/>
                            <w:shd w:fill="D2D2D2" w:color="auto" w:val="clear"/>
                          </w:rPr>
                          <w:t>盈余公积</w:t>
                          <w:tab/>
                        </w:r>
                        <w:r>
                          <w:rPr>
                            <w:rFonts w:ascii="宋体" w:hAnsi="宋体" w:cs="宋体" w:eastAsia="宋体" w:hint="default"/>
                            <w:sz w:val="18"/>
                            <w:szCs w:val="18"/>
                          </w:rPr>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77" w:type="dxa"/>
                        <w:vMerge w:val="restart"/>
                        <w:tcBorders>
                          <w:top w:val="nil" w:sz="6" w:space="0" w:color="auto"/>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vMerge/>
                        <w:tcBorders>
                          <w:left w:val="single" w:sz="23" w:space="0" w:color="D2D2D2"/>
                          <w:bottom w:val="nil" w:sz="6" w:space="0" w:color="auto"/>
                          <w:right w:val="single" w:sz="22" w:space="0" w:color="D2D2D2"/>
                        </w:tcBorders>
                      </w:tcPr>
                      <w:p>
                        <w:pPr/>
                      </w:p>
                    </w:tc>
                    <w:tc>
                      <w:tcPr>
                        <w:tcW w:w="886" w:type="dxa"/>
                        <w:vMerge/>
                        <w:tcBorders>
                          <w:left w:val="single" w:sz="22" w:space="0" w:color="D2D2D2"/>
                          <w:bottom w:val="nil" w:sz="6" w:space="0" w:color="auto"/>
                          <w:right w:val="single" w:sz="9" w:space="0" w:color="D2D2D2"/>
                        </w:tcBorders>
                      </w:tcPr>
                      <w:p>
                        <w:pPr/>
                      </w:p>
                    </w:tc>
                    <w:tc>
                      <w:tcPr>
                        <w:tcW w:w="886" w:type="dxa"/>
                        <w:vMerge/>
                        <w:tcBorders>
                          <w:left w:val="single" w:sz="9" w:space="0" w:color="D2D2D2"/>
                          <w:bottom w:val="nil" w:sz="6" w:space="0" w:color="auto"/>
                          <w:right w:val="single" w:sz="22" w:space="0" w:color="D2D2D2"/>
                        </w:tcBorders>
                      </w:tcPr>
                      <w:p>
                        <w:pPr/>
                      </w:p>
                    </w:tc>
                    <w:tc>
                      <w:tcPr>
                        <w:tcW w:w="886" w:type="dxa"/>
                        <w:vMerge/>
                        <w:tcBorders>
                          <w:left w:val="single" w:sz="22" w:space="0" w:color="D2D2D2"/>
                          <w:bottom w:val="nil" w:sz="6" w:space="0" w:color="auto"/>
                          <w:right w:val="single" w:sz="22" w:space="0" w:color="D2D2D2"/>
                        </w:tcBorders>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77"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50"/>
                          <w:ind w:left="33" w:right="0"/>
                          <w:jc w:val="left"/>
                          <w:rPr>
                            <w:rFonts w:ascii="Times New Roman" w:hAnsi="Times New Roman" w:cs="Times New Roman" w:eastAsia="Times New Roman" w:hint="default"/>
                            <w:sz w:val="18"/>
                            <w:szCs w:val="18"/>
                          </w:rPr>
                        </w:pPr>
                        <w:r>
                          <w:rPr>
                            <w:rFonts w:ascii="Times New Roman"/>
                            <w:sz w:val="18"/>
                          </w:rPr>
                          <w:t>126,414,17</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2.00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50"/>
                          <w:ind w:left="43" w:right="0"/>
                          <w:jc w:val="left"/>
                          <w:rPr>
                            <w:rFonts w:ascii="Times New Roman" w:hAnsi="Times New Roman" w:cs="Times New Roman" w:eastAsia="Times New Roman" w:hint="default"/>
                            <w:sz w:val="18"/>
                            <w:szCs w:val="18"/>
                          </w:rPr>
                        </w:pPr>
                        <w:r>
                          <w:rPr>
                            <w:rFonts w:ascii="Times New Roman"/>
                            <w:sz w:val="18"/>
                          </w:rPr>
                          <w:t>598,944,40</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6.15</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75,247,802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176,811,04</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1.04</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50"/>
                          <w:ind w:left="47" w:right="0"/>
                          <w:jc w:val="left"/>
                          <w:rPr>
                            <w:rFonts w:ascii="Times New Roman" w:hAnsi="Times New Roman" w:cs="Times New Roman" w:eastAsia="Times New Roman" w:hint="default"/>
                            <w:sz w:val="18"/>
                            <w:szCs w:val="18"/>
                          </w:rPr>
                        </w:pPr>
                        <w:r>
                          <w:rPr>
                            <w:rFonts w:ascii="Times New Roman"/>
                            <w:sz w:val="18"/>
                          </w:rPr>
                          <w:t>977,417,42</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1.67</w:t>
                        </w:r>
                      </w:p>
                    </w:tc>
                  </w:tr>
                  <w:tr>
                    <w:trPr>
                      <w:trHeight w:val="312" w:hRule="exact"/>
                    </w:trPr>
                    <w:tc>
                      <w:tcPr>
                        <w:tcW w:w="24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left"/>
        <w:sectPr>
          <w:type w:val="continuous"/>
          <w:pgSz w:w="11910" w:h="16840"/>
          <w:pgMar w:top="1060" w:bottom="1540" w:left="980" w:right="0"/>
        </w:sectPr>
      </w:pPr>
    </w:p>
    <w:p>
      <w:pPr>
        <w:spacing w:line="240" w:lineRule="auto" w:before="6"/>
        <w:rPr>
          <w:rFonts w:ascii="宋体" w:hAnsi="宋体" w:cs="宋体" w:eastAsia="宋体" w:hint="default"/>
          <w:sz w:val="28"/>
          <w:szCs w:val="28"/>
        </w:rPr>
      </w:pPr>
      <w:r>
        <w:rPr/>
        <w:pict>
          <v:shape style="position:absolute;margin-left:138.600006pt;margin-top:533.950012pt;width:84.8pt;height:20pt;mso-position-horizontal-relative:page;mso-position-vertical-relative:page;z-index:-754048" type="#_x0000_t202" filled="false" stroked="false">
            <v:textbox inset="0,0,0,0">
              <w:txbxContent>
                <w:p>
                  <w:pPr>
                    <w:spacing w:line="240" w:lineRule="auto" w:before="7"/>
                    <w:rPr>
                      <w:rFonts w:ascii="宋体" w:hAnsi="宋体" w:cs="宋体" w:eastAsia="宋体" w:hint="default"/>
                      <w:sz w:val="12"/>
                      <w:szCs w:val="12"/>
                    </w:rPr>
                  </w:pPr>
                </w:p>
                <w:p>
                  <w:pPr>
                    <w:pStyle w:val="BodyText"/>
                    <w:spacing w:line="240" w:lineRule="auto"/>
                    <w:ind w:left="0" w:right="0"/>
                    <w:jc w:val="left"/>
                  </w:pPr>
                  <w:r>
                    <w:rPr/>
                    <w:t>（或股本）</w:t>
                  </w:r>
                </w:p>
              </w:txbxContent>
            </v:textbox>
            <w10:wrap type="none"/>
          </v:shape>
        </w:pict>
      </w:r>
      <w:r>
        <w:rPr/>
        <w:pict>
          <v:shape style="position:absolute;margin-left:138.600006pt;margin-top:565.630005pt;width:84.8pt;height:15.6pt;mso-position-horizontal-relative:page;mso-position-vertical-relative:page;z-index:-754024" type="#_x0000_t202" filled="false" stroked="false">
            <v:textbox inset="0,0,0,0">
              <w:txbxContent>
                <w:p>
                  <w:pPr>
                    <w:pStyle w:val="BodyText"/>
                    <w:spacing w:line="240" w:lineRule="auto" w:before="8"/>
                    <w:ind w:left="0" w:right="0"/>
                    <w:jc w:val="left"/>
                  </w:pPr>
                  <w:r>
                    <w:rPr/>
                    <w:t>（或股本）</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32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0" w:right="0"/>
              <w:jc w:val="left"/>
              <w:rPr>
                <w:rFonts w:ascii="Times New Roman" w:hAnsi="Times New Roman" w:cs="Times New Roman" w:eastAsia="Times New Roman" w:hint="default"/>
                <w:sz w:val="18"/>
                <w:szCs w:val="18"/>
              </w:rPr>
            </w:pPr>
            <w:r>
              <w:rPr>
                <w:rFonts w:ascii="Times New Roman"/>
                <w:sz w:val="18"/>
              </w:rPr>
              <w:t>126,414,17</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2.00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 w:right="0"/>
              <w:jc w:val="left"/>
              <w:rPr>
                <w:rFonts w:ascii="Times New Roman" w:hAnsi="Times New Roman" w:cs="Times New Roman" w:eastAsia="Times New Roman" w:hint="default"/>
                <w:sz w:val="18"/>
                <w:szCs w:val="18"/>
              </w:rPr>
            </w:pPr>
            <w:r>
              <w:rPr>
                <w:rFonts w:ascii="Times New Roman"/>
                <w:sz w:val="18"/>
              </w:rPr>
              <w:t>598,944,40</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6.15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75,247,802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176,811,04</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1.04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 w:right="0"/>
              <w:jc w:val="left"/>
              <w:rPr>
                <w:rFonts w:ascii="Times New Roman" w:hAnsi="Times New Roman" w:cs="Times New Roman" w:eastAsia="Times New Roman" w:hint="default"/>
                <w:sz w:val="18"/>
                <w:szCs w:val="18"/>
              </w:rPr>
            </w:pPr>
            <w:r>
              <w:rPr>
                <w:rFonts w:ascii="Times New Roman"/>
                <w:sz w:val="18"/>
              </w:rPr>
              <w:t>977,417,42</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1.67</w:t>
            </w:r>
          </w:p>
        </w:tc>
      </w:tr>
      <w:tr>
        <w:trPr>
          <w:trHeight w:val="63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 w:right="0"/>
              <w:jc w:val="left"/>
              <w:rPr>
                <w:rFonts w:ascii="Times New Roman" w:hAnsi="Times New Roman" w:cs="Times New Roman" w:eastAsia="Times New Roman" w:hint="default"/>
                <w:sz w:val="18"/>
                <w:szCs w:val="18"/>
              </w:rPr>
            </w:pPr>
            <w:r>
              <w:rPr>
                <w:rFonts w:ascii="Times New Roman"/>
                <w:sz w:val="18"/>
              </w:rPr>
              <w:t>126,334,17</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2.00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4" w:right="0"/>
              <w:jc w:val="left"/>
              <w:rPr>
                <w:rFonts w:ascii="Times New Roman" w:hAnsi="Times New Roman" w:cs="Times New Roman" w:eastAsia="Times New Roman" w:hint="default"/>
                <w:sz w:val="18"/>
                <w:szCs w:val="18"/>
              </w:rPr>
            </w:pPr>
            <w:r>
              <w:rPr>
                <w:rFonts w:ascii="Times New Roman"/>
                <w:sz w:val="18"/>
              </w:rPr>
              <w:t>-122,130,1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47.00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10,525,815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9,096,619.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23,826,459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.54</w:t>
            </w:r>
          </w:p>
        </w:tc>
      </w:tr>
      <w:tr>
        <w:trPr>
          <w:trHeight w:val="63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70,172,103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70,172,103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r>
      <w:tr>
        <w:trPr>
          <w:trHeight w:val="32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70,172,103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70,172,103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r>
      <w:tr>
        <w:trPr>
          <w:trHeight w:val="63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-309,200.0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-389,200.0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-309,200.0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-389,200.0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10,525,815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6" w:right="0"/>
              <w:jc w:val="left"/>
              <w:rPr>
                <w:rFonts w:ascii="Times New Roman" w:hAnsi="Times New Roman" w:cs="Times New Roman" w:eastAsia="Times New Roman" w:hint="default"/>
                <w:sz w:val="18"/>
                <w:szCs w:val="18"/>
              </w:rPr>
            </w:pPr>
            <w:r>
              <w:rPr>
                <w:rFonts w:ascii="Times New Roman"/>
                <w:sz w:val="18"/>
              </w:rPr>
              <w:t>-61,075,48</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4.30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-50,549,66</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8.80</w:t>
            </w:r>
          </w:p>
        </w:tc>
      </w:tr>
      <w:tr>
        <w:trPr>
          <w:trHeight w:val="63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10,525,815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6" w:right="0"/>
              <w:jc w:val="left"/>
              <w:rPr>
                <w:rFonts w:ascii="Times New Roman" w:hAnsi="Times New Roman" w:cs="Times New Roman" w:eastAsia="Times New Roman" w:hint="default"/>
                <w:sz w:val="18"/>
                <w:szCs w:val="18"/>
              </w:rPr>
            </w:pPr>
            <w:r>
              <w:rPr>
                <w:rFonts w:ascii="Times New Roman"/>
                <w:sz w:val="18"/>
              </w:rPr>
              <w:t>-10,525,81</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5.50</w:t>
            </w: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 w:right="0"/>
              <w:jc w:val="left"/>
              <w:rPr>
                <w:rFonts w:ascii="Times New Roman" w:hAnsi="Times New Roman" w:cs="Times New Roman" w:eastAsia="Times New Roman" w:hint="default"/>
                <w:sz w:val="18"/>
                <w:szCs w:val="18"/>
              </w:rPr>
            </w:pPr>
            <w:r>
              <w:rPr>
                <w:rFonts w:ascii="Times New Roman"/>
                <w:sz w:val="18"/>
              </w:rPr>
              <w:t>-50,549,66</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8.80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Times New Roman" w:hAnsi="Times New Roman" w:cs="Times New Roman" w:eastAsia="Times New Roman" w:hint="default"/>
                <w:sz w:val="18"/>
                <w:szCs w:val="18"/>
              </w:rPr>
            </w:pPr>
            <w:r>
              <w:rPr>
                <w:rFonts w:ascii="Times New Roman"/>
                <w:sz w:val="18"/>
              </w:rPr>
              <w:t>-50,549,66</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8.80</w:t>
            </w:r>
          </w:p>
        </w:tc>
      </w:tr>
      <w:tr>
        <w:trPr>
          <w:trHeight w:val="32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 w:right="0"/>
              <w:jc w:val="left"/>
              <w:rPr>
                <w:rFonts w:ascii="Times New Roman" w:hAnsi="Times New Roman" w:cs="Times New Roman" w:eastAsia="Times New Roman" w:hint="default"/>
                <w:sz w:val="18"/>
                <w:szCs w:val="18"/>
              </w:rPr>
            </w:pPr>
            <w:r>
              <w:rPr>
                <w:rFonts w:ascii="Times New Roman"/>
                <w:sz w:val="18"/>
              </w:rPr>
              <w:t>126,414,17</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2.00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4" w:right="0"/>
              <w:jc w:val="left"/>
              <w:rPr>
                <w:rFonts w:ascii="Times New Roman" w:hAnsi="Times New Roman" w:cs="Times New Roman" w:eastAsia="Times New Roman" w:hint="default"/>
                <w:sz w:val="18"/>
                <w:szCs w:val="18"/>
              </w:rPr>
            </w:pPr>
            <w:r>
              <w:rPr>
                <w:rFonts w:ascii="Times New Roman"/>
                <w:sz w:val="18"/>
              </w:rPr>
              <w:t>-126,414,1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72.00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7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126,414,17</w:t>
            </w:r>
          </w:p>
          <w:p>
            <w:pPr>
              <w:pStyle w:val="TableParagraph"/>
              <w:spacing w:line="240" w:lineRule="auto" w:before="105"/>
              <w:ind w:left="526" w:right="0"/>
              <w:jc w:val="left"/>
              <w:rPr>
                <w:rFonts w:ascii="Times New Roman" w:hAnsi="Times New Roman" w:cs="Times New Roman" w:eastAsia="Times New Roman" w:hint="default"/>
                <w:sz w:val="18"/>
                <w:szCs w:val="18"/>
              </w:rPr>
            </w:pPr>
            <w:r>
              <w:rPr>
                <w:rFonts w:ascii="Times New Roman"/>
                <w:sz w:val="18"/>
              </w:rPr>
              <w:t>2.00</w:t>
            </w:r>
          </w:p>
          <w:p>
            <w:pPr>
              <w:pStyle w:val="TableParagraph"/>
              <w:spacing w:line="312" w:lineRule="exact"/>
              <w:ind w:left="12" w:right="-29"/>
              <w:jc w:val="left"/>
              <w:rPr>
                <w:rFonts w:ascii="宋体" w:hAnsi="宋体" w:cs="宋体" w:eastAsia="宋体" w:hint="default"/>
                <w:sz w:val="20"/>
                <w:szCs w:val="20"/>
              </w:rPr>
            </w:pPr>
            <w:r>
              <w:rPr>
                <w:rFonts w:ascii="宋体" w:hAnsi="宋体" w:cs="宋体" w:eastAsia="宋体" w:hint="default"/>
                <w:position w:val="-5"/>
                <w:sz w:val="20"/>
                <w:szCs w:val="20"/>
              </w:rPr>
              <w:pict>
                <v:group style="width:41.45pt;height:15.6pt;mso-position-horizontal-relative:char;mso-position-vertical-relative:line" coordorigin="0,0" coordsize="829,312">
                  <v:group style="position:absolute;left:0;top:0;width:829;height:312" coordorigin="0,0" coordsize="829,312">
                    <v:shape style="position:absolute;left:0;top:0;width:829;height:312" coordorigin="0,0" coordsize="829,312" path="m0,312l828,312,828,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11"/>
              <w:ind w:right="0"/>
              <w:jc w:val="left"/>
              <w:rPr>
                <w:rFonts w:ascii="宋体" w:hAnsi="宋体" w:cs="宋体" w:eastAsia="宋体" w:hint="default"/>
                <w:sz w:val="23"/>
                <w:szCs w:val="23"/>
              </w:rPr>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4" w:right="0"/>
              <w:jc w:val="left"/>
              <w:rPr>
                <w:rFonts w:ascii="Times New Roman" w:hAnsi="Times New Roman" w:cs="Times New Roman" w:eastAsia="Times New Roman" w:hint="default"/>
                <w:sz w:val="18"/>
                <w:szCs w:val="18"/>
              </w:rPr>
            </w:pPr>
            <w:r>
              <w:rPr>
                <w:rFonts w:ascii="Times New Roman"/>
                <w:sz w:val="18"/>
              </w:rPr>
              <w:t>-126,414,1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72.00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36" w:lineRule="exact"/>
              <w:ind w:right="-15"/>
              <w:jc w:val="left"/>
              <w:rPr>
                <w:rFonts w:ascii="宋体" w:hAnsi="宋体" w:cs="宋体" w:eastAsia="宋体" w:hint="default"/>
                <w:sz w:val="20"/>
                <w:szCs w:val="20"/>
              </w:rPr>
            </w:pPr>
            <w:r>
              <w:rPr>
                <w:rFonts w:ascii="宋体" w:hAnsi="宋体" w:cs="宋体" w:eastAsia="宋体" w:hint="default"/>
                <w:position w:val="-6"/>
                <w:sz w:val="20"/>
                <w:szCs w:val="20"/>
              </w:rPr>
              <w:pict>
                <v:group style="width:42.65pt;height:16.8pt;mso-position-horizontal-relative:char;mso-position-vertical-relative:line" coordorigin="0,0" coordsize="853,336">
                  <v:group style="position:absolute;left:12;top:12;width:2;height:312" coordorigin="12,12" coordsize="2,312">
                    <v:shape style="position:absolute;left:12;top:12;width:2;height:312" coordorigin="12,12" coordsize="0,312" path="m12,12l12,324e" filled="false" stroked="true" strokeweight="1.2pt" strokecolor="#ffffff">
                      <v:path arrowok="t"/>
                    </v:shape>
                  </v:group>
                  <v:group style="position:absolute;left:24;top:12;width:829;height:312" coordorigin="24,12" coordsize="829,312">
                    <v:shape style="position:absolute;left:24;top:12;width:829;height:312" coordorigin="24,12" coordsize="829,312" path="m24,324l852,324,852,12,24,12,24,324xe" filled="true" fillcolor="#ffffff" stroked="false">
                      <v:path arrowok="t"/>
                      <v:fill type="solid"/>
                    </v:shape>
                  </v:group>
                </v:group>
              </w:pict>
            </w:r>
            <w:r>
              <w:rPr>
                <w:rFonts w:ascii="宋体" w:hAnsi="宋体" w:cs="宋体" w:eastAsia="宋体" w:hint="default"/>
                <w:position w:val="-6"/>
                <w:sz w:val="20"/>
                <w:szCs w:val="20"/>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4,593,225.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4,593,225.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636"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 w:right="0"/>
              <w:jc w:val="left"/>
              <w:rPr>
                <w:rFonts w:ascii="Times New Roman" w:hAnsi="Times New Roman" w:cs="Times New Roman" w:eastAsia="Times New Roman" w:hint="default"/>
                <w:sz w:val="18"/>
                <w:szCs w:val="18"/>
              </w:rPr>
            </w:pPr>
            <w:r>
              <w:rPr>
                <w:rFonts w:ascii="Times New Roman"/>
                <w:sz w:val="18"/>
              </w:rPr>
              <w:t>252,748,34</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4.00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 w:right="0"/>
              <w:jc w:val="left"/>
              <w:rPr>
                <w:rFonts w:ascii="Times New Roman" w:hAnsi="Times New Roman" w:cs="Times New Roman" w:eastAsia="Times New Roman" w:hint="default"/>
                <w:sz w:val="18"/>
                <w:szCs w:val="18"/>
              </w:rPr>
            </w:pPr>
            <w:r>
              <w:rPr>
                <w:rFonts w:ascii="Times New Roman"/>
                <w:sz w:val="18"/>
              </w:rPr>
              <w:t>476,814,25</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9.15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85,773,617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185,907,66</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left"/>
              <w:rPr>
                <w:rFonts w:ascii="Times New Roman" w:hAnsi="Times New Roman" w:cs="Times New Roman" w:eastAsia="Times New Roman" w:hint="default"/>
                <w:sz w:val="18"/>
                <w:szCs w:val="18"/>
              </w:rPr>
            </w:pPr>
            <w:r>
              <w:rPr>
                <w:rFonts w:ascii="Times New Roman"/>
                <w:sz w:val="18"/>
              </w:rPr>
              <w:t>1,001,243,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881.21</w:t>
            </w:r>
          </w:p>
        </w:tc>
      </w:tr>
    </w:tbl>
    <w:p>
      <w:pPr>
        <w:pStyle w:val="BodyText"/>
        <w:spacing w:line="240" w:lineRule="auto" w:before="49"/>
        <w:ind w:right="0"/>
        <w:jc w:val="left"/>
      </w:pPr>
      <w:r>
        <w:rPr/>
        <w:t>上年金额</w:t>
      </w:r>
    </w:p>
    <w:p>
      <w:pPr>
        <w:pStyle w:val="BodyText"/>
        <w:spacing w:line="240" w:lineRule="auto" w:before="114"/>
        <w:ind w:left="0" w:right="1131"/>
        <w:jc w:val="right"/>
      </w:pPr>
      <w:r>
        <w:rPr/>
        <w:t>单位：元</w:t>
      </w:r>
    </w:p>
    <w:p>
      <w:pPr>
        <w:spacing w:after="0" w:line="240" w:lineRule="auto"/>
        <w:jc w:val="right"/>
        <w:sectPr>
          <w:pgSz w:w="11910" w:h="16840"/>
          <w:pgMar w:header="877" w:footer="1272" w:top="1060" w:bottom="152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39.554001pt;margin-top:681.940002pt;width:84.8pt;height:19.6pt;mso-position-horizontal-relative:page;mso-position-vertical-relative:page;z-index:-754000"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shape style="position:absolute;margin-left:139.554001pt;margin-top:701.97998pt;width:84.8pt;height:19.6pt;mso-position-horizontal-relative:page;mso-position-vertical-relative:page;z-index:-753976"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2.899994pt;margin-top:681.940002pt;width:41.45pt;height:39.6pt;mso-position-horizontal-relative:page;mso-position-vertical-relative:page;z-index:-753952" coordorigin="3658,13639" coordsize="829,792">
            <v:group style="position:absolute;left:3658;top:13639;width:829;height:392" coordorigin="3658,13639" coordsize="829,392">
              <v:shape style="position:absolute;left:3658;top:13639;width:829;height:392" coordorigin="3658,13639" coordsize="829,392" path="m3658,14030l4486,14030,4486,13639,3658,13639,3658,14030xe" filled="true" fillcolor="#ffffff" stroked="false">
                <v:path arrowok="t"/>
                <v:fill type="solid"/>
              </v:shape>
            </v:group>
            <v:group style="position:absolute;left:3658;top:14040;width:829;height:392" coordorigin="3658,14040" coordsize="829,392">
              <v:shape style="position:absolute;left:3658;top:14040;width:829;height:392" coordorigin="3658,14040" coordsize="829,392" path="m3658,14431l4486,14431,4486,14040,3658,14040,3658,14431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402"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2"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2"/>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2"/>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2"/>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2"/>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61"/>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03"/>
              <w:ind w:left="45" w:right="0"/>
              <w:jc w:val="left"/>
              <w:rPr>
                <w:rFonts w:ascii="Times New Roman" w:hAnsi="Times New Roman" w:cs="Times New Roman" w:eastAsia="Times New Roman" w:hint="default"/>
                <w:sz w:val="18"/>
                <w:szCs w:val="18"/>
              </w:rPr>
            </w:pPr>
            <w:r>
              <w:rPr>
                <w:rFonts w:ascii="Times New Roman"/>
                <w:sz w:val="18"/>
              </w:rPr>
              <w:t>124,124,17</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2.00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3"/>
              <w:ind w:left="40" w:right="0"/>
              <w:jc w:val="left"/>
              <w:rPr>
                <w:rFonts w:ascii="Times New Roman" w:hAnsi="Times New Roman" w:cs="Times New Roman" w:eastAsia="Times New Roman" w:hint="default"/>
                <w:sz w:val="18"/>
                <w:szCs w:val="18"/>
              </w:rPr>
            </w:pPr>
            <w:r>
              <w:rPr>
                <w:rFonts w:ascii="Times New Roman"/>
                <w:sz w:val="18"/>
              </w:rPr>
              <w:t>578,171,20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6.15</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63,206,829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3"/>
              <w:ind w:left="40" w:right="0"/>
              <w:jc w:val="left"/>
              <w:rPr>
                <w:rFonts w:ascii="Times New Roman" w:hAnsi="Times New Roman" w:cs="Times New Roman" w:eastAsia="Times New Roman" w:hint="default"/>
                <w:sz w:val="18"/>
                <w:szCs w:val="18"/>
              </w:rPr>
            </w:pPr>
            <w:r>
              <w:rPr>
                <w:rFonts w:ascii="Times New Roman"/>
                <w:sz w:val="18"/>
              </w:rPr>
              <w:t>133,403,69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7.61</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3"/>
              <w:ind w:left="38" w:right="0"/>
              <w:jc w:val="left"/>
              <w:rPr>
                <w:rFonts w:ascii="Times New Roman" w:hAnsi="Times New Roman" w:cs="Times New Roman" w:eastAsia="Times New Roman" w:hint="default"/>
                <w:sz w:val="18"/>
                <w:szCs w:val="18"/>
              </w:rPr>
            </w:pPr>
            <w:r>
              <w:rPr>
                <w:rFonts w:ascii="Times New Roman"/>
                <w:sz w:val="18"/>
              </w:rPr>
              <w:t>898,905,90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5.68</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03"/>
              <w:ind w:left="45" w:right="0"/>
              <w:jc w:val="left"/>
              <w:rPr>
                <w:rFonts w:ascii="Times New Roman" w:hAnsi="Times New Roman" w:cs="Times New Roman" w:eastAsia="Times New Roman" w:hint="default"/>
                <w:sz w:val="18"/>
                <w:szCs w:val="18"/>
              </w:rPr>
            </w:pPr>
            <w:r>
              <w:rPr>
                <w:rFonts w:ascii="Times New Roman"/>
                <w:sz w:val="18"/>
              </w:rPr>
              <w:t>124,124,17</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2.00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3"/>
              <w:ind w:left="40" w:right="0"/>
              <w:jc w:val="left"/>
              <w:rPr>
                <w:rFonts w:ascii="Times New Roman" w:hAnsi="Times New Roman" w:cs="Times New Roman" w:eastAsia="Times New Roman" w:hint="default"/>
                <w:sz w:val="18"/>
                <w:szCs w:val="18"/>
              </w:rPr>
            </w:pPr>
            <w:r>
              <w:rPr>
                <w:rFonts w:ascii="Times New Roman"/>
                <w:sz w:val="18"/>
              </w:rPr>
              <w:t>578,171,20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6.15</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63,206,829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3"/>
              <w:ind w:left="40" w:right="0"/>
              <w:jc w:val="left"/>
              <w:rPr>
                <w:rFonts w:ascii="Times New Roman" w:hAnsi="Times New Roman" w:cs="Times New Roman" w:eastAsia="Times New Roman" w:hint="default"/>
                <w:sz w:val="18"/>
                <w:szCs w:val="18"/>
              </w:rPr>
            </w:pPr>
            <w:r>
              <w:rPr>
                <w:rFonts w:ascii="Times New Roman"/>
                <w:sz w:val="18"/>
              </w:rPr>
              <w:t>133,403,69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7.61</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3"/>
              <w:ind w:left="38" w:right="0"/>
              <w:jc w:val="left"/>
              <w:rPr>
                <w:rFonts w:ascii="Times New Roman" w:hAnsi="Times New Roman" w:cs="Times New Roman" w:eastAsia="Times New Roman" w:hint="default"/>
                <w:sz w:val="18"/>
                <w:szCs w:val="18"/>
              </w:rPr>
            </w:pPr>
            <w:r>
              <w:rPr>
                <w:rFonts w:ascii="Times New Roman"/>
                <w:sz w:val="18"/>
              </w:rPr>
              <w:t>898,905,90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5.68</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6"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2,290,000.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20,773,200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12,040,972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.56</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43,407,343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78,511,515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.99</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80,273,150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80,273,150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80,273,150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80,273,150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3"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2,290,000.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20,773,200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23,063,200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2,290,000.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19,991,700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22,281,700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63"/>
              <w:ind w:left="1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781,500.00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781,500.00</w:t>
            </w: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12,040,972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.56</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-36,865,80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6.96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5"/>
              <w:ind w:left="69" w:right="0"/>
              <w:jc w:val="left"/>
              <w:rPr>
                <w:rFonts w:ascii="Times New Roman" w:hAnsi="Times New Roman" w:cs="Times New Roman" w:eastAsia="Times New Roman" w:hint="default"/>
                <w:sz w:val="18"/>
                <w:szCs w:val="18"/>
              </w:rPr>
            </w:pPr>
            <w:r>
              <w:rPr>
                <w:rFonts w:ascii="Times New Roman"/>
                <w:sz w:val="18"/>
              </w:rPr>
              <w:t>-24,824,83</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4.40</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12,040,972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3"/>
              <w:ind w:left="71" w:right="0"/>
              <w:jc w:val="left"/>
              <w:rPr>
                <w:rFonts w:ascii="Times New Roman" w:hAnsi="Times New Roman" w:cs="Times New Roman" w:eastAsia="Times New Roman" w:hint="default"/>
                <w:sz w:val="18"/>
                <w:szCs w:val="18"/>
              </w:rPr>
            </w:pPr>
            <w:r>
              <w:rPr>
                <w:rFonts w:ascii="Times New Roman"/>
                <w:sz w:val="18"/>
              </w:rPr>
              <w:t>-12,040,97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2.56</w:t>
            </w:r>
          </w:p>
        </w:tc>
        <w:tc>
          <w:tcPr>
            <w:tcW w:w="883" w:type="dxa"/>
            <w:vMerge w:val="restart"/>
            <w:tcBorders>
              <w:top w:val="single" w:sz="4" w:space="0" w:color="000000"/>
              <w:left w:val="single" w:sz="4" w:space="0" w:color="000000"/>
              <w:right w:val="single" w:sz="4" w:space="0" w:color="000000"/>
            </w:tcBorders>
          </w:tcPr>
          <w:p>
            <w:pP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3"/>
              <w:ind w:left="71" w:right="0"/>
              <w:jc w:val="left"/>
              <w:rPr>
                <w:rFonts w:ascii="Times New Roman" w:hAnsi="Times New Roman" w:cs="Times New Roman" w:eastAsia="Times New Roman" w:hint="default"/>
                <w:sz w:val="18"/>
                <w:szCs w:val="18"/>
              </w:rPr>
            </w:pPr>
            <w:r>
              <w:rPr>
                <w:rFonts w:ascii="Times New Roman"/>
                <w:sz w:val="18"/>
              </w:rPr>
              <w:t>-24,824,83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4.40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3"/>
              <w:ind w:left="69" w:right="0"/>
              <w:jc w:val="left"/>
              <w:rPr>
                <w:rFonts w:ascii="Times New Roman" w:hAnsi="Times New Roman" w:cs="Times New Roman" w:eastAsia="Times New Roman" w:hint="default"/>
                <w:sz w:val="18"/>
                <w:szCs w:val="18"/>
              </w:rPr>
            </w:pPr>
            <w:r>
              <w:rPr>
                <w:rFonts w:ascii="Times New Roman"/>
                <w:sz w:val="18"/>
              </w:rPr>
              <w:t>-24,824,83</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4.40</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96" w:type="dxa"/>
            <w:tcBorders>
              <w:top w:val="single" w:sz="4" w:space="0" w:color="000000"/>
              <w:left w:val="single" w:sz="2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96" w:type="dxa"/>
            <w:tcBorders>
              <w:top w:val="single" w:sz="4" w:space="0" w:color="000000"/>
              <w:left w:val="single" w:sz="2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72" w:top="1060" w:bottom="16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126,414,17</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2.00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598,944,40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6.15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75,247,802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.48</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176,811,04</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1.04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977,417,42</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1.67</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before="44"/>
        <w:ind w:right="0"/>
        <w:jc w:val="left"/>
      </w:pPr>
      <w:r>
        <w:rPr/>
        <w:t>法定代表人：王爱先</w:t>
        <w:tab/>
      </w:r>
      <w:r>
        <w:rPr>
          <w:spacing w:val="-1"/>
        </w:rPr>
        <w:t>主管会计工作负责人：史建中</w:t>
        <w:tab/>
      </w:r>
      <w:r>
        <w:rPr/>
        <w:t>会计机构负责人：郑理</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三、公司基本情况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034" w:firstLine="360"/>
        <w:jc w:val="left"/>
      </w:pPr>
      <w:r>
        <w:rPr/>
        <w:t>东港股份有限公司（原东港安全印刷股份有限公司，以下简称“本公司”或“公司”）是由香港喜多来集团有限公司、 </w:t>
      </w:r>
      <w:r>
        <w:rPr>
          <w:spacing w:val="-2"/>
        </w:rPr>
        <w:t>浪潮电子信息产业股份有限公司、北京中嘉华信息技术有限公司、济南发展国有工业资产经营有限公司等公司共同发起设立</w:t>
      </w:r>
      <w:r>
        <w:rPr>
          <w:spacing w:val="-64"/>
        </w:rPr>
        <w:t> </w:t>
      </w:r>
      <w:r>
        <w:rPr>
          <w:spacing w:val="-64"/>
        </w:rPr>
      </w:r>
      <w:r>
        <w:rPr/>
        <w:t>的股份有限公司，注册地为中华人民共和国山东省济南市。公司于</w:t>
      </w:r>
      <w:r>
        <w:rPr>
          <w:spacing w:val="-44"/>
        </w:rPr>
        <w:t> </w:t>
      </w:r>
      <w:r>
        <w:rPr>
          <w:rFonts w:ascii="宋体" w:hAnsi="宋体" w:cs="宋体" w:eastAsia="宋体" w:hint="default"/>
        </w:rPr>
        <w:t>1996</w:t>
      </w:r>
      <w:r>
        <w:rPr>
          <w:rFonts w:ascii="宋体" w:hAnsi="宋体" w:cs="宋体" w:eastAsia="宋体" w:hint="default"/>
          <w:spacing w:val="-44"/>
        </w:rPr>
        <w:t> </w:t>
      </w:r>
      <w:r>
        <w:rPr/>
        <w:t>年经山东省工商行政管理局核准登记，企业法人营 业执照注册号：</w:t>
      </w:r>
      <w:r>
        <w:rPr>
          <w:rFonts w:ascii="宋体" w:hAnsi="宋体" w:cs="宋体" w:eastAsia="宋体" w:hint="default"/>
        </w:rPr>
        <w:t>370000400000101</w:t>
      </w:r>
      <w:r>
        <w:rPr/>
        <w:t>。</w:t>
      </w:r>
    </w:p>
    <w:p>
      <w:pPr>
        <w:pStyle w:val="BodyText"/>
        <w:spacing w:line="240" w:lineRule="auto" w:before="95"/>
        <w:ind w:left="513" w:right="0"/>
        <w:jc w:val="left"/>
      </w:pPr>
      <w:r>
        <w:rPr/>
        <w:t>本公司前身为济南东港安全印务有限公司</w:t>
      </w:r>
      <w:r>
        <w:rPr>
          <w:spacing w:val="-91"/>
        </w:rPr>
        <w:t>，</w:t>
      </w:r>
      <w:r>
        <w:rPr>
          <w:rFonts w:ascii="宋体" w:hAnsi="宋体" w:cs="宋体" w:eastAsia="宋体" w:hint="default"/>
          <w:spacing w:val="1"/>
        </w:rPr>
        <w:t>20</w:t>
      </w:r>
      <w:r>
        <w:rPr>
          <w:rFonts w:ascii="宋体" w:hAnsi="宋体" w:cs="宋体" w:eastAsia="宋体" w:hint="default"/>
          <w:spacing w:val="-2"/>
        </w:rPr>
        <w:t>0</w:t>
      </w:r>
      <w:r>
        <w:rPr>
          <w:rFonts w:ascii="宋体" w:hAnsi="宋体" w:cs="宋体" w:eastAsia="宋体" w:hint="default"/>
        </w:rPr>
        <w:t>2</w:t>
      </w:r>
      <w:r>
        <w:rPr>
          <w:rFonts w:ascii="宋体" w:hAnsi="宋体" w:cs="宋体" w:eastAsia="宋体" w:hint="default"/>
          <w:spacing w:val="-48"/>
        </w:rPr>
        <w:t> </w:t>
      </w:r>
      <w:r>
        <w:rPr/>
        <w:t>年</w:t>
      </w:r>
      <w:r>
        <w:rPr>
          <w:spacing w:val="-52"/>
        </w:rPr>
        <w:t> </w:t>
      </w:r>
      <w:r>
        <w:rPr>
          <w:rFonts w:ascii="宋体" w:hAnsi="宋体" w:cs="宋体" w:eastAsia="宋体" w:hint="default"/>
          <w:spacing w:val="-2"/>
        </w:rPr>
        <w:t>1</w:t>
      </w:r>
      <w:r>
        <w:rPr>
          <w:rFonts w:ascii="宋体" w:hAnsi="宋体" w:cs="宋体" w:eastAsia="宋体" w:hint="default"/>
        </w:rPr>
        <w:t>2</w:t>
      </w:r>
      <w:r>
        <w:rPr>
          <w:rFonts w:ascii="宋体" w:hAnsi="宋体" w:cs="宋体" w:eastAsia="宋体" w:hint="default"/>
          <w:spacing w:val="-48"/>
        </w:rPr>
        <w:t> </w:t>
      </w:r>
      <w:r>
        <w:rPr/>
        <w:t>月</w:t>
      </w:r>
      <w:r>
        <w:rPr>
          <w:spacing w:val="-52"/>
        </w:rPr>
        <w:t> </w:t>
      </w:r>
      <w:r>
        <w:rPr>
          <w:rFonts w:ascii="宋体" w:hAnsi="宋体" w:cs="宋体" w:eastAsia="宋体" w:hint="default"/>
          <w:spacing w:val="-2"/>
        </w:rPr>
        <w:t>3</w:t>
      </w:r>
      <w:r>
        <w:rPr>
          <w:rFonts w:ascii="宋体" w:hAnsi="宋体" w:cs="宋体" w:eastAsia="宋体" w:hint="default"/>
        </w:rPr>
        <w:t>0</w:t>
      </w:r>
      <w:r>
        <w:rPr>
          <w:rFonts w:ascii="宋体" w:hAnsi="宋体" w:cs="宋体" w:eastAsia="宋体" w:hint="default"/>
          <w:spacing w:val="-48"/>
        </w:rPr>
        <w:t> </w:t>
      </w:r>
      <w:r>
        <w:rPr>
          <w:spacing w:val="-3"/>
        </w:rPr>
        <w:t>日</w:t>
      </w:r>
      <w:r>
        <w:rPr/>
        <w:t>在该公司基础上改制为股份有限公司</w:t>
      </w:r>
      <w:r>
        <w:rPr>
          <w:spacing w:val="-91"/>
        </w:rPr>
        <w:t>。</w:t>
      </w:r>
      <w:r>
        <w:rPr>
          <w:rFonts w:ascii="宋体" w:hAnsi="宋体" w:cs="宋体" w:eastAsia="宋体" w:hint="default"/>
          <w:spacing w:val="1"/>
        </w:rPr>
        <w:t>200</w:t>
      </w:r>
      <w:r>
        <w:rPr>
          <w:rFonts w:ascii="宋体" w:hAnsi="宋体" w:cs="宋体" w:eastAsia="宋体" w:hint="default"/>
        </w:rPr>
        <w:t>7 </w:t>
      </w:r>
      <w:r>
        <w:rPr/>
        <w:t>年</w:t>
      </w:r>
      <w:r>
        <w:rPr>
          <w:spacing w:val="-52"/>
        </w:rPr>
        <w:t> </w:t>
      </w:r>
      <w:r>
        <w:rPr>
          <w:rFonts w:ascii="宋体" w:hAnsi="宋体" w:cs="宋体" w:eastAsia="宋体" w:hint="default"/>
        </w:rPr>
        <w:t>1 </w:t>
      </w:r>
      <w:r>
        <w:rPr/>
        <w:t>月</w:t>
      </w:r>
      <w:r>
        <w:rPr>
          <w:spacing w:val="-50"/>
        </w:rPr>
        <w:t> </w:t>
      </w:r>
      <w:r>
        <w:rPr>
          <w:rFonts w:ascii="宋体" w:hAnsi="宋体" w:cs="宋体" w:eastAsia="宋体" w:hint="default"/>
          <w:spacing w:val="-2"/>
        </w:rPr>
        <w:t>3</w:t>
      </w:r>
      <w:r>
        <w:rPr>
          <w:rFonts w:ascii="宋体" w:hAnsi="宋体" w:cs="宋体" w:eastAsia="宋体" w:hint="default"/>
        </w:rPr>
        <w:t>0</w:t>
      </w:r>
      <w:r>
        <w:rPr>
          <w:rFonts w:ascii="宋体" w:hAnsi="宋体" w:cs="宋体" w:eastAsia="宋体" w:hint="default"/>
          <w:spacing w:val="2"/>
        </w:rPr>
        <w:t> </w:t>
      </w:r>
      <w:r>
        <w:rPr/>
        <w:t>日</w:t>
      </w:r>
    </w:p>
    <w:p>
      <w:pPr>
        <w:spacing w:line="240" w:lineRule="auto" w:before="10"/>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t>经中国证券监督管理委员会证监发行</w:t>
      </w:r>
      <w:r>
        <w:rPr>
          <w:spacing w:val="1"/>
        </w:rPr>
        <w:t>字</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0</w:t>
      </w:r>
      <w:r>
        <w:rPr>
          <w:rFonts w:ascii="宋体" w:hAnsi="宋体" w:cs="宋体" w:eastAsia="宋体" w:hint="default"/>
          <w:spacing w:val="-2"/>
        </w:rPr>
        <w:t>7</w:t>
      </w:r>
      <w:r>
        <w:rPr>
          <w:rFonts w:ascii="宋体" w:hAnsi="宋体" w:cs="宋体" w:eastAsia="宋体" w:hint="default"/>
          <w:spacing w:val="1"/>
        </w:rPr>
        <w:t>]</w:t>
      </w:r>
      <w:r>
        <w:rPr>
          <w:rFonts w:ascii="宋体" w:hAnsi="宋体" w:cs="宋体" w:eastAsia="宋体" w:hint="default"/>
          <w:spacing w:val="-2"/>
        </w:rPr>
        <w:t>2</w:t>
      </w:r>
      <w:r>
        <w:rPr>
          <w:rFonts w:ascii="宋体" w:hAnsi="宋体" w:cs="宋体" w:eastAsia="宋体" w:hint="default"/>
        </w:rPr>
        <w:t>4</w:t>
      </w:r>
      <w:r>
        <w:rPr>
          <w:rFonts w:ascii="宋体" w:hAnsi="宋体" w:cs="宋体" w:eastAsia="宋体" w:hint="default"/>
          <w:spacing w:val="3"/>
        </w:rPr>
        <w:t> </w:t>
      </w:r>
      <w:r>
        <w:rPr/>
        <w:t>号文核准</w:t>
      </w:r>
      <w:r>
        <w:rPr>
          <w:spacing w:val="-94"/>
        </w:rPr>
        <w:t>，</w:t>
      </w:r>
      <w:r>
        <w:rPr/>
        <w:t>本公司于</w:t>
      </w:r>
      <w:r>
        <w:rPr>
          <w:spacing w:val="-66"/>
        </w:rPr>
        <w:t> </w:t>
      </w:r>
      <w:r>
        <w:rPr>
          <w:rFonts w:ascii="宋体" w:hAnsi="宋体" w:cs="宋体" w:eastAsia="宋体" w:hint="default"/>
          <w:spacing w:val="1"/>
        </w:rPr>
        <w:t>20</w:t>
      </w:r>
      <w:r>
        <w:rPr>
          <w:rFonts w:ascii="宋体" w:hAnsi="宋体" w:cs="宋体" w:eastAsia="宋体" w:hint="default"/>
          <w:spacing w:val="-2"/>
        </w:rPr>
        <w:t>0</w:t>
      </w:r>
      <w:r>
        <w:rPr>
          <w:rFonts w:ascii="宋体" w:hAnsi="宋体" w:cs="宋体" w:eastAsia="宋体" w:hint="default"/>
        </w:rPr>
        <w:t>7</w:t>
      </w:r>
      <w:r>
        <w:rPr>
          <w:rFonts w:ascii="宋体" w:hAnsi="宋体" w:cs="宋体" w:eastAsia="宋体" w:hint="default"/>
          <w:spacing w:val="2"/>
        </w:rPr>
        <w:t> </w:t>
      </w:r>
      <w:r>
        <w:rPr/>
        <w:t>年</w:t>
      </w:r>
      <w:r>
        <w:rPr>
          <w:spacing w:val="-69"/>
        </w:rPr>
        <w:t> </w:t>
      </w:r>
      <w:r>
        <w:rPr>
          <w:rFonts w:ascii="宋体" w:hAnsi="宋体" w:cs="宋体" w:eastAsia="宋体" w:hint="default"/>
        </w:rPr>
        <w:t>2</w:t>
      </w:r>
      <w:r>
        <w:rPr>
          <w:rFonts w:ascii="宋体" w:hAnsi="宋体" w:cs="宋体" w:eastAsia="宋体" w:hint="default"/>
          <w:spacing w:val="2"/>
        </w:rPr>
        <w:t> </w:t>
      </w:r>
      <w:r>
        <w:rPr/>
        <w:t>月</w:t>
      </w:r>
      <w:r>
        <w:rPr>
          <w:spacing w:val="-66"/>
        </w:rPr>
        <w:t> </w:t>
      </w:r>
      <w:r>
        <w:rPr>
          <w:rFonts w:ascii="宋体" w:hAnsi="宋体" w:cs="宋体" w:eastAsia="宋体" w:hint="default"/>
        </w:rPr>
        <w:t>8 </w:t>
      </w:r>
      <w:r>
        <w:rPr/>
        <w:t>日</w:t>
      </w:r>
      <w:r>
        <w:rPr>
          <w:spacing w:val="-3"/>
        </w:rPr>
        <w:t>向</w:t>
      </w:r>
      <w:r>
        <w:rPr/>
        <w:t>社会发行人民币普通股股票</w:t>
      </w:r>
      <w:r>
        <w:rPr>
          <w:spacing w:val="-66"/>
        </w:rPr>
        <w:t> </w:t>
      </w:r>
      <w:r>
        <w:rPr>
          <w:rFonts w:ascii="宋体" w:hAnsi="宋体" w:cs="宋体" w:eastAsia="宋体" w:hint="default"/>
          <w:spacing w:val="1"/>
        </w:rPr>
        <w:t>2,</w:t>
      </w:r>
      <w:r>
        <w:rPr>
          <w:rFonts w:ascii="宋体" w:hAnsi="宋体" w:cs="宋体" w:eastAsia="宋体" w:hint="default"/>
          <w:spacing w:val="-2"/>
        </w:rPr>
        <w:t>8</w:t>
      </w:r>
      <w:r>
        <w:rPr>
          <w:rFonts w:ascii="宋体" w:hAnsi="宋体" w:cs="宋体" w:eastAsia="宋体" w:hint="default"/>
          <w:spacing w:val="1"/>
        </w:rPr>
        <w:t>0</w:t>
      </w:r>
      <w:r>
        <w:rPr>
          <w:rFonts w:ascii="宋体" w:hAnsi="宋体" w:cs="宋体" w:eastAsia="宋体" w:hint="default"/>
        </w:rPr>
        <w:t>0</w:t>
      </w:r>
    </w:p>
    <w:p>
      <w:pPr>
        <w:spacing w:line="240" w:lineRule="auto" w:before="10"/>
        <w:rPr>
          <w:rFonts w:ascii="宋体" w:hAnsi="宋体" w:cs="宋体" w:eastAsia="宋体" w:hint="default"/>
          <w:sz w:val="17"/>
          <w:szCs w:val="17"/>
        </w:rPr>
      </w:pPr>
    </w:p>
    <w:p>
      <w:pPr>
        <w:pStyle w:val="BodyText"/>
        <w:spacing w:line="240" w:lineRule="auto"/>
        <w:ind w:right="0"/>
        <w:jc w:val="left"/>
      </w:pPr>
      <w:r>
        <w:rPr/>
        <w:t>万股，发行后累计注册资本金额为人民币</w:t>
      </w:r>
      <w:r>
        <w:rPr>
          <w:spacing w:val="-47"/>
        </w:rPr>
        <w:t> </w:t>
      </w:r>
      <w:r>
        <w:rPr>
          <w:rFonts w:ascii="宋体" w:hAnsi="宋体" w:cs="宋体" w:eastAsia="宋体" w:hint="default"/>
        </w:rPr>
        <w:t>110,000,000.00</w:t>
      </w:r>
      <w:r>
        <w:rPr>
          <w:rFonts w:ascii="宋体" w:hAnsi="宋体" w:cs="宋体" w:eastAsia="宋体" w:hint="default"/>
          <w:spacing w:val="-7"/>
        </w:rPr>
        <w:t> </w:t>
      </w:r>
      <w:r>
        <w:rPr/>
        <w:t>元，股本为人民币</w:t>
      </w:r>
      <w:r>
        <w:rPr>
          <w:spacing w:val="-47"/>
        </w:rPr>
        <w:t> </w:t>
      </w:r>
      <w:r>
        <w:rPr>
          <w:rFonts w:ascii="宋体" w:hAnsi="宋体" w:cs="宋体" w:eastAsia="宋体" w:hint="default"/>
        </w:rPr>
        <w:t>110,000,000.00</w:t>
      </w:r>
      <w:r>
        <w:rPr>
          <w:rFonts w:ascii="宋体" w:hAnsi="宋体" w:cs="宋体" w:eastAsia="宋体" w:hint="default"/>
          <w:spacing w:val="-2"/>
        </w:rPr>
        <w:t> </w:t>
      </w:r>
      <w:r>
        <w:rPr/>
        <w:t>元，股票面值为每股人民币</w:t>
      </w:r>
    </w:p>
    <w:p>
      <w:pPr>
        <w:spacing w:line="240" w:lineRule="auto" w:before="10"/>
        <w:rPr>
          <w:rFonts w:ascii="宋体" w:hAnsi="宋体" w:cs="宋体" w:eastAsia="宋体" w:hint="default"/>
          <w:sz w:val="17"/>
          <w:szCs w:val="17"/>
        </w:rPr>
      </w:pPr>
    </w:p>
    <w:p>
      <w:pPr>
        <w:pStyle w:val="BodyText"/>
        <w:spacing w:line="477" w:lineRule="auto"/>
        <w:ind w:right="1035"/>
        <w:jc w:val="left"/>
      </w:pPr>
      <w:r>
        <w:rPr>
          <w:rFonts w:ascii="宋体" w:hAnsi="宋体" w:cs="宋体" w:eastAsia="宋体" w:hint="default"/>
        </w:rPr>
        <w:t>1</w:t>
      </w:r>
      <w:r>
        <w:rPr>
          <w:rFonts w:ascii="宋体" w:hAnsi="宋体" w:cs="宋体" w:eastAsia="宋体" w:hint="default"/>
          <w:spacing w:val="-45"/>
        </w:rPr>
        <w:t> </w:t>
      </w:r>
      <w:r>
        <w:rPr/>
        <w:t>元。公司注册地址：山东省济南市山大北路</w:t>
      </w:r>
      <w:r>
        <w:rPr>
          <w:spacing w:val="-46"/>
        </w:rPr>
        <w:t> </w:t>
      </w:r>
      <w:r>
        <w:rPr>
          <w:rFonts w:ascii="宋体" w:hAnsi="宋体" w:cs="宋体" w:eastAsia="宋体" w:hint="default"/>
        </w:rPr>
        <w:t>23</w:t>
      </w:r>
      <w:r>
        <w:rPr>
          <w:rFonts w:ascii="宋体" w:hAnsi="宋体" w:cs="宋体" w:eastAsia="宋体" w:hint="default"/>
          <w:spacing w:val="-46"/>
        </w:rPr>
        <w:t> </w:t>
      </w:r>
      <w:r>
        <w:rPr/>
        <w:t>号。法定代表人：王爱先。注册资本：</w:t>
      </w:r>
      <w:r>
        <w:rPr>
          <w:rFonts w:ascii="宋体" w:hAnsi="宋体" w:cs="宋体" w:eastAsia="宋体" w:hint="default"/>
        </w:rPr>
        <w:t>252,748,344</w:t>
      </w:r>
      <w:r>
        <w:rPr>
          <w:rFonts w:ascii="宋体" w:hAnsi="宋体" w:cs="宋体" w:eastAsia="宋体" w:hint="default"/>
          <w:spacing w:val="-44"/>
        </w:rPr>
        <w:t> </w:t>
      </w:r>
      <w:r>
        <w:rPr/>
        <w:t>元人民币。经营范围： 出版物、包装装潢印刷品及其他印刷品印刷；办公用纸、纸质品的生产；高档纸张的防伪处理，磁卡、</w:t>
      </w:r>
      <w:r>
        <w:rPr>
          <w:rFonts w:ascii="宋体" w:hAnsi="宋体" w:cs="宋体" w:eastAsia="宋体" w:hint="default"/>
        </w:rPr>
        <w:t>IC</w:t>
      </w:r>
      <w:r>
        <w:rPr>
          <w:rFonts w:ascii="宋体" w:hAnsi="宋体" w:cs="宋体" w:eastAsia="宋体" w:hint="default"/>
          <w:spacing w:val="-44"/>
        </w:rPr>
        <w:t> </w:t>
      </w:r>
      <w:r>
        <w:rPr/>
        <w:t>卡、智能卡、识 </w:t>
      </w:r>
      <w:r>
        <w:rPr>
          <w:spacing w:val="-2"/>
        </w:rPr>
        <w:t>别卡和智能标签、印刷器材、电子设备及相关产品、办公自动化设备及相关产品、电子元器件、软件产品的开发、生产，销</w:t>
      </w:r>
      <w:r>
        <w:rPr>
          <w:spacing w:val="-73"/>
        </w:rPr>
        <w:t> </w:t>
      </w:r>
      <w:r>
        <w:rPr>
          <w:spacing w:val="-73"/>
        </w:rPr>
      </w:r>
      <w:r>
        <w:rPr>
          <w:spacing w:val="-2"/>
        </w:rPr>
        <w:t>售本公司生产的产品；信息系统集成工程及技术服务，数据及信息处理服务，科技信息咨询服务；从事上述产品的批发；技</w:t>
      </w:r>
      <w:r>
        <w:rPr>
          <w:spacing w:val="-67"/>
        </w:rPr>
        <w:t> </w:t>
      </w:r>
      <w:r>
        <w:rPr>
          <w:spacing w:val="-67"/>
        </w:rPr>
      </w:r>
      <w:r>
        <w:rPr/>
        <w:t>术进出口，自有房屋租赁（涉及许可证管理的，取得相关许可后方可经营）。</w:t>
      </w:r>
    </w:p>
    <w:p>
      <w:pPr>
        <w:pStyle w:val="BodyText"/>
        <w:spacing w:line="240" w:lineRule="auto" w:before="92"/>
        <w:ind w:left="513" w:right="0"/>
        <w:jc w:val="left"/>
      </w:pPr>
      <w:r>
        <w:rPr/>
        <w:t>本公司财务报表于</w:t>
      </w:r>
      <w:r>
        <w:rPr>
          <w:spacing w:val="-46"/>
        </w:rPr>
        <w:t> </w:t>
      </w:r>
      <w:r>
        <w:rPr>
          <w:rFonts w:ascii="宋体" w:hAnsi="宋体" w:cs="宋体" w:eastAsia="宋体" w:hint="default"/>
        </w:rPr>
        <w:t>2013</w:t>
      </w:r>
      <w:r>
        <w:rPr>
          <w:rFonts w:ascii="宋体" w:hAnsi="宋体" w:cs="宋体" w:eastAsia="宋体" w:hint="default"/>
          <w:spacing w:val="-47"/>
        </w:rPr>
        <w:t> </w:t>
      </w:r>
      <w:r>
        <w:rPr/>
        <w:t>年</w:t>
      </w:r>
      <w:r>
        <w:rPr>
          <w:spacing w:val="-46"/>
        </w:rPr>
        <w:t> </w:t>
      </w:r>
      <w:r>
        <w:rPr>
          <w:rFonts w:ascii="宋体" w:hAnsi="宋体" w:cs="宋体" w:eastAsia="宋体" w:hint="default"/>
        </w:rPr>
        <w:t>2</w:t>
      </w:r>
      <w:r>
        <w:rPr>
          <w:rFonts w:ascii="宋体" w:hAnsi="宋体" w:cs="宋体" w:eastAsia="宋体" w:hint="default"/>
          <w:spacing w:val="-47"/>
        </w:rPr>
        <w:t> </w:t>
      </w:r>
      <w:r>
        <w:rPr/>
        <w:t>月</w:t>
      </w:r>
      <w:r>
        <w:rPr>
          <w:spacing w:val="-45"/>
        </w:rPr>
        <w:t> </w:t>
      </w:r>
      <w:r>
        <w:rPr>
          <w:rFonts w:ascii="宋体" w:hAnsi="宋体" w:cs="宋体" w:eastAsia="宋体" w:hint="default"/>
        </w:rPr>
        <w:t>26</w:t>
      </w:r>
      <w:r>
        <w:rPr>
          <w:rFonts w:ascii="宋体" w:hAnsi="宋体" w:cs="宋体" w:eastAsia="宋体" w:hint="default"/>
          <w:spacing w:val="-45"/>
        </w:rPr>
        <w:t> </w:t>
      </w:r>
      <w:r>
        <w:rPr/>
        <w:t>日已经公司董事会批准报出。</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r>
        <w:rPr/>
        <w:t>四、公司主要会计政策、会计估计和前期差错</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8"/>
        <w:ind w:left="513" w:right="0"/>
        <w:jc w:val="left"/>
      </w:pPr>
      <w:r>
        <w:rPr/>
        <w:t>本集团财务报表以持续经营假设为基础编制，根据实际发生的交易和事项，按照财政部于</w:t>
      </w:r>
      <w:r>
        <w:rPr>
          <w:spacing w:val="-54"/>
        </w:rPr>
        <w:t> </w:t>
      </w:r>
      <w:r>
        <w:rPr>
          <w:rFonts w:ascii="宋体" w:hAnsi="宋体" w:cs="宋体" w:eastAsia="宋体" w:hint="default"/>
        </w:rPr>
        <w:t>2006</w:t>
      </w:r>
      <w:r>
        <w:rPr>
          <w:rFonts w:ascii="宋体" w:hAnsi="宋体" w:cs="宋体" w:eastAsia="宋体" w:hint="default"/>
          <w:spacing w:val="-53"/>
        </w:rPr>
        <w:t> </w:t>
      </w:r>
      <w:r>
        <w:rPr/>
        <w:t>年</w:t>
      </w:r>
      <w:r>
        <w:rPr>
          <w:spacing w:val="-57"/>
        </w:rPr>
        <w:t> </w:t>
      </w:r>
      <w:r>
        <w:rPr>
          <w:rFonts w:ascii="宋体" w:hAnsi="宋体" w:cs="宋体" w:eastAsia="宋体" w:hint="default"/>
        </w:rPr>
        <w:t>2</w:t>
      </w:r>
      <w:r>
        <w:rPr>
          <w:rFonts w:ascii="宋体" w:hAnsi="宋体" w:cs="宋体" w:eastAsia="宋体" w:hint="default"/>
          <w:spacing w:val="-54"/>
        </w:rPr>
        <w:t> </w:t>
      </w:r>
      <w:r>
        <w:rPr/>
        <w:t>月</w:t>
      </w:r>
      <w:r>
        <w:rPr>
          <w:spacing w:val="-55"/>
        </w:rPr>
        <w:t> </w:t>
      </w:r>
      <w:r>
        <w:rPr>
          <w:rFonts w:ascii="宋体" w:hAnsi="宋体" w:cs="宋体" w:eastAsia="宋体" w:hint="default"/>
        </w:rPr>
        <w:t>15</w:t>
      </w:r>
      <w:r>
        <w:rPr>
          <w:rFonts w:ascii="宋体" w:hAnsi="宋体" w:cs="宋体" w:eastAsia="宋体" w:hint="default"/>
          <w:spacing w:val="-54"/>
        </w:rPr>
        <w:t> </w:t>
      </w:r>
      <w:r>
        <w:rPr>
          <w:spacing w:val="-5"/>
        </w:rPr>
        <w:t>日颁布的《企</w:t>
      </w:r>
    </w:p>
    <w:p>
      <w:pPr>
        <w:spacing w:line="240" w:lineRule="auto" w:before="10"/>
        <w:rPr>
          <w:rFonts w:ascii="宋体" w:hAnsi="宋体" w:cs="宋体" w:eastAsia="宋体" w:hint="default"/>
          <w:sz w:val="17"/>
          <w:szCs w:val="17"/>
        </w:rPr>
      </w:pPr>
    </w:p>
    <w:p>
      <w:pPr>
        <w:pStyle w:val="BodyText"/>
        <w:spacing w:line="240" w:lineRule="auto"/>
        <w:ind w:right="0"/>
        <w:jc w:val="left"/>
      </w:pPr>
      <w:r>
        <w:rPr/>
        <w:t>业会计准则——基本准则》和</w:t>
      </w:r>
      <w:r>
        <w:rPr>
          <w:spacing w:val="-46"/>
        </w:rPr>
        <w:t> </w:t>
      </w:r>
      <w:r>
        <w:rPr>
          <w:rFonts w:ascii="宋体" w:hAnsi="宋体" w:cs="宋体" w:eastAsia="宋体" w:hint="default"/>
        </w:rPr>
        <w:t>38</w:t>
      </w:r>
      <w:r>
        <w:rPr>
          <w:rFonts w:ascii="宋体" w:hAnsi="宋体" w:cs="宋体" w:eastAsia="宋体" w:hint="default"/>
          <w:spacing w:val="-45"/>
        </w:rPr>
        <w:t> </w:t>
      </w:r>
      <w:r>
        <w:rPr/>
        <w:t>项具体会计准则、其后颁布的企业会计准则应用指南、企业会计准则解释及其他相关规定</w:t>
      </w:r>
    </w:p>
    <w:p>
      <w:pPr>
        <w:spacing w:line="240" w:lineRule="auto" w:before="10"/>
        <w:rPr>
          <w:rFonts w:ascii="宋体" w:hAnsi="宋体" w:cs="宋体" w:eastAsia="宋体" w:hint="default"/>
          <w:sz w:val="17"/>
          <w:szCs w:val="17"/>
        </w:rPr>
      </w:pPr>
    </w:p>
    <w:p>
      <w:pPr>
        <w:pStyle w:val="BodyText"/>
        <w:spacing w:line="477" w:lineRule="auto"/>
        <w:ind w:right="1127"/>
        <w:jc w:val="left"/>
      </w:pPr>
      <w:r>
        <w:rPr/>
        <w:t>（以下合称“企业会计准则”）、以及中国证券监督管理委员会《公开发行证券的公司信息披露编报规则第</w:t>
      </w:r>
      <w:r>
        <w:rPr>
          <w:spacing w:val="-46"/>
        </w:rPr>
        <w:t> </w:t>
      </w:r>
      <w:r>
        <w:rPr>
          <w:rFonts w:ascii="宋体" w:hAnsi="宋体" w:cs="宋体" w:eastAsia="宋体" w:hint="default"/>
        </w:rPr>
        <w:t>15</w:t>
      </w:r>
      <w:r>
        <w:rPr>
          <w:rFonts w:ascii="宋体" w:hAnsi="宋体" w:cs="宋体" w:eastAsia="宋体" w:hint="default"/>
          <w:spacing w:val="-47"/>
        </w:rPr>
        <w:t> </w:t>
      </w:r>
      <w:r>
        <w:rPr/>
        <w:t>号——财务</w:t>
      </w:r>
      <w:r>
        <w:rPr>
          <w:spacing w:val="-3"/>
        </w:rPr>
        <w:t> </w:t>
      </w:r>
      <w:r>
        <w:rPr/>
        <w:t>报告的一般规定》（</w:t>
      </w:r>
      <w:r>
        <w:rPr>
          <w:rFonts w:ascii="宋体" w:hAnsi="宋体" w:cs="宋体" w:eastAsia="宋体" w:hint="default"/>
        </w:rPr>
        <w:t>2010</w:t>
      </w:r>
      <w:r>
        <w:rPr>
          <w:rFonts w:ascii="宋体" w:hAnsi="宋体" w:cs="宋体" w:eastAsia="宋体" w:hint="default"/>
          <w:spacing w:val="-46"/>
        </w:rPr>
        <w:t> </w:t>
      </w:r>
      <w:r>
        <w:rPr/>
        <w:t>年修订）的披露规定编制。</w:t>
      </w:r>
    </w:p>
    <w:p>
      <w:pPr>
        <w:pStyle w:val="BodyText"/>
        <w:spacing w:line="240" w:lineRule="auto" w:before="92"/>
        <w:ind w:left="513" w:right="0"/>
        <w:jc w:val="left"/>
      </w:pPr>
      <w:r>
        <w:rPr/>
        <w:t>根据企业会计准则的相关规定，本集团会计核算以权责发生制为基础。除某些金融工具外，本财务报表均以历史成本为</w:t>
      </w:r>
    </w:p>
    <w:p>
      <w:pPr>
        <w:spacing w:after="0" w:line="240" w:lineRule="auto"/>
        <w:jc w:val="left"/>
        <w:sectPr>
          <w:pgSz w:w="11910" w:h="16840"/>
          <w:pgMar w:header="877" w:footer="1272" w:top="1060" w:bottom="152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t>计量基础。资产如果发生减值，则按照相关规定计提相应的减值准备。</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8"/>
        <w:ind w:left="513" w:right="0"/>
        <w:jc w:val="left"/>
      </w:pPr>
      <w:r>
        <w:rPr/>
        <w:t>本集团编制的财务报表符合企业会计准则的要求，真实、完整地反映了本公司及本集团</w:t>
      </w:r>
      <w:r>
        <w:rPr>
          <w:spacing w:val="-45"/>
        </w:rPr>
        <w:t> </w:t>
      </w:r>
      <w:r>
        <w:rPr>
          <w:rFonts w:ascii="宋体" w:hAnsi="宋体" w:cs="宋体" w:eastAsia="宋体" w:hint="default"/>
        </w:rPr>
        <w:t>2012</w:t>
      </w:r>
      <w:r>
        <w:rPr>
          <w:rFonts w:ascii="宋体" w:hAnsi="宋体" w:cs="宋体" w:eastAsia="宋体" w:hint="default"/>
          <w:spacing w:val="-44"/>
        </w:rPr>
        <w:t> </w:t>
      </w:r>
      <w:r>
        <w:rPr/>
        <w:t>年</w:t>
      </w:r>
      <w:r>
        <w:rPr>
          <w:spacing w:val="-48"/>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日的财务状况</w:t>
      </w:r>
    </w:p>
    <w:p>
      <w:pPr>
        <w:spacing w:line="240" w:lineRule="auto" w:before="10"/>
        <w:rPr>
          <w:rFonts w:ascii="宋体" w:hAnsi="宋体" w:cs="宋体" w:eastAsia="宋体" w:hint="default"/>
          <w:sz w:val="17"/>
          <w:szCs w:val="17"/>
        </w:rPr>
      </w:pPr>
    </w:p>
    <w:p>
      <w:pPr>
        <w:pStyle w:val="BodyText"/>
        <w:spacing w:line="240" w:lineRule="auto"/>
        <w:ind w:right="0"/>
        <w:jc w:val="left"/>
      </w:pPr>
      <w:r>
        <w:rPr/>
        <w:t>及</w:t>
      </w:r>
      <w:r>
        <w:rPr>
          <w:spacing w:val="-46"/>
        </w:rPr>
        <w:t> </w:t>
      </w:r>
      <w:r>
        <w:rPr>
          <w:rFonts w:ascii="宋体" w:hAnsi="宋体" w:cs="宋体" w:eastAsia="宋体" w:hint="default"/>
        </w:rPr>
        <w:t>2012</w:t>
      </w:r>
      <w:r>
        <w:rPr>
          <w:rFonts w:ascii="宋体" w:hAnsi="宋体" w:cs="宋体" w:eastAsia="宋体" w:hint="default"/>
          <w:spacing w:val="-45"/>
        </w:rPr>
        <w:t> </w:t>
      </w:r>
      <w:r>
        <w:rPr/>
        <w:t>年度的经营成果和现金流量等有关信息。此外，本公司及本集团的财务报表在所有重大方面符合中国证券监督管理</w:t>
      </w:r>
    </w:p>
    <w:p>
      <w:pPr>
        <w:spacing w:line="240" w:lineRule="auto" w:before="10"/>
        <w:rPr>
          <w:rFonts w:ascii="宋体" w:hAnsi="宋体" w:cs="宋体" w:eastAsia="宋体" w:hint="default"/>
          <w:sz w:val="17"/>
          <w:szCs w:val="17"/>
        </w:rPr>
      </w:pPr>
    </w:p>
    <w:p>
      <w:pPr>
        <w:pStyle w:val="BodyText"/>
        <w:spacing w:line="477" w:lineRule="auto"/>
        <w:ind w:right="1117"/>
        <w:jc w:val="left"/>
      </w:pPr>
      <w:r>
        <w:rPr/>
        <w:t>委员会</w:t>
      </w:r>
      <w:r>
        <w:rPr>
          <w:spacing w:val="-49"/>
        </w:rPr>
        <w:t> </w:t>
      </w:r>
      <w:r>
        <w:rPr>
          <w:rFonts w:ascii="宋体" w:hAnsi="宋体" w:cs="宋体" w:eastAsia="宋体" w:hint="default"/>
        </w:rPr>
        <w:t>2010</w:t>
      </w:r>
      <w:r>
        <w:rPr>
          <w:rFonts w:ascii="宋体" w:hAnsi="宋体" w:cs="宋体" w:eastAsia="宋体" w:hint="default"/>
          <w:spacing w:val="-48"/>
        </w:rPr>
        <w:t> </w:t>
      </w:r>
      <w:r>
        <w:rPr>
          <w:spacing w:val="-3"/>
        </w:rPr>
        <w:t>年修订的《公开发行证券的公司信息披露编报规则第</w:t>
      </w:r>
      <w:r>
        <w:rPr>
          <w:spacing w:val="-49"/>
        </w:rPr>
        <w:t> </w:t>
      </w:r>
      <w:r>
        <w:rPr>
          <w:rFonts w:ascii="宋体" w:hAnsi="宋体" w:cs="宋体" w:eastAsia="宋体" w:hint="default"/>
        </w:rPr>
        <w:t>15</w:t>
      </w:r>
      <w:r>
        <w:rPr>
          <w:rFonts w:ascii="宋体" w:hAnsi="宋体" w:cs="宋体" w:eastAsia="宋体" w:hint="default"/>
          <w:spacing w:val="-48"/>
        </w:rPr>
        <w:t> </w:t>
      </w:r>
      <w:r>
        <w:rPr/>
        <w:t>号－财务报告的一般规定》有关财务报表及其附注的披 露要求。</w:t>
      </w:r>
    </w:p>
    <w:p>
      <w:pPr>
        <w:spacing w:line="240" w:lineRule="auto" w:before="10"/>
        <w:rPr>
          <w:rFonts w:ascii="宋体" w:hAnsi="宋体" w:cs="宋体" w:eastAsia="宋体" w:hint="default"/>
          <w:sz w:val="19"/>
          <w:szCs w:val="19"/>
        </w:rPr>
      </w:pPr>
    </w:p>
    <w:p>
      <w:pPr>
        <w:pStyle w:val="Heading5"/>
        <w:spacing w:line="240" w:lineRule="auto"/>
        <w:ind w:right="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9"/>
        <w:ind w:right="1046" w:firstLine="360"/>
        <w:jc w:val="both"/>
      </w:pPr>
      <w:r>
        <w:rPr/>
        <w:t>本集团的会计期间分为年度和中期，会计中期指短于一个完整的会计年度的报告期间。本集团会计年度采用公历年度， 即每年自</w:t>
      </w:r>
      <w:r>
        <w:rPr>
          <w:spacing w:val="-45"/>
        </w:rPr>
        <w:t> </w:t>
      </w:r>
      <w:r>
        <w:rPr>
          <w:rFonts w:ascii="宋体" w:hAnsi="宋体" w:cs="宋体" w:eastAsia="宋体" w:hint="default"/>
        </w:rPr>
        <w:t>1</w:t>
      </w:r>
      <w:r>
        <w:rPr>
          <w:rFonts w:ascii="宋体" w:hAnsi="宋体" w:cs="宋体" w:eastAsia="宋体" w:hint="default"/>
          <w:spacing w:val="-45"/>
        </w:rPr>
        <w:t> </w:t>
      </w:r>
      <w:r>
        <w:rPr/>
        <w:t>月</w:t>
      </w:r>
      <w:r>
        <w:rPr>
          <w:spacing w:val="-48"/>
        </w:rPr>
        <w:t> </w:t>
      </w:r>
      <w:r>
        <w:rPr>
          <w:rFonts w:ascii="宋体" w:hAnsi="宋体" w:cs="宋体" w:eastAsia="宋体" w:hint="default"/>
        </w:rPr>
        <w:t>1</w:t>
      </w:r>
      <w:r>
        <w:rPr>
          <w:rFonts w:ascii="宋体" w:hAnsi="宋体" w:cs="宋体" w:eastAsia="宋体" w:hint="default"/>
          <w:spacing w:val="-45"/>
        </w:rPr>
        <w:t> </w:t>
      </w:r>
      <w:r>
        <w:rPr/>
        <w:t>日起至</w:t>
      </w:r>
      <w:r>
        <w:rPr>
          <w:spacing w:val="-48"/>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日止。</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8"/>
        <w:ind w:right="1132" w:firstLine="360"/>
        <w:jc w:val="both"/>
      </w:pPr>
      <w:r>
        <w:rPr>
          <w:spacing w:val="-2"/>
        </w:rPr>
        <w:t>人民币为本公司及境内子公司经营所处的主要经济环境中的货币，本公司及境内子公司以人民币为记账本位币。本集团</w:t>
      </w:r>
      <w:r>
        <w:rPr/>
        <w:t> 编制本财务报表时所采用的货币为人民币。</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8"/>
        <w:ind w:right="1130" w:firstLine="360"/>
        <w:jc w:val="both"/>
      </w:pPr>
      <w:r>
        <w:rPr>
          <w:spacing w:val="-2"/>
        </w:rPr>
        <w:t>参与合并的企业在合并前后均受同一方或相同的多方最终控制，且该控制并非暂时性的，为同一控制下的企业合并。同</w:t>
      </w:r>
      <w:r>
        <w:rPr/>
        <w:t> </w:t>
      </w:r>
      <w:r>
        <w:rPr>
          <w:spacing w:val="-5"/>
        </w:rPr>
        <w:t>一控制下的企业合并，在合并日取得对其他参与合并企业控制权的一方为合并方，参与合并的其他企业为被合并方。合并日，</w:t>
      </w:r>
      <w:r>
        <w:rPr>
          <w:spacing w:val="-76"/>
        </w:rPr>
        <w:t> </w:t>
      </w:r>
      <w:r>
        <w:rPr>
          <w:spacing w:val="-76"/>
        </w:rPr>
      </w:r>
      <w:r>
        <w:rPr/>
        <w:t>是指合并方实际取得对被合并方控制权的日期。</w:t>
      </w:r>
    </w:p>
    <w:p>
      <w:pPr>
        <w:pStyle w:val="BodyText"/>
        <w:spacing w:line="477" w:lineRule="auto" w:before="92"/>
        <w:ind w:right="1132" w:firstLine="360"/>
        <w:jc w:val="both"/>
      </w:pPr>
      <w:r>
        <w:rPr>
          <w:spacing w:val="-2"/>
        </w:rPr>
        <w:t>合并方取得的资产和负债均按合并日在被合并方的账面价值计量。合并方取得的净资产账面价值与支付的合并对价账面</w:t>
      </w:r>
      <w:r>
        <w:rPr/>
        <w:t> 价值的差额，调整资本公积（股本溢价）；资本公积（股本溢价）不足以冲减的，调整留存收益。</w:t>
      </w:r>
    </w:p>
    <w:p>
      <w:pPr>
        <w:pStyle w:val="BodyText"/>
        <w:spacing w:line="240" w:lineRule="auto" w:before="95"/>
        <w:ind w:left="513" w:right="0"/>
        <w:jc w:val="left"/>
      </w:pPr>
      <w:r>
        <w:rPr/>
        <w:t>合并方为进行企业合并发生的各项直接费用，于发生时计入当期损益。</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8"/>
        <w:ind w:right="1131" w:firstLine="360"/>
        <w:jc w:val="both"/>
      </w:pPr>
      <w:r>
        <w:rPr>
          <w:spacing w:val="-2"/>
        </w:rPr>
        <w:t>参与合并的企业在合并前后不受同一方或相同的多方最终控制的，为非同一控制下的企业合并。非同一控制下的企业合</w:t>
      </w:r>
      <w:r>
        <w:rPr/>
        <w:t> </w:t>
      </w:r>
      <w:r>
        <w:rPr>
          <w:spacing w:val="-2"/>
        </w:rPr>
        <w:t>并，在购买日取得对其他参与合并企业控制权的一方为购买方，参与合并的其他企业为被购买方。购买日，是指为购买方实</w:t>
      </w:r>
      <w:r>
        <w:rPr>
          <w:spacing w:val="-64"/>
        </w:rPr>
        <w:t> </w:t>
      </w:r>
      <w:r>
        <w:rPr>
          <w:spacing w:val="-64"/>
        </w:rPr>
      </w:r>
      <w:r>
        <w:rPr/>
        <w:t>际取得对被购买方控制权的日期。</w:t>
      </w:r>
    </w:p>
    <w:p>
      <w:pPr>
        <w:spacing w:after="0" w:line="477" w:lineRule="auto"/>
        <w:jc w:val="both"/>
        <w:sectPr>
          <w:pgSz w:w="11910" w:h="16840"/>
          <w:pgMar w:header="877" w:footer="1272" w:top="1060" w:bottom="152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034" w:firstLine="360"/>
        <w:jc w:val="left"/>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t>金额。所涉及的或有对价按其在购买日的公允价值计入合并成本，购买日后</w:t>
      </w:r>
      <w:r>
        <w:rPr>
          <w:spacing w:val="-44"/>
        </w:rPr>
        <w:t> </w:t>
      </w:r>
      <w:r>
        <w:rPr>
          <w:rFonts w:ascii="宋体" w:hAnsi="宋体" w:cs="宋体" w:eastAsia="宋体" w:hint="default"/>
        </w:rPr>
        <w:t>12</w:t>
      </w:r>
      <w:r>
        <w:rPr>
          <w:rFonts w:ascii="宋体" w:hAnsi="宋体" w:cs="宋体" w:eastAsia="宋体" w:hint="default"/>
          <w:spacing w:val="-45"/>
        </w:rPr>
        <w:t> </w:t>
      </w:r>
      <w:r>
        <w:rPr/>
        <w:t>个月内出现对购买日已存在情况的新的或进 一步证据而需要调整或有对价的，相应调整合并商誉。通过多次交换交易分步实现的企业合并，在本集团合并财务报表中，</w:t>
      </w:r>
      <w:r>
        <w:rPr>
          <w:spacing w:val="-85"/>
        </w:rPr>
        <w:t> </w:t>
      </w:r>
      <w:r>
        <w:rPr>
          <w:spacing w:val="-85"/>
        </w:rPr>
      </w:r>
      <w:r>
        <w:rPr>
          <w:spacing w:val="-2"/>
        </w:rPr>
        <w:t>对于购买日之前持有的被购买方的股权，按照该股权在购买日的公允价值进行重新计量，公允价值与其账面价值的差额计入</w:t>
      </w:r>
      <w:r>
        <w:rPr>
          <w:spacing w:val="-64"/>
        </w:rPr>
        <w:t> </w:t>
      </w:r>
      <w:r>
        <w:rPr>
          <w:spacing w:val="-64"/>
        </w:rPr>
      </w:r>
      <w:r>
        <w:rPr>
          <w:spacing w:val="-2"/>
        </w:rPr>
        <w:t>购买日所属当期投资收益，同时将与购买日之前持有的被购买方的股权相关的其他综合收益转为当期投资收益，合并成本为</w:t>
      </w:r>
      <w:r>
        <w:rPr>
          <w:spacing w:val="-64"/>
        </w:rPr>
        <w:t> </w:t>
      </w:r>
      <w:r>
        <w:rPr>
          <w:spacing w:val="-64"/>
        </w:rPr>
      </w:r>
      <w:r>
        <w:rPr/>
        <w:t>购买日之前持有的被购买方的股权在购买日的公允价值与购买日增持的被购买方股权在购买日的公允价值之和。</w:t>
      </w:r>
    </w:p>
    <w:p>
      <w:pPr>
        <w:pStyle w:val="BodyText"/>
        <w:spacing w:line="477" w:lineRule="auto" w:before="95"/>
        <w:ind w:right="1130" w:firstLine="360"/>
        <w:jc w:val="both"/>
      </w:pPr>
      <w:r>
        <w:rPr>
          <w:spacing w:val="-2"/>
        </w:rPr>
        <w:t>购买方发生的合并成本及在合并中取得的可辨认净资产按购买日的公允价值计量。合并成本大于合并中取得的被购买方</w:t>
      </w:r>
      <w:r>
        <w:rPr/>
        <w:t> </w:t>
      </w:r>
      <w:r>
        <w:rPr>
          <w:spacing w:val="-2"/>
        </w:rPr>
        <w:t>于购买日可辨认净资产公允价值份额的差额，确认为商誉。合并成本小于合并中取得的被购买方可辨认净资产公允价值份额</w:t>
      </w:r>
      <w:r>
        <w:rPr>
          <w:spacing w:val="-63"/>
        </w:rPr>
        <w:t> </w:t>
      </w:r>
      <w:r>
        <w:rPr>
          <w:spacing w:val="-63"/>
        </w:rPr>
      </w:r>
      <w:r>
        <w:rPr>
          <w:spacing w:val="-2"/>
        </w:rPr>
        <w:t>的，首先对取得的被购买方各项可辨认资产、负债及或有负债的公允价值以及合并成本的计量进行复核，复核后合并成本仍</w:t>
      </w:r>
      <w:r>
        <w:rPr>
          <w:spacing w:val="-63"/>
        </w:rPr>
        <w:t> </w:t>
      </w:r>
      <w:r>
        <w:rPr>
          <w:spacing w:val="-63"/>
        </w:rPr>
      </w:r>
      <w:r>
        <w:rPr/>
        <w:t>小于合并中取得的被购买方可辨认净资产公允价值份额的，其差额计入当期损益。</w:t>
      </w:r>
    </w:p>
    <w:p>
      <w:pPr>
        <w:pStyle w:val="BodyText"/>
        <w:spacing w:line="477" w:lineRule="auto" w:before="92"/>
        <w:ind w:right="1133" w:firstLine="360"/>
        <w:jc w:val="both"/>
      </w:pPr>
      <w:r>
        <w:rPr/>
        <w:t>购买方取得被购买方的可抵扣暂时性差异，在购买日因不符合递延所得税资产确认条件而未予确认的，在购买日后</w:t>
      </w:r>
      <w:r>
        <w:rPr>
          <w:spacing w:val="-43"/>
        </w:rPr>
        <w:t> </w:t>
      </w:r>
      <w:r>
        <w:rPr>
          <w:rFonts w:ascii="宋体" w:hAnsi="宋体" w:cs="宋体" w:eastAsia="宋体" w:hint="default"/>
        </w:rPr>
        <w:t>12</w:t>
      </w:r>
      <w:r>
        <w:rPr>
          <w:rFonts w:ascii="宋体" w:hAnsi="宋体" w:cs="宋体" w:eastAsia="宋体" w:hint="default"/>
          <w:spacing w:val="1"/>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0"/>
        <w:rPr>
          <w:rFonts w:ascii="宋体" w:hAnsi="宋体" w:cs="宋体" w:eastAsia="宋体" w:hint="default"/>
          <w:b/>
          <w:bCs/>
          <w:sz w:val="20"/>
          <w:szCs w:val="20"/>
        </w:rPr>
      </w:pPr>
    </w:p>
    <w:p>
      <w:pPr>
        <w:pStyle w:val="BodyText"/>
        <w:spacing w:line="518" w:lineRule="auto" w:before="166"/>
        <w:ind w:left="513" w:right="1123"/>
        <w:jc w:val="left"/>
      </w:pPr>
      <w:r>
        <w:rPr>
          <w:rFonts w:ascii="宋体" w:hAnsi="宋体" w:cs="宋体" w:eastAsia="宋体" w:hint="default"/>
        </w:rPr>
        <w:t>1</w:t>
      </w:r>
      <w:r>
        <w:rPr>
          <w:rFonts w:ascii="宋体" w:hAnsi="宋体" w:cs="宋体" w:eastAsia="宋体" w:hint="default"/>
          <w:spacing w:val="2"/>
        </w:rPr>
        <w:t> </w:t>
      </w:r>
      <w:r>
        <w:rPr/>
        <w:t>合并财务报表范围的确定原则 合并财务报表的合并范围以控制为基础予以确定。控制是指本公司能够决定被投资单位的财务和经营政策</w:t>
      </w:r>
      <w:r>
        <w:rPr>
          <w:rFonts w:ascii="宋体" w:hAnsi="宋体" w:cs="宋体" w:eastAsia="宋体" w:hint="default"/>
        </w:rPr>
        <w:t>,</w:t>
      </w:r>
      <w:r>
        <w:rPr/>
        <w:t>并能据以从</w:t>
      </w:r>
    </w:p>
    <w:p>
      <w:pPr>
        <w:pStyle w:val="BodyText"/>
        <w:spacing w:line="518" w:lineRule="auto" w:before="23"/>
        <w:ind w:left="513" w:right="1034" w:hanging="361"/>
        <w:jc w:val="left"/>
      </w:pPr>
      <w:r>
        <w:rPr/>
        <w:t>被投资单位的经营活动中获取利益的权力。合并范围包括本公司及全部子公司。子公司，是指被本公司控制的企业或主体。</w:t>
      </w:r>
      <w:r>
        <w:rPr>
          <w:spacing w:val="-86"/>
        </w:rPr>
        <w:t> </w:t>
      </w:r>
      <w:r>
        <w:rPr>
          <w:spacing w:val="-86"/>
        </w:rPr>
      </w:r>
      <w:r>
        <w:rPr>
          <w:rFonts w:ascii="宋体" w:hAnsi="宋体" w:cs="宋体" w:eastAsia="宋体" w:hint="default"/>
        </w:rPr>
        <w:t>2</w:t>
      </w:r>
      <w:r>
        <w:rPr>
          <w:rFonts w:ascii="宋体" w:hAnsi="宋体" w:cs="宋体" w:eastAsia="宋体" w:hint="default"/>
          <w:spacing w:val="2"/>
        </w:rPr>
        <w:t> </w:t>
      </w:r>
      <w:r>
        <w:rPr/>
        <w:t>合并财务报表编制的方法 </w:t>
      </w:r>
      <w:r>
        <w:rPr>
          <w:spacing w:val="-2"/>
        </w:rPr>
        <w:t>从取得子公司的净资产和生产经营决策的实际控制权之日起，本集团开始将其纳入合并范围；从丧失实际控制权之日起</w:t>
      </w:r>
    </w:p>
    <w:p>
      <w:pPr>
        <w:pStyle w:val="BodyText"/>
        <w:spacing w:line="477" w:lineRule="auto" w:before="23"/>
        <w:ind w:right="0"/>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3"/>
        </w:rPr>
        <w:t> </w:t>
      </w:r>
      <w:r>
        <w:rPr>
          <w:spacing w:val="-63"/>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p>
    <w:p>
      <w:pPr>
        <w:pStyle w:val="BodyText"/>
        <w:spacing w:line="240" w:lineRule="auto" w:before="54"/>
        <w:ind w:right="0"/>
        <w:jc w:val="left"/>
      </w:pPr>
      <w:r>
        <w:rPr/>
        <w:t>时调整合并财务报表的对比数。</w:t>
      </w:r>
    </w:p>
    <w:p>
      <w:pPr>
        <w:spacing w:after="0" w:line="240" w:lineRule="auto"/>
        <w:jc w:val="left"/>
        <w:sectPr>
          <w:pgSz w:w="11910" w:h="16840"/>
          <w:pgMar w:header="877" w:footer="1272" w:top="1060" w:bottom="152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516" w:lineRule="auto" w:before="95"/>
        <w:ind w:left="513" w:right="1213"/>
        <w:jc w:val="left"/>
      </w:pPr>
      <w:r>
        <w:rPr/>
        <w:t>集团内所有重大往来余额、交易及未实现利润在合并财务报表编制时予以抵销。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477" w:lineRule="auto" w:before="25"/>
        <w:ind w:right="1128"/>
        <w:jc w:val="both"/>
      </w:pPr>
      <w:r>
        <w:rPr>
          <w:spacing w:val="-2"/>
        </w:rPr>
        <w:t>中股东权益及净利润项下单独列示。子公司当期净损益中属于少数股东权益的份额，在合并利润表中净利润项目下以“少数</w:t>
      </w:r>
      <w:r>
        <w:rPr>
          <w:spacing w:val="-61"/>
        </w:rPr>
        <w:t> </w:t>
      </w:r>
      <w:r>
        <w:rPr>
          <w:spacing w:val="-61"/>
        </w:rPr>
      </w:r>
      <w:r>
        <w:rPr>
          <w:spacing w:val="-2"/>
        </w:rPr>
        <w:t>股东损益”项目列示。少数股东分担的子公司的亏损超过了少数股东在该子公司期初所有者权益中所享有的份额，冲减少数</w:t>
      </w:r>
      <w:r>
        <w:rPr>
          <w:spacing w:val="-67"/>
        </w:rPr>
        <w:t> </w:t>
      </w:r>
      <w:r>
        <w:rPr>
          <w:spacing w:val="-67"/>
        </w:rPr>
      </w:r>
      <w:r>
        <w:rPr/>
        <w:t>股东权益。</w:t>
      </w:r>
    </w:p>
    <w:p>
      <w:pPr>
        <w:spacing w:line="240" w:lineRule="auto" w:before="0"/>
        <w:rPr>
          <w:rFonts w:ascii="宋体" w:hAnsi="宋体" w:cs="宋体" w:eastAsia="宋体" w:hint="default"/>
          <w:sz w:val="20"/>
          <w:szCs w:val="20"/>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8"/>
        <w:ind w:left="513" w:right="0"/>
        <w:jc w:val="left"/>
      </w:pPr>
      <w:r>
        <w:rPr/>
        <w:t>截止报告报出日，本公司不存在对同一子公司的股权在连续两个会计年度买入再卖出，或卖出再买入的情况。</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5"/>
        <w:spacing w:line="240" w:lineRule="auto"/>
        <w:ind w:right="0"/>
        <w:jc w:val="both"/>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3"/>
          <w:szCs w:val="23"/>
        </w:rPr>
      </w:pPr>
    </w:p>
    <w:p>
      <w:pPr>
        <w:pStyle w:val="BodyText"/>
        <w:spacing w:line="357" w:lineRule="auto"/>
        <w:ind w:right="1207" w:firstLine="384"/>
        <w:jc w:val="both"/>
      </w:pPr>
      <w:r>
        <w:rPr/>
        <w:t>本集团现金及现金等价物包括库存现金、可以随时用于支付的存款以及本集团持有的期限短（一般为从购买日起，三 个月内到期）、流动性强、易于转换为已知金额的现金、价值变动风险很小的投资。</w:t>
      </w:r>
    </w:p>
    <w:p>
      <w:pPr>
        <w:spacing w:line="240" w:lineRule="auto" w:before="0"/>
        <w:rPr>
          <w:rFonts w:ascii="宋体" w:hAnsi="宋体" w:cs="宋体" w:eastAsia="宋体" w:hint="default"/>
          <w:sz w:val="18"/>
          <w:szCs w:val="18"/>
        </w:rPr>
      </w:pPr>
    </w:p>
    <w:p>
      <w:pPr>
        <w:pStyle w:val="Heading5"/>
        <w:spacing w:line="240" w:lineRule="auto" w:before="118"/>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1"/>
        <w:rPr>
          <w:rFonts w:ascii="宋体" w:hAnsi="宋体" w:cs="宋体" w:eastAsia="宋体" w:hint="default"/>
          <w:b/>
          <w:bCs/>
          <w:sz w:val="25"/>
          <w:szCs w:val="25"/>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7"/>
        <w:rPr>
          <w:rFonts w:ascii="宋体" w:hAnsi="宋体" w:cs="宋体" w:eastAsia="宋体" w:hint="default"/>
          <w:b/>
          <w:bCs/>
          <w:sz w:val="23"/>
          <w:szCs w:val="23"/>
        </w:rPr>
      </w:pPr>
    </w:p>
    <w:p>
      <w:pPr>
        <w:pStyle w:val="BodyText"/>
        <w:spacing w:line="357" w:lineRule="auto"/>
        <w:ind w:left="578" w:right="1148"/>
        <w:jc w:val="left"/>
      </w:pPr>
      <w:r>
        <w:rPr>
          <w:rFonts w:ascii="宋体" w:hAnsi="宋体" w:cs="宋体" w:eastAsia="宋体" w:hint="default"/>
        </w:rPr>
        <w:t>1</w:t>
      </w:r>
      <w:r>
        <w:rPr>
          <w:rFonts w:ascii="宋体" w:hAnsi="宋体" w:cs="宋体" w:eastAsia="宋体" w:hint="default"/>
          <w:spacing w:val="2"/>
        </w:rPr>
        <w:t> </w:t>
      </w:r>
      <w:r>
        <w:rPr/>
        <w:t>外币交易的折算方法 本集团发生的外币交易在初始确认时，按交易日的即期汇率（通常指中国人民银行公布的当日外汇牌价的中间价，下</w:t>
      </w:r>
    </w:p>
    <w:p>
      <w:pPr>
        <w:pStyle w:val="BodyText"/>
        <w:spacing w:line="357" w:lineRule="auto" w:before="26"/>
        <w:ind w:right="1123"/>
        <w:jc w:val="left"/>
      </w:pPr>
      <w:r>
        <w:rPr>
          <w:spacing w:val="-2"/>
        </w:rPr>
        <w:t>同）折算为记账本位币金额，但公司发生的外币兑换业务或涉及外币兑换的交易事项，按照实际采用的汇率折算为记账本位</w:t>
      </w:r>
      <w:r>
        <w:rPr>
          <w:spacing w:val="-65"/>
        </w:rPr>
        <w:t> </w:t>
      </w:r>
      <w:r>
        <w:rPr>
          <w:spacing w:val="-65"/>
        </w:rPr>
      </w:r>
      <w:r>
        <w:rPr/>
        <w:t>币金额。</w:t>
      </w:r>
    </w:p>
    <w:p>
      <w:pPr>
        <w:pStyle w:val="BodyText"/>
        <w:spacing w:line="357" w:lineRule="auto" w:before="26"/>
        <w:ind w:left="578" w:right="1148"/>
        <w:jc w:val="left"/>
      </w:pPr>
      <w:r>
        <w:rPr>
          <w:rFonts w:ascii="宋体" w:hAnsi="宋体" w:cs="宋体" w:eastAsia="宋体" w:hint="default"/>
        </w:rPr>
        <w:t>2</w:t>
      </w:r>
      <w:r>
        <w:rPr>
          <w:rFonts w:ascii="宋体" w:hAnsi="宋体" w:cs="宋体" w:eastAsia="宋体" w:hint="default"/>
          <w:spacing w:val="1"/>
        </w:rPr>
        <w:t> </w:t>
      </w:r>
      <w:r>
        <w:rPr/>
        <w:t>对于外币货币性项目和外币非货币性项目的折算方法 资产负债表日，对于外币货币性项目采用资产负债表日即期汇率折算，由此产生的汇兑差额，除：①属于与购建符合</w:t>
      </w:r>
    </w:p>
    <w:p>
      <w:pPr>
        <w:pStyle w:val="BodyText"/>
        <w:spacing w:line="357" w:lineRule="auto" w:before="26"/>
        <w:ind w:right="0"/>
        <w:jc w:val="left"/>
      </w:pPr>
      <w:r>
        <w:rPr>
          <w:spacing w:val="-2"/>
        </w:rPr>
        <w:t>资本化条件的资产相关的外币专门借款产生的汇兑差额按照借款费用资本化的原则处理；②可供出售的外币货币性项目除摊</w:t>
      </w:r>
      <w:r>
        <w:rPr>
          <w:spacing w:val="-64"/>
        </w:rPr>
        <w:t> </w:t>
      </w:r>
      <w:r>
        <w:rPr>
          <w:spacing w:val="-64"/>
        </w:rPr>
      </w:r>
      <w:r>
        <w:rPr/>
        <w:t>余成本之外的其他账面余额变动产生的汇兑差额计入其他综合收益之外，均计入当期损益。</w:t>
      </w:r>
    </w:p>
    <w:p>
      <w:pPr>
        <w:pStyle w:val="BodyText"/>
        <w:spacing w:line="357" w:lineRule="auto" w:before="25"/>
        <w:ind w:right="1130" w:firstLine="425"/>
        <w:jc w:val="both"/>
      </w:pPr>
      <w:r>
        <w:rPr/>
        <w:t>以历史成本计量的外币非货币性项目，仍采用交易发生日的即期汇率折算的记账本位币金额计量。以公允价值计量的 </w:t>
      </w:r>
      <w:r>
        <w:rPr>
          <w:spacing w:val="-2"/>
        </w:rPr>
        <w:t>外币非货币性项目，采用公允价值确定日的即期汇率折算，折算后的记账本位币金额与原记账本位币金额的差额，作为公允</w:t>
      </w:r>
      <w:r>
        <w:rPr>
          <w:spacing w:val="-63"/>
        </w:rPr>
        <w:t> </w:t>
      </w:r>
      <w:r>
        <w:rPr>
          <w:spacing w:val="-63"/>
        </w:rPr>
      </w:r>
      <w:r>
        <w:rPr/>
        <w:t>价值变动（含汇率变动）处理，计入当期损益或确认为其他综合收益并计入资本公积。</w:t>
      </w:r>
    </w:p>
    <w:p>
      <w:pPr>
        <w:spacing w:line="240" w:lineRule="auto" w:before="0"/>
        <w:rPr>
          <w:rFonts w:ascii="宋体" w:hAnsi="宋体" w:cs="宋体" w:eastAsia="宋体" w:hint="default"/>
          <w:sz w:val="18"/>
          <w:szCs w:val="18"/>
        </w:rPr>
      </w:pPr>
    </w:p>
    <w:p>
      <w:pPr>
        <w:pStyle w:val="Heading5"/>
        <w:spacing w:line="240" w:lineRule="auto" w:before="118"/>
        <w:ind w:right="0"/>
        <w:jc w:val="both"/>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10"/>
        <w:rPr>
          <w:rFonts w:ascii="宋体" w:hAnsi="宋体" w:cs="宋体" w:eastAsia="宋体" w:hint="default"/>
          <w:b/>
          <w:bCs/>
          <w:sz w:val="23"/>
          <w:szCs w:val="23"/>
        </w:rPr>
      </w:pPr>
    </w:p>
    <w:p>
      <w:pPr>
        <w:pStyle w:val="BodyText"/>
        <w:spacing w:line="357" w:lineRule="auto"/>
        <w:ind w:right="1166" w:firstLine="425"/>
        <w:jc w:val="both"/>
      </w:pPr>
      <w:r>
        <w:rPr/>
        <w:t>编制合并财务报表涉及境外经营的，如有实质上构成对境外经营净投资的外币货币性项目，因汇率变动而产生的汇兑 差额，列入所有者权益“外币报表折算差额”项目；处置境外经营时，计入处置当期损益。</w:t>
      </w:r>
    </w:p>
    <w:p>
      <w:pPr>
        <w:spacing w:after="0" w:line="357" w:lineRule="auto"/>
        <w:jc w:val="both"/>
        <w:sectPr>
          <w:pgSz w:w="11910" w:h="16840"/>
          <w:pgMar w:header="877" w:footer="1272" w:top="1060" w:bottom="1520" w:left="980" w:right="0"/>
        </w:sectPr>
      </w:pPr>
    </w:p>
    <w:p>
      <w:pPr>
        <w:spacing w:line="240" w:lineRule="auto" w:before="8"/>
        <w:rPr>
          <w:rFonts w:ascii="宋体" w:hAnsi="宋体" w:cs="宋体" w:eastAsia="宋体" w:hint="default"/>
          <w:sz w:val="22"/>
          <w:szCs w:val="22"/>
        </w:rPr>
      </w:pPr>
    </w:p>
    <w:p>
      <w:pPr>
        <w:pStyle w:val="BodyText"/>
        <w:spacing w:line="357" w:lineRule="auto" w:before="44"/>
        <w:ind w:right="0" w:firstLine="425"/>
        <w:jc w:val="left"/>
      </w:pPr>
      <w:r>
        <w:rPr/>
        <w:t>境外经营的外币财务报表按以下方法折算为人民币报表：资产负债表中的资产和负债项目，采用资产负债表日的即期 </w:t>
      </w:r>
      <w:r>
        <w:rPr>
          <w:spacing w:val="-5"/>
        </w:rPr>
        <w:t>汇率折算；所有者权益类项目除“未分配利润”项目外，其他项目采用发生时的即期汇率折算。利润表中的收入和费用项目，</w:t>
      </w:r>
      <w:r>
        <w:rPr>
          <w:spacing w:val="-79"/>
        </w:rPr>
        <w:t> </w:t>
      </w:r>
      <w:r>
        <w:rPr>
          <w:spacing w:val="-79"/>
        </w:rPr>
      </w:r>
      <w:r>
        <w:rPr>
          <w:spacing w:val="-2"/>
        </w:rPr>
        <w:t>采用交易发生日的即期汇率折算。年初未分配利润为上一年折算后的年末未分配利润；年末未分配利润按折算后的利润分配</w:t>
      </w:r>
      <w:r>
        <w:rPr>
          <w:spacing w:val="-64"/>
        </w:rPr>
        <w:t> </w:t>
      </w:r>
      <w:r>
        <w:rPr>
          <w:spacing w:val="-64"/>
        </w:rPr>
      </w:r>
      <w:r>
        <w:rPr>
          <w:spacing w:val="-2"/>
        </w:rPr>
        <w:t>各项目计算列示；折算后资产类项目与负债类项目和股东权益类项目合计数的差额，作为外币报表折算差额，确认为其他综</w:t>
      </w:r>
      <w:r>
        <w:rPr>
          <w:spacing w:val="-63"/>
        </w:rPr>
        <w:t> </w:t>
      </w:r>
      <w:r>
        <w:rPr>
          <w:spacing w:val="-63"/>
        </w:rPr>
      </w:r>
      <w:r>
        <w:rPr>
          <w:spacing w:val="-4"/>
        </w:rPr>
        <w:t>合收益并在资产负债表中股东权益项目下单独列示。处置境外经营并丧失控制权时，将资产负债表中股东权益项目下列示的、</w:t>
      </w:r>
      <w:r>
        <w:rPr>
          <w:spacing w:val="-44"/>
        </w:rPr>
        <w:t> </w:t>
      </w:r>
      <w:r>
        <w:rPr>
          <w:spacing w:val="-44"/>
        </w:rPr>
      </w:r>
      <w:r>
        <w:rPr/>
        <w:t>与该境外经营相关的外币报表折算差额，全部或按处置该境外经营的比例转入处置当期损益。</w:t>
      </w:r>
    </w:p>
    <w:p>
      <w:pPr>
        <w:pStyle w:val="BodyText"/>
        <w:spacing w:line="357" w:lineRule="auto" w:before="26"/>
        <w:ind w:right="1149" w:firstLine="425"/>
        <w:jc w:val="left"/>
      </w:pPr>
      <w:r>
        <w:rPr/>
        <w:t>外币现金流量，采用现金流量发生日的即期汇率折算。汇率变动对现金的影响额作为调节项目，在现金流量表中单独 列报。</w:t>
      </w:r>
    </w:p>
    <w:p>
      <w:pPr>
        <w:pStyle w:val="BodyText"/>
        <w:spacing w:line="240" w:lineRule="auto" w:before="26"/>
        <w:ind w:left="578" w:right="0"/>
        <w:jc w:val="left"/>
      </w:pPr>
      <w:r>
        <w:rPr/>
        <w:t>年初数和上年实际数按照上年财务报表折算后的数额列示。</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Heading5"/>
        <w:spacing w:line="240" w:lineRule="auto"/>
        <w:ind w:right="0"/>
        <w:jc w:val="both"/>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513" w:right="0"/>
        <w:jc w:val="left"/>
        <w:rPr>
          <w:sz w:val="21"/>
          <w:szCs w:val="21"/>
        </w:rPr>
      </w:pPr>
      <w:r>
        <w:rPr/>
        <w:t>金融工具包括金融资产和金融负债</w:t>
      </w:r>
      <w:r>
        <w:rPr>
          <w:sz w:val="21"/>
          <w:szCs w:val="21"/>
        </w:rPr>
        <w:t>。</w:t>
      </w:r>
    </w:p>
    <w:p>
      <w:pPr>
        <w:spacing w:line="240" w:lineRule="auto" w:before="4"/>
        <w:rPr>
          <w:rFonts w:ascii="宋体" w:hAnsi="宋体" w:cs="宋体" w:eastAsia="宋体" w:hint="default"/>
          <w:sz w:val="26"/>
          <w:szCs w:val="26"/>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6"/>
        <w:ind w:left="513" w:right="0"/>
        <w:jc w:val="left"/>
      </w:pPr>
      <w:r>
        <w:rPr/>
        <w:t>金融工具包括金融资产和金融负债。</w:t>
      </w:r>
    </w:p>
    <w:p>
      <w:pPr>
        <w:spacing w:line="240" w:lineRule="auto" w:before="10"/>
        <w:rPr>
          <w:rFonts w:ascii="宋体" w:hAnsi="宋体" w:cs="宋体" w:eastAsia="宋体" w:hint="default"/>
          <w:sz w:val="17"/>
          <w:szCs w:val="17"/>
        </w:rPr>
      </w:pPr>
    </w:p>
    <w:p>
      <w:pPr>
        <w:pStyle w:val="BodyText"/>
        <w:spacing w:line="477" w:lineRule="auto"/>
        <w:ind w:right="1128" w:firstLine="360"/>
        <w:jc w:val="both"/>
      </w:pPr>
      <w:r>
        <w:rPr>
          <w:rFonts w:ascii="宋体" w:hAnsi="宋体" w:cs="宋体" w:eastAsia="宋体" w:hint="default"/>
          <w:spacing w:val="-2"/>
        </w:rPr>
        <w:t>1</w:t>
      </w:r>
      <w:r>
        <w:rPr>
          <w:spacing w:val="-2"/>
        </w:rPr>
        <w:t>）金融资产划分为以下四类：</w:t>
      </w:r>
      <w:r>
        <w:rPr>
          <w:spacing w:val="-17"/>
        </w:rPr>
        <w:t> </w:t>
      </w:r>
      <w:r>
        <w:rPr>
          <w:spacing w:val="-1"/>
        </w:rPr>
        <w:t>①以公允价值计量且其变动计入当期损益的金融资产，要是指本公司为了近期内出售而</w:t>
      </w:r>
      <w:r>
        <w:rPr/>
        <w:t> </w:t>
      </w:r>
      <w:r>
        <w:rPr>
          <w:spacing w:val="-2"/>
        </w:rPr>
        <w:t>持有的股票、债券、基金以及不作为有效套期工具的衍生工具。包括交易性金融资产和直接指定为以公允价值计量且其变动</w:t>
      </w:r>
      <w:r>
        <w:rPr>
          <w:spacing w:val="-66"/>
        </w:rPr>
        <w:t> </w:t>
      </w:r>
      <w:r>
        <w:rPr>
          <w:spacing w:val="-66"/>
        </w:rPr>
      </w:r>
      <w:r>
        <w:rPr/>
        <w:t>计入当期损益的金融资产。②持有至到期投资</w:t>
      </w:r>
      <w:r>
        <w:rPr>
          <w:spacing w:val="2"/>
        </w:rPr>
        <w:t> </w:t>
      </w:r>
      <w:r>
        <w:rPr/>
        <w:t>主要是指到期日固定、回收金额固定或可确定，且本公司有明确意图和能力</w:t>
      </w:r>
      <w:r>
        <w:rPr/>
        <w:t> 持有至到期的固定利率国债、浮动利率公司债券等。③应收款项</w:t>
      </w:r>
      <w:r>
        <w:rPr>
          <w:spacing w:val="-29"/>
        </w:rPr>
        <w:t> </w:t>
      </w:r>
      <w:r>
        <w:rPr/>
        <w:t>主要是指本公司销售商品或提供劳务形成的应收款项。</w:t>
      </w:r>
      <w:r>
        <w:rPr>
          <w:spacing w:val="-48"/>
        </w:rPr>
        <w:t> </w:t>
      </w:r>
      <w:r>
        <w:rPr/>
        <w:t>④</w:t>
      </w:r>
      <w:r>
        <w:rPr/>
        <w:t> 可供出售金融资产</w:t>
      </w:r>
      <w:r>
        <w:rPr>
          <w:spacing w:val="1"/>
        </w:rPr>
        <w:t> </w:t>
      </w:r>
      <w:r>
        <w:rPr/>
        <w:t>主要是指本公司没有划分为以公允价值计量且其变动计入当期损益的金融资产、持有至到期投资、贷款</w:t>
      </w:r>
      <w:r>
        <w:rPr/>
        <w:t> 和应收款项的金融资产。</w:t>
      </w:r>
    </w:p>
    <w:p>
      <w:pPr>
        <w:pStyle w:val="BodyText"/>
        <w:spacing w:line="477" w:lineRule="auto" w:before="54"/>
        <w:ind w:right="1120" w:firstLine="360"/>
        <w:jc w:val="left"/>
      </w:pPr>
      <w:r>
        <w:rPr>
          <w:spacing w:val="-2"/>
        </w:rPr>
        <w:t>（</w:t>
      </w:r>
      <w:r>
        <w:rPr>
          <w:rFonts w:ascii="宋体" w:hAnsi="宋体" w:cs="宋体" w:eastAsia="宋体" w:hint="default"/>
          <w:spacing w:val="-2"/>
        </w:rPr>
        <w:t>2</w:t>
      </w:r>
      <w:r>
        <w:rPr>
          <w:spacing w:val="-2"/>
        </w:rPr>
        <w:t>）金融负债在初始确认时划分为以下两类：</w:t>
      </w:r>
      <w:r>
        <w:rPr>
          <w:spacing w:val="-13"/>
        </w:rPr>
        <w:t> </w:t>
      </w:r>
      <w:r>
        <w:rPr>
          <w:spacing w:val="-1"/>
        </w:rPr>
        <w:t>①以公允价值计量且其变动计入当期损益的金融负债，包括交易性金融</w:t>
      </w:r>
      <w:r>
        <w:rPr/>
        <w:t> 负债和指定为以公允价值计量且其变动计入当期损益的金融负债。②其他金融负债。</w:t>
      </w:r>
    </w:p>
    <w:p>
      <w:pPr>
        <w:spacing w:line="240" w:lineRule="auto" w:before="13"/>
        <w:rPr>
          <w:rFonts w:ascii="宋体" w:hAnsi="宋体" w:cs="宋体" w:eastAsia="宋体" w:hint="default"/>
          <w:sz w:val="19"/>
          <w:szCs w:val="19"/>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8"/>
        <w:ind w:left="513" w:right="0"/>
        <w:jc w:val="left"/>
      </w:pPr>
      <w:r>
        <w:rPr/>
        <w:t>①以公允价值计量且其变动计入当期损益的金融资产 包括交易性金融资产和指定为以公允价值计量且其变动计入当期损益的金融资产。 </w:t>
      </w:r>
      <w:r>
        <w:rPr>
          <w:spacing w:val="-2"/>
        </w:rPr>
        <w:t>交易性金融资产是指满足下列条件之一的金融资产：⑴取得该金融资产的目的，主要是为了近期内出售；⑵属于进行集</w:t>
      </w:r>
    </w:p>
    <w:p>
      <w:pPr>
        <w:pStyle w:val="BodyText"/>
        <w:spacing w:line="477" w:lineRule="auto" w:before="54"/>
        <w:ind w:right="1131"/>
        <w:jc w:val="both"/>
      </w:pPr>
      <w:r>
        <w:rPr>
          <w:spacing w:val="-2"/>
        </w:rPr>
        <w:t>中管理的可辨认金融工具组合的一部分，且有客观证据表明本集团近期采用短期获利方式对该组合进行管理；⑶属于衍生工</w:t>
      </w:r>
      <w:r>
        <w:rPr>
          <w:spacing w:val="-64"/>
        </w:rPr>
        <w:t> </w:t>
      </w:r>
      <w:r>
        <w:rPr>
          <w:spacing w:val="-64"/>
        </w:rPr>
      </w:r>
      <w:r>
        <w:rPr>
          <w:spacing w:val="-2"/>
        </w:rPr>
        <w:t>具，但是，被指定且为有效套期工具的衍生工具、属于财务担保合同的衍生工具、与在活跃市场中没有报价且其公允价值不</w:t>
      </w:r>
      <w:r>
        <w:rPr>
          <w:spacing w:val="-64"/>
        </w:rPr>
        <w:t> </w:t>
      </w:r>
      <w:r>
        <w:rPr>
          <w:spacing w:val="-64"/>
        </w:rPr>
      </w:r>
      <w:r>
        <w:rPr/>
        <w:t>能可靠计量的权益工具投资挂钩并须通过交付该权益工具结算的衍生工具除外。</w:t>
      </w:r>
    </w:p>
    <w:p>
      <w:pPr>
        <w:pStyle w:val="BodyText"/>
        <w:spacing w:line="240" w:lineRule="auto" w:before="54"/>
        <w:ind w:left="513" w:right="0"/>
        <w:jc w:val="left"/>
      </w:pPr>
      <w:r>
        <w:rPr/>
        <w:t>符合下述条件之一的金融资产，在初始确认时可指定为以公允价值计量且其变动计入当期损益的金融资产：⑴该指定可</w:t>
      </w:r>
    </w:p>
    <w:p>
      <w:pPr>
        <w:spacing w:after="0" w:line="240" w:lineRule="auto"/>
        <w:jc w:val="left"/>
        <w:sectPr>
          <w:pgSz w:w="11910" w:h="16840"/>
          <w:pgMar w:header="877" w:footer="1272" w:top="1060" w:bottom="152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33"/>
        <w:jc w:val="both"/>
      </w:pPr>
      <w:r>
        <w:rPr>
          <w:spacing w:val="-2"/>
        </w:rPr>
        <w:t>以消除或明显减少由于该金融资产的计量基础不同所导致的相关利得或损失在确认或计量方面不一致的情况；⑵本集团风险</w:t>
      </w:r>
      <w:r>
        <w:rPr>
          <w:spacing w:val="-64"/>
        </w:rPr>
        <w:t> </w:t>
      </w:r>
      <w:r>
        <w:rPr>
          <w:spacing w:val="-64"/>
        </w:rPr>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477" w:lineRule="auto" w:before="54"/>
        <w:ind w:right="1132"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477" w:lineRule="auto" w:before="54"/>
        <w:ind w:left="513" w:right="1123"/>
        <w:jc w:val="left"/>
      </w:pPr>
      <w:r>
        <w:rPr/>
        <w:t>②持有至到期投资 是指到期日固定、回收金额固定或可确定，且本集团有明确意图和能力持有至到期的非衍生金融资产。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55"/>
        <w:ind w:right="0"/>
        <w:jc w:val="left"/>
      </w:pPr>
      <w:r>
        <w:rPr/>
        <w:t>当期损益。</w:t>
      </w:r>
    </w:p>
    <w:p>
      <w:pPr>
        <w:spacing w:line="240" w:lineRule="auto" w:before="10"/>
        <w:rPr>
          <w:rFonts w:ascii="宋体" w:hAnsi="宋体" w:cs="宋体" w:eastAsia="宋体" w:hint="default"/>
          <w:sz w:val="17"/>
          <w:szCs w:val="17"/>
        </w:rPr>
      </w:pPr>
    </w:p>
    <w:p>
      <w:pPr>
        <w:pStyle w:val="BodyText"/>
        <w:spacing w:line="477" w:lineRule="auto"/>
        <w:ind w:right="1132"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477" w:lineRule="auto" w:before="54"/>
        <w:ind w:right="1131" w:firstLine="360"/>
        <w:jc w:val="both"/>
      </w:pPr>
      <w:r>
        <w:rPr>
          <w:spacing w:val="-2"/>
        </w:rPr>
        <w:t>在计算实际利率时，本集团将在考虑金融资产或金融负债所有合同条款的基础上预计未来现金流量（不考虑未来的信用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4"/>
        </w:rPr>
        <w:t> </w:t>
      </w:r>
      <w:r>
        <w:rPr>
          <w:spacing w:val="-64"/>
        </w:rPr>
      </w:r>
      <w:r>
        <w:rPr/>
        <w:t>价或溢价等。</w:t>
      </w:r>
    </w:p>
    <w:p>
      <w:pPr>
        <w:pStyle w:val="BodyText"/>
        <w:spacing w:line="477" w:lineRule="auto" w:before="54"/>
        <w:ind w:left="513" w:right="0"/>
        <w:jc w:val="left"/>
      </w:pPr>
      <w:r>
        <w:rPr/>
        <w:t>③贷款和应收款项 </w:t>
      </w:r>
      <w:r>
        <w:rPr>
          <w:spacing w:val="-2"/>
        </w:rPr>
        <w:t>是指在活跃市场中没有报价、回收金额固定或可确定的非衍生金融资产。本集团划分为贷款和应收款的金融资产包括应</w:t>
      </w:r>
    </w:p>
    <w:p>
      <w:pPr>
        <w:pStyle w:val="BodyText"/>
        <w:spacing w:line="477" w:lineRule="auto" w:before="54"/>
        <w:ind w:left="513" w:right="0" w:hanging="361"/>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54"/>
        <w:ind w:right="0"/>
        <w:jc w:val="left"/>
      </w:pPr>
      <w:r>
        <w:rPr/>
        <w:t>当期损益。</w:t>
      </w:r>
    </w:p>
    <w:p>
      <w:pPr>
        <w:spacing w:line="240" w:lineRule="auto" w:before="10"/>
        <w:rPr>
          <w:rFonts w:ascii="宋体" w:hAnsi="宋体" w:cs="宋体" w:eastAsia="宋体" w:hint="default"/>
          <w:sz w:val="17"/>
          <w:szCs w:val="17"/>
        </w:rPr>
      </w:pPr>
    </w:p>
    <w:p>
      <w:pPr>
        <w:pStyle w:val="BodyText"/>
        <w:spacing w:line="477" w:lineRule="auto"/>
        <w:ind w:left="513" w:right="1033"/>
        <w:jc w:val="left"/>
      </w:pPr>
      <w:r>
        <w:rPr/>
        <w:t>④可供出售金融资产 包括初始确认时即被指定为可供出售的非衍生金融资产，以及除了以公允价值计量且其变动计入当期损益的金融资产、</w:t>
      </w:r>
    </w:p>
    <w:p>
      <w:pPr>
        <w:pStyle w:val="BodyText"/>
        <w:spacing w:line="477" w:lineRule="auto" w:before="54"/>
        <w:ind w:left="513" w:right="0" w:hanging="361"/>
        <w:jc w:val="left"/>
      </w:pPr>
      <w:r>
        <w:rPr/>
        <w:t>贷款和应收款项、持有至到期投资以外的金融资产。 </w:t>
      </w:r>
      <w:r>
        <w:rPr>
          <w:spacing w:val="-2"/>
        </w:rPr>
        <w:t>可供出售金融资产采用公允价值进行后续计量，公允价值变动形成的利得或损失，除减值损失和外币货币性金融资产与</w:t>
      </w:r>
    </w:p>
    <w:p>
      <w:pPr>
        <w:pStyle w:val="BodyText"/>
        <w:spacing w:line="477" w:lineRule="auto" w:before="54"/>
        <w:ind w:right="1130"/>
        <w:jc w:val="both"/>
      </w:pPr>
      <w:r>
        <w:rPr>
          <w:spacing w:val="-2"/>
        </w:rPr>
        <w:t>摊余成本相关的汇兑差额计入当期损益外，确认为其他综合收益并计入资本公积，在该金融资产终止确认时转出，计入当期</w:t>
      </w:r>
      <w:r>
        <w:rPr>
          <w:spacing w:val="-63"/>
        </w:rPr>
        <w:t> </w:t>
      </w:r>
      <w:r>
        <w:rPr>
          <w:spacing w:val="-63"/>
        </w:rPr>
      </w:r>
      <w:r>
        <w:rPr/>
        <w:t>损益。</w:t>
      </w:r>
    </w:p>
    <w:p>
      <w:pPr>
        <w:pStyle w:val="BodyText"/>
        <w:spacing w:line="240" w:lineRule="auto" w:before="54"/>
        <w:ind w:left="513" w:right="0"/>
        <w:jc w:val="left"/>
      </w:pPr>
      <w:r>
        <w:rPr/>
        <w:t>可供出售金融资产持有期间取得的利息及被投资单位宣告发放的现金股利，计入投资收益。</w:t>
      </w:r>
    </w:p>
    <w:p>
      <w:pPr>
        <w:spacing w:after="0" w:line="240" w:lineRule="auto"/>
        <w:jc w:val="left"/>
        <w:sectPr>
          <w:pgSz w:w="11910" w:h="16840"/>
          <w:pgMar w:header="877" w:footer="1272" w:top="1060" w:bottom="1520" w:left="980" w:right="0"/>
        </w:sectPr>
      </w:pPr>
    </w:p>
    <w:p>
      <w:pPr>
        <w:spacing w:line="240" w:lineRule="auto" w:before="3"/>
        <w:rPr>
          <w:rFonts w:ascii="宋体" w:hAnsi="宋体" w:cs="宋体" w:eastAsia="宋体" w:hint="default"/>
          <w:sz w:val="25"/>
          <w:szCs w:val="25"/>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9"/>
        <w:ind w:right="1028" w:firstLine="360"/>
        <w:jc w:val="left"/>
      </w:pPr>
      <w:r>
        <w:rPr/>
        <w:t>满足下列条件之一的金融资产，予以终止确认：① 收取该金融资产现金流量的合同权利终止；②</w:t>
      </w:r>
      <w:r>
        <w:rPr>
          <w:spacing w:val="6"/>
        </w:rPr>
        <w:t> </w:t>
      </w:r>
      <w:r>
        <w:rPr/>
        <w:t>该金融资产已转移，</w:t>
      </w:r>
      <w:r>
        <w:rPr/>
        <w:t> </w:t>
      </w: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产所有权上几乎所有的风险和报酬，但是放弃了对该金融资产控制。</w:t>
      </w:r>
    </w:p>
    <w:p>
      <w:pPr>
        <w:pStyle w:val="BodyText"/>
        <w:spacing w:line="477" w:lineRule="auto" w:before="54"/>
        <w:ind w:right="1130"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3"/>
        </w:rPr>
        <w:t> </w:t>
      </w:r>
      <w:r>
        <w:rPr>
          <w:spacing w:val="-63"/>
        </w:rPr>
      </w:r>
      <w:r>
        <w:rPr/>
        <w:t>值变动使企业面临的风险水平。</w:t>
      </w:r>
    </w:p>
    <w:p>
      <w:pPr>
        <w:pStyle w:val="BodyText"/>
        <w:spacing w:line="477" w:lineRule="auto" w:before="54"/>
        <w:ind w:right="1132"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477" w:lineRule="auto" w:before="54"/>
        <w:ind w:right="1132"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6"/>
        <w:ind w:right="1130" w:firstLine="360"/>
        <w:jc w:val="both"/>
      </w:pPr>
      <w:r>
        <w:rPr>
          <w:spacing w:val="-2"/>
        </w:rPr>
        <w:t>金融负债的现时义务全部或部分已经解除的，才能终止确认该金融负债或其一部分。本集团（债务人）与债权人之间签</w:t>
      </w:r>
      <w:r>
        <w:rPr/>
        <w:t> </w:t>
      </w:r>
      <w:r>
        <w:rPr>
          <w:spacing w:val="-2"/>
        </w:rPr>
        <w:t>订协议，以承担新金融负债方式替换现存金融负债，且新金融负债与现存金融负债的合同条款实质上不同的，终止确认现存</w:t>
      </w:r>
      <w:r>
        <w:rPr>
          <w:spacing w:val="-63"/>
        </w:rPr>
        <w:t> </w:t>
      </w:r>
      <w:r>
        <w:rPr>
          <w:spacing w:val="-63"/>
        </w:rPr>
      </w:r>
      <w:r>
        <w:rPr/>
        <w:t>金融负债，并同时确认新金融负债。</w:t>
      </w:r>
    </w:p>
    <w:p>
      <w:pPr>
        <w:pStyle w:val="BodyText"/>
        <w:spacing w:line="477" w:lineRule="auto" w:before="54"/>
        <w:ind w:right="1132" w:firstLine="360"/>
        <w:jc w:val="both"/>
      </w:pPr>
      <w:r>
        <w:rPr>
          <w:spacing w:val="-2"/>
        </w:rPr>
        <w:t>金融负债全部或部分终止确认的，将终止确认部分的账面价值与支付的对价（包括转出的非现金资产或承担的新金融负</w:t>
      </w:r>
      <w:r>
        <w:rPr/>
        <w:t> 债）之间的差额，计入当期损益。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8"/>
        <w:ind w:right="1129" w:firstLine="360"/>
        <w:jc w:val="both"/>
      </w:pPr>
      <w:r>
        <w:rPr>
          <w:spacing w:val="-2"/>
        </w:rPr>
        <w:t>公允价值，指在公平交易中，熟悉情况的交易双方自愿进行资产交换或债务清偿的金额。金融工具存在活跃市场的，本</w:t>
      </w:r>
      <w:r>
        <w:rPr/>
        <w:t> </w:t>
      </w:r>
      <w:r>
        <w:rPr>
          <w:spacing w:val="-2"/>
        </w:rPr>
        <w:t>集团采用活跃市场中的报价确定其公允价值。活跃市场中的报价是指易于定期从交易所、经纪商、行业协会、定价服务机构</w:t>
      </w:r>
      <w:r>
        <w:rPr>
          <w:spacing w:val="-63"/>
        </w:rPr>
        <w:t> </w:t>
      </w:r>
      <w:r>
        <w:rPr>
          <w:spacing w:val="-63"/>
        </w:rPr>
      </w:r>
      <w:r>
        <w:rPr>
          <w:spacing w:val="-2"/>
        </w:rPr>
        <w:t>等获得的价格，且代表了在公平交易中实际发生的市场交易的价格。金融工具不存在活跃市场的，本集团采用估值技术确定</w:t>
      </w:r>
      <w:r>
        <w:rPr>
          <w:spacing w:val="-63"/>
        </w:rPr>
        <w:t> </w:t>
      </w:r>
      <w:r>
        <w:rPr>
          <w:spacing w:val="-63"/>
        </w:rPr>
      </w:r>
      <w:r>
        <w:rPr>
          <w:spacing w:val="-2"/>
        </w:rPr>
        <w:t>其公允价值。估值技术包括参考熟悉情况并自愿交易的各方最近进行的市场交易中使用的价格、参照实质上相同的其他金融</w:t>
      </w:r>
      <w:r>
        <w:rPr>
          <w:spacing w:val="-64"/>
        </w:rPr>
        <w:t> </w:t>
      </w:r>
      <w:r>
        <w:rPr>
          <w:spacing w:val="-64"/>
        </w:rPr>
      </w:r>
      <w:r>
        <w:rPr/>
        <w:t>工具当前的公允价值、现金流量折现法和期权定价模型等。</w:t>
      </w:r>
    </w:p>
    <w:p>
      <w:pPr>
        <w:spacing w:after="0" w:line="477" w:lineRule="auto"/>
        <w:jc w:val="both"/>
        <w:sectPr>
          <w:pgSz w:w="11910" w:h="16840"/>
          <w:pgMar w:header="877" w:footer="1272" w:top="1060" w:bottom="1520" w:left="980" w:right="0"/>
        </w:sectPr>
      </w:pPr>
    </w:p>
    <w:p>
      <w:pPr>
        <w:spacing w:line="240" w:lineRule="auto" w:before="3"/>
        <w:rPr>
          <w:rFonts w:ascii="宋体" w:hAnsi="宋体" w:cs="宋体" w:eastAsia="宋体" w:hint="default"/>
          <w:sz w:val="25"/>
          <w:szCs w:val="25"/>
        </w:rPr>
      </w:pPr>
    </w:p>
    <w:p>
      <w:pPr>
        <w:pStyle w:val="Heading5"/>
        <w:spacing w:line="240" w:lineRule="auto" w:before="37"/>
        <w:ind w:right="0"/>
        <w:jc w:val="both"/>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9"/>
        <w:ind w:right="1132" w:firstLine="360"/>
        <w:jc w:val="both"/>
      </w:pPr>
      <w:r>
        <w:rPr>
          <w:spacing w:val="-2"/>
        </w:rPr>
        <w:t>除了以公允价值计量且其变动计入当期损益的金融资产外，本集团在每个资产负债表日对其他金融资产的账面价值进行</w:t>
      </w:r>
      <w:r>
        <w:rPr/>
        <w:t> 检查，有客观证据表明金融资产发生减值的，计提减值准备。</w:t>
      </w:r>
    </w:p>
    <w:p>
      <w:pPr>
        <w:pStyle w:val="BodyText"/>
        <w:spacing w:line="477" w:lineRule="auto" w:before="54"/>
        <w:ind w:right="1131" w:firstLine="360"/>
        <w:jc w:val="both"/>
      </w:pPr>
      <w:r>
        <w:rPr>
          <w:spacing w:val="-2"/>
        </w:rPr>
        <w:t>本集团对单项金额重大的金融资产单独进行减值测试；对单项金额不重大的金融资产，单独进行减值测试或包括在具有</w:t>
      </w:r>
      <w:r>
        <w:rPr/>
        <w:t> </w:t>
      </w: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4"/>
        </w:rPr>
        <w:t> </w:t>
      </w:r>
      <w:r>
        <w:rPr>
          <w:spacing w:val="-64"/>
        </w:rPr>
      </w:r>
      <w:r>
        <w:rPr/>
        <w:t>似信用风险特征的金融资产组合中进行减值测试。</w:t>
      </w:r>
    </w:p>
    <w:p>
      <w:pPr>
        <w:pStyle w:val="BodyText"/>
        <w:spacing w:line="477" w:lineRule="auto" w:before="54"/>
        <w:ind w:left="513" w:right="0"/>
        <w:jc w:val="left"/>
      </w:pPr>
      <w:r>
        <w:rPr/>
        <w:t>①</w:t>
      </w:r>
      <w:r>
        <w:rPr>
          <w:spacing w:val="1"/>
        </w:rPr>
        <w:t> </w:t>
      </w:r>
      <w:r>
        <w:rPr/>
        <w:t>持有至到期投资、贷款和应收款项减值</w:t>
      </w:r>
      <w:r>
        <w:rPr/>
        <w:t> </w:t>
      </w:r>
      <w:r>
        <w:rPr>
          <w:spacing w:val="-2"/>
        </w:rPr>
        <w:t>以成本或摊余成本计量的金融资产将其账面价值减记至预计未来现金流量现值，减记金额确认为减值损失，计入当期损</w:t>
      </w:r>
    </w:p>
    <w:p>
      <w:pPr>
        <w:pStyle w:val="BodyText"/>
        <w:spacing w:line="477" w:lineRule="auto" w:before="54"/>
        <w:ind w:right="1131"/>
        <w:jc w:val="both"/>
      </w:pPr>
      <w:r>
        <w:rPr>
          <w:spacing w:val="-2"/>
        </w:rPr>
        <w:t>益。金融资产在确认减值损失后，如有客观证据表明该金融资产价值已恢复，且客观上与确认该损失后发生的事项有关，原</w:t>
      </w:r>
      <w:r>
        <w:rPr>
          <w:spacing w:val="-64"/>
        </w:rPr>
        <w:t> </w:t>
      </w:r>
      <w:r>
        <w:rPr>
          <w:spacing w:val="-64"/>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477" w:lineRule="auto" w:before="54"/>
        <w:ind w:left="513" w:right="0"/>
        <w:jc w:val="left"/>
      </w:pPr>
      <w:r>
        <w:rPr/>
        <w:t>②</w:t>
      </w:r>
      <w:r>
        <w:rPr>
          <w:spacing w:val="1"/>
        </w:rPr>
        <w:t> </w:t>
      </w:r>
      <w:r>
        <w:rPr/>
        <w:t>可供出售金融资产减值</w:t>
      </w:r>
      <w:r>
        <w:rPr/>
        <w:t> </w:t>
      </w:r>
      <w:r>
        <w:rPr>
          <w:spacing w:val="-2"/>
        </w:rPr>
        <w:t>可供出售金融资产发生减值时，将原计入资本公积的因公允价值下降形成的累计损失予以转出并计入当期损益，该转出</w:t>
      </w:r>
    </w:p>
    <w:p>
      <w:pPr>
        <w:pStyle w:val="BodyText"/>
        <w:spacing w:line="477" w:lineRule="auto" w:before="54"/>
        <w:ind w:left="513" w:right="0" w:hanging="361"/>
        <w:jc w:val="left"/>
      </w:pPr>
      <w:r>
        <w:rPr/>
        <w:t>的累计损失为该资产初始取得成本扣除已收回本金和已摊销金额、当前公允价值和原已计入损益的减值损失后的余额。 </w:t>
      </w:r>
      <w:r>
        <w:rPr>
          <w:spacing w:val="-2"/>
        </w:rPr>
        <w:t>在确认减值损失后，期后如有客观证据表明该金融资产价值已恢复，且客观上与确认该损失后发生的事项有关，原确认</w:t>
      </w:r>
    </w:p>
    <w:p>
      <w:pPr>
        <w:pStyle w:val="BodyText"/>
        <w:spacing w:line="477" w:lineRule="auto" w:before="52"/>
        <w:ind w:right="1133"/>
        <w:jc w:val="both"/>
      </w:pP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427" w:lineRule="auto" w:before="54"/>
        <w:ind w:right="1132" w:firstLine="360"/>
        <w:jc w:val="both"/>
        <w:rPr>
          <w:sz w:val="24"/>
          <w:szCs w:val="24"/>
        </w:rPr>
      </w:pPr>
      <w:r>
        <w:rPr>
          <w:spacing w:val="-2"/>
        </w:rPr>
        <w:t>在活跃市场中没有报价且其公允价值不能可靠计量的权益工具投资，或与该权益工具挂钩并须通过交付该权益工具结算</w:t>
      </w:r>
      <w:r>
        <w:rPr/>
        <w:t> 的衍生金融资产的减值损失，不予转回</w:t>
      </w:r>
      <w:r>
        <w:rPr>
          <w:sz w:val="24"/>
          <w:szCs w:val="24"/>
        </w:rPr>
        <w:t>。</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6"/>
          <w:szCs w:val="16"/>
        </w:rPr>
      </w:pPr>
    </w:p>
    <w:p>
      <w:pPr>
        <w:pStyle w:val="Heading5"/>
        <w:spacing w:line="240" w:lineRule="auto"/>
        <w:ind w:right="0"/>
        <w:jc w:val="both"/>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46"/>
        <w:ind w:left="513" w:right="0"/>
        <w:jc w:val="left"/>
        <w:rPr>
          <w:sz w:val="21"/>
          <w:szCs w:val="21"/>
        </w:rPr>
      </w:pPr>
      <w:r>
        <w:rPr/>
        <w:t>截止报告报出日，本公司不存在尚未到期的持有至到期投资重分类为可供出售金融资产</w:t>
      </w:r>
      <w:r>
        <w:rPr>
          <w:sz w:val="21"/>
          <w:szCs w:val="21"/>
        </w:rPr>
        <w:t>。</w:t>
      </w:r>
    </w:p>
    <w:p>
      <w:pPr>
        <w:spacing w:line="240" w:lineRule="auto" w:before="0"/>
        <w:rPr>
          <w:rFonts w:ascii="宋体" w:hAnsi="宋体" w:cs="宋体" w:eastAsia="宋体" w:hint="default"/>
          <w:sz w:val="20"/>
          <w:szCs w:val="20"/>
        </w:rPr>
      </w:pPr>
    </w:p>
    <w:p>
      <w:pPr>
        <w:pStyle w:val="Heading5"/>
        <w:spacing w:line="240" w:lineRule="auto" w:before="161"/>
        <w:ind w:right="0"/>
        <w:jc w:val="both"/>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8"/>
        <w:ind w:left="513" w:right="1033"/>
        <w:jc w:val="left"/>
      </w:pPr>
      <w:r>
        <w:rPr/>
        <w:t>坏账准备的确认标准 本集团在资产负债表日对应收款项账面价值进行检查，对存在下列客观证据表明应收款项发生减值的，计提减值准备：</w:t>
      </w:r>
    </w:p>
    <w:p>
      <w:pPr>
        <w:pStyle w:val="BodyText"/>
        <w:spacing w:line="240" w:lineRule="auto" w:before="54"/>
        <w:ind w:right="0"/>
        <w:jc w:val="both"/>
      </w:pPr>
      <w:r>
        <w:rPr/>
        <w:t>①债务人发生严重的财务困难；②债务人违反合同条款（如偿付利息或本金发生违约或逾期等）；③债务人很可能倒闭或进</w:t>
      </w:r>
    </w:p>
    <w:p>
      <w:pPr>
        <w:spacing w:line="240" w:lineRule="auto" w:before="10"/>
        <w:rPr>
          <w:rFonts w:ascii="宋体" w:hAnsi="宋体" w:cs="宋体" w:eastAsia="宋体" w:hint="default"/>
          <w:sz w:val="17"/>
          <w:szCs w:val="17"/>
        </w:rPr>
      </w:pPr>
    </w:p>
    <w:p>
      <w:pPr>
        <w:pStyle w:val="BodyText"/>
        <w:spacing w:line="240" w:lineRule="auto"/>
        <w:ind w:right="0"/>
        <w:jc w:val="both"/>
      </w:pPr>
      <w:r>
        <w:rPr/>
        <w:t>行其他财务重组；④其他表明应收款项发生减值的客观依据。</w:t>
      </w:r>
    </w:p>
    <w:p>
      <w:pPr>
        <w:spacing w:after="0" w:line="240" w:lineRule="auto"/>
        <w:jc w:val="both"/>
        <w:sectPr>
          <w:pgSz w:w="11910" w:h="16840"/>
          <w:pgMar w:header="877" w:footer="1272" w:top="1060" w:bottom="152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513" w:right="0"/>
        <w:jc w:val="left"/>
      </w:pPr>
      <w:r>
        <w:rPr/>
        <w:t>坏账准备的计提方法</w:t>
      </w:r>
    </w:p>
    <w:p>
      <w:pPr>
        <w:spacing w:line="240" w:lineRule="auto" w:before="10"/>
        <w:rPr>
          <w:rFonts w:ascii="宋体" w:hAnsi="宋体" w:cs="宋体" w:eastAsia="宋体" w:hint="default"/>
          <w:sz w:val="17"/>
          <w:szCs w:val="17"/>
        </w:rPr>
      </w:pPr>
    </w:p>
    <w:p>
      <w:pPr>
        <w:pStyle w:val="BodyText"/>
        <w:spacing w:line="477" w:lineRule="auto"/>
        <w:ind w:left="513" w:right="0"/>
        <w:jc w:val="left"/>
      </w:pPr>
      <w:r>
        <w:rPr/>
        <w:t>①单项金额重大并单项计提坏账准备的应收款项坏账准备的确认标准、计提方法 本集团将金额为人民币</w:t>
      </w:r>
      <w:r>
        <w:rPr>
          <w:rFonts w:ascii="宋体" w:hAnsi="宋体" w:cs="宋体" w:eastAsia="宋体" w:hint="default"/>
        </w:rPr>
        <w:t>50</w:t>
      </w:r>
      <w:r>
        <w:rPr/>
        <w:t>万元以上的应收款项确认为单项金额重大的应收款项。 </w:t>
      </w:r>
      <w:r>
        <w:rPr>
          <w:spacing w:val="-2"/>
        </w:rPr>
        <w:t>本集团对单项金额重大的应收款项单独进行减值测试，单独测试未发生减值的金融资产，包括在具有类似信用风险特征</w:t>
      </w:r>
    </w:p>
    <w:p>
      <w:pPr>
        <w:pStyle w:val="BodyText"/>
        <w:spacing w:line="477" w:lineRule="auto" w:before="54"/>
        <w:ind w:right="0"/>
        <w:jc w:val="left"/>
      </w:pPr>
      <w:r>
        <w:rPr>
          <w:spacing w:val="-2"/>
        </w:rPr>
        <w:t>的金融资产组合中进行减值测试。单项测试已确认减值损失的应收款项，不再包括在具有类似信用风险特征的应收款项组合</w:t>
      </w:r>
      <w:r>
        <w:rPr>
          <w:spacing w:val="-64"/>
        </w:rPr>
        <w:t> </w:t>
      </w:r>
      <w:r>
        <w:rPr>
          <w:spacing w:val="-64"/>
        </w:rPr>
      </w:r>
      <w:r>
        <w:rPr/>
        <w:t>中进行减值测试。</w:t>
      </w:r>
    </w:p>
    <w:p>
      <w:pPr>
        <w:pStyle w:val="BodyText"/>
        <w:spacing w:line="477" w:lineRule="auto" w:before="54"/>
        <w:ind w:left="513" w:right="4453"/>
        <w:jc w:val="left"/>
      </w:pPr>
      <w:r>
        <w:rPr/>
        <w:t>②按信用风险组合计提坏账准备的应收款项的确定依据、坏账准备计提方法 </w:t>
      </w:r>
      <w:r>
        <w:rPr>
          <w:rFonts w:ascii="宋体" w:hAnsi="宋体" w:cs="宋体" w:eastAsia="宋体" w:hint="default"/>
        </w:rPr>
        <w:t>A</w:t>
      </w:r>
      <w:r>
        <w:rPr/>
        <w:t>．信用风险特征组合的确定依据</w:t>
      </w:r>
    </w:p>
    <w:p>
      <w:pPr>
        <w:pStyle w:val="BodyText"/>
        <w:spacing w:line="477" w:lineRule="auto" w:before="55"/>
        <w:ind w:right="1132" w:firstLine="360"/>
        <w:jc w:val="both"/>
      </w:pPr>
      <w:r>
        <w:rPr>
          <w:spacing w:val="-2"/>
        </w:rPr>
        <w:t>本集团对单项金额不重大以及金额重大但单项测试未发生减值的应收款项，按信用风险特征的相似性和相关性对金融资</w:t>
      </w:r>
      <w:r>
        <w:rPr/>
        <w:t> </w:t>
      </w:r>
      <w:r>
        <w:rPr>
          <w:spacing w:val="-2"/>
        </w:rPr>
        <w:t>产进行分组。这些信用风险通常反映债务人按照该等资产的合同条款偿还所有到期金额的能力，并且与被检查资产的未来现</w:t>
      </w:r>
      <w:r>
        <w:rPr>
          <w:spacing w:val="-64"/>
        </w:rPr>
        <w:t> </w:t>
      </w:r>
      <w:r>
        <w:rPr>
          <w:spacing w:val="-64"/>
        </w:rPr>
      </w:r>
      <w:r>
        <w:rPr/>
        <w:t>金流量测算相关。</w:t>
      </w:r>
    </w:p>
    <w:p>
      <w:pPr>
        <w:pStyle w:val="BodyText"/>
        <w:spacing w:line="211" w:lineRule="exact"/>
        <w:ind w:left="633" w:right="0"/>
        <w:jc w:val="left"/>
      </w:pPr>
      <w:r>
        <w:rPr/>
        <w:t>不同组合的确定依据：</w:t>
      </w:r>
    </w:p>
    <w:p>
      <w:pPr>
        <w:spacing w:line="240" w:lineRule="auto" w:before="11"/>
        <w:rPr>
          <w:rFonts w:ascii="宋体" w:hAnsi="宋体" w:cs="宋体" w:eastAsia="宋体" w:hint="default"/>
          <w:sz w:val="10"/>
          <w:szCs w:val="10"/>
        </w:rPr>
      </w:pPr>
    </w:p>
    <w:tbl>
      <w:tblPr>
        <w:tblW w:w="0" w:type="auto"/>
        <w:jc w:val="left"/>
        <w:tblInd w:w="611" w:type="dxa"/>
        <w:tblLayout w:type="fixed"/>
        <w:tblCellMar>
          <w:top w:w="0" w:type="dxa"/>
          <w:left w:w="0" w:type="dxa"/>
          <w:bottom w:w="0" w:type="dxa"/>
          <w:right w:w="0" w:type="dxa"/>
        </w:tblCellMar>
        <w:tblLook w:val="01E0"/>
      </w:tblPr>
      <w:tblGrid>
        <w:gridCol w:w="1912"/>
        <w:gridCol w:w="6811"/>
      </w:tblGrid>
      <w:tr>
        <w:trPr>
          <w:trHeight w:val="265" w:hRule="exact"/>
        </w:trPr>
        <w:tc>
          <w:tcPr>
            <w:tcW w:w="1912" w:type="dxa"/>
            <w:tcBorders>
              <w:top w:val="nil" w:sz="6" w:space="0" w:color="auto"/>
              <w:left w:val="nil" w:sz="6" w:space="0" w:color="auto"/>
              <w:bottom w:val="single" w:sz="6" w:space="0" w:color="000000"/>
              <w:right w:val="nil" w:sz="6" w:space="0" w:color="auto"/>
            </w:tcBorders>
          </w:tcPr>
          <w:p>
            <w:pPr>
              <w:pStyle w:val="TableParagraph"/>
              <w:spacing w:line="180" w:lineRule="exact"/>
              <w:ind w:left="830"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6811" w:type="dxa"/>
            <w:tcBorders>
              <w:top w:val="nil" w:sz="6" w:space="0" w:color="auto"/>
              <w:left w:val="nil" w:sz="6" w:space="0" w:color="auto"/>
              <w:bottom w:val="single" w:sz="6" w:space="0" w:color="000000"/>
              <w:right w:val="nil" w:sz="6" w:space="0" w:color="auto"/>
            </w:tcBorders>
          </w:tcPr>
          <w:p>
            <w:pPr>
              <w:pStyle w:val="TableParagraph"/>
              <w:spacing w:line="180" w:lineRule="exact"/>
              <w:ind w:left="529"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650" w:hRule="exact"/>
        </w:trPr>
        <w:tc>
          <w:tcPr>
            <w:tcW w:w="191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各账龄段</w:t>
            </w:r>
          </w:p>
        </w:tc>
        <w:tc>
          <w:tcPr>
            <w:tcW w:w="6811" w:type="dxa"/>
            <w:tcBorders>
              <w:top w:val="single" w:sz="6" w:space="0" w:color="000000"/>
              <w:left w:val="nil" w:sz="6" w:space="0" w:color="auto"/>
              <w:bottom w:val="single" w:sz="6" w:space="0" w:color="000000"/>
              <w:right w:val="nil" w:sz="6" w:space="0" w:color="auto"/>
            </w:tcBorders>
          </w:tcPr>
          <w:p>
            <w:pPr>
              <w:pStyle w:val="TableParagraph"/>
              <w:spacing w:line="316" w:lineRule="auto" w:before="10"/>
              <w:ind w:left="539" w:right="8"/>
              <w:jc w:val="left"/>
              <w:rPr>
                <w:rFonts w:ascii="宋体" w:hAnsi="宋体" w:cs="宋体" w:eastAsia="宋体" w:hint="default"/>
                <w:sz w:val="18"/>
                <w:szCs w:val="18"/>
              </w:rPr>
            </w:pPr>
            <w:r>
              <w:rPr>
                <w:rFonts w:ascii="宋体" w:hAnsi="宋体" w:cs="宋体" w:eastAsia="宋体" w:hint="default"/>
                <w:spacing w:val="-2"/>
                <w:sz w:val="18"/>
                <w:szCs w:val="18"/>
              </w:rPr>
              <w:t>对单项金额小于</w:t>
            </w:r>
            <w:r>
              <w:rPr>
                <w:rFonts w:ascii="宋体" w:hAnsi="宋体" w:cs="宋体" w:eastAsia="宋体" w:hint="default"/>
                <w:spacing w:val="-2"/>
                <w:sz w:val="18"/>
                <w:szCs w:val="18"/>
              </w:rPr>
              <w:t>50</w:t>
            </w:r>
            <w:r>
              <w:rPr>
                <w:rFonts w:ascii="宋体" w:hAnsi="宋体" w:cs="宋体" w:eastAsia="宋体" w:hint="default"/>
                <w:spacing w:val="-2"/>
                <w:sz w:val="18"/>
                <w:szCs w:val="18"/>
              </w:rPr>
              <w:t>万元的应收款项及经单独测试后未发生减值的应收款项，按账</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龄划分为若干组合。</w:t>
            </w:r>
          </w:p>
        </w:tc>
      </w:tr>
      <w:tr>
        <w:trPr>
          <w:trHeight w:val="336" w:hRule="exact"/>
        </w:trPr>
        <w:tc>
          <w:tcPr>
            <w:tcW w:w="1912"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应收子公司款项</w:t>
            </w:r>
          </w:p>
        </w:tc>
        <w:tc>
          <w:tcPr>
            <w:tcW w:w="6811"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539" w:right="0"/>
              <w:jc w:val="left"/>
              <w:rPr>
                <w:rFonts w:ascii="宋体" w:hAnsi="宋体" w:cs="宋体" w:eastAsia="宋体" w:hint="default"/>
                <w:sz w:val="18"/>
                <w:szCs w:val="18"/>
              </w:rPr>
            </w:pPr>
            <w:r>
              <w:rPr>
                <w:rFonts w:ascii="宋体" w:hAnsi="宋体" w:cs="宋体" w:eastAsia="宋体" w:hint="default"/>
                <w:sz w:val="18"/>
                <w:szCs w:val="18"/>
              </w:rPr>
              <w:t>本公司所属子公司。</w:t>
            </w:r>
          </w:p>
        </w:tc>
      </w:tr>
    </w:tbl>
    <w:p>
      <w:pPr>
        <w:pStyle w:val="BodyText"/>
        <w:spacing w:line="316" w:lineRule="auto" w:before="8"/>
        <w:ind w:left="633" w:right="0"/>
        <w:jc w:val="left"/>
      </w:pPr>
      <w:r>
        <w:rPr>
          <w:rFonts w:ascii="宋体" w:hAnsi="宋体" w:cs="宋体" w:eastAsia="宋体" w:hint="default"/>
        </w:rPr>
        <w:t>B</w:t>
      </w:r>
      <w:r>
        <w:rPr/>
        <w:t>．根据信用风险特征组合确定的坏账准备计提方法 </w:t>
      </w:r>
      <w:r>
        <w:rPr>
          <w:spacing w:val="-1"/>
        </w:rPr>
        <w:t>按组合方式实施减值测试时，坏账准备金额系根据应收款项组合结构及类似信用风险特征（债务人根据合同条款偿还</w:t>
      </w:r>
    </w:p>
    <w:p>
      <w:pPr>
        <w:pStyle w:val="BodyText"/>
        <w:spacing w:line="316" w:lineRule="auto" w:before="19"/>
        <w:ind w:left="633" w:right="3194" w:hanging="481"/>
        <w:jc w:val="left"/>
      </w:pPr>
      <w:r>
        <w:rPr/>
        <w:t>欠款的能力）按历史损失经验及目前经济状况与预计应收款项组合中已经存在的损失评估确定。 不同组合计提坏账准备的计提方法：</w:t>
      </w:r>
    </w:p>
    <w:tbl>
      <w:tblPr>
        <w:tblW w:w="0" w:type="auto"/>
        <w:jc w:val="left"/>
        <w:tblInd w:w="611" w:type="dxa"/>
        <w:tblLayout w:type="fixed"/>
        <w:tblCellMar>
          <w:top w:w="0" w:type="dxa"/>
          <w:left w:w="0" w:type="dxa"/>
          <w:bottom w:w="0" w:type="dxa"/>
          <w:right w:w="0" w:type="dxa"/>
        </w:tblCellMar>
        <w:tblLook w:val="01E0"/>
      </w:tblPr>
      <w:tblGrid>
        <w:gridCol w:w="1861"/>
        <w:gridCol w:w="6862"/>
      </w:tblGrid>
      <w:tr>
        <w:trPr>
          <w:trHeight w:val="348" w:hRule="exact"/>
        </w:trPr>
        <w:tc>
          <w:tcPr>
            <w:tcW w:w="186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1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86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572"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348" w:hRule="exact"/>
        </w:trPr>
        <w:tc>
          <w:tcPr>
            <w:tcW w:w="1861"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各账龄段</w:t>
            </w:r>
          </w:p>
        </w:tc>
        <w:tc>
          <w:tcPr>
            <w:tcW w:w="6862"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584" w:right="0"/>
              <w:jc w:val="left"/>
              <w:rPr>
                <w:rFonts w:ascii="宋体" w:hAnsi="宋体" w:cs="宋体" w:eastAsia="宋体" w:hint="default"/>
                <w:sz w:val="18"/>
                <w:szCs w:val="18"/>
              </w:rPr>
            </w:pPr>
            <w:r>
              <w:rPr>
                <w:rFonts w:ascii="宋体" w:hAnsi="宋体" w:cs="宋体" w:eastAsia="宋体" w:hint="default"/>
                <w:sz w:val="18"/>
                <w:szCs w:val="18"/>
              </w:rPr>
              <w:t>根据应收款项账龄及坏账准备计提比例确定减值损失，计提坏账准备。</w:t>
            </w:r>
          </w:p>
        </w:tc>
      </w:tr>
      <w:tr>
        <w:trPr>
          <w:trHeight w:val="346" w:hRule="exact"/>
        </w:trPr>
        <w:tc>
          <w:tcPr>
            <w:tcW w:w="1861"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应收子公司款项</w:t>
            </w:r>
          </w:p>
        </w:tc>
        <w:tc>
          <w:tcPr>
            <w:tcW w:w="6862"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584"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r>
    </w:tbl>
    <w:p>
      <w:pPr>
        <w:spacing w:line="240" w:lineRule="auto" w:before="12"/>
        <w:rPr>
          <w:rFonts w:ascii="宋体" w:hAnsi="宋体" w:cs="宋体" w:eastAsia="宋体" w:hint="default"/>
          <w:sz w:val="21"/>
          <w:szCs w:val="21"/>
        </w:rPr>
      </w:pPr>
    </w:p>
    <w:p>
      <w:pPr>
        <w:pStyle w:val="BodyText"/>
        <w:spacing w:line="240" w:lineRule="auto" w:before="44"/>
        <w:ind w:left="635" w:right="0"/>
        <w:jc w:val="left"/>
      </w:pPr>
      <w:r>
        <w:rPr/>
        <w:t>组合中，采用账龄分析法计提坏账准备的组合计提方法</w:t>
      </w:r>
    </w:p>
    <w:p>
      <w:pPr>
        <w:spacing w:line="240" w:lineRule="auto" w:before="0"/>
        <w:rPr>
          <w:rFonts w:ascii="宋体" w:hAnsi="宋体" w:cs="宋体" w:eastAsia="宋体" w:hint="default"/>
          <w:sz w:val="11"/>
          <w:szCs w:val="11"/>
        </w:rPr>
      </w:pPr>
    </w:p>
    <w:tbl>
      <w:tblPr>
        <w:tblW w:w="0" w:type="auto"/>
        <w:jc w:val="left"/>
        <w:tblInd w:w="544" w:type="dxa"/>
        <w:tblLayout w:type="fixed"/>
        <w:tblCellMar>
          <w:top w:w="0" w:type="dxa"/>
          <w:left w:w="0" w:type="dxa"/>
          <w:bottom w:w="0" w:type="dxa"/>
          <w:right w:w="0" w:type="dxa"/>
        </w:tblCellMar>
        <w:tblLook w:val="01E0"/>
      </w:tblPr>
      <w:tblGrid>
        <w:gridCol w:w="2839"/>
        <w:gridCol w:w="3191"/>
        <w:gridCol w:w="2826"/>
      </w:tblGrid>
      <w:tr>
        <w:trPr>
          <w:trHeight w:val="265" w:hRule="exact"/>
        </w:trPr>
        <w:tc>
          <w:tcPr>
            <w:tcW w:w="2839" w:type="dxa"/>
            <w:tcBorders>
              <w:top w:val="nil" w:sz="6" w:space="0" w:color="auto"/>
              <w:left w:val="nil" w:sz="6" w:space="0" w:color="auto"/>
              <w:bottom w:val="single" w:sz="6" w:space="0" w:color="000000"/>
              <w:right w:val="nil" w:sz="6" w:space="0" w:color="auto"/>
            </w:tcBorders>
          </w:tcPr>
          <w:p>
            <w:pPr>
              <w:pStyle w:val="TableParagraph"/>
              <w:spacing w:line="180" w:lineRule="exact"/>
              <w:ind w:left="122" w:right="0"/>
              <w:jc w:val="center"/>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3191" w:type="dxa"/>
            <w:tcBorders>
              <w:top w:val="nil" w:sz="6" w:space="0" w:color="auto"/>
              <w:left w:val="nil" w:sz="6" w:space="0" w:color="auto"/>
              <w:bottom w:val="single" w:sz="6" w:space="0" w:color="000000"/>
              <w:right w:val="nil" w:sz="6" w:space="0" w:color="auto"/>
            </w:tcBorders>
          </w:tcPr>
          <w:p>
            <w:pPr>
              <w:pStyle w:val="TableParagraph"/>
              <w:spacing w:line="180" w:lineRule="exact"/>
              <w:ind w:left="390" w:right="0"/>
              <w:jc w:val="center"/>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r>
              <w:rPr>
                <w:rFonts w:ascii="宋体" w:hAnsi="宋体" w:cs="宋体" w:eastAsia="宋体" w:hint="default"/>
                <w:sz w:val="18"/>
                <w:szCs w:val="18"/>
              </w:rPr>
              <w:t>）</w:t>
            </w:r>
          </w:p>
        </w:tc>
        <w:tc>
          <w:tcPr>
            <w:tcW w:w="2826" w:type="dxa"/>
            <w:tcBorders>
              <w:top w:val="nil" w:sz="6" w:space="0" w:color="auto"/>
              <w:left w:val="nil" w:sz="6" w:space="0" w:color="auto"/>
              <w:bottom w:val="single" w:sz="6" w:space="0" w:color="000000"/>
              <w:right w:val="nil" w:sz="6" w:space="0" w:color="auto"/>
            </w:tcBorders>
          </w:tcPr>
          <w:p>
            <w:pPr>
              <w:pStyle w:val="TableParagraph"/>
              <w:spacing w:line="180" w:lineRule="exact"/>
              <w:ind w:left="155" w:right="0"/>
              <w:jc w:val="center"/>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36" w:hRule="exact"/>
        </w:trPr>
        <w:tc>
          <w:tcPr>
            <w:tcW w:w="283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年，下同）</w:t>
            </w:r>
          </w:p>
        </w:tc>
        <w:tc>
          <w:tcPr>
            <w:tcW w:w="3191"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388" w:right="0"/>
              <w:jc w:val="center"/>
              <w:rPr>
                <w:rFonts w:ascii="宋体" w:hAnsi="宋体" w:cs="宋体" w:eastAsia="宋体" w:hint="default"/>
                <w:sz w:val="18"/>
                <w:szCs w:val="18"/>
              </w:rPr>
            </w:pPr>
            <w:r>
              <w:rPr>
                <w:rFonts w:ascii="宋体"/>
                <w:sz w:val="18"/>
              </w:rPr>
              <w:t>5</w:t>
            </w:r>
          </w:p>
        </w:tc>
        <w:tc>
          <w:tcPr>
            <w:tcW w:w="2826"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52" w:right="0"/>
              <w:jc w:val="center"/>
              <w:rPr>
                <w:rFonts w:ascii="宋体" w:hAnsi="宋体" w:cs="宋体" w:eastAsia="宋体" w:hint="default"/>
                <w:sz w:val="18"/>
                <w:szCs w:val="18"/>
              </w:rPr>
            </w:pPr>
            <w:r>
              <w:rPr>
                <w:rFonts w:ascii="宋体"/>
                <w:sz w:val="18"/>
              </w:rPr>
              <w:t>5</w:t>
            </w:r>
          </w:p>
        </w:tc>
      </w:tr>
      <w:tr>
        <w:trPr>
          <w:trHeight w:val="338" w:hRule="exact"/>
        </w:trPr>
        <w:tc>
          <w:tcPr>
            <w:tcW w:w="283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3191"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394" w:right="0"/>
              <w:jc w:val="center"/>
              <w:rPr>
                <w:rFonts w:ascii="宋体" w:hAnsi="宋体" w:cs="宋体" w:eastAsia="宋体" w:hint="default"/>
                <w:sz w:val="18"/>
                <w:szCs w:val="18"/>
              </w:rPr>
            </w:pPr>
            <w:r>
              <w:rPr>
                <w:rFonts w:ascii="宋体"/>
                <w:sz w:val="18"/>
              </w:rPr>
              <w:t>10</w:t>
            </w:r>
          </w:p>
        </w:tc>
        <w:tc>
          <w:tcPr>
            <w:tcW w:w="2826"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58" w:right="0"/>
              <w:jc w:val="center"/>
              <w:rPr>
                <w:rFonts w:ascii="宋体" w:hAnsi="宋体" w:cs="宋体" w:eastAsia="宋体" w:hint="default"/>
                <w:sz w:val="18"/>
                <w:szCs w:val="18"/>
              </w:rPr>
            </w:pPr>
            <w:r>
              <w:rPr>
                <w:rFonts w:ascii="宋体"/>
                <w:sz w:val="18"/>
              </w:rPr>
              <w:t>10</w:t>
            </w:r>
          </w:p>
        </w:tc>
      </w:tr>
      <w:tr>
        <w:trPr>
          <w:trHeight w:val="337" w:hRule="exact"/>
        </w:trPr>
        <w:tc>
          <w:tcPr>
            <w:tcW w:w="283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3191"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394" w:right="0"/>
              <w:jc w:val="center"/>
              <w:rPr>
                <w:rFonts w:ascii="宋体" w:hAnsi="宋体" w:cs="宋体" w:eastAsia="宋体" w:hint="default"/>
                <w:sz w:val="18"/>
                <w:szCs w:val="18"/>
              </w:rPr>
            </w:pPr>
            <w:r>
              <w:rPr>
                <w:rFonts w:ascii="宋体"/>
                <w:sz w:val="18"/>
              </w:rPr>
              <w:t>20</w:t>
            </w:r>
          </w:p>
        </w:tc>
        <w:tc>
          <w:tcPr>
            <w:tcW w:w="2826"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58" w:right="0"/>
              <w:jc w:val="center"/>
              <w:rPr>
                <w:rFonts w:ascii="宋体" w:hAnsi="宋体" w:cs="宋体" w:eastAsia="宋体" w:hint="default"/>
                <w:sz w:val="18"/>
                <w:szCs w:val="18"/>
              </w:rPr>
            </w:pPr>
            <w:r>
              <w:rPr>
                <w:rFonts w:ascii="宋体"/>
                <w:sz w:val="18"/>
              </w:rPr>
              <w:t>20</w:t>
            </w:r>
          </w:p>
        </w:tc>
      </w:tr>
      <w:tr>
        <w:trPr>
          <w:trHeight w:val="338" w:hRule="exact"/>
        </w:trPr>
        <w:tc>
          <w:tcPr>
            <w:tcW w:w="2839"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3191"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394" w:right="0"/>
              <w:jc w:val="center"/>
              <w:rPr>
                <w:rFonts w:ascii="宋体" w:hAnsi="宋体" w:cs="宋体" w:eastAsia="宋体" w:hint="default"/>
                <w:sz w:val="18"/>
                <w:szCs w:val="18"/>
              </w:rPr>
            </w:pPr>
            <w:r>
              <w:rPr>
                <w:rFonts w:ascii="宋体"/>
                <w:sz w:val="18"/>
              </w:rPr>
              <w:t>50</w:t>
            </w:r>
          </w:p>
        </w:tc>
        <w:tc>
          <w:tcPr>
            <w:tcW w:w="2826"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58" w:right="0"/>
              <w:jc w:val="center"/>
              <w:rPr>
                <w:rFonts w:ascii="宋体" w:hAnsi="宋体" w:cs="宋体" w:eastAsia="宋体" w:hint="default"/>
                <w:sz w:val="18"/>
                <w:szCs w:val="18"/>
              </w:rPr>
            </w:pPr>
            <w:r>
              <w:rPr>
                <w:rFonts w:ascii="宋体"/>
                <w:sz w:val="18"/>
              </w:rPr>
              <w:t>50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1"/>
        <w:rPr>
          <w:rFonts w:ascii="宋体" w:hAnsi="宋体" w:cs="宋体" w:eastAsia="宋体" w:hint="default"/>
          <w:b/>
          <w:bCs/>
          <w:sz w:val="26"/>
          <w:szCs w:val="26"/>
        </w:rPr>
      </w:pPr>
    </w:p>
    <w:tbl>
      <w:tblPr>
        <w:tblW w:w="0" w:type="auto"/>
        <w:jc w:val="left"/>
        <w:tblInd w:w="183" w:type="dxa"/>
        <w:tblLayout w:type="fixed"/>
        <w:tblCellMar>
          <w:top w:w="0" w:type="dxa"/>
          <w:left w:w="0" w:type="dxa"/>
          <w:bottom w:w="0" w:type="dxa"/>
          <w:right w:w="0" w:type="dxa"/>
        </w:tblCellMar>
        <w:tblLook w:val="01E0"/>
      </w:tblPr>
      <w:tblGrid>
        <w:gridCol w:w="5055"/>
        <w:gridCol w:w="4513"/>
      </w:tblGrid>
      <w:tr>
        <w:trPr>
          <w:trHeight w:val="715" w:hRule="exact"/>
        </w:trPr>
        <w:tc>
          <w:tcPr>
            <w:tcW w:w="5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本集团将金额为人民币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万元以上的应收款项确认为单 项金额重大的应收款项。</w:t>
            </w:r>
          </w:p>
        </w:tc>
      </w:tr>
      <w:tr>
        <w:trPr>
          <w:trHeight w:val="401" w:hRule="exact"/>
        </w:trPr>
        <w:tc>
          <w:tcPr>
            <w:tcW w:w="5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pacing w:val="-2"/>
                <w:sz w:val="18"/>
                <w:szCs w:val="18"/>
              </w:rPr>
              <w:t>本集团对单项金额重大的应收款项单独进行减值测试，单</w:t>
            </w:r>
          </w:p>
        </w:tc>
      </w:tr>
    </w:tbl>
    <w:p>
      <w:pPr>
        <w:spacing w:after="0" w:line="240" w:lineRule="auto"/>
        <w:jc w:val="left"/>
        <w:rPr>
          <w:rFonts w:ascii="宋体" w:hAnsi="宋体" w:cs="宋体" w:eastAsia="宋体" w:hint="default"/>
          <w:sz w:val="18"/>
          <w:szCs w:val="18"/>
        </w:rPr>
        <w:sectPr>
          <w:pgSz w:w="11910" w:h="16840"/>
          <w:pgMar w:header="877" w:footer="1272" w:top="1060" w:bottom="1520" w:left="980" w:right="0"/>
        </w:sectPr>
      </w:pPr>
    </w:p>
    <w:p>
      <w:pPr>
        <w:spacing w:line="240" w:lineRule="auto" w:before="2"/>
        <w:rPr>
          <w:rFonts w:ascii="宋体" w:hAnsi="宋体" w:cs="宋体" w:eastAsia="宋体" w:hint="default"/>
          <w:b/>
          <w:bCs/>
          <w:sz w:val="28"/>
          <w:szCs w:val="28"/>
        </w:rPr>
      </w:pPr>
    </w:p>
    <w:p>
      <w:pPr>
        <w:spacing w:line="1318" w:lineRule="exact"/>
        <w:ind w:left="184"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478.9pt;height:65.9pt;mso-position-horizontal-relative:char;mso-position-vertical-relative:line" coordorigin="0,0" coordsize="9578,1318">
            <v:group style="position:absolute;left:10;top:14;width:5046;height:1290" coordorigin="10,14" coordsize="5046,1290">
              <v:shape style="position:absolute;left:10;top:14;width:5046;height:1290" coordorigin="10,14" coordsize="5046,1290" path="m10,1304l5055,1304,5055,14,10,14,10,1304xe" filled="true" fillcolor="#d2d2d2" stroked="false">
                <v:path arrowok="t"/>
                <v:fill type="solid"/>
              </v:shape>
            </v:group>
            <v:group style="position:absolute;left:10;top:10;width:5046;height:2" coordorigin="10,10" coordsize="5046,2">
              <v:shape style="position:absolute;left:10;top:10;width:5046;height:2" coordorigin="10,10" coordsize="5046,0" path="m10,10l5055,10e" filled="false" stroked="true" strokeweight=".48pt" strokecolor="#000000">
                <v:path arrowok="t"/>
              </v:shape>
            </v:group>
            <v:group style="position:absolute;left:5065;top:10;width:4504;height:2" coordorigin="5065,10" coordsize="4504,2">
              <v:shape style="position:absolute;left:5065;top:10;width:4504;height:2" coordorigin="5065,10" coordsize="4504,0" path="m5065,10l9568,10e" filled="false" stroked="true" strokeweight=".48pt" strokecolor="#000000">
                <v:path arrowok="t"/>
              </v:shape>
            </v:group>
            <v:group style="position:absolute;left:5;top:5;width:2;height:1309" coordorigin="5,5" coordsize="2,1309">
              <v:shape style="position:absolute;left:5;top:5;width:2;height:1309" coordorigin="5,5" coordsize="0,1309" path="m5,5l5,1313e" filled="false" stroked="true" strokeweight=".48pt" strokecolor="#000000">
                <v:path arrowok="t"/>
              </v:shape>
            </v:group>
            <v:group style="position:absolute;left:10;top:1308;width:5046;height:2" coordorigin="10,1308" coordsize="5046,2">
              <v:shape style="position:absolute;left:10;top:1308;width:5046;height:2" coordorigin="10,1308" coordsize="5046,0" path="m10,1308l5055,1308e" filled="false" stroked="true" strokeweight=".48pt" strokecolor="#000000">
                <v:path arrowok="t"/>
              </v:shape>
            </v:group>
            <v:group style="position:absolute;left:5060;top:5;width:2;height:1309" coordorigin="5060,5" coordsize="2,1309">
              <v:shape style="position:absolute;left:5060;top:5;width:2;height:1309" coordorigin="5060,5" coordsize="0,1309" path="m5060,5l5060,1313e" filled="false" stroked="true" strokeweight=".48pt" strokecolor="#000000">
                <v:path arrowok="t"/>
              </v:shape>
            </v:group>
            <v:group style="position:absolute;left:5065;top:1308;width:4504;height:2" coordorigin="5065,1308" coordsize="4504,2">
              <v:shape style="position:absolute;left:5065;top:1308;width:4504;height:2" coordorigin="5065,1308" coordsize="4504,0" path="m5065,1308l9568,1308e" filled="false" stroked="true" strokeweight=".48pt" strokecolor="#000000">
                <v:path arrowok="t"/>
              </v:shape>
            </v:group>
            <v:group style="position:absolute;left:9573;top:5;width:2;height:1309" coordorigin="9573,5" coordsize="2,1309">
              <v:shape style="position:absolute;left:9573;top:5;width:2;height:1309" coordorigin="9573,5" coordsize="0,1309" path="m9573,5l9573,1313e" filled="false" stroked="true" strokeweight=".48pt" strokecolor="#000000">
                <v:path arrowok="t"/>
              </v:shape>
              <v:shape style="position:absolute;left:5060;top:10;width:4513;height:1299" type="#_x0000_t202" filled="false" stroked="false">
                <v:textbox inset="0,0,0,0">
                  <w:txbxContent>
                    <w:p>
                      <w:pPr>
                        <w:spacing w:line="319" w:lineRule="auto" w:before="13"/>
                        <w:ind w:left="28" w:right="25" w:firstLine="0"/>
                        <w:jc w:val="both"/>
                        <w:rPr>
                          <w:rFonts w:ascii="宋体" w:hAnsi="宋体" w:cs="宋体" w:eastAsia="宋体" w:hint="default"/>
                          <w:sz w:val="18"/>
                          <w:szCs w:val="18"/>
                        </w:rPr>
                      </w:pPr>
                      <w:r>
                        <w:rPr>
                          <w:rFonts w:ascii="宋体" w:hAnsi="宋体" w:cs="宋体" w:eastAsia="宋体" w:hint="default"/>
                          <w:spacing w:val="-2"/>
                          <w:sz w:val="18"/>
                          <w:szCs w:val="18"/>
                        </w:rPr>
                        <w:t>独测试未发生减值的金融资产，包括在具有类似信用风险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特征的金融资产组合中进行减值测试。单项测试已确认减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值损失的应收款项，不再包括在具有类似信用风险特征的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应收款项组合中进行减值测试。</w:t>
                      </w:r>
                    </w:p>
                  </w:txbxContent>
                </v:textbox>
                <w10:wrap type="none"/>
              </v:shape>
            </v:group>
          </v:group>
        </w:pict>
      </w:r>
      <w:r>
        <w:rPr>
          <w:rFonts w:ascii="宋体" w:hAnsi="宋体" w:cs="宋体" w:eastAsia="宋体" w:hint="default"/>
          <w:position w:val="-25"/>
          <w:sz w:val="20"/>
          <w:szCs w:val="20"/>
        </w:rPr>
      </w:r>
    </w:p>
    <w:p>
      <w:pPr>
        <w:spacing w:line="240" w:lineRule="auto" w:before="3"/>
        <w:rPr>
          <w:rFonts w:ascii="宋体" w:hAnsi="宋体" w:cs="宋体" w:eastAsia="宋体" w:hint="default"/>
          <w:b/>
          <w:bCs/>
          <w:sz w:val="19"/>
          <w:szCs w:val="19"/>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713"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165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8"/>
              <w:jc w:val="both"/>
              <w:rPr>
                <w:rFonts w:ascii="宋体" w:hAnsi="宋体" w:cs="宋体" w:eastAsia="宋体" w:hint="default"/>
                <w:sz w:val="18"/>
                <w:szCs w:val="18"/>
              </w:rPr>
            </w:pPr>
            <w:r>
              <w:rPr>
                <w:rFonts w:ascii="宋体" w:hAnsi="宋体" w:cs="宋体" w:eastAsia="宋体" w:hint="default"/>
                <w:sz w:val="18"/>
                <w:szCs w:val="18"/>
              </w:rPr>
              <w:t>本集团对单项金额不重大以及金额重大但单项测试未发生减 值的应收款项，按信用风险特征的相似性和相关性对金融资 产进行分组。这些信用风险通常反映债务人按照该等资产的 合同条款偿还所有到期金额的能力，并且与被检查资产的未 来现金流量测算相关。</w:t>
            </w:r>
          </w:p>
        </w:tc>
      </w:tr>
    </w:tbl>
    <w:p>
      <w:pPr>
        <w:pStyle w:val="BodyText"/>
        <w:spacing w:line="240" w:lineRule="auto" w:before="49"/>
        <w:ind w:right="0"/>
        <w:jc w:val="left"/>
      </w:pPr>
      <w:r>
        <w:rPr/>
        <w:t>组合中，采用账龄分析法计提坏账准备的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r>
      <w:tr>
        <w:trPr>
          <w:trHeight w:val="404"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r>
    </w:tbl>
    <w:p>
      <w:pPr>
        <w:pStyle w:val="BodyText"/>
        <w:spacing w:line="240" w:lineRule="auto" w:before="49"/>
        <w:ind w:right="0"/>
        <w:jc w:val="left"/>
      </w:pPr>
      <w:r>
        <w:rPr/>
        <w:t>组合中，采用余额百分比法计提坏账准备的</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5"/>
        <w:rPr>
          <w:rFonts w:ascii="宋体" w:hAnsi="宋体" w:cs="宋体" w:eastAsia="宋体" w:hint="default"/>
          <w:b/>
          <w:bCs/>
          <w:sz w:val="27"/>
          <w:szCs w:val="27"/>
        </w:rPr>
      </w:pPr>
    </w:p>
    <w:p>
      <w:pPr>
        <w:pStyle w:val="BodyText"/>
        <w:spacing w:line="240" w:lineRule="auto" w:before="44"/>
        <w:ind w:left="0" w:right="1139"/>
        <w:jc w:val="right"/>
      </w:pPr>
      <w:r>
        <w:rPr/>
        <w:pict>
          <v:shape style="position:absolute;margin-left:56.459999pt;margin-top:-.758284pt;width:479.2pt;height:103.15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5"/>
                    <w:gridCol w:w="6215"/>
                  </w:tblGrid>
                  <w:tr>
                    <w:trPr>
                      <w:trHeight w:val="1340"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pacing w:val="-2"/>
                            <w:sz w:val="18"/>
                            <w:szCs w:val="18"/>
                          </w:rPr>
                          <w:t>本集团对于单项金额虽不重大但具备以下特征的应收款项，单独进行减值测试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有客观证据表明其发生了减值的，根据其未来现金流量现值低于其账面价值的 差额，确认减值损失，计提坏账准备；与对方存在争议或涉及诉讼、仲裁的应 收款项；已有明显迹象表明债务人很可能无法履行还款义务的应收款项等。</w:t>
                        </w:r>
                      </w:p>
                    </w:tc>
                  </w:tr>
                  <w:tr>
                    <w:trPr>
                      <w:trHeight w:val="71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根据其未来现金流量现值低于其账面价值的差额，确认减值损失，计提坏账准 备。</w:t>
                        </w:r>
                      </w:p>
                    </w:tc>
                  </w:tr>
                </w:tbl>
                <w:p>
                  <w:pPr/>
                </w:p>
              </w:txbxContent>
            </v:textbox>
            <w10:wrap type="none"/>
          </v:shape>
        </w:pict>
      </w:r>
      <w:r>
        <w:rPr/>
        <w:t>，</w:t>
      </w:r>
    </w:p>
    <w:p>
      <w:pPr>
        <w:spacing w:after="0" w:line="240" w:lineRule="auto"/>
        <w:jc w:val="right"/>
        <w:sectPr>
          <w:pgSz w:w="11910" w:h="16840"/>
          <w:pgMar w:header="877" w:footer="1272" w:top="1060" w:bottom="1520" w:left="980" w:right="0"/>
        </w:sectPr>
      </w:pPr>
    </w:p>
    <w:p>
      <w:pPr>
        <w:spacing w:line="240" w:lineRule="auto" w:before="3"/>
        <w:rPr>
          <w:rFonts w:ascii="宋体" w:hAnsi="宋体" w:cs="宋体" w:eastAsia="宋体" w:hint="default"/>
          <w:sz w:val="25"/>
          <w:szCs w:val="25"/>
        </w:rPr>
      </w:pPr>
    </w:p>
    <w:p>
      <w:pPr>
        <w:pStyle w:val="Heading5"/>
        <w:spacing w:line="240" w:lineRule="auto" w:before="37"/>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1"/>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6"/>
        <w:ind w:left="513" w:right="0"/>
        <w:jc w:val="left"/>
      </w:pPr>
      <w:r>
        <w:rPr/>
        <w:t>存货主要包括原材料、辅助材料、在产品、库存商品、委托加工物资等。</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0"/>
        <w:rPr>
          <w:rFonts w:ascii="宋体" w:hAnsi="宋体" w:cs="宋体" w:eastAsia="宋体" w:hint="default"/>
          <w:b/>
          <w:bCs/>
          <w:sz w:val="20"/>
          <w:szCs w:val="20"/>
        </w:rPr>
      </w:pPr>
    </w:p>
    <w:p>
      <w:pPr>
        <w:pStyle w:val="BodyText"/>
        <w:spacing w:line="516" w:lineRule="auto" w:before="168"/>
        <w:ind w:left="513" w:right="0"/>
        <w:jc w:val="left"/>
      </w:pPr>
      <w:r>
        <w:rPr/>
        <w:t>计价方法：加权平均法 </w:t>
      </w:r>
      <w:r>
        <w:rPr>
          <w:spacing w:val="-2"/>
        </w:rPr>
        <w:t>存货在取得时按实际成本计价，存货成本包括采购成本、加工成本和其他成本。领用和发出时按加权平均法计价；原材</w:t>
      </w:r>
    </w:p>
    <w:p>
      <w:pPr>
        <w:pStyle w:val="BodyText"/>
        <w:spacing w:line="477" w:lineRule="auto" w:before="25"/>
        <w:ind w:right="0"/>
        <w:jc w:val="left"/>
      </w:pPr>
      <w:r>
        <w:rPr>
          <w:spacing w:val="-2"/>
        </w:rPr>
        <w:t>料以计划成本核算，对原材料的计划成本和实际成本之间的差异，通过成本差异科目核算，并按期结转发出存货应负担的成</w:t>
      </w:r>
      <w:r>
        <w:rPr>
          <w:spacing w:val="-63"/>
        </w:rPr>
        <w:t> </w:t>
      </w:r>
      <w:r>
        <w:rPr>
          <w:spacing w:val="-63"/>
        </w:rPr>
      </w:r>
      <w:r>
        <w:rPr/>
        <w:t>本差异，将计划成本调整为实际成本。</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8"/>
        <w:ind w:right="1034" w:firstLine="360"/>
        <w:jc w:val="left"/>
      </w:pPr>
      <w:r>
        <w:rPr>
          <w:spacing w:val="-2"/>
        </w:rPr>
        <w:t>可变现净值是指在日常活动中，存货的估计售价减去至完工时估计将要发生的成本、估计的销售费用以及相关税费后的</w:t>
      </w:r>
      <w:r>
        <w:rPr/>
        <w:t> 金额。在确定存货的可变现净值时，以取得的确凿证据为基础，同时考虑持有存货的目的以及资产负债表日后事项的影响。</w:t>
      </w:r>
    </w:p>
    <w:p>
      <w:pPr>
        <w:pStyle w:val="BodyText"/>
        <w:spacing w:line="477" w:lineRule="auto" w:before="92"/>
        <w:ind w:right="0" w:firstLine="360"/>
        <w:jc w:val="left"/>
      </w:pPr>
      <w:r>
        <w:rPr>
          <w:spacing w:val="-2"/>
        </w:rPr>
        <w:t>在资产负债表日，存货按照成本与可变现净值孰低计量。当其可变现净值低于成本时，提取存货跌价准备。存货跌价准</w:t>
      </w:r>
      <w:r>
        <w:rPr/>
        <w:t> 备按单个存货项目的成本高于其可变现净值的差额提取。</w:t>
      </w:r>
    </w:p>
    <w:p>
      <w:pPr>
        <w:pStyle w:val="BodyText"/>
        <w:spacing w:line="477" w:lineRule="auto" w:before="95"/>
        <w:ind w:right="0" w:firstLine="360"/>
        <w:jc w:val="left"/>
      </w:pPr>
      <w:r>
        <w:rPr>
          <w:spacing w:val="-2"/>
        </w:rPr>
        <w:t>计提存货跌价准备后，如果以前减记存货价值的影响因素已经消失，导致存货的可变现净值高于其账面价值的，在原已</w:t>
      </w:r>
      <w:r>
        <w:rPr/>
        <w:t> 计提的存货跌价准备金额内予以转回，转回的金额计入当期损益。</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0"/>
        <w:rPr>
          <w:rFonts w:ascii="宋体" w:hAnsi="宋体" w:cs="宋体" w:eastAsia="宋体" w:hint="default"/>
          <w:b/>
          <w:bCs/>
          <w:sz w:val="20"/>
          <w:szCs w:val="20"/>
        </w:rPr>
      </w:pPr>
    </w:p>
    <w:p>
      <w:pPr>
        <w:pStyle w:val="BodyText"/>
        <w:spacing w:line="516" w:lineRule="auto" w:before="168"/>
        <w:ind w:left="604" w:right="7782" w:hanging="92"/>
        <w:jc w:val="left"/>
      </w:pPr>
      <w:r>
        <w:rPr/>
        <w:t>盘存制度：永续盘存制 存货的盘存制度为永续盘存制。</w:t>
      </w:r>
    </w:p>
    <w:p>
      <w:pPr>
        <w:spacing w:line="240" w:lineRule="auto" w:before="10"/>
        <w:rPr>
          <w:rFonts w:ascii="宋体" w:hAnsi="宋体" w:cs="宋体" w:eastAsia="宋体" w:hint="default"/>
          <w:sz w:val="17"/>
          <w:szCs w:val="17"/>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0"/>
        <w:rPr>
          <w:rFonts w:ascii="宋体" w:hAnsi="宋体" w:cs="宋体" w:eastAsia="宋体" w:hint="default"/>
          <w:b/>
          <w:bCs/>
          <w:sz w:val="20"/>
          <w:szCs w:val="20"/>
        </w:rPr>
      </w:pPr>
    </w:p>
    <w:p>
      <w:pPr>
        <w:pStyle w:val="BodyText"/>
        <w:spacing w:line="518" w:lineRule="auto" w:before="169"/>
        <w:ind w:left="513" w:right="8593"/>
        <w:jc w:val="left"/>
      </w:pPr>
      <w:r>
        <w:rPr/>
        <w:t>低值易耗品 摊销方法：一次摊销法</w:t>
      </w:r>
    </w:p>
    <w:p>
      <w:pPr>
        <w:pStyle w:val="BodyText"/>
        <w:spacing w:line="518" w:lineRule="auto" w:before="62"/>
        <w:ind w:left="513" w:right="7062" w:firstLine="91"/>
        <w:jc w:val="left"/>
      </w:pPr>
      <w:r>
        <w:rPr/>
        <w:t>低值易耗品于领用时按一次摊销法摊销。 包装物</w:t>
      </w:r>
    </w:p>
    <w:p>
      <w:pPr>
        <w:pStyle w:val="BodyText"/>
        <w:spacing w:line="240" w:lineRule="auto" w:before="64"/>
        <w:ind w:left="513" w:right="0"/>
        <w:jc w:val="left"/>
      </w:pPr>
      <w:r>
        <w:rPr/>
        <w:t>摊销方法：一次摊销法</w:t>
      </w:r>
    </w:p>
    <w:p>
      <w:pPr>
        <w:spacing w:after="0" w:line="240" w:lineRule="auto"/>
        <w:jc w:val="left"/>
        <w:sectPr>
          <w:pgSz w:w="11910" w:h="16840"/>
          <w:pgMar w:header="877" w:footer="1272" w:top="1060" w:bottom="152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513" w:right="0"/>
        <w:jc w:val="left"/>
      </w:pPr>
      <w:r>
        <w:rPr/>
        <w:t>包装物于领用时按一次摊销法摊销。</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6"/>
        <w:ind w:right="1034" w:firstLine="360"/>
        <w:jc w:val="left"/>
      </w:pPr>
      <w:r>
        <w:rPr>
          <w:spacing w:val="-2"/>
        </w:rPr>
        <w:t>对于企业合并形成的长期股权投资，如为同一控制下的企业合并取得的长期股权投资，在合并日按照取得被合并方股东</w:t>
      </w:r>
      <w:r>
        <w:rPr/>
        <w:t> </w:t>
      </w:r>
      <w:r>
        <w:rPr>
          <w:spacing w:val="-2"/>
        </w:rPr>
        <w:t>权益账面价值的份额作为初始投资成本；通过非同一控制下的企业合并取得的长期股权投资，购买方应该按照确定的企业合</w:t>
      </w:r>
      <w:r>
        <w:rPr>
          <w:spacing w:val="-64"/>
        </w:rPr>
        <w:t> </w:t>
      </w:r>
      <w:r>
        <w:rPr>
          <w:spacing w:val="-64"/>
        </w:rPr>
      </w:r>
      <w:r>
        <w:rPr>
          <w:spacing w:val="-2"/>
        </w:rPr>
        <w:t>并成本作为长期股权投资的初始投资成本。企业合并成本包括购买方付出的资产、发生或承担的负债、发行的权益性证券的</w:t>
      </w:r>
      <w:r>
        <w:rPr>
          <w:spacing w:val="-63"/>
        </w:rPr>
        <w:t> </w:t>
      </w:r>
      <w:r>
        <w:rPr>
          <w:spacing w:val="-63"/>
        </w:rPr>
      </w:r>
      <w:r>
        <w:rPr>
          <w:spacing w:val="-2"/>
        </w:rPr>
        <w:t>公允价值之和。购买方为企业合并发生的审计、法律服务、评估咨询等中介费用以及其他相关管理费用，应当于发生时计入</w:t>
      </w:r>
      <w:r>
        <w:rPr>
          <w:spacing w:val="-63"/>
        </w:rPr>
        <w:t> </w:t>
      </w:r>
      <w:r>
        <w:rPr>
          <w:spacing w:val="-63"/>
        </w:rPr>
      </w:r>
      <w:r>
        <w:rPr>
          <w:spacing w:val="-2"/>
        </w:rPr>
        <w:t>当期损益；购买方作为合并对价发行的权益性证券或债务性证券的交易费用，应当计入权益性证券或债务性证券的初始确认</w:t>
      </w:r>
      <w:r>
        <w:rPr>
          <w:spacing w:val="-64"/>
        </w:rPr>
        <w:t> </w:t>
      </w:r>
      <w:r>
        <w:rPr>
          <w:spacing w:val="-64"/>
        </w:rPr>
      </w:r>
      <w:r>
        <w:rPr/>
        <w:t>金额。除企业合并形成的长期股权投资外的其他股权投资，按成本进行初始计量，该成本视长期股权投资取得方式的不同，</w:t>
      </w:r>
      <w:r>
        <w:rPr>
          <w:spacing w:val="-86"/>
        </w:rPr>
        <w:t> </w:t>
      </w:r>
      <w:r>
        <w:rPr>
          <w:spacing w:val="-86"/>
        </w:rPr>
      </w:r>
      <w:r>
        <w:rPr>
          <w:spacing w:val="-2"/>
        </w:rPr>
        <w:t>分别按照本集团实际支付的现金购买价款、本集团发行的权益性证券的公允价值、投资合同或协议约定的价值、非货币性资</w:t>
      </w:r>
      <w:r>
        <w:rPr>
          <w:spacing w:val="-63"/>
        </w:rPr>
        <w:t> </w:t>
      </w:r>
      <w:r>
        <w:rPr>
          <w:spacing w:val="-63"/>
        </w:rPr>
      </w:r>
      <w:r>
        <w:rPr>
          <w:spacing w:val="-2"/>
        </w:rPr>
        <w:t>产交换交易中换出资产的公允价值或原账面价值、该项长期股权投资自身的公允价值等方式确定。与取得长期股权投资直接</w:t>
      </w:r>
      <w:r>
        <w:rPr>
          <w:spacing w:val="-64"/>
        </w:rPr>
        <w:t> </w:t>
      </w:r>
      <w:r>
        <w:rPr>
          <w:spacing w:val="-64"/>
        </w:rPr>
      </w:r>
      <w:r>
        <w:rPr/>
        <w:t>相关的费用、税金及其他必要支出也计入投资成本。</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8"/>
        <w:ind w:right="1130" w:firstLine="360"/>
        <w:jc w:val="both"/>
      </w:pPr>
      <w:r>
        <w:rPr>
          <w:spacing w:val="-2"/>
        </w:rPr>
        <w:t>对被投资单位不具有共同控制或重大影响并且在活跃市场中没有报价、公允价值不能可靠计量的长期股权投资，采用成</w:t>
      </w:r>
      <w:r>
        <w:rPr/>
        <w:t> </w:t>
      </w:r>
      <w:r>
        <w:rPr>
          <w:spacing w:val="-2"/>
        </w:rPr>
        <w:t>本法核算；对被投资单位具有共同控制或重大影响的长期股权投资，采用权益法核算；对被投资单位不具有控制、共同控制</w:t>
      </w:r>
      <w:r>
        <w:rPr>
          <w:spacing w:val="-64"/>
        </w:rPr>
        <w:t> </w:t>
      </w:r>
      <w:r>
        <w:rPr>
          <w:spacing w:val="-64"/>
        </w:rPr>
      </w:r>
      <w:r>
        <w:rPr>
          <w:spacing w:val="-2"/>
        </w:rPr>
        <w:t>或重大影响并且公允价值能够可靠计量的长期股权投资，作为可供出售金融资产或以公允价值计量且其变动计入当期损益的</w:t>
      </w:r>
      <w:r>
        <w:rPr>
          <w:spacing w:val="-64"/>
        </w:rPr>
        <w:t> </w:t>
      </w:r>
      <w:r>
        <w:rPr>
          <w:spacing w:val="-64"/>
        </w:rPr>
      </w:r>
      <w:r>
        <w:rPr/>
        <w:t>金融资产核算。此外，公司财务报表采用成本法核算能够对被投资单位实施控制的长期股权投资。①</w:t>
      </w:r>
      <w:r>
        <w:rPr>
          <w:spacing w:val="1"/>
        </w:rPr>
        <w:t> </w:t>
      </w:r>
      <w:r>
        <w:rPr/>
        <w:t>成本法核算的长期股</w:t>
      </w:r>
      <w:r>
        <w:rPr/>
        <w:t> </w:t>
      </w:r>
      <w:r>
        <w:rPr>
          <w:spacing w:val="-2"/>
        </w:rPr>
        <w:t>权投资采用成本法核算时，长期股权投资按初始投资成本计价，除取得投资时实际支付的价款或者对价中包含的已宣告但尚</w:t>
      </w:r>
      <w:r>
        <w:rPr>
          <w:spacing w:val="-63"/>
        </w:rPr>
        <w:t> </w:t>
      </w:r>
      <w:r>
        <w:rPr>
          <w:spacing w:val="-63"/>
        </w:rPr>
      </w:r>
      <w:r>
        <w:rPr/>
        <w:t>未发放的现金股利或者利润外，当期投资收益按照享有被投资单位宣告发放的现金股利或利润确认。②</w:t>
      </w:r>
      <w:r>
        <w:rPr>
          <w:spacing w:val="2"/>
        </w:rPr>
        <w:t> </w:t>
      </w:r>
      <w:r>
        <w:rPr/>
        <w:t>权益法核算的长期</w:t>
      </w:r>
      <w:r>
        <w:rPr/>
        <w:t> </w:t>
      </w:r>
      <w:r>
        <w:rPr>
          <w:spacing w:val="-2"/>
        </w:rPr>
        <w:t>股权投资采用权益法核算时，长期股权投资的初始投资成本大于投资时应享有被投资单位可辨认净资产公允价值份额的，不</w:t>
      </w:r>
      <w:r>
        <w:rPr>
          <w:spacing w:val="-64"/>
        </w:rPr>
        <w:t> </w:t>
      </w:r>
      <w:r>
        <w:rPr>
          <w:spacing w:val="-64"/>
        </w:rPr>
      </w:r>
      <w:r>
        <w:rPr>
          <w:spacing w:val="-2"/>
        </w:rPr>
        <w:t>调整长期股权投资的初始投资成本；初始投资成本小于投资时应享有被投资单位可辨认净资产公允价值份额的，其差额计入</w:t>
      </w:r>
      <w:r>
        <w:rPr>
          <w:spacing w:val="-64"/>
        </w:rPr>
        <w:t> </w:t>
      </w:r>
      <w:r>
        <w:rPr>
          <w:spacing w:val="-64"/>
        </w:rPr>
      </w:r>
      <w:r>
        <w:rPr>
          <w:spacing w:val="-2"/>
        </w:rPr>
        <w:t>当期损益，同时调整长期股权投资的成本。采用权益法核算时，当期投资损益为应享有或应分担的被投资单位当年实现的净</w:t>
      </w:r>
      <w:r>
        <w:rPr>
          <w:spacing w:val="-63"/>
        </w:rPr>
        <w:t> </w:t>
      </w:r>
      <w:r>
        <w:rPr>
          <w:spacing w:val="-63"/>
        </w:rPr>
      </w:r>
      <w:r>
        <w:rPr>
          <w:spacing w:val="-2"/>
        </w:rPr>
        <w:t>损益的份额。在确认应享有被投资单位净损益的份额时，以取得投资时被投资单位各项可辨认资产等的公允价值为基础，并</w:t>
      </w:r>
      <w:r>
        <w:rPr>
          <w:spacing w:val="-63"/>
        </w:rPr>
        <w:t> </w:t>
      </w:r>
      <w:r>
        <w:rPr>
          <w:spacing w:val="-63"/>
        </w:rPr>
      </w:r>
      <w:r>
        <w:rPr>
          <w:spacing w:val="-2"/>
        </w:rPr>
        <w:t>按照本集团的会计政策及会计期间，对被投资单位的净利润进行调整后确认。对于本集团与联营企业及合营之间发生的未实</w:t>
      </w:r>
      <w:r>
        <w:rPr>
          <w:spacing w:val="-64"/>
        </w:rPr>
        <w:t> </w:t>
      </w:r>
      <w:r>
        <w:rPr>
          <w:spacing w:val="-64"/>
        </w:rPr>
      </w:r>
      <w:r>
        <w:rPr>
          <w:spacing w:val="-2"/>
        </w:rPr>
        <w:t>现内部交易损益，按照持股比例计算属于本集团的部分予以抵销，在此基础上确认投资损益。但本集团与被投资单位发生的</w:t>
      </w:r>
    </w:p>
    <w:p>
      <w:pPr>
        <w:pStyle w:val="BodyText"/>
        <w:spacing w:line="451" w:lineRule="auto" w:before="54"/>
        <w:ind w:right="1122"/>
        <w:jc w:val="left"/>
      </w:pPr>
      <w:r>
        <w:rPr>
          <w:spacing w:val="-2"/>
        </w:rPr>
        <w:t>未实现内部交易损失，按照《企业会计准则第</w:t>
      </w:r>
      <w:r>
        <w:rPr/>
        <w:t> </w:t>
      </w:r>
      <w:r>
        <w:rPr>
          <w:rFonts w:ascii="Times New Roman" w:hAnsi="Times New Roman" w:cs="Times New Roman" w:eastAsia="Times New Roman" w:hint="default"/>
        </w:rPr>
        <w:t>8</w:t>
      </w:r>
      <w:r>
        <w:rPr>
          <w:rFonts w:ascii="Times New Roman" w:hAnsi="Times New Roman" w:cs="Times New Roman" w:eastAsia="Times New Roman" w:hint="default"/>
          <w:spacing w:val="-27"/>
        </w:rPr>
        <w:t> </w:t>
      </w:r>
      <w:r>
        <w:rPr>
          <w:spacing w:val="-2"/>
        </w:rPr>
        <w:t>号</w:t>
      </w:r>
      <w:r>
        <w:rPr>
          <w:rFonts w:ascii="Times New Roman" w:hAnsi="Times New Roman" w:cs="Times New Roman" w:eastAsia="Times New Roman" w:hint="default"/>
          <w:spacing w:val="-2"/>
        </w:rPr>
        <w:t>——</w:t>
      </w:r>
      <w:r>
        <w:rPr>
          <w:spacing w:val="-2"/>
        </w:rPr>
        <w:t>资产减值》等规定属于所转让资产减值损失的，不予以抵销。对被投</w:t>
      </w:r>
      <w:r>
        <w:rPr/>
        <w:t> </w:t>
      </w:r>
      <w:r>
        <w:rPr>
          <w:spacing w:val="-2"/>
        </w:rPr>
        <w:t>资单位的其他综合收益，相应调整长期股权投资的账面价值确认为其他综合收益并计入资本公积。在确认应分担被投资单位</w:t>
      </w:r>
    </w:p>
    <w:p>
      <w:pPr>
        <w:spacing w:after="0" w:line="451" w:lineRule="auto"/>
        <w:jc w:val="left"/>
        <w:sectPr>
          <w:pgSz w:w="11910" w:h="16840"/>
          <w:pgMar w:header="877" w:footer="1272" w:top="1060" w:bottom="152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2" w:lineRule="auto"/>
        <w:ind w:right="1130"/>
        <w:jc w:val="both"/>
      </w:pPr>
      <w:r>
        <w:rPr>
          <w:spacing w:val="-2"/>
        </w:rPr>
        <w:t>发生的净亏损时，以长期股权投资的账面价值和其他实质上构成对被投资单位净投资的长期权益减记至零为限。此外，如本</w:t>
      </w:r>
      <w:r>
        <w:rPr>
          <w:spacing w:val="-65"/>
        </w:rPr>
        <w:t> </w:t>
      </w:r>
      <w:r>
        <w:rPr>
          <w:spacing w:val="-65"/>
        </w:rPr>
      </w:r>
      <w:r>
        <w:rPr>
          <w:spacing w:val="-2"/>
        </w:rPr>
        <w:t>集团对被投资单位负有承担额外损失的义务，则按预计承担的义务确认预计负债，计入当期投资损失。被投资单位以后期间</w:t>
      </w:r>
      <w:r>
        <w:rPr>
          <w:spacing w:val="-63"/>
        </w:rPr>
        <w:t> </w:t>
      </w:r>
      <w:r>
        <w:rPr>
          <w:spacing w:val="-63"/>
        </w:rPr>
      </w:r>
      <w:r>
        <w:rPr/>
        <w:t>实现净利润的，本集团在收益分享额弥补未确认的亏损分担额后，恢复确认收益分享额。③</w:t>
      </w:r>
      <w:r>
        <w:rPr>
          <w:spacing w:val="1"/>
        </w:rPr>
        <w:t> </w:t>
      </w:r>
      <w:r>
        <w:rPr/>
        <w:t>收购少数股权在编制合并财务</w:t>
      </w:r>
      <w:r>
        <w:rPr/>
        <w:t> </w:t>
      </w:r>
      <w:r>
        <w:rPr>
          <w:spacing w:val="-2"/>
        </w:rPr>
        <w:t>报表时，因购买少数股权新增的长期股权投资与按照新增持股比例计算应享有子公司自购买日（或合并日）开始持续计算的</w:t>
      </w:r>
      <w:r>
        <w:rPr>
          <w:spacing w:val="-66"/>
        </w:rPr>
        <w:t> </w:t>
      </w:r>
      <w:r>
        <w:rPr>
          <w:spacing w:val="-66"/>
        </w:rPr>
      </w:r>
      <w:r>
        <w:rPr/>
        <w:t>净资产份额之间的差额，调整资本公积，资本公积不足冲减的，调整留存收益。④</w:t>
      </w:r>
      <w:r>
        <w:rPr>
          <w:spacing w:val="1"/>
        </w:rPr>
        <w:t> </w:t>
      </w:r>
      <w:r>
        <w:rPr/>
        <w:t>处置长期股权投资在合并财务报表中，</w:t>
      </w:r>
      <w:r>
        <w:rPr/>
        <w:t> </w:t>
      </w:r>
      <w:r>
        <w:rPr>
          <w:spacing w:val="-2"/>
        </w:rPr>
        <w:t>母公司在不丧失控制权的情况下部分处置对子公司的长期股权投资，处置价款与处置长期股权投资相对应享有子公司净资产</w:t>
      </w:r>
      <w:r>
        <w:rPr>
          <w:spacing w:val="-64"/>
        </w:rPr>
        <w:t> </w:t>
      </w:r>
      <w:r>
        <w:rPr>
          <w:spacing w:val="-64"/>
        </w:rPr>
      </w:r>
      <w:r>
        <w:rPr>
          <w:spacing w:val="-2"/>
        </w:rPr>
        <w:t>的差额计入所有者权益；母公司部分处置对子公司的长期股权投资导致丧失对子公司控制权的，按本附注四、</w:t>
      </w:r>
      <w:r>
        <w:rPr>
          <w:rFonts w:ascii="Times New Roman" w:hAnsi="Times New Roman" w:cs="Times New Roman" w:eastAsia="Times New Roman" w:hint="default"/>
          <w:spacing w:val="-2"/>
        </w:rPr>
        <w:t>4</w:t>
      </w:r>
      <w:r>
        <w:rPr>
          <w:spacing w:val="-2"/>
        </w:rPr>
        <w:t>、⑵</w:t>
      </w:r>
      <w:r>
        <w:rPr>
          <w:rFonts w:ascii="Times New Roman" w:hAnsi="Times New Roman" w:cs="Times New Roman" w:eastAsia="Times New Roman" w:hint="default"/>
          <w:spacing w:val="-2"/>
        </w:rPr>
        <w:t>“</w:t>
      </w:r>
      <w:r>
        <w:rPr>
          <w:spacing w:val="-2"/>
        </w:rPr>
        <w:t>合并财</w:t>
      </w:r>
      <w:r>
        <w:rPr>
          <w:spacing w:val="-52"/>
        </w:rPr>
        <w:t> </w:t>
      </w:r>
      <w:r>
        <w:rPr>
          <w:spacing w:val="-52"/>
        </w:rPr>
      </w:r>
      <w:r>
        <w:rPr/>
        <w:t>务报表编制的方法</w:t>
      </w:r>
      <w:r>
        <w:rPr>
          <w:rFonts w:ascii="Times New Roman" w:hAnsi="Times New Roman" w:cs="Times New Roman" w:eastAsia="Times New Roman" w:hint="default"/>
        </w:rPr>
        <w:t>”</w:t>
      </w:r>
      <w:r>
        <w:rPr/>
        <w:t>中所述的相关会计政策处理。其他情形下的长期股权投资处置，对于处置的股权，其账面价值与实际取 </w:t>
      </w:r>
      <w:r>
        <w:rPr>
          <w:spacing w:val="-2"/>
        </w:rPr>
        <w:t>得价款的差额，计入当期损益；采用权益法核算的长期股权投资，在处置时将原计入股东权益的其他综合收益部分按相应的</w:t>
      </w:r>
      <w:r>
        <w:rPr>
          <w:spacing w:val="-63"/>
        </w:rPr>
        <w:t> </w:t>
      </w:r>
      <w:r>
        <w:rPr>
          <w:spacing w:val="-63"/>
        </w:rPr>
      </w:r>
      <w:r>
        <w:rPr>
          <w:spacing w:val="-2"/>
        </w:rPr>
        <w:t>比例转入当期损益。对于剩余股权，按其账面价值确认为长期股权投资或其他相关金融资产，并按前述长期股权投资或金融</w:t>
      </w:r>
      <w:r>
        <w:rPr>
          <w:spacing w:val="-63"/>
        </w:rPr>
        <w:t> </w:t>
      </w:r>
      <w:r>
        <w:rPr>
          <w:spacing w:val="-63"/>
        </w:rPr>
      </w:r>
      <w:r>
        <w:rPr/>
        <w:t>资产的会计政策进行后续计量。涉及对剩余股权由成本法转为权益法核算的，按相关规定进行追溯调整。</w:t>
      </w:r>
    </w:p>
    <w:p>
      <w:pPr>
        <w:spacing w:line="240" w:lineRule="auto" w:before="3"/>
        <w:rPr>
          <w:rFonts w:ascii="宋体" w:hAnsi="宋体" w:cs="宋体" w:eastAsia="宋体" w:hint="default"/>
          <w:sz w:val="20"/>
          <w:szCs w:val="20"/>
        </w:rPr>
      </w:pPr>
    </w:p>
    <w:p>
      <w:pPr>
        <w:pStyle w:val="Heading5"/>
        <w:spacing w:line="240" w:lineRule="auto"/>
        <w:ind w:right="0"/>
        <w:jc w:val="both"/>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0"/>
        <w:rPr>
          <w:rFonts w:ascii="宋体" w:hAnsi="宋体" w:cs="宋体" w:eastAsia="宋体" w:hint="default"/>
          <w:b/>
          <w:bCs/>
          <w:sz w:val="20"/>
          <w:szCs w:val="20"/>
        </w:rPr>
      </w:pPr>
    </w:p>
    <w:p>
      <w:pPr>
        <w:pStyle w:val="BodyText"/>
        <w:spacing w:line="475" w:lineRule="auto" w:before="168"/>
        <w:ind w:right="0" w:firstLine="360"/>
        <w:jc w:val="left"/>
      </w:pPr>
      <w:r>
        <w:rPr/>
        <w:t>控制是指有权决定一个企业的财务和经营政策，并能据以从该企业的经营活动中获取利益。共同控制是指按照合同约定 对某项经济活动所共有的控制，仅在与该项经济活动相关的重要财务和经营决策需要分享控制权的投资方一致同意时存在。</w:t>
      </w:r>
      <w:r>
        <w:rPr>
          <w:spacing w:val="-85"/>
        </w:rPr>
        <w:t> </w:t>
      </w:r>
      <w:r>
        <w:rPr>
          <w:spacing w:val="-85"/>
        </w:rPr>
      </w:r>
      <w:r>
        <w:rPr>
          <w:spacing w:val="-2"/>
        </w:rPr>
        <w:t>重大影响是指对一个企业的财务和经营政策有参与决策的权力，但并不能够控制或者与其他方一起共同控制这些政策的制定。</w:t>
      </w:r>
      <w:r>
        <w:rPr>
          <w:spacing w:val="-62"/>
        </w:rPr>
        <w:t> </w:t>
      </w:r>
      <w:r>
        <w:rPr>
          <w:spacing w:val="-62"/>
        </w:rPr>
      </w:r>
      <w:r>
        <w:rPr/>
        <w:t>在确定能否对被投资单位实施控制或施加重大影响时，已考虑投资企业和其他持有的被投资单位当期可转换公司债券、当期</w:t>
      </w:r>
      <w:r>
        <w:rPr/>
        <w:t> 可执行认股权证等潜在表决权因素。</w:t>
      </w:r>
    </w:p>
    <w:p>
      <w:pPr>
        <w:spacing w:line="240" w:lineRule="auto" w:before="1"/>
        <w:rPr>
          <w:rFonts w:ascii="宋体" w:hAnsi="宋体" w:cs="宋体" w:eastAsia="宋体" w:hint="default"/>
          <w:sz w:val="20"/>
          <w:szCs w:val="20"/>
        </w:rPr>
      </w:pPr>
    </w:p>
    <w:p>
      <w:pPr>
        <w:pStyle w:val="Heading5"/>
        <w:spacing w:line="240" w:lineRule="auto"/>
        <w:ind w:right="0"/>
        <w:jc w:val="both"/>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8"/>
        <w:ind w:right="0" w:firstLine="360"/>
        <w:jc w:val="left"/>
      </w:pPr>
      <w:r>
        <w:rPr>
          <w:spacing w:val="-2"/>
        </w:rPr>
        <w:t>本集团在每一个资产负债表日检查长期股权投资是否存在可能发生减值的迹象。如果该资产存在减值迹象，则估计其可</w:t>
      </w:r>
      <w:r>
        <w:rPr/>
        <w:t> 收回金额。如果资产的可收回金额低于其账面价值，按其差额计提资产减值准备，并计入当期损益。</w:t>
      </w:r>
    </w:p>
    <w:p>
      <w:pPr>
        <w:pStyle w:val="BodyText"/>
        <w:spacing w:line="240" w:lineRule="auto" w:before="95"/>
        <w:ind w:left="513" w:right="0"/>
        <w:jc w:val="left"/>
      </w:pPr>
      <w:r>
        <w:rPr/>
        <w:t>长期股权投资的减值损失一经确认，在以后会计期间不予转回。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8"/>
        <w:ind w:right="0" w:firstLine="360"/>
        <w:jc w:val="left"/>
      </w:pPr>
      <w:r>
        <w:rPr>
          <w:spacing w:val="-2"/>
        </w:rPr>
        <w:t>投资性房地产是指为赚取租金或资本增值，或两者兼有而持有的房地产。包括已出租的土地使用权、持有并准备增值后</w:t>
      </w:r>
      <w:r>
        <w:rPr/>
        <w:t> 转让的土地使用权、已出租的建筑物等。</w:t>
      </w:r>
    </w:p>
    <w:p>
      <w:pPr>
        <w:pStyle w:val="BodyText"/>
        <w:spacing w:line="240" w:lineRule="auto" w:before="95"/>
        <w:ind w:left="513" w:right="0"/>
        <w:jc w:val="left"/>
      </w:pPr>
      <w:r>
        <w:rPr/>
        <w:t>投资性房地产按成本进行初始计量。与投资性房地产有关的后续支出，如果与该资产有关的经济利益很可能流入且其成</w:t>
      </w:r>
    </w:p>
    <w:p>
      <w:pPr>
        <w:spacing w:line="240" w:lineRule="auto" w:before="10"/>
        <w:rPr>
          <w:rFonts w:ascii="宋体" w:hAnsi="宋体" w:cs="宋体" w:eastAsia="宋体" w:hint="default"/>
          <w:sz w:val="17"/>
          <w:szCs w:val="17"/>
        </w:rPr>
      </w:pPr>
    </w:p>
    <w:p>
      <w:pPr>
        <w:pStyle w:val="BodyText"/>
        <w:spacing w:line="240" w:lineRule="auto"/>
        <w:ind w:right="0"/>
        <w:jc w:val="both"/>
      </w:pPr>
      <w:r>
        <w:rPr/>
        <w:t>本能可靠地计量，则计入投资性房地产成本。其他后续支出，在发生时计入当期损益。</w:t>
      </w:r>
    </w:p>
    <w:p>
      <w:pPr>
        <w:spacing w:after="0" w:line="240" w:lineRule="auto"/>
        <w:jc w:val="both"/>
        <w:sectPr>
          <w:pgSz w:w="11910" w:h="16840"/>
          <w:pgMar w:header="877" w:footer="1272" w:top="1060" w:bottom="152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504" w:lineRule="auto"/>
        <w:ind w:left="513" w:right="0"/>
        <w:jc w:val="left"/>
      </w:pPr>
      <w:r>
        <w:rPr/>
        <w:t>本集团采用成本模式对投资性房地产进行后续计量，并按照与房屋建筑物或土地使用权一致的政策进行折旧或摊销。 投资性房地产的减值测试方法和减值准备计提方法详见附注四、</w:t>
      </w:r>
      <w:r>
        <w:rPr>
          <w:rFonts w:ascii="Times New Roman" w:hAnsi="Times New Roman" w:cs="Times New Roman" w:eastAsia="Times New Roman" w:hint="default"/>
        </w:rPr>
        <w:t>17“</w:t>
      </w:r>
      <w:r>
        <w:rPr/>
        <w:t>非流动非金融资产减值</w:t>
      </w:r>
      <w:r>
        <w:rPr>
          <w:rFonts w:ascii="Times New Roman" w:hAnsi="Times New Roman" w:cs="Times New Roman" w:eastAsia="Times New Roman" w:hint="default"/>
        </w:rPr>
        <w:t>”</w:t>
      </w:r>
      <w:r>
        <w:rPr/>
        <w:t>。 </w:t>
      </w:r>
      <w:r>
        <w:rPr>
          <w:spacing w:val="-2"/>
        </w:rPr>
        <w:t>自用房地产或存货转换为投资性房地产或投资性房地产转换为自用房地产时，按转换前的账面价值作为转换后的入账价</w:t>
      </w:r>
    </w:p>
    <w:p>
      <w:pPr>
        <w:pStyle w:val="BodyText"/>
        <w:spacing w:line="240" w:lineRule="auto" w:before="34"/>
        <w:ind w:right="0"/>
        <w:jc w:val="left"/>
      </w:pPr>
      <w:r>
        <w:rPr/>
        <w:t>值。</w:t>
      </w:r>
    </w:p>
    <w:p>
      <w:pPr>
        <w:spacing w:line="240" w:lineRule="auto" w:before="6"/>
        <w:rPr>
          <w:rFonts w:ascii="宋体" w:hAnsi="宋体" w:cs="宋体" w:eastAsia="宋体" w:hint="default"/>
          <w:sz w:val="17"/>
          <w:szCs w:val="17"/>
        </w:rPr>
      </w:pPr>
    </w:p>
    <w:p>
      <w:pPr>
        <w:pStyle w:val="BodyText"/>
        <w:spacing w:line="427" w:lineRule="auto" w:before="44"/>
        <w:ind w:right="1130" w:firstLine="360"/>
        <w:jc w:val="both"/>
        <w:rPr>
          <w:sz w:val="24"/>
          <w:szCs w:val="24"/>
        </w:rPr>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r>
        <w:rPr>
          <w:sz w:val="24"/>
          <w:szCs w:val="24"/>
        </w:rPr>
        <w:t>。</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8"/>
        <w:ind w:left="513" w:right="0"/>
        <w:jc w:val="left"/>
      </w:pPr>
      <w:r>
        <w:rPr/>
        <w:t>固定资产是指为生产商品、提供劳务、出租或经营管理而持有的，使用寿命超过一个会计年度的有形资产。</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8"/>
        <w:ind w:right="1130"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权的在租赁资产使用寿命内计提折旧，无法合理确定租赁期届满能够取得租赁资产所有权的，在租赁期与租赁资产使用寿命</w:t>
      </w:r>
      <w:r>
        <w:rPr>
          <w:spacing w:val="-64"/>
        </w:rPr>
        <w:t> </w:t>
      </w:r>
      <w:r>
        <w:rPr>
          <w:spacing w:val="-64"/>
        </w:rPr>
      </w:r>
      <w:r>
        <w:rPr/>
        <w:t>两者中较短的期间内计提折旧。</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8"/>
        <w:ind w:right="1132" w:firstLine="360"/>
        <w:jc w:val="both"/>
      </w:pPr>
      <w:r>
        <w:rPr>
          <w:spacing w:val="-2"/>
        </w:rPr>
        <w:t>固定资产按成本并考虑预计弃置费用因素的影响进行初始计量。固定资产从达到预定可使用状态的次月起，采用年限平</w:t>
      </w:r>
      <w:r>
        <w:rPr/>
        <w:t> 均法在使用寿命内计提折旧。</w:t>
      </w:r>
    </w:p>
    <w:p>
      <w:pPr>
        <w:pStyle w:val="BodyText"/>
        <w:spacing w:line="477" w:lineRule="auto" w:before="92"/>
        <w:ind w:right="1132" w:firstLine="360"/>
        <w:jc w:val="both"/>
      </w:pPr>
      <w:r>
        <w:rPr>
          <w:spacing w:val="-2"/>
        </w:rPr>
        <w:t>预计净残值是指假定固定资产预计使用寿命已满并处于使用寿命终了时的预期状态，本集团目前从该项资产处置中获得</w:t>
      </w:r>
      <w:r>
        <w:rPr/>
        <w:t> 的扣除预计处置费用后的金额。</w:t>
      </w:r>
    </w:p>
    <w:p>
      <w:pPr>
        <w:pStyle w:val="BodyText"/>
        <w:spacing w:line="240" w:lineRule="auto" w:before="47"/>
        <w:ind w:left="513" w:right="0"/>
        <w:jc w:val="left"/>
        <w:rPr>
          <w:sz w:val="24"/>
          <w:szCs w:val="24"/>
        </w:rPr>
      </w:pPr>
      <w:r>
        <w:rPr/>
        <w:t>各类固定资产的使用寿命、预计净残值和年折旧率如下</w:t>
      </w:r>
      <w:r>
        <w:rPr>
          <w:sz w:val="24"/>
          <w:szCs w:val="24"/>
        </w:rPr>
        <w:t>：</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2" w:top="1060" w:bottom="1520" w:left="980" w:right="0"/>
        </w:sectPr>
      </w:pPr>
    </w:p>
    <w:p>
      <w:pPr>
        <w:spacing w:line="240" w:lineRule="auto" w:before="3"/>
        <w:rPr>
          <w:rFonts w:ascii="宋体" w:hAnsi="宋体" w:cs="宋体" w:eastAsia="宋体" w:hint="default"/>
          <w:sz w:val="25"/>
          <w:szCs w:val="25"/>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9"/>
        <w:ind w:right="1119" w:firstLine="360"/>
        <w:jc w:val="left"/>
      </w:pPr>
      <w:r>
        <w:rPr>
          <w:spacing w:val="-5"/>
        </w:rPr>
        <w:t>对于固定资产本集团于资产负债表日判断是否存在减值迹象。如存在减值迹象的，则估计其可收回金额，进行减值测试。</w:t>
      </w:r>
      <w:r>
        <w:rPr/>
        <w:t> 商誉、使用寿命不确定的无形资产和尚未达到可使用状态的无形资产，无论是否存在减值迹象，每年均进行减值测试。</w:t>
      </w:r>
    </w:p>
    <w:p>
      <w:pPr>
        <w:pStyle w:val="BodyText"/>
        <w:spacing w:line="477" w:lineRule="auto" w:before="92"/>
        <w:ind w:right="0"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3"/>
        </w:rPr>
        <w:t> </w:t>
      </w:r>
      <w:r>
        <w:rPr>
          <w:spacing w:val="-63"/>
        </w:rPr>
      </w:r>
      <w:r>
        <w:rPr>
          <w:spacing w:val="-2"/>
        </w:rPr>
        <w:t>场的，则以可获取的最佳信息为基础估计资产的公允价值。处置费用包括与资产处置有关的法律费用、相关税费、搬运费以</w:t>
      </w:r>
      <w:r>
        <w:rPr>
          <w:spacing w:val="-64"/>
        </w:rPr>
        <w:t> </w:t>
      </w:r>
      <w:r>
        <w:rPr>
          <w:spacing w:val="-64"/>
        </w:rPr>
      </w:r>
      <w:r>
        <w:rPr>
          <w:spacing w:val="-2"/>
        </w:rPr>
        <w:t>及为使资产达到可销售状态所发生的直接费用。资产预计未来现金流量的现值，按照资产在持续使用过程中和最终处置时所</w:t>
      </w:r>
      <w:r>
        <w:rPr>
          <w:spacing w:val="-63"/>
        </w:rPr>
        <w:t> </w:t>
      </w:r>
      <w:r>
        <w:rPr>
          <w:spacing w:val="-63"/>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240" w:lineRule="auto" w:before="95"/>
        <w:ind w:left="513" w:right="0"/>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6"/>
        <w:ind w:right="0" w:firstLine="360"/>
        <w:jc w:val="left"/>
      </w:pPr>
      <w:r>
        <w:rPr>
          <w:spacing w:val="-2"/>
        </w:rPr>
        <w:t>与固定资产有关的后续支出，如果与该固定资产有关的经济利益很可能流入且其成本能可靠地计量，则计入固定资产成</w:t>
      </w:r>
      <w:r>
        <w:rPr/>
        <w:t> 本，并终止确认被替换部分的账面价值。除此以外的其他后续支出，在发生时计入当期损益。</w:t>
      </w:r>
    </w:p>
    <w:p>
      <w:pPr>
        <w:pStyle w:val="BodyText"/>
        <w:spacing w:line="518" w:lineRule="auto" w:before="95"/>
        <w:ind w:left="513" w:right="0"/>
        <w:jc w:val="left"/>
      </w:pPr>
      <w:r>
        <w:rPr/>
        <w:t>固定资产出售、转让、报废或毁损的处置收入扣除其账面价值和相关税费后的差额计入当期损益。 </w:t>
      </w:r>
      <w:r>
        <w:rPr>
          <w:spacing w:val="-4"/>
        </w:rPr>
        <w:t>本集团至少于年度终了对固定资产的使用寿命、预计净残值和折旧方法进行复核，如发生改变则作为会计估计变更处理。</w:t>
      </w:r>
    </w:p>
    <w:p>
      <w:pPr>
        <w:spacing w:line="240" w:lineRule="auto" w:before="6"/>
        <w:rPr>
          <w:rFonts w:ascii="宋体" w:hAnsi="宋体" w:cs="宋体" w:eastAsia="宋体" w:hint="default"/>
          <w:sz w:val="17"/>
          <w:szCs w:val="17"/>
        </w:rPr>
      </w:pPr>
    </w:p>
    <w:p>
      <w:pPr>
        <w:pStyle w:val="Heading5"/>
        <w:spacing w:line="240" w:lineRule="auto"/>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8"/>
        <w:ind w:left="513" w:right="0"/>
        <w:jc w:val="left"/>
      </w:pPr>
      <w:r>
        <w:rPr/>
        <w:t>公司的在建工程分为土建工程和不需安装工程。</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8"/>
        <w:ind w:left="513" w:right="0"/>
        <w:jc w:val="left"/>
      </w:pPr>
      <w:r>
        <w:rPr/>
        <w:t>在建工程在达到预定可使用状态后结转为固定资产。</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10"/>
        <w:rPr>
          <w:rFonts w:ascii="宋体" w:hAnsi="宋体" w:cs="宋体" w:eastAsia="宋体" w:hint="default"/>
          <w:b/>
          <w:bCs/>
          <w:sz w:val="15"/>
          <w:szCs w:val="15"/>
        </w:rPr>
      </w:pPr>
    </w:p>
    <w:p>
      <w:pPr>
        <w:pStyle w:val="BodyText"/>
        <w:spacing w:line="460" w:lineRule="atLeast"/>
        <w:ind w:right="1034" w:firstLine="360"/>
        <w:jc w:val="left"/>
      </w:pPr>
      <w:r>
        <w:rPr>
          <w:spacing w:val="-2"/>
        </w:rPr>
        <w:t>对于在建工程，本集团于资产负债表日判断是否存在减值迹象。如存在减值迹象的，则估计其可收回金额，进行减值测</w:t>
      </w:r>
      <w:r>
        <w:rPr/>
        <w:t> 试。商誉、使用寿命不确定的无形资产和尚未达到可使用状态的无形资产，无论是否存在减值迹象，每年均进行减值测试。</w:t>
      </w:r>
    </w:p>
    <w:p>
      <w:pPr>
        <w:spacing w:after="0" w:line="460" w:lineRule="atLeast"/>
        <w:jc w:val="left"/>
        <w:sectPr>
          <w:pgSz w:w="11910" w:h="16840"/>
          <w:pgMar w:header="877" w:footer="1272" w:top="1060" w:bottom="152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0"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3"/>
        </w:rPr>
        <w:t> </w:t>
      </w:r>
      <w:r>
        <w:rPr>
          <w:spacing w:val="-63"/>
        </w:rPr>
      </w:r>
      <w:r>
        <w:rPr>
          <w:spacing w:val="-2"/>
        </w:rPr>
        <w:t>议价格确定；不存在销售协议但存在资产活跃市场的，公允价值按照该资产的买方出价确定；不存在销售协议和资产活跃市</w:t>
      </w:r>
      <w:r>
        <w:rPr>
          <w:spacing w:val="-63"/>
        </w:rPr>
        <w:t> </w:t>
      </w:r>
      <w:r>
        <w:rPr>
          <w:spacing w:val="-63"/>
        </w:rPr>
      </w:r>
      <w:r>
        <w:rPr>
          <w:spacing w:val="-2"/>
        </w:rPr>
        <w:t>场的，则以可获取的最佳信息为基础估计资产的公允价值。处置费用包括与资产处置有关的法律费用、相关税费、搬运费以</w:t>
      </w:r>
      <w:r>
        <w:rPr>
          <w:spacing w:val="-64"/>
        </w:rPr>
        <w:t> </w:t>
      </w:r>
      <w:r>
        <w:rPr>
          <w:spacing w:val="-64"/>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3"/>
        </w:rPr>
        <w:t> </w:t>
      </w:r>
      <w:r>
        <w:rPr>
          <w:spacing w:val="-63"/>
        </w:rPr>
      </w:r>
      <w:r>
        <w:rPr/>
        <w:t>金流入的最小资产组合。</w:t>
      </w:r>
    </w:p>
    <w:p>
      <w:pPr>
        <w:pStyle w:val="BodyText"/>
        <w:spacing w:line="240" w:lineRule="auto" w:before="72"/>
        <w:ind w:left="513" w:right="0"/>
        <w:jc w:val="left"/>
        <w:rPr>
          <w:sz w:val="21"/>
          <w:szCs w:val="21"/>
        </w:rPr>
      </w:pPr>
      <w:r>
        <w:rPr/>
        <w:t>上述资产减值损失一经确认，以后期间不予转回价值得以恢复的部分</w:t>
      </w:r>
      <w:r>
        <w:rPr>
          <w:sz w:val="21"/>
          <w:szCs w:val="21"/>
        </w:rPr>
        <w:t>。</w:t>
      </w:r>
    </w:p>
    <w:p>
      <w:pPr>
        <w:spacing w:line="240" w:lineRule="auto" w:before="0"/>
        <w:rPr>
          <w:rFonts w:ascii="宋体" w:hAnsi="宋体" w:cs="宋体" w:eastAsia="宋体" w:hint="default"/>
          <w:sz w:val="20"/>
          <w:szCs w:val="20"/>
        </w:rPr>
      </w:pPr>
    </w:p>
    <w:p>
      <w:pPr>
        <w:pStyle w:val="Heading5"/>
        <w:spacing w:line="240" w:lineRule="auto" w:before="159"/>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8"/>
        <w:ind w:right="1140" w:firstLine="360"/>
        <w:jc w:val="left"/>
      </w:pPr>
      <w:r>
        <w:rPr/>
        <w:t>本公司发生的可直接归属于符合资本化条件的资产的购建或生产的借款费用在同时满足下列条件时予以资本化计入相 关资产成本： ①资产支出已经发生； ②借款费用已经发生；</w:t>
      </w:r>
      <w:r>
        <w:rPr>
          <w:spacing w:val="-16"/>
        </w:rPr>
        <w:t> </w:t>
      </w:r>
      <w:r>
        <w:rPr/>
        <w:t>③为使资产达到预定可使用状态所必要的购建或者生产活动</w:t>
      </w:r>
      <w:r>
        <w:rPr/>
        <w:t> 已经开始。</w:t>
      </w:r>
      <w:r>
        <w:rPr>
          <w:spacing w:val="-18"/>
        </w:rPr>
        <w:t> </w:t>
      </w:r>
      <w:r>
        <w:rPr/>
        <w:t>其余借款费用在发生当期确认为费用。</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0"/>
        <w:rPr>
          <w:rFonts w:ascii="宋体" w:hAnsi="宋体" w:cs="宋体" w:eastAsia="宋体" w:hint="default"/>
          <w:b/>
          <w:bCs/>
          <w:sz w:val="20"/>
          <w:szCs w:val="20"/>
        </w:rPr>
      </w:pPr>
    </w:p>
    <w:p>
      <w:pPr>
        <w:pStyle w:val="BodyText"/>
        <w:spacing w:line="465" w:lineRule="auto" w:before="168"/>
        <w:ind w:right="1133" w:firstLine="420"/>
        <w:jc w:val="both"/>
        <w:rPr>
          <w:sz w:val="21"/>
          <w:szCs w:val="21"/>
        </w:rPr>
      </w:pPr>
      <w:r>
        <w:rPr/>
        <w:t>可直接归属于符合资本化条件的资产的购建或者生产的借款费用，在资产支出已经发生、借款费用已经发生、为使资 </w:t>
      </w:r>
      <w:r>
        <w:rPr>
          <w:spacing w:val="-2"/>
        </w:rPr>
        <w:t>产达到预定可使用或可销售状态所必要的购建或生产活动已经开始时，开始资本化；构建或者生产的符合资本化条件的资产</w:t>
      </w:r>
      <w:r>
        <w:rPr>
          <w:spacing w:val="-64"/>
        </w:rPr>
        <w:t> </w:t>
      </w:r>
      <w:r>
        <w:rPr>
          <w:spacing w:val="-64"/>
        </w:rPr>
      </w:r>
      <w:r>
        <w:rPr/>
        <w:t>达到预定可使用状态或者可销售状态时，停止资本化。其余借款费用在发生当期确认为费用</w:t>
      </w:r>
      <w:r>
        <w:rPr>
          <w:sz w:val="21"/>
          <w:szCs w:val="21"/>
        </w:rPr>
        <w:t>。</w:t>
      </w:r>
    </w:p>
    <w:p>
      <w:pPr>
        <w:spacing w:line="240" w:lineRule="auto" w:before="3"/>
        <w:rPr>
          <w:rFonts w:ascii="宋体" w:hAnsi="宋体" w:cs="宋体" w:eastAsia="宋体" w:hint="default"/>
          <w:sz w:val="17"/>
          <w:szCs w:val="17"/>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0"/>
        <w:rPr>
          <w:rFonts w:ascii="宋体" w:hAnsi="宋体" w:cs="宋体" w:eastAsia="宋体" w:hint="default"/>
          <w:b/>
          <w:bCs/>
          <w:sz w:val="20"/>
          <w:szCs w:val="20"/>
        </w:rPr>
      </w:pPr>
    </w:p>
    <w:p>
      <w:pPr>
        <w:pStyle w:val="BodyText"/>
        <w:spacing w:line="451" w:lineRule="auto" w:before="168"/>
        <w:ind w:right="1116" w:firstLine="420"/>
        <w:jc w:val="left"/>
      </w:pPr>
      <w:r>
        <w:rPr>
          <w:spacing w:val="-1"/>
        </w:rPr>
        <w:t>如果符合资本化条件的资产在购建或生产过程中发生非正常中断、并且中断时间连续超过</w:t>
      </w:r>
      <w:r>
        <w:rPr>
          <w:rFonts w:ascii="Times New Roman" w:hAnsi="Times New Roman" w:cs="Times New Roman" w:eastAsia="Times New Roman" w:hint="default"/>
          <w:spacing w:val="-1"/>
        </w:rPr>
        <w:t>3</w:t>
      </w:r>
      <w:r>
        <w:rPr>
          <w:spacing w:val="-1"/>
        </w:rPr>
        <w:t>个月的，暂停借款费用的资</w:t>
      </w:r>
      <w:r>
        <w:rPr/>
        <w:t> 本化，直至资产的购建或生产活动重新开始。</w:t>
      </w:r>
    </w:p>
    <w:p>
      <w:pPr>
        <w:spacing w:line="240" w:lineRule="auto" w:before="6"/>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6"/>
        <w:ind w:right="1132" w:firstLine="480"/>
        <w:jc w:val="both"/>
      </w:pPr>
      <w:r>
        <w:rPr>
          <w:spacing w:val="-1"/>
        </w:rPr>
        <w:t>专门借款当期实际发生的利息费用，减去尚未动用的借款资金存入银行取得的利息收入或进行暂时性投资取得的投资</w:t>
      </w:r>
      <w:r>
        <w:rPr/>
        <w:t> </w:t>
      </w:r>
      <w:r>
        <w:rPr>
          <w:spacing w:val="-2"/>
        </w:rPr>
        <w:t>收益后的金额予以资本化；一般借款根据累计资产支出超过专门借款部分的资产支出加权平均数乘以所占用一般借款的资本</w:t>
      </w:r>
      <w:r>
        <w:rPr>
          <w:spacing w:val="-64"/>
        </w:rPr>
        <w:t> </w:t>
      </w:r>
      <w:r>
        <w:rPr>
          <w:spacing w:val="-64"/>
        </w:rPr>
      </w:r>
      <w:r>
        <w:rPr/>
        <w:t>化率，确定资本化金额。资本化率根据一般借款的加权平均利率计算确定。</w:t>
      </w:r>
    </w:p>
    <w:p>
      <w:pPr>
        <w:spacing w:after="0" w:line="477" w:lineRule="auto"/>
        <w:jc w:val="both"/>
        <w:sectPr>
          <w:pgSz w:w="11910" w:h="16840"/>
          <w:pgMar w:header="877" w:footer="1272" w:top="1060" w:bottom="152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633" w:right="0"/>
        <w:jc w:val="left"/>
      </w:pPr>
      <w:r>
        <w:rPr/>
        <w:t>资本化期间内，外币专门借款的汇兑差额全部予以资本化；外币一般借款的汇兑差额计入当期损益。</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8"/>
        <w:ind w:left="633" w:right="0"/>
        <w:jc w:val="left"/>
      </w:pPr>
      <w:r>
        <w:rPr/>
        <w:t>截止报告报出日，本公司不涉及生物资产。</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6"/>
        <w:ind w:left="633" w:right="0"/>
        <w:jc w:val="left"/>
      </w:pPr>
      <w:r>
        <w:rPr/>
        <w:t>截止报告报出日，本公司不涉及油气资产。</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1"/>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6"/>
        <w:ind w:right="1133" w:firstLine="480"/>
        <w:jc w:val="both"/>
      </w:pPr>
      <w:r>
        <w:rPr>
          <w:spacing w:val="-1"/>
        </w:rPr>
        <w:t>无形资产按成本进行初始计量。与无形资产有关的支出，如果相关的经济利益很可能流入本集团且其成本能可靠地计</w:t>
      </w:r>
      <w:r>
        <w:rPr/>
        <w:t> 量，则计入无形资产成本。除此以外的其他项目的支出，在发生时计入当期损益。</w:t>
      </w:r>
    </w:p>
    <w:p>
      <w:pPr>
        <w:pStyle w:val="BodyText"/>
        <w:spacing w:line="477" w:lineRule="auto" w:before="54"/>
        <w:ind w:right="1130" w:firstLine="480"/>
        <w:jc w:val="both"/>
      </w:pPr>
      <w:r>
        <w:rPr>
          <w:spacing w:val="-1"/>
        </w:rPr>
        <w:t>取得的土地使用权通常作为无形资产核算。自行开发建造厂房等建筑物，相关的土地使用权支出和建筑物建造成本则</w:t>
      </w:r>
      <w:r>
        <w:rPr/>
        <w:t> </w:t>
      </w:r>
      <w:r>
        <w:rPr>
          <w:spacing w:val="-2"/>
        </w:rPr>
        <w:t>分别作为无形资产和固定资产核算。如为外购的房屋及建筑物，则将有关价款在土地使用权和建筑物之间进行分配，难以合</w:t>
      </w:r>
      <w:r>
        <w:rPr>
          <w:spacing w:val="-63"/>
        </w:rPr>
        <w:t> </w:t>
      </w:r>
      <w:r>
        <w:rPr>
          <w:spacing w:val="-63"/>
        </w:rPr>
      </w:r>
      <w:r>
        <w:rPr/>
        <w:t>理分配的，全部作为固定资产处理。</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8"/>
        <w:ind w:right="1132" w:firstLine="480"/>
        <w:jc w:val="both"/>
      </w:pPr>
      <w:r>
        <w:rPr>
          <w:spacing w:val="-1"/>
        </w:rPr>
        <w:t>使用寿命有限的无形资产自可供使用时起，对其原值在其预计使用寿命内采用直线法分期平均摊销。期末，对使用寿</w:t>
      </w:r>
      <w:r>
        <w:rPr/>
        <w:t> 命有限的无形资产的使用寿命和摊销方法进行复核，如发生变更则作为会计估计变更处理。</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6"/>
        <w:ind w:right="1047" w:firstLine="480"/>
        <w:jc w:val="both"/>
      </w:pPr>
      <w:r>
        <w:rPr/>
        <w:t>使用寿命不确定的无形资产不予摊销。期末，对使用寿命不确定的无形资产的使用寿命进行复核，如果有证据表明该 无形资产为企业带来经济利益的期限是可预见的，则估计其使用寿命并按照使用寿命有限的无形资产的摊销政策进行摊销。</w:t>
      </w:r>
    </w:p>
    <w:p>
      <w:pPr>
        <w:spacing w:line="240" w:lineRule="auto" w:before="0"/>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8"/>
        <w:ind w:right="1131" w:firstLine="480"/>
        <w:jc w:val="both"/>
      </w:pPr>
      <w:r>
        <w:rPr>
          <w:spacing w:val="-1"/>
        </w:rPr>
        <w:t>对于使用寿命有限的无形资产，本集团于资产负债表日判断是否存在减值迹象。如存在减值迹象的，则估计其可收回</w:t>
      </w:r>
      <w:r>
        <w:rPr/>
        <w:t> </w:t>
      </w:r>
      <w:r>
        <w:rPr>
          <w:spacing w:val="-2"/>
        </w:rPr>
        <w:t>金额，进行减值测试。商誉、使用寿命不确定的无形资产和尚未达到可使用状态的无形资产，无论是否存在减值迹象，每年</w:t>
      </w:r>
      <w:r>
        <w:rPr>
          <w:spacing w:val="-65"/>
        </w:rPr>
        <w:t> </w:t>
      </w:r>
      <w:r>
        <w:rPr>
          <w:spacing w:val="-65"/>
        </w:rPr>
      </w:r>
      <w:r>
        <w:rPr/>
        <w:t>均进行减值测试。</w:t>
      </w:r>
    </w:p>
    <w:p>
      <w:pPr>
        <w:pStyle w:val="BodyText"/>
        <w:spacing w:line="240" w:lineRule="auto" w:before="54"/>
        <w:ind w:right="0" w:firstLine="480"/>
        <w:jc w:val="both"/>
      </w:pPr>
      <w:r>
        <w:rPr/>
        <w:t>减值测试结果表明资产的可收回金额低于其账面价值的，按其差额计提减值准备并计入减值损失。可收回金额为资产</w:t>
      </w:r>
    </w:p>
    <w:p>
      <w:pPr>
        <w:spacing w:line="240" w:lineRule="auto" w:before="10"/>
        <w:rPr>
          <w:rFonts w:ascii="宋体" w:hAnsi="宋体" w:cs="宋体" w:eastAsia="宋体" w:hint="default"/>
          <w:sz w:val="17"/>
          <w:szCs w:val="17"/>
        </w:rPr>
      </w:pPr>
    </w:p>
    <w:p>
      <w:pPr>
        <w:pStyle w:val="BodyText"/>
        <w:spacing w:line="240" w:lineRule="auto"/>
        <w:ind w:right="0"/>
        <w:jc w:val="left"/>
      </w:pPr>
      <w:r>
        <w:rPr/>
        <w:t>的公允价值减去处置费用后的净额与资产预计未来现金流量的现值两者之间的较高者</w:t>
      </w:r>
      <w:r>
        <w:rPr>
          <w:spacing w:val="-82"/>
        </w:rPr>
        <w:t>。</w:t>
      </w:r>
      <w:r>
        <w:rPr/>
        <w:t>资产的公允价值根据公平交易中销售</w:t>
      </w:r>
    </w:p>
    <w:p>
      <w:pPr>
        <w:spacing w:after="0" w:line="240" w:lineRule="auto"/>
        <w:jc w:val="left"/>
        <w:sectPr>
          <w:pgSz w:w="11910" w:h="16840"/>
          <w:pgMar w:header="877" w:footer="1272" w:top="1060" w:bottom="14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30"/>
        <w:jc w:val="both"/>
      </w:pPr>
      <w:r>
        <w:rPr>
          <w:spacing w:val="-2"/>
        </w:rPr>
        <w:t>协议价格确定；不存在销售协议但存在资产活跃市场的，公允价值按照该资产的买方出价确定；不存在销售协议和资产活跃</w:t>
      </w:r>
      <w:r>
        <w:rPr>
          <w:spacing w:val="-63"/>
        </w:rPr>
        <w:t> </w:t>
      </w:r>
      <w:r>
        <w:rPr>
          <w:spacing w:val="-63"/>
        </w:rPr>
      </w:r>
      <w:r>
        <w:rPr>
          <w:spacing w:val="-2"/>
        </w:rPr>
        <w:t>市场的，则以可获取的最佳信息为基础估计资产的公允价值。处置费用包括与资产处置有关的法律费用、相关税费、搬运费</w:t>
      </w:r>
      <w:r>
        <w:rPr>
          <w:spacing w:val="-63"/>
        </w:rPr>
        <w:t> </w:t>
      </w:r>
      <w:r>
        <w:rPr>
          <w:spacing w:val="-63"/>
        </w:rPr>
      </w:r>
      <w:r>
        <w:rPr>
          <w:spacing w:val="-2"/>
        </w:rPr>
        <w:t>以及为使资产达到可销售状态所发生的直接费用。资产预计未来现金流量的现值，按照资产在持续使用过程中和最终处置时</w:t>
      </w:r>
      <w:r>
        <w:rPr>
          <w:spacing w:val="-64"/>
        </w:rPr>
        <w:t> </w:t>
      </w:r>
      <w:r>
        <w:rPr>
          <w:spacing w:val="-64"/>
        </w:rPr>
      </w:r>
      <w:r>
        <w:rPr>
          <w:spacing w:val="-2"/>
        </w:rPr>
        <w:t>所产生的预计未来现金流量，选择恰当的折现率对其进行折现后的金额加以确定。资产减值准备按单项资产为基础计算并确</w:t>
      </w:r>
      <w:r>
        <w:rPr>
          <w:spacing w:val="-64"/>
        </w:rPr>
        <w:t> </w:t>
      </w:r>
      <w:r>
        <w:rPr>
          <w:spacing w:val="-64"/>
        </w:rPr>
      </w:r>
      <w:r>
        <w:rPr>
          <w:spacing w:val="-2"/>
        </w:rPr>
        <w:t>认，如果难以对单项资产的可收回金额进行估计的，以该资产所属的资产组确定资产组的可收回金额。资产组是能够独立产</w:t>
      </w:r>
      <w:r>
        <w:rPr>
          <w:spacing w:val="-63"/>
        </w:rPr>
        <w:t> </w:t>
      </w:r>
      <w:r>
        <w:rPr>
          <w:spacing w:val="-63"/>
        </w:rPr>
      </w:r>
      <w:r>
        <w:rPr/>
        <w:t>生现金流入的最小资产组合。</w:t>
      </w:r>
    </w:p>
    <w:p>
      <w:pPr>
        <w:pStyle w:val="BodyText"/>
        <w:spacing w:line="240" w:lineRule="auto" w:before="31"/>
        <w:ind w:left="633" w:right="0"/>
        <w:jc w:val="left"/>
        <w:rPr>
          <w:sz w:val="21"/>
          <w:szCs w:val="21"/>
        </w:rPr>
      </w:pPr>
      <w:r>
        <w:rPr/>
        <w:t>上述资产减值损失一经确认，以后期间不予转回价值得以恢复的部分</w:t>
      </w:r>
      <w:r>
        <w:rPr>
          <w:sz w:val="21"/>
          <w:szCs w:val="21"/>
        </w:rPr>
        <w:t>。</w:t>
      </w:r>
    </w:p>
    <w:p>
      <w:pPr>
        <w:spacing w:line="240" w:lineRule="auto" w:before="0"/>
        <w:rPr>
          <w:rFonts w:ascii="宋体" w:hAnsi="宋体" w:cs="宋体" w:eastAsia="宋体" w:hint="default"/>
          <w:sz w:val="20"/>
          <w:szCs w:val="20"/>
        </w:rPr>
      </w:pPr>
    </w:p>
    <w:p>
      <w:pPr>
        <w:pStyle w:val="Heading5"/>
        <w:spacing w:line="240" w:lineRule="auto" w:before="161"/>
        <w:ind w:right="0"/>
        <w:jc w:val="both"/>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9"/>
        <w:ind w:left="633" w:right="1183"/>
        <w:jc w:val="left"/>
      </w:pPr>
      <w:r>
        <w:rPr/>
        <w:t>本集团内部研究开发项目的支出分为研究阶段支出与开发阶段支出。 研究阶段是指为获取新的技术和知识等进行的有计划的调查</w:t>
      </w:r>
      <w:r>
        <w:rPr>
          <w:rFonts w:ascii="宋体" w:hAnsi="宋体" w:cs="宋体" w:eastAsia="宋体" w:hint="default"/>
        </w:rPr>
        <w:t>,</w:t>
      </w:r>
      <w:r>
        <w:rPr/>
        <w:t>研究活动的阶段；开发阶段是指在进行商业性生产或使</w:t>
      </w:r>
    </w:p>
    <w:p>
      <w:pPr>
        <w:pStyle w:val="BodyText"/>
        <w:spacing w:line="240" w:lineRule="auto" w:before="54"/>
        <w:ind w:right="0"/>
        <w:jc w:val="both"/>
      </w:pPr>
      <w:r>
        <w:rPr/>
        <w:t>用前</w:t>
      </w:r>
      <w:r>
        <w:rPr>
          <w:rFonts w:ascii="宋体" w:hAnsi="宋体" w:cs="宋体" w:eastAsia="宋体" w:hint="default"/>
        </w:rPr>
        <w:t>,</w:t>
      </w:r>
      <w:r>
        <w:rPr/>
        <w:t>将研究成果或其他知识应用于某项划或设计</w:t>
      </w:r>
      <w:r>
        <w:rPr>
          <w:rFonts w:ascii="宋体" w:hAnsi="宋体" w:cs="宋体" w:eastAsia="宋体" w:hint="default"/>
        </w:rPr>
        <w:t>,</w:t>
      </w:r>
      <w:r>
        <w:rPr/>
        <w:t>以生产出新的或具有实质性改进的材料、装置、产品等活动的阶段。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5"/>
        <w:spacing w:line="240" w:lineRule="auto"/>
        <w:ind w:right="0"/>
        <w:jc w:val="both"/>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6"/>
        <w:ind w:left="633" w:right="1633"/>
        <w:jc w:val="left"/>
      </w:pPr>
      <w:r>
        <w:rPr/>
        <w:t>研究阶段的支出，于发生时计入当期损益。 开发阶段的支出同时满足下列条件的，确认为无形资产，不能满足下述条件的开发阶段的支出计入当期损益：</w:t>
      </w:r>
    </w:p>
    <w:p>
      <w:pPr>
        <w:pStyle w:val="BodyText"/>
        <w:spacing w:line="240" w:lineRule="auto" w:before="54"/>
        <w:ind w:left="633" w:right="0"/>
        <w:jc w:val="left"/>
      </w:pPr>
      <w:r>
        <w:rPr/>
        <w:t>①</w:t>
      </w:r>
      <w:r>
        <w:rPr>
          <w:spacing w:val="1"/>
        </w:rPr>
        <w:t> </w:t>
      </w:r>
      <w:r>
        <w:rPr/>
        <w:t>完成该无形资产以使其能够使用或出售在技术上具有可行性；</w:t>
      </w:r>
    </w:p>
    <w:p>
      <w:pPr>
        <w:spacing w:line="240" w:lineRule="auto" w:before="10"/>
        <w:rPr>
          <w:rFonts w:ascii="宋体" w:hAnsi="宋体" w:cs="宋体" w:eastAsia="宋体" w:hint="default"/>
          <w:sz w:val="17"/>
          <w:szCs w:val="17"/>
        </w:rPr>
      </w:pPr>
    </w:p>
    <w:p>
      <w:pPr>
        <w:pStyle w:val="BodyText"/>
        <w:spacing w:line="240" w:lineRule="auto"/>
        <w:ind w:left="633" w:right="0"/>
        <w:jc w:val="left"/>
      </w:pPr>
      <w:r>
        <w:rPr/>
        <w:t>②</w:t>
      </w:r>
      <w:r>
        <w:rPr>
          <w:spacing w:val="1"/>
        </w:rPr>
        <w:t> </w:t>
      </w:r>
      <w:r>
        <w:rPr/>
        <w:t>具有完成该无形资产并使用或出售的意图；</w:t>
      </w:r>
    </w:p>
    <w:p>
      <w:pPr>
        <w:spacing w:line="240" w:lineRule="auto" w:before="10"/>
        <w:rPr>
          <w:rFonts w:ascii="宋体" w:hAnsi="宋体" w:cs="宋体" w:eastAsia="宋体" w:hint="default"/>
          <w:sz w:val="17"/>
          <w:szCs w:val="17"/>
        </w:rPr>
      </w:pPr>
    </w:p>
    <w:p>
      <w:pPr>
        <w:pStyle w:val="BodyText"/>
        <w:spacing w:line="477" w:lineRule="auto"/>
        <w:ind w:right="1183" w:firstLine="480"/>
        <w:jc w:val="left"/>
      </w:pPr>
      <w:r>
        <w:rPr/>
        <w:t>③</w:t>
      </w:r>
      <w:r>
        <w:rPr>
          <w:spacing w:val="1"/>
        </w:rPr>
        <w:t> </w:t>
      </w:r>
      <w:r>
        <w:rPr/>
        <w:t>无形资产产生经济利益的方式，包括能够证明运用该无形资产生产的产品存在市场或无形资产自身存在市场，无</w:t>
      </w:r>
      <w:r>
        <w:rPr/>
        <w:t> 形资产将在内部使用的，能够证明其有用性；</w:t>
      </w:r>
    </w:p>
    <w:p>
      <w:pPr>
        <w:pStyle w:val="BodyText"/>
        <w:spacing w:line="240" w:lineRule="auto" w:before="54"/>
        <w:ind w:left="633" w:right="0"/>
        <w:jc w:val="left"/>
      </w:pPr>
      <w:r>
        <w:rPr/>
        <w:t>④</w:t>
      </w:r>
      <w:r>
        <w:rPr>
          <w:spacing w:val="1"/>
        </w:rPr>
        <w:t> </w:t>
      </w:r>
      <w:r>
        <w:rPr/>
        <w:t>有足够的技术、财务资源和其他资源支持，以完成该无形资产的开发，并有能力使用或出售该无形资产；</w:t>
      </w:r>
    </w:p>
    <w:p>
      <w:pPr>
        <w:spacing w:line="240" w:lineRule="auto" w:before="10"/>
        <w:rPr>
          <w:rFonts w:ascii="宋体" w:hAnsi="宋体" w:cs="宋体" w:eastAsia="宋体" w:hint="default"/>
          <w:sz w:val="17"/>
          <w:szCs w:val="17"/>
        </w:rPr>
      </w:pPr>
    </w:p>
    <w:p>
      <w:pPr>
        <w:pStyle w:val="BodyText"/>
        <w:spacing w:line="477" w:lineRule="auto"/>
        <w:ind w:left="633" w:right="3793"/>
        <w:jc w:val="left"/>
      </w:pPr>
      <w:r>
        <w:rPr/>
        <w:t>⑤</w:t>
      </w:r>
      <w:r>
        <w:rPr>
          <w:spacing w:val="1"/>
        </w:rPr>
        <w:t> </w:t>
      </w:r>
      <w:r>
        <w:rPr/>
        <w:t>归属于该无形资产开发阶段的支出能够可靠地计量。</w:t>
      </w:r>
      <w:r>
        <w:rPr/>
        <w:t> 无法区分研究阶段支出和开发阶段支出的，将发生的研发支出全部计入当期损益。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pStyle w:val="Heading5"/>
        <w:spacing w:line="240" w:lineRule="auto"/>
        <w:ind w:right="0"/>
        <w:jc w:val="both"/>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8"/>
        <w:ind w:right="0" w:firstLine="480"/>
        <w:jc w:val="left"/>
      </w:pPr>
      <w:r>
        <w:rPr>
          <w:spacing w:val="-1"/>
        </w:rPr>
        <w:t>长期待摊费用为已经发生但应由报告期和以后各期负担的分摊期限在一年以上的各项费用。长期待摊费用在预计受益</w:t>
      </w:r>
      <w:r>
        <w:rPr/>
        <w:t> 期间按直线法摊销。</w:t>
      </w:r>
    </w:p>
    <w:p>
      <w:pPr>
        <w:spacing w:after="0" w:line="477" w:lineRule="auto"/>
        <w:jc w:val="left"/>
        <w:sectPr>
          <w:pgSz w:w="11910" w:h="16840"/>
          <w:pgMar w:header="877" w:footer="1272" w:top="1060" w:bottom="1460" w:left="980" w:right="0"/>
        </w:sectPr>
      </w:pPr>
    </w:p>
    <w:p>
      <w:pPr>
        <w:spacing w:line="240" w:lineRule="auto" w:before="3"/>
        <w:rPr>
          <w:rFonts w:ascii="宋体" w:hAnsi="宋体" w:cs="宋体" w:eastAsia="宋体" w:hint="default"/>
          <w:sz w:val="25"/>
          <w:szCs w:val="25"/>
        </w:rPr>
      </w:pPr>
    </w:p>
    <w:p>
      <w:pPr>
        <w:pStyle w:val="Heading5"/>
        <w:spacing w:line="240" w:lineRule="auto" w:before="37"/>
        <w:ind w:right="0"/>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9"/>
        <w:ind w:left="633" w:right="0"/>
        <w:jc w:val="left"/>
      </w:pPr>
      <w:r>
        <w:rPr/>
        <w:t>截止报告报出日，本公司不涉及附回购条件的资产转让。</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9"/>
        <w:rPr>
          <w:rFonts w:ascii="宋体" w:hAnsi="宋体" w:cs="宋体" w:eastAsia="宋体" w:hint="default"/>
          <w:b/>
          <w:bCs/>
          <w:sz w:val="26"/>
          <w:szCs w:val="26"/>
        </w:rPr>
      </w:pPr>
    </w:p>
    <w:p>
      <w:pPr>
        <w:pStyle w:val="BodyText"/>
        <w:spacing w:line="297" w:lineRule="auto"/>
        <w:ind w:right="1154" w:firstLine="420"/>
        <w:jc w:val="left"/>
        <w:rPr>
          <w:sz w:val="21"/>
          <w:szCs w:val="21"/>
        </w:rPr>
      </w:pPr>
      <w:r>
        <w:rPr/>
        <w:t>本公司涉及诉讼、债务担保、亏损合同、重组等事项时，如该事项很可能需要未来以交换资产或提供劳务来偿付、且 金额能够可靠计量的事项，确认为预计负债</w:t>
      </w:r>
      <w:r>
        <w:rPr>
          <w:sz w:val="21"/>
          <w:szCs w:val="21"/>
        </w:rPr>
        <w:t>。</w:t>
      </w:r>
    </w:p>
    <w:p>
      <w:pPr>
        <w:spacing w:line="240" w:lineRule="auto" w:before="6"/>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0"/>
        <w:rPr>
          <w:rFonts w:ascii="宋体" w:hAnsi="宋体" w:cs="宋体" w:eastAsia="宋体" w:hint="default"/>
          <w:b/>
          <w:bCs/>
          <w:sz w:val="20"/>
          <w:szCs w:val="20"/>
        </w:rPr>
      </w:pPr>
    </w:p>
    <w:p>
      <w:pPr>
        <w:pStyle w:val="BodyText"/>
        <w:spacing w:line="451" w:lineRule="auto" w:before="168"/>
        <w:ind w:right="1154" w:firstLine="420"/>
        <w:jc w:val="left"/>
      </w:pPr>
      <w:r>
        <w:rPr/>
        <w:t>当与或有事项相关的义务同时符合以下条件，确认为预计负债：（</w:t>
      </w:r>
      <w:r>
        <w:rPr>
          <w:rFonts w:ascii="Times New Roman" w:hAnsi="Times New Roman" w:cs="Times New Roman" w:eastAsia="Times New Roman" w:hint="default"/>
        </w:rPr>
        <w:t>1</w:t>
      </w:r>
      <w:r>
        <w:rPr/>
        <w:t>）该义务是本集团承担的现时义务；（</w:t>
      </w:r>
      <w:r>
        <w:rPr>
          <w:rFonts w:ascii="Times New Roman" w:hAnsi="Times New Roman" w:cs="Times New Roman" w:eastAsia="Times New Roman" w:hint="default"/>
        </w:rPr>
        <w:t>2</w:t>
      </w:r>
      <w:r>
        <w:rPr/>
        <w:t>）履行该 义务很可能导致经济利益流出；（</w:t>
      </w:r>
      <w:r>
        <w:rPr>
          <w:rFonts w:ascii="Times New Roman" w:hAnsi="Times New Roman" w:cs="Times New Roman" w:eastAsia="Times New Roman" w:hint="default"/>
        </w:rPr>
        <w:t>3</w:t>
      </w:r>
      <w:r>
        <w:rPr/>
        <w:t>）该义务的金额能够可靠地计量。</w:t>
      </w:r>
    </w:p>
    <w:p>
      <w:pPr>
        <w:spacing w:line="240" w:lineRule="auto" w:before="2"/>
        <w:rPr>
          <w:rFonts w:ascii="宋体" w:hAnsi="宋体" w:cs="宋体" w:eastAsia="宋体" w:hint="default"/>
          <w:sz w:val="19"/>
          <w:szCs w:val="19"/>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6"/>
        <w:ind w:right="0" w:firstLine="360"/>
        <w:jc w:val="left"/>
      </w:pPr>
      <w:r>
        <w:rPr>
          <w:spacing w:val="-2"/>
        </w:rPr>
        <w:t>在资产负债表日，考虑与或有事项有关的风险、不确定性和货币时间价值等因素，按照履行相关现时义务所需支出的最</w:t>
      </w:r>
      <w:r>
        <w:rPr/>
        <w:t> </w:t>
      </w:r>
      <w:r>
        <w:rPr>
          <w:spacing w:val="-2"/>
        </w:rPr>
        <w:t>佳估计数对预计负债进行计量。如果清偿预计负债所需支出全部或部分预期由第三方补偿的，补偿金额在基本确定能够收到</w:t>
      </w:r>
    </w:p>
    <w:p>
      <w:pPr>
        <w:pStyle w:val="BodyText"/>
        <w:spacing w:line="240" w:lineRule="auto" w:before="5"/>
        <w:ind w:right="0"/>
        <w:jc w:val="left"/>
        <w:rPr>
          <w:sz w:val="24"/>
          <w:szCs w:val="24"/>
        </w:rPr>
      </w:pPr>
      <w:r>
        <w:rPr/>
        <w:t>时，作为资产单独确认，且确认的补偿金额不超过预计负债的账面价值</w:t>
      </w:r>
      <w:r>
        <w:rPr>
          <w:sz w:val="24"/>
          <w:szCs w:val="24"/>
        </w:rPr>
        <w:t>。</w:t>
      </w:r>
    </w:p>
    <w:p>
      <w:pPr>
        <w:spacing w:line="240" w:lineRule="auto" w:before="4"/>
        <w:rPr>
          <w:rFonts w:ascii="宋体" w:hAnsi="宋体" w:cs="宋体" w:eastAsia="宋体" w:hint="default"/>
          <w:sz w:val="31"/>
          <w:szCs w:val="31"/>
        </w:rPr>
      </w:pPr>
    </w:p>
    <w:p>
      <w:pPr>
        <w:pStyle w:val="Heading5"/>
        <w:spacing w:line="240" w:lineRule="auto"/>
        <w:ind w:right="0"/>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11"/>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6"/>
        <w:ind w:right="0" w:firstLine="360"/>
        <w:jc w:val="left"/>
      </w:pPr>
      <w:r>
        <w:rPr>
          <w:spacing w:val="-2"/>
        </w:rPr>
        <w:t>股份支付是为了获取职工或其他方提供服务而授予权益工具或者承担以权益工具为基础确定的负债的交易。股份支付分</w:t>
      </w:r>
      <w:r>
        <w:rPr/>
        <w:t> 为以权益结算的股份支付和以现金结算的股份支付。</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513" w:right="0"/>
        <w:jc w:val="left"/>
        <w:rPr>
          <w:sz w:val="24"/>
          <w:szCs w:val="24"/>
        </w:rPr>
      </w:pPr>
      <w:r>
        <w:rPr/>
        <w:t>本集团授予的股份期权采用授予日发行在外无限售普通股授予日公允价值与授予价格的差做为权益工具公允价值</w:t>
      </w:r>
      <w:r>
        <w:rPr>
          <w:sz w:val="24"/>
          <w:szCs w:val="24"/>
        </w:rPr>
        <w:t>。</w:t>
      </w:r>
    </w:p>
    <w:p>
      <w:pPr>
        <w:spacing w:line="240" w:lineRule="auto" w:before="6"/>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7"/>
        <w:ind w:right="1123" w:firstLine="360"/>
        <w:jc w:val="left"/>
      </w:pPr>
      <w:r>
        <w:rPr>
          <w:spacing w:val="-2"/>
        </w:rPr>
        <w:t>在等待期内的每个资产负债表日，根据最新取得的可行权职工人数变动等后续信息做出最佳估计，修正预计可行权的权</w:t>
      </w:r>
      <w:r>
        <w:rPr/>
        <w:t> 益工具数量。</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8"/>
        <w:ind w:left="513" w:right="0"/>
        <w:jc w:val="left"/>
      </w:pPr>
      <w:r>
        <w:rPr/>
        <w:t>本集团对股份支付计划进行修改时，若修改增加了所授予权益工具的公允价值，按照权益工具公允价值的增加相应确认</w:t>
      </w:r>
    </w:p>
    <w:p>
      <w:pPr>
        <w:spacing w:after="0" w:line="240" w:lineRule="auto"/>
        <w:jc w:val="left"/>
        <w:sectPr>
          <w:pgSz w:w="11910" w:h="16840"/>
          <w:pgMar w:header="877" w:footer="1272" w:top="1060" w:bottom="14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30"/>
        <w:jc w:val="both"/>
      </w:pP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付公允价值总额或采用了其他不利于职工的方式，则仍继续对取得的服务进行会计处理，视同该变更从未发生，除非本集团</w:t>
      </w:r>
      <w:r>
        <w:rPr>
          <w:spacing w:val="-63"/>
        </w:rPr>
        <w:t> </w:t>
      </w:r>
      <w:r>
        <w:rPr>
          <w:spacing w:val="-63"/>
        </w:rPr>
      </w:r>
      <w:r>
        <w:rPr/>
        <w:t>取消了部分或全部已授予的权益工具。</w:t>
      </w:r>
    </w:p>
    <w:p>
      <w:pPr>
        <w:pStyle w:val="BodyText"/>
        <w:spacing w:line="477" w:lineRule="auto" w:before="95"/>
        <w:ind w:right="1130" w:firstLine="360"/>
        <w:jc w:val="both"/>
      </w:pPr>
      <w:r>
        <w:rPr>
          <w:spacing w:val="-2"/>
        </w:rPr>
        <w:t>在等待期内，如果取消了授予的权益工具，本集团对取消所授予的权益性工具作为加速行权处理，将剩余等待期内应确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认的金额立即计入当期损益，同时确认资本公积。职工或其他方能够选择满足非可行权条件但在等待期内未满足的，本集团</w:t>
      </w:r>
      <w:r>
        <w:rPr>
          <w:spacing w:val="-63"/>
        </w:rPr>
        <w:t> </w:t>
      </w:r>
      <w:r>
        <w:rPr>
          <w:spacing w:val="-63"/>
        </w:rPr>
      </w:r>
      <w:r>
        <w:rPr/>
        <w:t>将其作为授予权益工具的取消处理。</w:t>
      </w:r>
    </w:p>
    <w:p>
      <w:pPr>
        <w:spacing w:line="240" w:lineRule="auto" w:before="10"/>
        <w:rPr>
          <w:rFonts w:ascii="宋体" w:hAnsi="宋体" w:cs="宋体" w:eastAsia="宋体" w:hint="default"/>
          <w:sz w:val="19"/>
          <w:szCs w:val="19"/>
        </w:rPr>
      </w:pPr>
    </w:p>
    <w:p>
      <w:pPr>
        <w:pStyle w:val="Heading5"/>
        <w:spacing w:line="240" w:lineRule="auto"/>
        <w:ind w:right="0"/>
        <w:jc w:val="both"/>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9"/>
        <w:ind w:right="1131" w:firstLine="360"/>
        <w:jc w:val="both"/>
      </w:pPr>
      <w:r>
        <w:rPr>
          <w:spacing w:val="-5"/>
        </w:rPr>
        <w:t>股份回购中支付的对价和交易费用减少所有者权益，回购、转让或注销本公司股份时，不确认利得或损失。转让库存股，</w:t>
      </w:r>
      <w:r>
        <w:rPr/>
        <w:t> </w:t>
      </w:r>
      <w:r>
        <w:rPr>
          <w:spacing w:val="-2"/>
        </w:rPr>
        <w:t>按实际收到的金额与库存股账面金额的差额，计入资本公积，资本公积不足冲减的，冲减盈余公积和未分配利润。注销库存</w:t>
      </w:r>
      <w:r>
        <w:rPr>
          <w:spacing w:val="-64"/>
        </w:rPr>
        <w:t> </w:t>
      </w:r>
      <w:r>
        <w:rPr>
          <w:spacing w:val="-64"/>
        </w:rPr>
      </w:r>
      <w:r>
        <w:rPr>
          <w:spacing w:val="-2"/>
        </w:rPr>
        <w:t>股，按股票面值和注销股数减少股本，按注销库存股的账面余额与面值的差额，冲减资本公积，资本公积不足冲减的，冲减</w:t>
      </w:r>
      <w:r>
        <w:rPr>
          <w:spacing w:val="-67"/>
        </w:rPr>
        <w:t> </w:t>
      </w:r>
      <w:r>
        <w:rPr>
          <w:spacing w:val="-67"/>
        </w:rPr>
      </w:r>
      <w:r>
        <w:rPr/>
        <w:t>盈余公积和未分配利润。</w:t>
      </w:r>
    </w:p>
    <w:p>
      <w:pPr>
        <w:spacing w:line="240" w:lineRule="auto" w:before="13"/>
        <w:rPr>
          <w:rFonts w:ascii="宋体" w:hAnsi="宋体" w:cs="宋体" w:eastAsia="宋体" w:hint="default"/>
          <w:sz w:val="19"/>
          <w:szCs w:val="19"/>
        </w:rPr>
      </w:pPr>
    </w:p>
    <w:p>
      <w:pPr>
        <w:pStyle w:val="Heading5"/>
        <w:spacing w:line="240" w:lineRule="auto"/>
        <w:ind w:right="0"/>
        <w:jc w:val="both"/>
        <w:rPr>
          <w:b w:val="0"/>
          <w:bCs w:val="0"/>
        </w:rPr>
      </w:pPr>
      <w:r>
        <w:rPr>
          <w:rFonts w:ascii="Times New Roman" w:hAnsi="Times New Roman" w:cs="Times New Roman" w:eastAsia="Times New Roman" w:hint="default"/>
        </w:rPr>
        <w:t>25</w:t>
      </w:r>
      <w:r>
        <w:rPr/>
        <w:t>、收入</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6"/>
        <w:ind w:right="1130" w:firstLine="360"/>
        <w:jc w:val="both"/>
      </w:pPr>
      <w:r>
        <w:rPr>
          <w:spacing w:val="-2"/>
        </w:rPr>
        <w:t>在已将商品所有权上的主要风险和报酬转移给买方，既没有保留通常与所有权相联系的继续管理权，也没有对已售商品</w:t>
      </w:r>
      <w:r>
        <w:rPr/>
        <w:t> </w:t>
      </w:r>
      <w:r>
        <w:rPr>
          <w:spacing w:val="-2"/>
        </w:rPr>
        <w:t>实施有效控制，收入的金额能够可靠地计量，相关的经济利益很可能流入企业，相关的已发生或将发生的成本能够可靠地计</w:t>
      </w:r>
      <w:r>
        <w:rPr>
          <w:spacing w:val="-63"/>
        </w:rPr>
        <w:t> </w:t>
      </w:r>
      <w:r>
        <w:rPr>
          <w:spacing w:val="-63"/>
        </w:rPr>
      </w:r>
      <w:r>
        <w:rPr/>
        <w:t>量时，确认商品销售收入的实现。</w:t>
      </w:r>
    </w:p>
    <w:p>
      <w:pPr>
        <w:spacing w:line="240" w:lineRule="auto" w:before="13"/>
        <w:rPr>
          <w:rFonts w:ascii="宋体" w:hAnsi="宋体" w:cs="宋体" w:eastAsia="宋体" w:hint="default"/>
          <w:sz w:val="19"/>
          <w:szCs w:val="19"/>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8"/>
        <w:ind w:left="513" w:right="0"/>
        <w:jc w:val="left"/>
      </w:pPr>
      <w:r>
        <w:rPr/>
        <w:t>截止报告报出日，本公司不涉及让渡资产使用权收入。</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Heading5"/>
        <w:spacing w:line="240" w:lineRule="auto"/>
        <w:ind w:right="0"/>
        <w:jc w:val="both"/>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9"/>
        <w:ind w:right="1132" w:firstLine="360"/>
        <w:jc w:val="both"/>
      </w:pPr>
      <w:r>
        <w:rPr>
          <w:spacing w:val="-2"/>
        </w:rPr>
        <w:t>在提供劳务交易的结果能够可靠估计的情况下，于资产负债表日按照完工百分比法确认提供的劳务收入。劳务交易的完</w:t>
      </w:r>
      <w:r>
        <w:rPr/>
        <w:t> 工进度按已完工作的测量确定。</w:t>
      </w:r>
    </w:p>
    <w:p>
      <w:pPr>
        <w:pStyle w:val="BodyText"/>
        <w:spacing w:line="240" w:lineRule="auto" w:before="95"/>
        <w:ind w:left="513" w:right="0"/>
        <w:jc w:val="left"/>
      </w:pPr>
      <w:r>
        <w:rPr/>
        <w:t>提供劳务交易的结果能够可靠估计是指同时满足：①收入的金额能够可靠地计量；②相关的经济利益很可能流入企业；</w:t>
      </w:r>
    </w:p>
    <w:p>
      <w:pPr>
        <w:spacing w:line="240" w:lineRule="auto" w:before="10"/>
        <w:rPr>
          <w:rFonts w:ascii="宋体" w:hAnsi="宋体" w:cs="宋体" w:eastAsia="宋体" w:hint="default"/>
          <w:sz w:val="17"/>
          <w:szCs w:val="17"/>
        </w:rPr>
      </w:pPr>
    </w:p>
    <w:p>
      <w:pPr>
        <w:pStyle w:val="BodyText"/>
        <w:spacing w:line="518" w:lineRule="auto"/>
        <w:ind w:left="513" w:right="0" w:hanging="361"/>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240" w:lineRule="auto" w:before="23"/>
        <w:ind w:right="0"/>
        <w:jc w:val="both"/>
      </w:pPr>
      <w:r>
        <w:rPr/>
        <w:t>将已发生的劳务成本作为当期费用。已经发生的劳务成本如预计不能得到补偿的，则不确认收入。</w:t>
      </w:r>
    </w:p>
    <w:p>
      <w:pPr>
        <w:spacing w:after="0" w:line="240" w:lineRule="auto"/>
        <w:jc w:val="both"/>
        <w:sectPr>
          <w:pgSz w:w="11910" w:h="16840"/>
          <w:pgMar w:header="877" w:footer="1272" w:top="1060" w:bottom="14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29" w:firstLine="360"/>
        <w:jc w:val="both"/>
      </w:pPr>
      <w:r>
        <w:rPr>
          <w:spacing w:val="-2"/>
        </w:rPr>
        <w:t>本集团与其他企业签订的合同或协议包括销售商品和提供劳务时，如销售商品部分和提供劳务部分能够区分并单独计量</w:t>
      </w:r>
      <w:r>
        <w:rPr/>
        <w:t> </w:t>
      </w:r>
      <w:r>
        <w:rPr>
          <w:spacing w:val="-2"/>
        </w:rPr>
        <w:t>的，将销售商品部分和提供劳务部分分别处理；如销售商品部分和提供劳务部分不能够区分，或虽能区分但不能够单独计量</w:t>
      </w:r>
      <w:r>
        <w:rPr>
          <w:spacing w:val="-62"/>
        </w:rPr>
        <w:t> </w:t>
      </w:r>
      <w:r>
        <w:rPr>
          <w:spacing w:val="-62"/>
        </w:rPr>
      </w:r>
      <w:r>
        <w:rPr/>
        <w:t>的，将该合同全部作为销售商品处理。</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8"/>
        <w:ind w:right="1132" w:firstLine="360"/>
        <w:jc w:val="both"/>
      </w:pPr>
      <w:r>
        <w:rPr>
          <w:spacing w:val="-2"/>
        </w:rPr>
        <w:t>政府补助是指本集团从政府无偿取得货币性资产和非货币性资产，不包括政府作为所有者投入的资本。政府补助分为与</w:t>
      </w:r>
      <w:r>
        <w:rPr/>
        <w:t> 资产相关的政府补助和与收益相关的政府补助。</w:t>
      </w:r>
    </w:p>
    <w:p>
      <w:pPr>
        <w:spacing w:line="240" w:lineRule="auto" w:before="10"/>
        <w:rPr>
          <w:rFonts w:ascii="宋体" w:hAnsi="宋体" w:cs="宋体" w:eastAsia="宋体" w:hint="default"/>
          <w:sz w:val="19"/>
          <w:szCs w:val="19"/>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8"/>
        <w:ind w:right="1133" w:firstLine="360"/>
        <w:jc w:val="both"/>
      </w:pPr>
      <w:r>
        <w:rPr>
          <w:spacing w:val="-2"/>
        </w:rPr>
        <w:t>政府补助为货币性资产的，按照收到或应收的金额计量。政府补助为非货币性资产的，按照公允价值计量；公允价值不</w:t>
      </w:r>
      <w:r>
        <w:rPr/>
        <w:t> 能够可靠取得的，按照名义金额计量。按照名义金额计量的政府补助，直接计入当期损益。</w:t>
      </w:r>
    </w:p>
    <w:p>
      <w:pPr>
        <w:pStyle w:val="BodyText"/>
        <w:spacing w:line="477" w:lineRule="auto" w:before="95"/>
        <w:ind w:right="1130" w:firstLine="360"/>
        <w:jc w:val="both"/>
      </w:pPr>
      <w:r>
        <w:rPr>
          <w:spacing w:val="-5"/>
        </w:rPr>
        <w:t>与资产相关的政府补助，确认为递延收益，并在相关资产的使用寿命内平均分配计入当期损益。与收益相关的政府补助，</w:t>
      </w:r>
      <w:r>
        <w:rPr/>
        <w:t> </w:t>
      </w:r>
      <w:r>
        <w:rPr>
          <w:spacing w:val="-2"/>
        </w:rPr>
        <w:t>用于补偿以后期间的相关费用和损失的，确认为递延收益，并在确认相关费用的期间计入当期损益；用于补偿已经发生的相</w:t>
      </w:r>
      <w:r>
        <w:rPr>
          <w:spacing w:val="-65"/>
        </w:rPr>
        <w:t> </w:t>
      </w:r>
      <w:r>
        <w:rPr>
          <w:spacing w:val="-65"/>
        </w:rPr>
      </w:r>
      <w:r>
        <w:rPr/>
        <w:t>关费用和损失的，直接计入当期损益。</w:t>
      </w:r>
    </w:p>
    <w:p>
      <w:pPr>
        <w:pStyle w:val="BodyText"/>
        <w:spacing w:line="477" w:lineRule="auto" w:before="92"/>
        <w:ind w:right="1131" w:firstLine="360"/>
        <w:jc w:val="both"/>
      </w:pPr>
      <w:r>
        <w:rPr>
          <w:spacing w:val="-2"/>
        </w:rPr>
        <w:t>已确认的政府补助需要返还时，存在相关递延收益余额的，冲减相关递延收益账面余额，超出部分计入当期损益；不存</w:t>
      </w:r>
      <w:r>
        <w:rPr/>
        <w:t> 在相关递延收益的，直接计入当期损益。</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8"/>
        <w:ind w:right="1130" w:firstLine="360"/>
        <w:jc w:val="both"/>
      </w:pPr>
      <w:r>
        <w:rPr>
          <w:spacing w:val="-2"/>
        </w:rPr>
        <w:t>某些资产、负债项目的账面价值与其计税基础之间的差额，以及未作为资产和负债确认但按照税法规定可以确定其计税</w:t>
      </w:r>
      <w:r>
        <w:rPr/>
        <w:t> </w:t>
      </w:r>
      <w:r>
        <w:rPr>
          <w:spacing w:val="-2"/>
        </w:rPr>
        <w:t>基础的项目的账面价值与计税基础之间的差额产生的暂时性差异，采用资产负债表债务法确认递延所得税资产及递延所得税</w:t>
      </w:r>
      <w:r>
        <w:rPr>
          <w:spacing w:val="-64"/>
        </w:rPr>
        <w:t> </w:t>
      </w:r>
      <w:r>
        <w:rPr>
          <w:spacing w:val="-64"/>
        </w:rPr>
      </w:r>
      <w:r>
        <w:rPr>
          <w:spacing w:val="-2"/>
        </w:rPr>
        <w:t>负债。与既不是企业合并、发生时也不影响会计利润和应纳税所得额（或可抵扣亏损）的交易中产生的资产或负债的初始确</w:t>
      </w:r>
      <w:r>
        <w:rPr>
          <w:spacing w:val="-66"/>
        </w:rPr>
        <w:t> </w:t>
      </w:r>
      <w:r>
        <w:rPr>
          <w:spacing w:val="-66"/>
        </w:rPr>
      </w:r>
      <w:r>
        <w:rPr>
          <w:spacing w:val="-2"/>
        </w:rPr>
        <w:t>认有关的可抵扣暂时性差异，不予确认有关的递延所得税资产。此外，对与子公司、联营企业及合营企业投资相关的可抵扣</w:t>
      </w:r>
      <w:r>
        <w:rPr>
          <w:spacing w:val="-65"/>
        </w:rPr>
        <w:t> </w:t>
      </w:r>
      <w:r>
        <w:rPr>
          <w:spacing w:val="-65"/>
        </w:rPr>
      </w:r>
      <w:r>
        <w:rPr>
          <w:spacing w:val="-2"/>
        </w:rPr>
        <w:t>暂时性差异，如果暂时性差异在可预见的未来不是很可能转回，或者未来不是很可能获得用来抵扣可抵扣暂时性差异的应纳</w:t>
      </w:r>
      <w:r>
        <w:rPr>
          <w:spacing w:val="-64"/>
        </w:rPr>
        <w:t> </w:t>
      </w:r>
      <w:r>
        <w:rPr>
          <w:spacing w:val="-64"/>
        </w:rPr>
      </w:r>
      <w:r>
        <w:rPr>
          <w:spacing w:val="-2"/>
        </w:rPr>
        <w:t>税所得额，不予确认有关的递延所得税资产。除上述例外情况，本集团以很可能取得用来抵扣可抵扣暂时性差异的应纳税所</w:t>
      </w:r>
      <w:r>
        <w:rPr>
          <w:spacing w:val="-63"/>
        </w:rPr>
        <w:t> </w:t>
      </w:r>
      <w:r>
        <w:rPr>
          <w:spacing w:val="-63"/>
        </w:rPr>
      </w:r>
      <w:r>
        <w:rPr>
          <w:spacing w:val="-2"/>
        </w:rPr>
        <w:t>得额为限，确认其他可抵扣暂时性差异产生的递延所得税资产。对于能够结转以后年度的可抵扣亏损和税款抵减，以很可能</w:t>
      </w:r>
    </w:p>
    <w:p>
      <w:pPr>
        <w:pStyle w:val="BodyText"/>
        <w:spacing w:line="240" w:lineRule="auto" w:before="54"/>
        <w:ind w:right="0"/>
        <w:jc w:val="left"/>
      </w:pPr>
      <w:r>
        <w:rPr/>
        <w:t>获得用来抵扣可抵扣亏损和税款抵减的未来应纳税所得额为限，确认相应的递延所得税资产。</w:t>
      </w:r>
    </w:p>
    <w:p>
      <w:pPr>
        <w:spacing w:after="0" w:line="240" w:lineRule="auto"/>
        <w:jc w:val="left"/>
        <w:sectPr>
          <w:pgSz w:w="11910" w:h="16840"/>
          <w:pgMar w:header="877" w:footer="1272" w:top="1060" w:bottom="1460" w:left="980" w:right="0"/>
        </w:sectPr>
      </w:pPr>
    </w:p>
    <w:p>
      <w:pPr>
        <w:spacing w:line="240" w:lineRule="auto" w:before="3"/>
        <w:rPr>
          <w:rFonts w:ascii="宋体" w:hAnsi="宋体" w:cs="宋体" w:eastAsia="宋体" w:hint="default"/>
          <w:sz w:val="25"/>
          <w:szCs w:val="25"/>
        </w:rPr>
      </w:pPr>
    </w:p>
    <w:p>
      <w:pPr>
        <w:pStyle w:val="Heading5"/>
        <w:spacing w:line="240" w:lineRule="auto" w:before="37"/>
        <w:ind w:right="0"/>
        <w:jc w:val="both"/>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9"/>
        <w:ind w:right="1130"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合营企业投资相关的应纳税暂时性差异，如果本集团能够控制暂时性差异转回的时间，而且该暂时性差异在可预见的未来很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可能不会转回，也不予确认有关的递延所得税负债。除上述例外情况，本集团确认其他所有应纳税暂时性差异产生的递延所</w:t>
      </w:r>
      <w:r>
        <w:rPr>
          <w:spacing w:val="-63"/>
        </w:rPr>
        <w:t> </w:t>
      </w:r>
      <w:r>
        <w:rPr>
          <w:spacing w:val="-63"/>
        </w:rPr>
      </w:r>
      <w:r>
        <w:rPr/>
        <w:t>得税负债。</w:t>
      </w:r>
    </w:p>
    <w:p>
      <w:pPr>
        <w:spacing w:line="240" w:lineRule="auto" w:before="10"/>
        <w:rPr>
          <w:rFonts w:ascii="宋体" w:hAnsi="宋体" w:cs="宋体" w:eastAsia="宋体" w:hint="default"/>
          <w:sz w:val="19"/>
          <w:szCs w:val="19"/>
        </w:rPr>
      </w:pPr>
    </w:p>
    <w:p>
      <w:pPr>
        <w:pStyle w:val="Heading5"/>
        <w:spacing w:line="240" w:lineRule="auto"/>
        <w:ind w:right="0"/>
        <w:jc w:val="both"/>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1"/>
        <w:rPr>
          <w:rFonts w:ascii="宋体" w:hAnsi="宋体" w:cs="宋体" w:eastAsia="宋体" w:hint="default"/>
          <w:b/>
          <w:bCs/>
          <w:sz w:val="25"/>
          <w:szCs w:val="25"/>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0"/>
        <w:rPr>
          <w:rFonts w:ascii="宋体" w:hAnsi="宋体" w:cs="宋体" w:eastAsia="宋体" w:hint="default"/>
          <w:b/>
          <w:bCs/>
          <w:sz w:val="20"/>
          <w:szCs w:val="20"/>
        </w:rPr>
      </w:pPr>
    </w:p>
    <w:p>
      <w:pPr>
        <w:pStyle w:val="BodyText"/>
        <w:spacing w:line="487" w:lineRule="auto" w:before="168"/>
        <w:ind w:left="513" w:right="0"/>
        <w:jc w:val="left"/>
      </w:pPr>
      <w:r>
        <w:rPr/>
        <w:t>（</w:t>
      </w:r>
      <w:r>
        <w:rPr>
          <w:rFonts w:ascii="Times New Roman" w:hAnsi="Times New Roman" w:cs="Times New Roman" w:eastAsia="Times New Roman" w:hint="default"/>
        </w:rPr>
        <w:t>1</w:t>
      </w:r>
      <w:r>
        <w:rPr/>
        <w:t>）本集团作为承租人记录经营租赁业务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47"/>
        <w:ind w:right="0"/>
        <w:jc w:val="both"/>
      </w:pPr>
      <w:r>
        <w:rPr/>
        <w:t>租金于实际发生时计入当期损益。</w:t>
      </w:r>
    </w:p>
    <w:p>
      <w:pPr>
        <w:spacing w:line="240" w:lineRule="auto" w:before="12"/>
        <w:rPr>
          <w:rFonts w:ascii="宋体" w:hAnsi="宋体" w:cs="宋体" w:eastAsia="宋体" w:hint="default"/>
          <w:sz w:val="20"/>
          <w:szCs w:val="20"/>
        </w:rPr>
      </w:pPr>
    </w:p>
    <w:p>
      <w:pPr>
        <w:pStyle w:val="BodyText"/>
        <w:spacing w:line="489" w:lineRule="auto"/>
        <w:ind w:left="513" w:right="0"/>
        <w:jc w:val="left"/>
      </w:pPr>
      <w:r>
        <w:rPr/>
        <w:t>（</w:t>
      </w:r>
      <w:r>
        <w:rPr>
          <w:rFonts w:ascii="Times New Roman" w:hAnsi="Times New Roman" w:cs="Times New Roman" w:eastAsia="Times New Roman" w:hint="default"/>
        </w:rPr>
        <w:t>2</w:t>
      </w:r>
      <w:r>
        <w:rPr/>
        <w:t>）本集团作为出租人记录经营租赁业务 </w:t>
      </w:r>
      <w:r>
        <w:rPr>
          <w:spacing w:val="-2"/>
        </w:rPr>
        <w:t>经营租赁的租金收入在租赁期内的各个期间按直线法确认为当期损益。对金额较大的初始直接费用于发生时予以资本化，</w:t>
      </w:r>
    </w:p>
    <w:p>
      <w:pPr>
        <w:pStyle w:val="BodyText"/>
        <w:spacing w:line="477" w:lineRule="auto" w:before="45"/>
        <w:ind w:right="0"/>
        <w:jc w:val="left"/>
      </w:pPr>
      <w:r>
        <w:rPr>
          <w:spacing w:val="-2"/>
        </w:rPr>
        <w:t>在整个租赁期间内按照与确认租金收入相同的基础分期计入当期损益；其他金额较小的初始直接费用于发生时计入当期损益。</w:t>
      </w:r>
      <w:r>
        <w:rPr>
          <w:spacing w:val="-62"/>
        </w:rPr>
        <w:t> </w:t>
      </w:r>
      <w:r>
        <w:rPr>
          <w:spacing w:val="-62"/>
        </w:rPr>
      </w:r>
      <w:r>
        <w:rPr/>
        <w:t>或有租金于实际发生时计入当期损益。</w:t>
      </w:r>
    </w:p>
    <w:p>
      <w:pPr>
        <w:spacing w:line="240" w:lineRule="auto" w:before="10"/>
        <w:rPr>
          <w:rFonts w:ascii="宋体" w:hAnsi="宋体" w:cs="宋体" w:eastAsia="宋体" w:hint="default"/>
          <w:sz w:val="19"/>
          <w:szCs w:val="19"/>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0"/>
        <w:rPr>
          <w:rFonts w:ascii="宋体" w:hAnsi="宋体" w:cs="宋体" w:eastAsia="宋体" w:hint="default"/>
          <w:b/>
          <w:bCs/>
          <w:sz w:val="20"/>
          <w:szCs w:val="20"/>
        </w:rPr>
      </w:pPr>
    </w:p>
    <w:p>
      <w:pPr>
        <w:pStyle w:val="BodyText"/>
        <w:spacing w:line="489" w:lineRule="auto" w:before="168"/>
        <w:ind w:left="513" w:right="0"/>
        <w:jc w:val="left"/>
      </w:pPr>
      <w:r>
        <w:rPr/>
        <w:t>（</w:t>
      </w:r>
      <w:r>
        <w:rPr>
          <w:rFonts w:ascii="Times New Roman" w:hAnsi="Times New Roman" w:cs="Times New Roman" w:eastAsia="Times New Roman" w:hint="default"/>
        </w:rPr>
        <w:t>1</w:t>
      </w:r>
      <w:r>
        <w:rPr/>
        <w:t>）本集团作为承租人记录融资租赁业务 </w:t>
      </w:r>
      <w:r>
        <w:rPr>
          <w:spacing w:val="-2"/>
        </w:rPr>
        <w:t>于租赁期开始日，将租赁开始日租赁资产的公允价值与最低租赁付款额现值两者中较低者作为租入资产的入账价值，将</w:t>
      </w:r>
    </w:p>
    <w:p>
      <w:pPr>
        <w:pStyle w:val="BodyText"/>
        <w:spacing w:line="477" w:lineRule="auto" w:before="45"/>
        <w:ind w:right="1133"/>
        <w:jc w:val="both"/>
      </w:pPr>
      <w:r>
        <w:rPr>
          <w:spacing w:val="-5"/>
        </w:rPr>
        <w:t>最低租赁付款额作为长期应付款的入账价值，其差额作为未确认融资费用。此外，在租赁谈判和签订租赁合同过程中发生的，</w:t>
      </w:r>
      <w:r>
        <w:rPr>
          <w:spacing w:val="-79"/>
        </w:rPr>
        <w:t> </w:t>
      </w:r>
      <w:r>
        <w:rPr>
          <w:spacing w:val="-79"/>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240" w:lineRule="auto" w:before="93"/>
        <w:ind w:left="513" w:right="0"/>
        <w:jc w:val="left"/>
      </w:pPr>
      <w:r>
        <w:rPr/>
        <w:t>未确认融资费用在租赁期内采用实际利率法计算确认当期的融资费用。或有租金于实际发生时计入当期损益。</w:t>
      </w:r>
    </w:p>
    <w:p>
      <w:pPr>
        <w:spacing w:line="240" w:lineRule="auto" w:before="12"/>
        <w:rPr>
          <w:rFonts w:ascii="宋体" w:hAnsi="宋体" w:cs="宋体" w:eastAsia="宋体" w:hint="default"/>
          <w:sz w:val="20"/>
          <w:szCs w:val="20"/>
        </w:rPr>
      </w:pPr>
    </w:p>
    <w:p>
      <w:pPr>
        <w:pStyle w:val="BodyText"/>
        <w:spacing w:line="489" w:lineRule="auto"/>
        <w:ind w:left="513" w:right="0"/>
        <w:jc w:val="left"/>
      </w:pPr>
      <w:r>
        <w:rPr/>
        <w:t>（</w:t>
      </w:r>
      <w:r>
        <w:rPr>
          <w:rFonts w:ascii="Times New Roman" w:hAnsi="Times New Roman" w:cs="Times New Roman" w:eastAsia="Times New Roman" w:hint="default"/>
        </w:rPr>
        <w:t>2</w:t>
      </w:r>
      <w:r>
        <w:rPr/>
        <w:t>）本集团作为出租人记录融资租赁业务 </w:t>
      </w:r>
      <w:r>
        <w:rPr>
          <w:spacing w:val="-2"/>
        </w:rPr>
        <w:t>于租赁期开始日，将租赁开始日最低租赁收款额与初始直接费用之和作为应收融资租赁款的入账价值，同时记录未担保</w:t>
      </w:r>
    </w:p>
    <w:p>
      <w:pPr>
        <w:pStyle w:val="BodyText"/>
        <w:spacing w:line="477" w:lineRule="auto" w:before="45"/>
        <w:ind w:right="0"/>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w:t>
      </w:r>
    </w:p>
    <w:p>
      <w:pPr>
        <w:spacing w:after="0" w:line="477" w:lineRule="auto"/>
        <w:jc w:val="left"/>
        <w:sectPr>
          <w:pgSz w:w="11910" w:h="16840"/>
          <w:pgMar w:header="877" w:footer="1272" w:top="1060" w:bottom="1460" w:left="980" w:right="0"/>
        </w:sectPr>
      </w:pPr>
    </w:p>
    <w:p>
      <w:pPr>
        <w:spacing w:line="240" w:lineRule="auto" w:before="6"/>
        <w:rPr>
          <w:rFonts w:ascii="宋体" w:hAnsi="宋体" w:cs="宋体" w:eastAsia="宋体" w:hint="default"/>
          <w:sz w:val="29"/>
          <w:szCs w:val="29"/>
        </w:rPr>
      </w:pPr>
    </w:p>
    <w:p>
      <w:pPr>
        <w:pStyle w:val="BodyText"/>
        <w:spacing w:line="240" w:lineRule="auto" w:before="26"/>
        <w:ind w:left="513" w:right="0"/>
        <w:jc w:val="left"/>
        <w:rPr>
          <w:sz w:val="24"/>
          <w:szCs w:val="24"/>
        </w:rPr>
      </w:pPr>
      <w:r>
        <w:rPr/>
        <w:t>未实现融资收益在租赁期内采用实际利率法计算确认当期的融资收入。或有租金于实际发生时计入当期损益</w:t>
      </w:r>
      <w:r>
        <w:rPr>
          <w:sz w:val="24"/>
          <w:szCs w:val="24"/>
        </w:rPr>
        <w:t>。</w:t>
      </w:r>
    </w:p>
    <w:p>
      <w:pPr>
        <w:spacing w:line="240" w:lineRule="auto" w:before="4"/>
        <w:rPr>
          <w:rFonts w:ascii="宋体" w:hAnsi="宋体" w:cs="宋体" w:eastAsia="宋体" w:hint="default"/>
          <w:sz w:val="31"/>
          <w:szCs w:val="31"/>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8"/>
        <w:ind w:left="513" w:right="0"/>
        <w:jc w:val="left"/>
      </w:pPr>
      <w:r>
        <w:rPr/>
        <w:t>截止报告报出日，本公司不涉及售后租回的事项。</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0"/>
        <w:rPr>
          <w:rFonts w:ascii="宋体" w:hAnsi="宋体" w:cs="宋体" w:eastAsia="宋体" w:hint="default"/>
          <w:b/>
          <w:bCs/>
          <w:sz w:val="20"/>
          <w:szCs w:val="20"/>
        </w:rPr>
      </w:pPr>
    </w:p>
    <w:p>
      <w:pPr>
        <w:pStyle w:val="BodyText"/>
        <w:spacing w:line="470" w:lineRule="auto" w:before="168"/>
        <w:ind w:right="1130" w:firstLine="360"/>
        <w:jc w:val="both"/>
      </w:pPr>
      <w:r>
        <w:rPr>
          <w:spacing w:val="-2"/>
        </w:rPr>
        <w:t>若本集团已就处置某项非流动资产作出决议，已经与受让方签订了不可撤销的转让协议，且该项转让很可能在一年内完</w:t>
      </w:r>
      <w:r>
        <w:rPr/>
        <w:t> </w:t>
      </w:r>
      <w:r>
        <w:rPr>
          <w:spacing w:val="-2"/>
        </w:rPr>
        <w:t>成，则该非流动资产作为持有待售非流动资产核算，不计提折旧或进行摊销，按照账面价值与公允价值减去处置费用后的净</w:t>
      </w:r>
      <w:r>
        <w:rPr>
          <w:spacing w:val="-63"/>
        </w:rPr>
        <w:t> </w:t>
      </w:r>
      <w:r>
        <w:rPr>
          <w:spacing w:val="-63"/>
        </w:rPr>
      </w:r>
      <w:r>
        <w:rPr>
          <w:spacing w:val="-5"/>
        </w:rPr>
        <w:t>额孰低计量。持有待售的非流动资产包括单项资产和处置组。如果处置组是一组资产组，并且按照《企业会计准则第</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spacing w:val="-2"/>
        </w:rPr>
        <w:t>资产减值》的规定将企业合并中取得的商誉分摊至该资产组，或者该处置组是这种资产组中一项经营，则该处置组包括企业</w:t>
      </w:r>
      <w:r>
        <w:rPr>
          <w:spacing w:val="-63"/>
        </w:rPr>
        <w:t> </w:t>
      </w:r>
      <w:r>
        <w:rPr>
          <w:spacing w:val="-63"/>
        </w:rPr>
      </w:r>
      <w:r>
        <w:rPr/>
        <w:t>合并中的商誉。</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0"/>
        <w:rPr>
          <w:rFonts w:ascii="宋体" w:hAnsi="宋体" w:cs="宋体" w:eastAsia="宋体" w:hint="default"/>
          <w:b/>
          <w:bCs/>
          <w:sz w:val="20"/>
          <w:szCs w:val="20"/>
        </w:rPr>
      </w:pPr>
    </w:p>
    <w:p>
      <w:pPr>
        <w:pStyle w:val="BodyText"/>
        <w:spacing w:line="463" w:lineRule="auto" w:before="168"/>
        <w:ind w:right="1132" w:firstLine="360"/>
        <w:jc w:val="both"/>
      </w:pPr>
      <w:r>
        <w:rPr>
          <w:spacing w:val="-2"/>
        </w:rPr>
        <w:t>某项资产或处置组被划归为持有待售，但后来不再满足持有待售的非流动资产的确认条件，本集团停止将其划归为持有</w:t>
      </w:r>
      <w:r>
        <w:rPr/>
        <w:t> 待售，并按照下列两项金额中较低者进行计量：（</w:t>
      </w:r>
      <w:r>
        <w:rPr>
          <w:rFonts w:ascii="Times New Roman" w:hAnsi="Times New Roman" w:cs="Times New Roman" w:eastAsia="Times New Roman" w:hint="default"/>
        </w:rPr>
        <w:t>1</w:t>
      </w:r>
      <w:r>
        <w:rPr/>
        <w:t>）该资产或处置组被划归为持有待售之前的账面价值，按照其假定在没 有被划归为持有待售的情况下原应确认的折旧、摊销或减值进行调整后的金额；（</w:t>
      </w:r>
      <w:r>
        <w:rPr>
          <w:rFonts w:ascii="Times New Roman" w:hAnsi="Times New Roman" w:cs="Times New Roman" w:eastAsia="Times New Roman" w:hint="default"/>
        </w:rPr>
        <w:t>2</w:t>
      </w:r>
      <w:r>
        <w:rPr/>
        <w:t>）决定不再出售之日的可收回金额。</w:t>
      </w:r>
    </w:p>
    <w:p>
      <w:pPr>
        <w:spacing w:line="240" w:lineRule="auto" w:before="5"/>
        <w:rPr>
          <w:rFonts w:ascii="宋体" w:hAnsi="宋体" w:cs="宋体" w:eastAsia="宋体" w:hint="default"/>
          <w:sz w:val="18"/>
          <w:szCs w:val="18"/>
        </w:rPr>
      </w:pPr>
    </w:p>
    <w:p>
      <w:pPr>
        <w:pStyle w:val="Heading5"/>
        <w:spacing w:line="240" w:lineRule="auto"/>
        <w:ind w:right="0"/>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8"/>
        <w:ind w:left="513" w:right="0"/>
        <w:jc w:val="left"/>
      </w:pPr>
      <w:r>
        <w:rPr/>
        <w:t>截止报告报出日，本公司不涉及资产证券化业务。</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8"/>
        <w:ind w:left="513" w:right="0"/>
        <w:jc w:val="left"/>
      </w:pPr>
      <w:r>
        <w:rPr/>
        <w:t>截止报告报出日，本公司不存在套期业务。</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本报告期主要会计政策、会计估计是否变更</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本报告期主要会计政策是否变更</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77" w:footer="1272" w:top="1060" w:bottom="1460" w:left="980" w:right="0"/>
        </w:sectPr>
      </w:pPr>
    </w:p>
    <w:p>
      <w:pPr>
        <w:spacing w:line="240" w:lineRule="auto" w:before="3"/>
        <w:rPr>
          <w:rFonts w:ascii="宋体" w:hAnsi="宋体" w:cs="宋体" w:eastAsia="宋体" w:hint="default"/>
          <w:sz w:val="25"/>
          <w:szCs w:val="25"/>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本报告期主要会计估计是否变更</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本报告期是否发现前期会计差错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本报告期是否发现采用追溯重述法的前期会计差错</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本报告期是否发现采用未来适用法的前期会计差错</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2"/>
        <w:rPr>
          <w:rFonts w:ascii="宋体" w:hAnsi="宋体" w:cs="宋体" w:eastAsia="宋体" w:hint="default"/>
          <w:b/>
          <w:bCs/>
          <w:sz w:val="23"/>
          <w:szCs w:val="23"/>
        </w:rPr>
      </w:pPr>
    </w:p>
    <w:p>
      <w:pPr>
        <w:spacing w:line="470" w:lineRule="auto" w:before="0"/>
        <w:ind w:left="152" w:right="2594" w:firstLine="480"/>
        <w:jc w:val="left"/>
        <w:rPr>
          <w:rFonts w:ascii="宋体" w:hAnsi="宋体" w:cs="宋体" w:eastAsia="宋体" w:hint="default"/>
          <w:sz w:val="24"/>
          <w:szCs w:val="24"/>
        </w:rPr>
      </w:pPr>
      <w:r>
        <w:rPr>
          <w:rFonts w:ascii="宋体" w:hAnsi="宋体" w:cs="宋体" w:eastAsia="宋体" w:hint="default"/>
          <w:sz w:val="24"/>
          <w:szCs w:val="24"/>
        </w:rPr>
        <w:t>本公司无需要披露的其他主要会计政策、会计估计和财务报表编制方法。 </w:t>
      </w:r>
      <w:r>
        <w:rPr>
          <w:rFonts w:ascii="宋体" w:hAnsi="宋体" w:cs="宋体" w:eastAsia="宋体" w:hint="default"/>
          <w:b/>
          <w:bCs/>
          <w:sz w:val="24"/>
          <w:szCs w:val="24"/>
        </w:rPr>
        <w:t>五、税项</w:t>
      </w:r>
      <w:r>
        <w:rPr>
          <w:rFonts w:ascii="宋体" w:hAnsi="宋体" w:cs="宋体" w:eastAsia="宋体" w:hint="default"/>
          <w:sz w:val="24"/>
          <w:szCs w:val="24"/>
        </w:rPr>
      </w:r>
    </w:p>
    <w:p>
      <w:pPr>
        <w:pStyle w:val="Heading5"/>
        <w:spacing w:line="240" w:lineRule="auto" w:before="102"/>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1"/>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493"/>
        <w:gridCol w:w="3036"/>
        <w:gridCol w:w="3027"/>
      </w:tblGrid>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销售货物或者提供应税劳务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应税营业额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40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bl>
    <w:p>
      <w:pPr>
        <w:pStyle w:val="BodyText"/>
        <w:spacing w:line="240" w:lineRule="auto" w:before="49"/>
        <w:ind w:right="0"/>
        <w:jc w:val="left"/>
      </w:pPr>
      <w:r>
        <w:rPr/>
        <w:t>各分公司、分厂执行的所得税税率</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0"/>
        <w:rPr>
          <w:rFonts w:ascii="宋体" w:hAnsi="宋体" w:cs="宋体" w:eastAsia="宋体" w:hint="default"/>
          <w:b/>
          <w:bCs/>
          <w:sz w:val="20"/>
          <w:szCs w:val="20"/>
        </w:rPr>
      </w:pPr>
    </w:p>
    <w:p>
      <w:pPr>
        <w:pStyle w:val="BodyText"/>
        <w:spacing w:line="451" w:lineRule="auto" w:before="168"/>
        <w:ind w:right="1131" w:firstLine="360"/>
        <w:jc w:val="both"/>
      </w:pPr>
      <w:r>
        <w:rPr/>
        <w:t>根据山东省科学技术厅、山东省财政厅、山东省国家税务局以及山东省地方税务局联名签发的鲁科高字（</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t>号 批文，本公司被认定为高新技术企业，取得了编号为</w:t>
      </w:r>
      <w:r>
        <w:rPr>
          <w:spacing w:val="-65"/>
        </w:rPr>
        <w:t> </w:t>
      </w:r>
      <w:r>
        <w:rPr>
          <w:rFonts w:ascii="Times New Roman" w:hAnsi="Times New Roman" w:cs="Times New Roman" w:eastAsia="Times New Roman" w:hint="default"/>
        </w:rPr>
        <w:t>GF201137000428</w:t>
      </w:r>
      <w:r>
        <w:rPr>
          <w:rFonts w:ascii="Times New Roman" w:hAnsi="Times New Roman" w:cs="Times New Roman" w:eastAsia="Times New Roman" w:hint="default"/>
          <w:spacing w:val="-24"/>
        </w:rPr>
        <w:t> </w:t>
      </w:r>
      <w:r>
        <w:rPr/>
        <w:t>的高新技术企业证书，资格有效期三年，企业所得税 优惠期为</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日至</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日，在此期间减按</w:t>
      </w:r>
      <w:r>
        <w:rPr>
          <w:spacing w:val="-46"/>
        </w:rPr>
        <w:t> </w:t>
      </w:r>
      <w:r>
        <w:rPr>
          <w:rFonts w:ascii="Times New Roman" w:hAnsi="Times New Roman" w:cs="Times New Roman" w:eastAsia="Times New Roman" w:hint="default"/>
        </w:rPr>
        <w:t>15%</w:t>
      </w:r>
      <w:r>
        <w:rPr/>
        <w:t>的税率缴纳企业所得税。</w:t>
      </w:r>
    </w:p>
    <w:p>
      <w:pPr>
        <w:spacing w:after="0" w:line="451" w:lineRule="auto"/>
        <w:jc w:val="both"/>
        <w:sectPr>
          <w:pgSz w:w="11910" w:h="16840"/>
          <w:pgMar w:header="877" w:footer="1272" w:top="1060" w:bottom="14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1" w:lineRule="auto"/>
        <w:ind w:right="1165" w:firstLine="360"/>
        <w:jc w:val="left"/>
      </w:pPr>
      <w:r>
        <w:rPr/>
        <w:t>本公司之控股子公司北京东港安全印刷有限公司</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年度被认定为高新技术企业，取得了编号为</w:t>
      </w:r>
      <w:r>
        <w:rPr>
          <w:spacing w:val="-46"/>
        </w:rPr>
        <w:t> </w:t>
      </w:r>
      <w:r>
        <w:rPr>
          <w:rFonts w:ascii="Times New Roman" w:hAnsi="Times New Roman" w:cs="Times New Roman" w:eastAsia="Times New Roman" w:hint="default"/>
        </w:rPr>
        <w:t>GR201011001264</w:t>
      </w:r>
      <w:r>
        <w:rPr>
          <w:rFonts w:ascii="Times New Roman" w:hAnsi="Times New Roman" w:cs="Times New Roman" w:eastAsia="Times New Roman" w:hint="default"/>
          <w:spacing w:val="-9"/>
        </w:rPr>
        <w:t> </w:t>
      </w:r>
      <w:r>
        <w:rPr/>
        <w:t>的 高新技术企业证书，本年度减按</w:t>
      </w:r>
      <w:r>
        <w:rPr>
          <w:spacing w:val="-46"/>
        </w:rPr>
        <w:t> </w:t>
      </w:r>
      <w:r>
        <w:rPr>
          <w:rFonts w:ascii="Times New Roman" w:hAnsi="Times New Roman" w:cs="Times New Roman" w:eastAsia="Times New Roman" w:hint="default"/>
        </w:rPr>
        <w:t>15%</w:t>
      </w:r>
      <w:r>
        <w:rPr/>
        <w:t>的税率缴纳企业所得税。</w:t>
      </w:r>
    </w:p>
    <w:p>
      <w:pPr>
        <w:pStyle w:val="BodyText"/>
        <w:spacing w:line="240" w:lineRule="auto" w:before="84"/>
        <w:ind w:left="513" w:right="0"/>
        <w:jc w:val="left"/>
      </w:pPr>
      <w:r>
        <w:rPr/>
        <w:t>本公司之控股子公司新疆东港安全印刷有限公司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年通过复审被认定为高新技术企业，取得了编号为</w:t>
      </w:r>
    </w:p>
    <w:p>
      <w:pPr>
        <w:spacing w:line="240" w:lineRule="auto" w:before="9"/>
        <w:rPr>
          <w:rFonts w:ascii="宋体" w:hAnsi="宋体" w:cs="宋体" w:eastAsia="宋体" w:hint="default"/>
          <w:sz w:val="16"/>
          <w:szCs w:val="16"/>
        </w:rPr>
      </w:pPr>
    </w:p>
    <w:p>
      <w:pPr>
        <w:pStyle w:val="BodyText"/>
        <w:spacing w:line="487" w:lineRule="auto"/>
        <w:ind w:left="513" w:right="1114" w:hanging="361"/>
        <w:jc w:val="left"/>
      </w:pPr>
      <w:r>
        <w:rPr>
          <w:rFonts w:ascii="Times New Roman" w:hAnsi="Times New Roman" w:cs="Times New Roman" w:eastAsia="Times New Roman" w:hint="default"/>
        </w:rPr>
        <w:t>GF201265000038 </w:t>
      </w:r>
      <w:r>
        <w:rPr/>
        <w:t>的高新技术企业证书，</w:t>
      </w:r>
      <w:r>
        <w:rPr>
          <w:rFonts w:ascii="Times New Roman" w:hAnsi="Times New Roman" w:cs="Times New Roman" w:eastAsia="Times New Roman" w:hint="default"/>
        </w:rPr>
        <w:t>2012 </w:t>
      </w:r>
      <w:r>
        <w:rPr/>
        <w:t>年度减按</w:t>
      </w:r>
      <w:r>
        <w:rPr>
          <w:spacing w:val="-64"/>
        </w:rPr>
        <w:t> </w:t>
      </w:r>
      <w:r>
        <w:rPr>
          <w:rFonts w:ascii="Times New Roman" w:hAnsi="Times New Roman" w:cs="Times New Roman" w:eastAsia="Times New Roman" w:hint="default"/>
        </w:rPr>
        <w:t>15%</w:t>
      </w:r>
      <w:r>
        <w:rPr/>
        <w:t>的税率缴纳企业所得税。 </w:t>
      </w:r>
      <w:r>
        <w:rPr>
          <w:spacing w:val="-2"/>
        </w:rPr>
        <w:t>本公司之控股子公司上海东港安全印刷有限公司根据上海市高新技术企业认定办公室签发的沪高企认办（</w:t>
      </w:r>
      <w:r>
        <w:rPr>
          <w:rFonts w:ascii="Times New Roman" w:hAnsi="Times New Roman" w:cs="Times New Roman" w:eastAsia="Times New Roman" w:hint="default"/>
          <w:spacing w:val="-2"/>
        </w:rPr>
        <w:t>2011)014</w:t>
      </w:r>
      <w:r>
        <w:rPr>
          <w:rFonts w:ascii="Times New Roman" w:hAnsi="Times New Roman" w:cs="Times New Roman" w:eastAsia="Times New Roman" w:hint="default"/>
          <w:spacing w:val="12"/>
        </w:rPr>
        <w:t> </w:t>
      </w:r>
      <w:r>
        <w:rPr/>
        <w:t>号批</w:t>
      </w:r>
    </w:p>
    <w:p>
      <w:pPr>
        <w:pStyle w:val="BodyText"/>
        <w:spacing w:line="451" w:lineRule="auto" w:before="13"/>
        <w:ind w:right="1125"/>
        <w:jc w:val="left"/>
      </w:pPr>
      <w:r>
        <w:rPr/>
        <w:t>文被认定为高新技术企业，取得了编号为</w:t>
      </w:r>
      <w:r>
        <w:rPr>
          <w:spacing w:val="-50"/>
        </w:rPr>
        <w:t> </w:t>
      </w:r>
      <w:r>
        <w:rPr>
          <w:rFonts w:ascii="Times New Roman" w:hAnsi="Times New Roman" w:cs="Times New Roman" w:eastAsia="Times New Roman" w:hint="default"/>
        </w:rPr>
        <w:t>GF201131000974</w:t>
      </w:r>
      <w:r>
        <w:rPr>
          <w:rFonts w:ascii="Times New Roman" w:hAnsi="Times New Roman" w:cs="Times New Roman" w:eastAsia="Times New Roman" w:hint="default"/>
          <w:spacing w:val="-14"/>
        </w:rPr>
        <w:t> </w:t>
      </w:r>
      <w:r>
        <w:rPr/>
        <w:t>的高新技术企业证书，自</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5"/>
        </w:rPr>
        <w:t> </w:t>
      </w:r>
      <w:r>
        <w:rPr/>
        <w:t>至</w:t>
      </w:r>
      <w:r>
        <w:rPr>
          <w:spacing w:val="-5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3"/>
        </w:rPr>
        <w:t> </w:t>
      </w:r>
      <w:r>
        <w:rPr/>
        <w:t>年减按</w:t>
      </w:r>
      <w:r>
        <w:rPr>
          <w:spacing w:val="-53"/>
        </w:rPr>
        <w:t> </w:t>
      </w:r>
      <w:r>
        <w:rPr>
          <w:rFonts w:ascii="Times New Roman" w:hAnsi="Times New Roman" w:cs="Times New Roman" w:eastAsia="Times New Roman" w:hint="default"/>
        </w:rPr>
        <w:t>15%</w:t>
      </w:r>
      <w:r>
        <w:rPr/>
        <w:t>的税率缴纳企 业所得税。</w:t>
      </w:r>
    </w:p>
    <w:p>
      <w:pPr>
        <w:pStyle w:val="BodyText"/>
        <w:spacing w:line="240" w:lineRule="auto" w:before="115"/>
        <w:ind w:left="513" w:right="0"/>
        <w:jc w:val="left"/>
      </w:pPr>
      <w:r>
        <w:rPr/>
        <w:t>本公司之控股子公司上海东港数据处理有限公司，被上海市经济和信息化委员会被认定为双软企业，颁发了编号为沪</w:t>
      </w:r>
    </w:p>
    <w:p>
      <w:pPr>
        <w:spacing w:line="240" w:lineRule="auto" w:before="11"/>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DGY-2009-1218</w:t>
      </w:r>
      <w:r>
        <w:rPr>
          <w:rFonts w:ascii="Times New Roman" w:hAnsi="Times New Roman" w:cs="Times New Roman" w:eastAsia="Times New Roman" w:hint="default"/>
          <w:spacing w:val="-10"/>
        </w:rPr>
        <w:t> </w:t>
      </w:r>
      <w:r>
        <w:rPr/>
        <w:t>的软件产品等级证书和编号为沪</w:t>
      </w:r>
      <w:r>
        <w:rPr>
          <w:spacing w:val="-46"/>
        </w:rPr>
        <w:t> </w:t>
      </w:r>
      <w:r>
        <w:rPr>
          <w:rFonts w:ascii="Times New Roman" w:hAnsi="Times New Roman" w:cs="Times New Roman" w:eastAsia="Times New Roman" w:hint="default"/>
        </w:rPr>
        <w:t>2-2009-0261</w:t>
      </w:r>
      <w:r>
        <w:rPr>
          <w:rFonts w:ascii="Times New Roman" w:hAnsi="Times New Roman" w:cs="Times New Roman" w:eastAsia="Times New Roman" w:hint="default"/>
          <w:spacing w:val="-12"/>
        </w:rPr>
        <w:t> </w:t>
      </w:r>
      <w:r>
        <w:rPr/>
        <w:t>的软件产品认定证书；根据闵税所免</w:t>
      </w:r>
      <w:r>
        <w:rPr>
          <w:rFonts w:ascii="Times New Roman" w:hAnsi="Times New Roman" w:cs="Times New Roman" w:eastAsia="Times New Roman" w:hint="default"/>
        </w:rPr>
        <w:t>[2011]</w:t>
      </w:r>
      <w:r>
        <w:rPr/>
        <w:t>渡</w:t>
      </w:r>
      <w:r>
        <w:rPr>
          <w:spacing w:val="-49"/>
        </w:rPr>
        <w:t> </w:t>
      </w:r>
      <w:r>
        <w:rPr>
          <w:rFonts w:ascii="Times New Roman" w:hAnsi="Times New Roman" w:cs="Times New Roman" w:eastAsia="Times New Roman" w:hint="default"/>
        </w:rPr>
        <w:t>019</w:t>
      </w:r>
      <w:r>
        <w:rPr>
          <w:rFonts w:ascii="Times New Roman" w:hAnsi="Times New Roman" w:cs="Times New Roman" w:eastAsia="Times New Roman" w:hint="default"/>
          <w:spacing w:val="-10"/>
        </w:rPr>
        <w:t> </w:t>
      </w:r>
      <w:r>
        <w:rPr/>
        <w:t>号文件，该</w:t>
      </w:r>
    </w:p>
    <w:p>
      <w:pPr>
        <w:spacing w:line="240" w:lineRule="auto" w:before="9"/>
        <w:rPr>
          <w:rFonts w:ascii="宋体" w:hAnsi="宋体" w:cs="宋体" w:eastAsia="宋体" w:hint="default"/>
          <w:sz w:val="16"/>
          <w:szCs w:val="16"/>
        </w:rPr>
      </w:pPr>
    </w:p>
    <w:p>
      <w:pPr>
        <w:pStyle w:val="BodyText"/>
        <w:spacing w:line="489" w:lineRule="auto"/>
        <w:ind w:left="513" w:right="0" w:hanging="361"/>
        <w:jc w:val="left"/>
      </w:pPr>
      <w:r>
        <w:rPr/>
        <w:t>公司自</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日起至</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日减半按照</w:t>
      </w:r>
      <w:r>
        <w:rPr>
          <w:spacing w:val="-46"/>
        </w:rPr>
        <w:t> </w:t>
      </w:r>
      <w:r>
        <w:rPr>
          <w:rFonts w:ascii="Times New Roman" w:hAnsi="Times New Roman" w:cs="Times New Roman" w:eastAsia="Times New Roman" w:hint="default"/>
        </w:rPr>
        <w:t>12.5%</w:t>
      </w:r>
      <w:r>
        <w:rPr/>
        <w:t>税率征收企业所得税。 </w:t>
      </w:r>
      <w:r>
        <w:rPr>
          <w:spacing w:val="-2"/>
        </w:rPr>
        <w:t>本公司之控股子公司郑州东港安全印刷有限公司，被河南省科学技术厅、河南省财政厅、河南省国家税务局以及河南省</w:t>
      </w:r>
    </w:p>
    <w:p>
      <w:pPr>
        <w:pStyle w:val="BodyText"/>
        <w:spacing w:line="451" w:lineRule="auto" w:before="45"/>
        <w:ind w:right="1198"/>
        <w:jc w:val="left"/>
      </w:pPr>
      <w:r>
        <w:rPr/>
        <w:t>地方税务局批准为高新技术企业，并取得了编号为</w:t>
      </w:r>
      <w:r>
        <w:rPr>
          <w:spacing w:val="-46"/>
        </w:rPr>
        <w:t> </w:t>
      </w:r>
      <w:r>
        <w:rPr>
          <w:rFonts w:ascii="Times New Roman" w:hAnsi="Times New Roman" w:cs="Times New Roman" w:eastAsia="Times New Roman" w:hint="default"/>
        </w:rPr>
        <w:t>GR201041000094</w:t>
      </w:r>
      <w:r>
        <w:rPr>
          <w:rFonts w:ascii="Times New Roman" w:hAnsi="Times New Roman" w:cs="Times New Roman" w:eastAsia="Times New Roman" w:hint="default"/>
          <w:spacing w:val="-9"/>
        </w:rPr>
        <w:t> </w:t>
      </w:r>
      <w:r>
        <w:rPr/>
        <w:t>号高新技术企业证书，</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年度减按</w:t>
      </w:r>
      <w:r>
        <w:rPr>
          <w:spacing w:val="-49"/>
        </w:rPr>
        <w:t> </w:t>
      </w:r>
      <w:r>
        <w:rPr>
          <w:rFonts w:ascii="Times New Roman" w:hAnsi="Times New Roman" w:cs="Times New Roman" w:eastAsia="Times New Roman" w:hint="default"/>
        </w:rPr>
        <w:t>15%</w:t>
      </w:r>
      <w:r>
        <w:rPr/>
        <w:t>的税率缴纳 企业所得税。</w:t>
      </w:r>
    </w:p>
    <w:p>
      <w:pPr>
        <w:pStyle w:val="BodyText"/>
        <w:spacing w:line="451" w:lineRule="auto" w:before="112"/>
        <w:ind w:right="1118" w:firstLine="360"/>
        <w:jc w:val="left"/>
      </w:pPr>
      <w:r>
        <w:rPr/>
        <w:t>本公司之控股子公司广州东港安全印刷有限公司按应纳税所得额的</w:t>
      </w:r>
      <w:r>
        <w:rPr>
          <w:spacing w:val="-45"/>
        </w:rPr>
        <w:t> </w:t>
      </w:r>
      <w:r>
        <w:rPr>
          <w:rFonts w:ascii="Times New Roman" w:hAnsi="Times New Roman" w:cs="Times New Roman" w:eastAsia="Times New Roman" w:hint="default"/>
        </w:rPr>
        <w:t>25%</w:t>
      </w:r>
      <w:r>
        <w:rPr/>
        <w:t>计缴企业所得税，从</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年度开始享受两免三 减半政策。</w:t>
      </w:r>
      <w:r>
        <w:rPr>
          <w:rFonts w:ascii="Times New Roman" w:hAnsi="Times New Roman" w:cs="Times New Roman" w:eastAsia="Times New Roman" w:hint="default"/>
        </w:rPr>
        <w:t>2012 </w:t>
      </w:r>
      <w:r>
        <w:rPr/>
        <w:t>年度减按</w:t>
      </w:r>
      <w:r>
        <w:rPr>
          <w:spacing w:val="-58"/>
        </w:rPr>
        <w:t> </w:t>
      </w:r>
      <w:r>
        <w:rPr>
          <w:rFonts w:ascii="Times New Roman" w:hAnsi="Times New Roman" w:cs="Times New Roman" w:eastAsia="Times New Roman" w:hint="default"/>
        </w:rPr>
        <w:t>12.5%</w:t>
      </w:r>
      <w:r>
        <w:rPr/>
        <w:t>的税率缴纳企业所得税。</w:t>
      </w:r>
    </w:p>
    <w:p>
      <w:pPr>
        <w:pStyle w:val="BodyText"/>
        <w:spacing w:line="240" w:lineRule="auto" w:before="84"/>
        <w:ind w:left="513" w:right="0"/>
        <w:jc w:val="left"/>
      </w:pPr>
      <w:r>
        <w:rPr/>
        <w:t>本公司之控股子公司北京东港嘉华安全信息技术有限公司根据</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6"/>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t>月</w:t>
      </w:r>
      <w:r>
        <w:rPr>
          <w:spacing w:val="-60"/>
        </w:rPr>
        <w:t> </w:t>
      </w:r>
      <w:r>
        <w:rPr>
          <w:rFonts w:ascii="Times New Roman" w:hAnsi="Times New Roman" w:cs="Times New Roman" w:eastAsia="Times New Roman" w:hint="default"/>
        </w:rPr>
        <w:t>15</w:t>
      </w:r>
      <w:r>
        <w:rPr>
          <w:rFonts w:ascii="Times New Roman" w:hAnsi="Times New Roman" w:cs="Times New Roman" w:eastAsia="Times New Roman" w:hint="default"/>
          <w:spacing w:val="-16"/>
        </w:rPr>
        <w:t> </w:t>
      </w:r>
      <w:r>
        <w:rPr/>
        <w:t>日北京经济技术开发区国家税务局印发的</w:t>
      </w:r>
    </w:p>
    <w:p>
      <w:pPr>
        <w:spacing w:line="240" w:lineRule="auto" w:before="9"/>
        <w:rPr>
          <w:rFonts w:ascii="宋体" w:hAnsi="宋体" w:cs="宋体" w:eastAsia="宋体" w:hint="default"/>
          <w:sz w:val="16"/>
          <w:szCs w:val="16"/>
        </w:rPr>
      </w:pPr>
    </w:p>
    <w:p>
      <w:pPr>
        <w:pStyle w:val="BodyText"/>
        <w:spacing w:line="451" w:lineRule="auto"/>
        <w:ind w:right="0"/>
        <w:jc w:val="left"/>
      </w:pPr>
      <w:r>
        <w:rPr/>
        <w:t>开国税所函（</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38</w:t>
      </w:r>
      <w:r>
        <w:rPr>
          <w:rFonts w:ascii="Times New Roman" w:hAnsi="Times New Roman" w:cs="Times New Roman" w:eastAsia="Times New Roman" w:hint="default"/>
          <w:spacing w:val="-10"/>
        </w:rPr>
        <w:t> </w:t>
      </w:r>
      <w:r>
        <w:rPr/>
        <w:t>号的批复，自</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日至</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日止享受过渡期生产性外商投资企业免征</w:t>
      </w:r>
      <w:r>
        <w:rPr>
          <w:rFonts w:ascii="Times New Roman" w:hAnsi="Times New Roman" w:cs="Times New Roman" w:eastAsia="Times New Roman" w:hint="default"/>
        </w:rPr>
        <w:t>(</w:t>
      </w:r>
      <w:r>
        <w:rPr/>
        <w:t>或减征</w:t>
      </w:r>
      <w:r>
        <w:rPr>
          <w:rFonts w:ascii="Times New Roman" w:hAnsi="Times New Roman" w:cs="Times New Roman" w:eastAsia="Times New Roman" w:hint="default"/>
        </w:rPr>
        <w:t>) </w:t>
      </w:r>
      <w:r>
        <w:rPr/>
        <w:t>企业所得税优惠政策，</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年和</w:t>
      </w:r>
      <w:r>
        <w:rPr>
          <w:spacing w:val="-4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年免税，</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年税率为</w:t>
      </w:r>
      <w:r>
        <w:rPr>
          <w:spacing w:val="-47"/>
        </w:rPr>
        <w:t> </w:t>
      </w:r>
      <w:r>
        <w:rPr>
          <w:rFonts w:ascii="Times New Roman" w:hAnsi="Times New Roman" w:cs="Times New Roman" w:eastAsia="Times New Roman" w:hint="default"/>
        </w:rPr>
        <w:t>11%</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年税率为</w:t>
      </w:r>
      <w:r>
        <w:rPr>
          <w:spacing w:val="-47"/>
        </w:rPr>
        <w:t> </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年税率为</w:t>
      </w:r>
      <w:r>
        <w:rPr>
          <w:spacing w:val="-49"/>
        </w:rPr>
        <w:t> </w:t>
      </w:r>
      <w:r>
        <w:rPr>
          <w:rFonts w:ascii="Times New Roman" w:hAnsi="Times New Roman" w:cs="Times New Roman" w:eastAsia="Times New Roman" w:hint="default"/>
        </w:rPr>
        <w:t>12.5%</w:t>
      </w:r>
      <w:r>
        <w:rPr/>
        <w:t>。</w:t>
      </w:r>
    </w:p>
    <w:p>
      <w:pPr>
        <w:pStyle w:val="BodyText"/>
        <w:spacing w:line="240" w:lineRule="auto" w:before="84"/>
        <w:ind w:left="513" w:right="0"/>
        <w:jc w:val="left"/>
      </w:pPr>
      <w:r>
        <w:rPr/>
        <w:t>本公司之全资子公司山东东港数据处理有限公司</w:t>
      </w:r>
      <w:r>
        <w:rPr>
          <w:spacing w:val="-92"/>
        </w:rPr>
        <w:t>、</w:t>
      </w:r>
      <w:r>
        <w:rPr/>
        <w:t>成都东港</w:t>
      </w:r>
      <w:r>
        <w:rPr>
          <w:spacing w:val="2"/>
        </w:rPr>
        <w:t>安</w:t>
      </w:r>
      <w:r>
        <w:rPr/>
        <w:t>全印刷有限公司按应纳税所得额的</w:t>
      </w:r>
      <w:r>
        <w:rPr>
          <w:spacing w:val="-50"/>
        </w:rPr>
        <w:t> </w:t>
      </w:r>
      <w:r>
        <w:rPr>
          <w:rFonts w:ascii="Times New Roman" w:hAnsi="Times New Roman" w:cs="Times New Roman" w:eastAsia="Times New Roman" w:hint="default"/>
          <w:spacing w:val="1"/>
        </w:rPr>
        <w:t>25</w:t>
      </w:r>
      <w:r>
        <w:rPr>
          <w:rFonts w:ascii="Times New Roman" w:hAnsi="Times New Roman" w:cs="Times New Roman" w:eastAsia="Times New Roman" w:hint="default"/>
          <w:spacing w:val="-2"/>
        </w:rPr>
        <w:t>%</w:t>
      </w:r>
      <w:r>
        <w:rPr/>
        <w:t>计缴企业所得税。</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441"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六、企业合并及合并财务报表</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8"/>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0" w:right="1131"/>
        <w:jc w:val="right"/>
      </w:pPr>
      <w:r>
        <w:rPr/>
        <w:pict>
          <v:group style="position:absolute;margin-left:460.320007pt;margin-top:65.531723pt;width:135pt;height:77pt;mso-position-horizontal-relative:page;mso-position-vertical-relative:paragraph;z-index:-753832" coordorigin="9206,1311" coordsize="2700,1540">
            <v:shape style="position:absolute;left:9206;top:1311;width:2700;height:1540" type="#_x0000_t75" stroked="false">
              <v:imagedata r:id="rId16" o:title=""/>
            </v:shape>
            <v:shape style="position:absolute;left:10593;top:1671;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89</w:t>
                    </w:r>
                  </w:p>
                </w:txbxContent>
              </v:textbox>
              <w10:wrap type="none"/>
            </v:shape>
            <w10:wrap type="none"/>
          </v:group>
        </w:pict>
      </w:r>
      <w:r>
        <w:rPr/>
        <w:t>单位：</w:t>
      </w:r>
      <w:r>
        <w:rPr>
          <w:spacing w:val="1"/>
        </w:rPr>
        <w:t> </w:t>
      </w:r>
      <w:r>
        <w:rPr/>
        <w:t>元</w:t>
      </w:r>
    </w:p>
    <w:p>
      <w:pPr>
        <w:spacing w:line="240" w:lineRule="auto" w:before="9"/>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101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67" w:right="65"/>
              <w:jc w:val="both"/>
              <w:rPr>
                <w:rFonts w:ascii="宋体" w:hAnsi="宋体" w:cs="宋体" w:eastAsia="宋体" w:hint="default"/>
                <w:sz w:val="18"/>
                <w:szCs w:val="18"/>
              </w:rPr>
            </w:pPr>
            <w:r>
              <w:rPr>
                <w:rFonts w:ascii="宋体" w:hAnsi="宋体" w:cs="宋体" w:eastAsia="宋体" w:hint="default"/>
                <w:sz w:val="18"/>
                <w:szCs w:val="18"/>
              </w:rPr>
              <w:t>实质上 构成对 子公司</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4"/>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w:t>
            </w:r>
          </w:p>
        </w:tc>
      </w:tr>
    </w:tbl>
    <w:p>
      <w:pPr>
        <w:spacing w:after="0" w:line="316" w:lineRule="auto"/>
        <w:jc w:val="both"/>
        <w:rPr>
          <w:rFonts w:ascii="宋体" w:hAnsi="宋体" w:cs="宋体" w:eastAsia="宋体" w:hint="default"/>
          <w:sz w:val="18"/>
          <w:szCs w:val="18"/>
        </w:rPr>
        <w:sectPr>
          <w:headerReference w:type="default" r:id="rId41"/>
          <w:footerReference w:type="default" r:id="rId42"/>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4731"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7" w:right="65"/>
              <w:jc w:val="center"/>
              <w:rPr>
                <w:rFonts w:ascii="宋体" w:hAnsi="宋体" w:cs="宋体" w:eastAsia="宋体" w:hint="default"/>
                <w:sz w:val="18"/>
                <w:szCs w:val="18"/>
              </w:rPr>
            </w:pPr>
            <w:r>
              <w:rPr>
                <w:rFonts w:ascii="宋体" w:hAnsi="宋体" w:cs="宋体" w:eastAsia="宋体" w:hint="default"/>
                <w:sz w:val="18"/>
                <w:szCs w:val="18"/>
              </w:rPr>
              <w:t>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7" w:right="62"/>
              <w:jc w:val="both"/>
              <w:rPr>
                <w:rFonts w:ascii="宋体" w:hAnsi="宋体" w:cs="宋体" w:eastAsia="宋体" w:hint="default"/>
                <w:sz w:val="18"/>
                <w:szCs w:val="18"/>
              </w:rPr>
            </w:pPr>
            <w:r>
              <w:rPr>
                <w:rFonts w:ascii="宋体" w:hAnsi="宋体" w:cs="宋体" w:eastAsia="宋体" w:hint="default"/>
                <w:sz w:val="18"/>
                <w:szCs w:val="18"/>
              </w:rPr>
              <w:t>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9" w:right="62"/>
              <w:jc w:val="both"/>
              <w:rPr>
                <w:rFonts w:ascii="宋体" w:hAnsi="宋体" w:cs="宋体" w:eastAsia="宋体" w:hint="default"/>
                <w:sz w:val="18"/>
                <w:szCs w:val="18"/>
              </w:rPr>
            </w:pPr>
            <w:r>
              <w:rPr>
                <w:rFonts w:ascii="宋体" w:hAnsi="宋体" w:cs="宋体" w:eastAsia="宋体" w:hint="default"/>
                <w:sz w:val="18"/>
                <w:szCs w:val="18"/>
              </w:rPr>
              <w:t>冲减子 公司少 数股东 分担的 本期亏 损超过 少数股 东在该 子公司 年初所 有者权 益中所 享有份 额后的 余额</w:t>
            </w:r>
          </w:p>
        </w:tc>
      </w:tr>
      <w:tr>
        <w:trPr>
          <w:trHeight w:val="909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郑州东 港安全 印刷有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4"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其他印 刷品印 刷；纸 张、纸 制品、 印刷器 材的销 售；磁 卡、智 能卡、 识别卡 和智能 标签的 开发、 销售； 电子设 备及产 品、办 公自动 化设备 及产 品、电 子元器 件的开 发、销 售；软 件产品 的开 发、生</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4,687.5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93.75%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3"/>
          <w:pgSz w:w="11910" w:h="16840"/>
          <w:pgMar w:footer="1340" w:header="877" w:top="1060" w:bottom="1540" w:left="980" w:right="0"/>
          <w:pgNumType w:start="9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2547"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产、销 售；科 技信息 咨询服 务；房 屋租 赁；物 业管理</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128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北京东 港安全 印刷有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60"/>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Times New Roman" w:hAnsi="Times New Roman" w:cs="Times New Roman" w:eastAsia="Times New Roman" w:hint="default"/>
                <w:sz w:val="18"/>
                <w:szCs w:val="18"/>
              </w:rPr>
            </w:pPr>
            <w:r>
              <w:rPr>
                <w:rFonts w:ascii="Times New Roman"/>
                <w:sz w:val="18"/>
              </w:rPr>
              <w:t>5,200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出版物 印刷、 包装装 潢印刷 品印 刷、其 他印刷 品印 刷、生 产专用 计算机 软件； 销售自 产产 品；提 供数据 处理服 务及自 产产品 技术咨 询、技 术服 务；磁 卡、智 能卡、 智能卡 电子设 备及产 品、办 公自动 化设备 及产 品、电 子元器 件的研 究、开</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321" w:right="0"/>
              <w:jc w:val="left"/>
              <w:rPr>
                <w:rFonts w:ascii="Times New Roman" w:hAnsi="Times New Roman" w:cs="Times New Roman" w:eastAsia="Times New Roman" w:hint="default"/>
                <w:sz w:val="18"/>
                <w:szCs w:val="18"/>
              </w:rPr>
            </w:pPr>
            <w:r>
              <w:rPr>
                <w:rFonts w:ascii="Times New Roman"/>
                <w:sz w:val="18"/>
              </w:rPr>
              <w:t>75%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321" w:right="0"/>
              <w:jc w:val="left"/>
              <w:rPr>
                <w:rFonts w:ascii="Times New Roman" w:hAnsi="Times New Roman" w:cs="Times New Roman" w:eastAsia="Times New Roman" w:hint="default"/>
                <w:sz w:val="18"/>
                <w:szCs w:val="18"/>
              </w:rPr>
            </w:pPr>
            <w:r>
              <w:rPr>
                <w:rFonts w:ascii="Times New Roman"/>
                <w:sz w:val="18"/>
              </w:rPr>
              <w:t>75%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24,479,</w:t>
            </w:r>
          </w:p>
          <w:p>
            <w:pPr>
              <w:pStyle w:val="TableParagraph"/>
              <w:spacing w:line="240" w:lineRule="auto" w:before="102"/>
              <w:ind w:left="156" w:right="0"/>
              <w:jc w:val="left"/>
              <w:rPr>
                <w:rFonts w:ascii="Times New Roman" w:hAnsi="Times New Roman" w:cs="Times New Roman" w:eastAsia="Times New Roman" w:hint="default"/>
                <w:sz w:val="18"/>
                <w:szCs w:val="18"/>
              </w:rPr>
            </w:pPr>
            <w:r>
              <w:rPr>
                <w:rFonts w:ascii="Times New Roman"/>
                <w:sz w:val="18"/>
              </w:rPr>
              <w:t>149.84</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0660"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发；物 联网、 计算机 信息系 统集成 及技术 服务； 纸制 品、高 档防伪 纸张、 磁卡、 智能 卡、智 能卡电 子设备 及产 品、智 能电子 标签、 办公自 动化设 备及产 品、电 子元器 件、计 算机软 件的批 发、佣 金代理 业务； 科技信 息咨询 服务。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17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4" w:right="108"/>
              <w:jc w:val="both"/>
              <w:rPr>
                <w:rFonts w:ascii="宋体" w:hAnsi="宋体" w:cs="宋体" w:eastAsia="宋体" w:hint="default"/>
                <w:sz w:val="18"/>
                <w:szCs w:val="18"/>
              </w:rPr>
            </w:pPr>
            <w:r>
              <w:rPr>
                <w:rFonts w:ascii="宋体" w:hAnsi="宋体" w:cs="宋体" w:eastAsia="宋体" w:hint="default"/>
                <w:sz w:val="18"/>
                <w:szCs w:val="18"/>
              </w:rPr>
              <w:t>新疆东 港安全 印刷有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4"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4" w:lineRule="auto"/>
              <w:ind w:left="23" w:right="108"/>
              <w:jc w:val="left"/>
              <w:rPr>
                <w:rFonts w:ascii="宋体" w:hAnsi="宋体" w:cs="宋体" w:eastAsia="宋体" w:hint="default"/>
                <w:sz w:val="18"/>
                <w:szCs w:val="18"/>
              </w:rPr>
            </w:pPr>
            <w:r>
              <w:rPr>
                <w:rFonts w:ascii="宋体" w:hAnsi="宋体" w:cs="宋体" w:eastAsia="宋体" w:hint="default"/>
                <w:sz w:val="18"/>
                <w:szCs w:val="18"/>
              </w:rPr>
              <w:t>乌鲁木 齐</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印刷品 印刷</w:t>
            </w:r>
          </w:p>
          <w:p>
            <w:pPr>
              <w:pStyle w:val="TableParagraph"/>
              <w:spacing w:line="316" w:lineRule="auto" w:before="17"/>
              <w:ind w:left="23" w:right="107"/>
              <w:jc w:val="left"/>
              <w:rPr>
                <w:rFonts w:ascii="宋体" w:hAnsi="宋体" w:cs="宋体" w:eastAsia="宋体" w:hint="default"/>
                <w:sz w:val="18"/>
                <w:szCs w:val="18"/>
              </w:rPr>
            </w:pPr>
            <w:r>
              <w:rPr>
                <w:rFonts w:ascii="宋体" w:hAnsi="宋体" w:cs="宋体" w:eastAsia="宋体" w:hint="default"/>
                <w:sz w:val="18"/>
                <w:szCs w:val="18"/>
              </w:rPr>
              <w:t>（票 证）。 纸制品 的生 产、销 售；高 档纸的 防伪处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937.50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93.75%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4731"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0"/>
              <w:jc w:val="both"/>
              <w:rPr>
                <w:rFonts w:ascii="宋体" w:hAnsi="宋体" w:cs="宋体" w:eastAsia="宋体" w:hint="default"/>
                <w:sz w:val="18"/>
                <w:szCs w:val="18"/>
              </w:rPr>
            </w:pPr>
            <w:r>
              <w:rPr>
                <w:rFonts w:ascii="宋体" w:hAnsi="宋体" w:cs="宋体" w:eastAsia="宋体" w:hint="default"/>
                <w:sz w:val="18"/>
                <w:szCs w:val="18"/>
              </w:rPr>
              <w:t>理、销 售；数 据打印 系统的 开发、 生产； 科技信 息咨询 服务； </w:t>
            </w:r>
            <w:r>
              <w:rPr>
                <w:rFonts w:ascii="Times New Roman" w:hAnsi="Times New Roman" w:cs="Times New Roman" w:eastAsia="Times New Roman" w:hint="default"/>
                <w:sz w:val="18"/>
                <w:szCs w:val="18"/>
              </w:rPr>
              <w:t>IC </w:t>
            </w:r>
            <w:r>
              <w:rPr>
                <w:rFonts w:ascii="宋体" w:hAnsi="宋体" w:cs="宋体" w:eastAsia="宋体" w:hint="default"/>
                <w:sz w:val="18"/>
                <w:szCs w:val="18"/>
              </w:rPr>
              <w:t>卡产 品、智 能标签 产品的 生产、 销售。</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上海东 港安全 印刷有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5,000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包装装 潢印 刷，零 件印 刷，计 算机软 件开 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6"/>
              <w:jc w:val="right"/>
              <w:rPr>
                <w:rFonts w:ascii="Times New Roman" w:hAnsi="Times New Roman" w:cs="Times New Roman" w:eastAsia="Times New Roman" w:hint="default"/>
                <w:sz w:val="18"/>
                <w:szCs w:val="18"/>
              </w:rPr>
            </w:pPr>
            <w:r>
              <w:rPr>
                <w:rFonts w:ascii="Times New Roman"/>
                <w:sz w:val="18"/>
              </w:rPr>
              <w:t>93.75%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633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北京东 港嘉华 安全信 息技术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开发、 生产喷 墨打印 设备、 智能电 子标签 及专用 计算机 软件； 销售资 产产 品；提 供数据 处理服 务及自 产产品 技术咨 询、技 术服 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4"/>
              <w:jc w:val="right"/>
              <w:rPr>
                <w:rFonts w:ascii="Times New Roman" w:hAnsi="Times New Roman" w:cs="Times New Roman" w:eastAsia="Times New Roman" w:hint="default"/>
                <w:sz w:val="18"/>
                <w:szCs w:val="18"/>
              </w:rPr>
            </w:pPr>
            <w:r>
              <w:rPr>
                <w:rFonts w:ascii="Times New Roman"/>
                <w:sz w:val="18"/>
              </w:rPr>
              <w:t>75%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7"/>
              <w:jc w:val="right"/>
              <w:rPr>
                <w:rFonts w:ascii="Times New Roman" w:hAnsi="Times New Roman" w:cs="Times New Roman" w:eastAsia="Times New Roman" w:hint="default"/>
                <w:sz w:val="18"/>
                <w:szCs w:val="18"/>
              </w:rPr>
            </w:pPr>
            <w:r>
              <w:rPr>
                <w:rFonts w:ascii="Times New Roman"/>
                <w:sz w:val="18"/>
              </w:rPr>
              <w:t>75%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15,628,</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677.70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687"/>
        <w:gridCol w:w="684"/>
        <w:gridCol w:w="684"/>
        <w:gridCol w:w="682"/>
        <w:gridCol w:w="684"/>
        <w:gridCol w:w="682"/>
        <w:gridCol w:w="684"/>
        <w:gridCol w:w="684"/>
        <w:gridCol w:w="682"/>
        <w:gridCol w:w="684"/>
        <w:gridCol w:w="682"/>
        <w:gridCol w:w="685"/>
        <w:gridCol w:w="682"/>
        <w:gridCol w:w="684"/>
      </w:tblGrid>
      <w:tr>
        <w:trPr>
          <w:trHeight w:val="13780"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4" w:right="111"/>
              <w:jc w:val="both"/>
              <w:rPr>
                <w:rFonts w:ascii="宋体" w:hAnsi="宋体" w:cs="宋体" w:eastAsia="宋体" w:hint="default"/>
                <w:sz w:val="18"/>
                <w:szCs w:val="18"/>
              </w:rPr>
            </w:pPr>
            <w:r>
              <w:rPr>
                <w:rFonts w:ascii="宋体" w:hAnsi="宋体" w:cs="宋体" w:eastAsia="宋体" w:hint="default"/>
                <w:sz w:val="18"/>
                <w:szCs w:val="18"/>
              </w:rPr>
              <w:t>广州东 港安全 印刷有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4"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4,200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包装装 潢及其 他类印 刷品印 刷；开 发、生 产软件 产品、 磁卡、 智能 卡、识 别卡、 智能卡 芯片及 电子标 签芯 片、电 子设 备、办 公自动 化设 备、电 子元器 件，销 售本公 司产 品；从 事纸 张、纸 制品、 印刷器 材的批 发、进 出口； 从事信 息系统 集成工 程及技 术、数 据及信 息处 理、科 技信息 咨询服</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21" w:right="0"/>
              <w:jc w:val="left"/>
              <w:rPr>
                <w:rFonts w:ascii="Times New Roman" w:hAnsi="Times New Roman" w:cs="Times New Roman" w:eastAsia="Times New Roman" w:hint="default"/>
                <w:sz w:val="18"/>
                <w:szCs w:val="18"/>
              </w:rPr>
            </w:pPr>
            <w:r>
              <w:rPr>
                <w:rFonts w:ascii="Times New Roman"/>
                <w:sz w:val="18"/>
              </w:rPr>
              <w:t>75%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21" w:right="0"/>
              <w:jc w:val="left"/>
              <w:rPr>
                <w:rFonts w:ascii="Times New Roman" w:hAnsi="Times New Roman" w:cs="Times New Roman" w:eastAsia="Times New Roman" w:hint="default"/>
                <w:sz w:val="18"/>
                <w:szCs w:val="18"/>
              </w:rPr>
            </w:pPr>
            <w:r>
              <w:rPr>
                <w:rFonts w:ascii="Times New Roman"/>
                <w:sz w:val="18"/>
              </w:rPr>
              <w:t>75%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13,451,</w:t>
            </w:r>
          </w:p>
          <w:p>
            <w:pPr>
              <w:pStyle w:val="TableParagraph"/>
              <w:spacing w:line="240" w:lineRule="auto" w:before="102"/>
              <w:ind w:left="156" w:right="0"/>
              <w:jc w:val="left"/>
              <w:rPr>
                <w:rFonts w:ascii="Times New Roman" w:hAnsi="Times New Roman" w:cs="Times New Roman" w:eastAsia="Times New Roman" w:hint="default"/>
                <w:sz w:val="18"/>
                <w:szCs w:val="18"/>
              </w:rPr>
            </w:pPr>
            <w:r>
              <w:rPr>
                <w:rFonts w:ascii="Times New Roman"/>
                <w:sz w:val="18"/>
              </w:rPr>
              <w:t>633.95</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60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753784" coordorigin="9206,15298" coordsize="2700,1540">
            <v:shape style="position:absolute;left:9206;top:15298;width:2700;height:1540" type="#_x0000_t75" stroked="false">
              <v:imagedata r:id="rId16"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95</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299"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务；从 事技术 进出 口。</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163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成都东 港安全 印刷有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8"/>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sz w:val="18"/>
              </w:rPr>
              <w:t>1,000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其他印 刷品印 刷；纸 张、纸 制品、 印刷器 材的销 售；磁 卡、智 能卡、 识别卡 和智能 标签的 开发、 销售； 电子设 备及产 品、办 公自动 化设备 及产 品、电 子元器 件的开 发、销 售；软 件产品 的开 发、生 产、销 售；科 技信息 咨询服 务；房 屋租 赁；物 业管理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山东东 港数据 处理有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包装装 潢印刷 品印</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4"/>
          <w:footerReference w:type="default" r:id="rId45"/>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753736" coordorigin="9206,15298" coordsize="2700,1540">
            <v:shape style="position:absolute;left:9206;top:15298;width:2700;height:1540" type="#_x0000_t75" stroked="false">
              <v:imagedata r:id="rId16"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96</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629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刷，其 他印刷 品印 刷；软 件开 发、生 产销 售；纸 制品加 工、销 售；纸 张油 墨、油 墨、印 刷机械 的销 售；科 技信息 咨询服 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57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上海东 港数据 处理有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sz w:val="18"/>
              </w:rPr>
              <w:t>15,000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计算机 软件开 发、电 脑数据 处理、 商务咨 询</w:t>
            </w:r>
            <w:r>
              <w:rPr>
                <w:rFonts w:ascii="Times New Roman" w:hAnsi="Times New Roman" w:cs="Times New Roman" w:eastAsia="Times New Roman" w:hint="default"/>
                <w:sz w:val="18"/>
                <w:szCs w:val="18"/>
              </w:rPr>
              <w:t>(</w:t>
            </w:r>
            <w:r>
              <w:rPr>
                <w:rFonts w:ascii="宋体" w:hAnsi="宋体" w:cs="宋体" w:eastAsia="宋体" w:hint="default"/>
                <w:sz w:val="18"/>
                <w:szCs w:val="18"/>
              </w:rPr>
              <w:t>除经 纪</w:t>
            </w:r>
            <w:r>
              <w:rPr>
                <w:rFonts w:ascii="Times New Roman" w:hAnsi="Times New Roman" w:cs="Times New Roman" w:eastAsia="Times New Roman" w:hint="default"/>
                <w:sz w:val="18"/>
                <w:szCs w:val="18"/>
              </w:rPr>
              <w:t>)</w:t>
            </w:r>
            <w:r>
              <w:rPr>
                <w:rFonts w:ascii="宋体" w:hAnsi="宋体" w:cs="宋体" w:eastAsia="宋体" w:hint="default"/>
                <w:sz w:val="18"/>
                <w:szCs w:val="18"/>
              </w:rPr>
              <w:t>、计 算机技 术领域 内的技 术服 务、技 术咨 询、技 术开 发、技 术转 让。</w:t>
            </w:r>
            <w:r>
              <w:rPr>
                <w:rFonts w:ascii="Times New Roman" w:hAnsi="Times New Roman" w:cs="Times New Roman" w:eastAsia="Times New Roman" w:hint="default"/>
                <w:sz w:val="18"/>
                <w:szCs w:val="18"/>
              </w:rPr>
              <w:t>(</w:t>
            </w:r>
            <w:r>
              <w:rPr>
                <w:rFonts w:ascii="宋体" w:hAnsi="宋体" w:cs="宋体" w:eastAsia="宋体" w:hint="default"/>
                <w:sz w:val="18"/>
                <w:szCs w:val="18"/>
              </w:rPr>
              <w:t>涉 及行政 许可 的，凭 许可证 经营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96" w:right="0"/>
              <w:jc w:val="left"/>
              <w:rPr>
                <w:rFonts w:ascii="Times New Roman" w:hAnsi="Times New Roman" w:cs="Times New Roman" w:eastAsia="Times New Roman" w:hint="default"/>
                <w:sz w:val="18"/>
                <w:szCs w:val="18"/>
              </w:rPr>
            </w:pPr>
            <w:r>
              <w:rPr>
                <w:rFonts w:ascii="Times New Roman"/>
                <w:sz w:val="18"/>
              </w:rPr>
              <w:t>98.54%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6"/>
          <w:footerReference w:type="default" r:id="rId47"/>
          <w:pgSz w:w="11910" w:h="16840"/>
          <w:pgMar w:header="877" w:footer="0" w:top="1060" w:bottom="0" w:left="980" w:right="0"/>
        </w:sectPr>
      </w:pPr>
    </w:p>
    <w:p>
      <w:pPr>
        <w:spacing w:line="240" w:lineRule="auto" w:before="3"/>
        <w:rPr>
          <w:rFonts w:ascii="Times New Roman" w:hAnsi="Times New Roman" w:cs="Times New Roman" w:eastAsia="Times New Roman" w:hint="default"/>
          <w:sz w:val="29"/>
          <w:szCs w:val="29"/>
        </w:rPr>
      </w:pPr>
    </w:p>
    <w:p>
      <w:pPr>
        <w:pStyle w:val="BodyText"/>
        <w:spacing w:line="360" w:lineRule="auto" w:before="44"/>
        <w:ind w:right="6974"/>
        <w:jc w:val="left"/>
      </w:pPr>
      <w:r>
        <w:rPr/>
        <w:t>通过设立或投资等方式取得的子公司的其他说明 无</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合并报表范围发生变更说明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七、合并财务报表主要项目注释</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462"/>
        <w:gridCol w:w="1327"/>
        <w:gridCol w:w="932"/>
        <w:gridCol w:w="1594"/>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204,838.86</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280,016.00</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163,874.30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243,065.32</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1,652.00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10,383.65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1,849.50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11,653.50</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8,218.00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600.32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9,618.00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780.05</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2,310.00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1,872.95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2,310.00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1,872.72</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2,774.20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23,074.69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2,774.20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22,644.41</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澳元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653.63%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5,032.95</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219,669,597.88</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342,412,449.80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219,645,739.31</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342,355,460.04</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3,795.81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23,858.57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9,044.70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56,989.76</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29,172,057.62</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23,380,176.51</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29,172,057.62</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23,380,176.51</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249,046,494.36</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366,072,642.31</w:t>
            </w:r>
          </w:p>
        </w:tc>
      </w:tr>
    </w:tbl>
    <w:p>
      <w:pPr>
        <w:pStyle w:val="BodyText"/>
        <w:spacing w:line="360" w:lineRule="auto" w:before="49"/>
        <w:ind w:right="3554"/>
        <w:jc w:val="left"/>
      </w:pPr>
      <w:r>
        <w:rPr/>
        <w:t>如有因抵押、质押或冻结等对使用有限制、存放在境外、有潜在回收风险的款项应单独说明 无</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pict>
          <v:group style="position:absolute;margin-left:460.320007pt;margin-top:75.051712pt;width:135pt;height:77pt;mso-position-horizontal-relative:page;mso-position-vertical-relative:paragraph;z-index:2392" coordorigin="9206,1501" coordsize="2700,1540">
            <v:shape style="position:absolute;left:9206;top:1501;width:2700;height:1540" type="#_x0000_t75" stroked="false">
              <v:imagedata r:id="rId16" o:title=""/>
            </v:shape>
            <v:shape style="position:absolute;left:10593;top:1861;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97</w:t>
                    </w:r>
                  </w:p>
                </w:txbxContent>
              </v:textbox>
              <w10:wrap type="none"/>
            </v:shape>
            <w10:wrap type="none"/>
          </v:group>
        </w:pict>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2"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0" w:right="0"/>
              <w:jc w:val="left"/>
              <w:rPr>
                <w:rFonts w:ascii="Times New Roman" w:hAnsi="Times New Roman" w:cs="Times New Roman" w:eastAsia="Times New Roman" w:hint="default"/>
                <w:sz w:val="18"/>
                <w:szCs w:val="18"/>
              </w:rPr>
            </w:pPr>
            <w:r>
              <w:rPr>
                <w:rFonts w:ascii="Times New Roman"/>
                <w:sz w:val="18"/>
              </w:rPr>
              <w:t>2,908,057.00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1,336,000.00</w:t>
            </w:r>
          </w:p>
        </w:tc>
      </w:tr>
    </w:tbl>
    <w:p>
      <w:pPr>
        <w:spacing w:after="0" w:line="240" w:lineRule="auto"/>
        <w:jc w:val="right"/>
        <w:rPr>
          <w:rFonts w:ascii="Times New Roman" w:hAnsi="Times New Roman" w:cs="Times New Roman" w:eastAsia="Times New Roman" w:hint="default"/>
          <w:sz w:val="18"/>
          <w:szCs w:val="18"/>
        </w:rPr>
        <w:sectPr>
          <w:headerReference w:type="default" r:id="rId48"/>
          <w:footerReference w:type="default" r:id="rId49"/>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989"/>
        <w:gridCol w:w="2657"/>
        <w:gridCol w:w="2921"/>
      </w:tblGrid>
      <w:tr>
        <w:trPr>
          <w:trHeight w:val="404" w:hRule="exact"/>
        </w:trPr>
        <w:tc>
          <w:tcPr>
            <w:tcW w:w="3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0" w:right="0"/>
              <w:jc w:val="left"/>
              <w:rPr>
                <w:rFonts w:ascii="Times New Roman" w:hAnsi="Times New Roman" w:cs="Times New Roman" w:eastAsia="Times New Roman" w:hint="default"/>
                <w:sz w:val="18"/>
                <w:szCs w:val="18"/>
              </w:rPr>
            </w:pPr>
            <w:r>
              <w:rPr>
                <w:rFonts w:ascii="Times New Roman"/>
                <w:sz w:val="18"/>
              </w:rPr>
              <w:t>2,908,057.00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1,336,000.00</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2</w:t>
      </w:r>
      <w:r>
        <w:rPr/>
        <w:t>）因出票人无力履约而将票据转为应收账款的票据，以及期末公司已经背书给他方但尚未到期的票据情况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因出票人无力履约而将票据转为应收账款的票据</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headerReference w:type="default" r:id="rId50"/>
          <w:footerReference w:type="default" r:id="rId51"/>
          <w:pgSz w:w="11910" w:h="16840"/>
          <w:pgMar w:header="877" w:footer="0" w:top="1060" w:bottom="0" w:left="980" w:right="0"/>
        </w:sectPr>
      </w:pPr>
    </w:p>
    <w:p>
      <w:pPr>
        <w:pStyle w:val="BodyText"/>
        <w:spacing w:line="360" w:lineRule="auto" w:before="49"/>
        <w:ind w:right="2860"/>
        <w:jc w:val="left"/>
      </w:pPr>
      <w:r>
        <w:rPr/>
        <w:t>说明 无</w:t>
      </w:r>
    </w:p>
    <w:p>
      <w:pPr>
        <w:pStyle w:val="BodyText"/>
        <w:spacing w:line="240" w:lineRule="auto" w:before="27"/>
        <w:ind w:right="-20"/>
        <w:jc w:val="left"/>
      </w:pPr>
      <w:r>
        <w:rPr/>
        <w:t>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3393" w:space="543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东港股份有限公司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1,013,548.29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东港股份有限公司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1,013,548.29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东港股份有限公司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881,954.23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东港股份有限公司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东港股份有限公司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4,109,050.81</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10394"/>
        <w:jc w:val="left"/>
      </w:pPr>
      <w:r>
        <w:rPr/>
        <w:t>说明 无</w:t>
      </w:r>
    </w:p>
    <w:p>
      <w:pPr>
        <w:pStyle w:val="BodyText"/>
        <w:spacing w:line="357" w:lineRule="auto" w:before="27"/>
        <w:ind w:right="7874"/>
        <w:jc w:val="left"/>
      </w:pPr>
      <w:r>
        <w:rPr/>
        <w:t>已贴现或质押的商业承兑票据的说明 无</w:t>
      </w:r>
    </w:p>
    <w:p>
      <w:pPr>
        <w:spacing w:line="240" w:lineRule="auto" w:before="13"/>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w:t>
      </w:r>
      <w:r>
        <w:rPr/>
        <w:t>、应收利息</w:t>
      </w:r>
      <w:r>
        <w:rPr>
          <w:b w:val="0"/>
          <w:bCs w:val="0"/>
        </w:rPr>
      </w:r>
    </w:p>
    <w:p>
      <w:pPr>
        <w:spacing w:line="240" w:lineRule="auto" w:before="8"/>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401"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19,633.34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18,907.77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19,633.34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18,907.77</w:t>
            </w:r>
          </w:p>
        </w:tc>
      </w:tr>
      <w:tr>
        <w:trPr>
          <w:trHeight w:val="401"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19,633.34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18,907.77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19,633.34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18,907.77</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pict>
          <v:group style="position:absolute;margin-left:460.320007pt;margin-top:57.531719pt;width:135pt;height:77pt;mso-position-horizontal-relative:page;mso-position-vertical-relative:paragraph;z-index:-753640" coordorigin="9206,1151" coordsize="2700,1540">
            <v:shape style="position:absolute;left:9206;top:1151;width:2700;height:1540" type="#_x0000_t75" stroked="false">
              <v:imagedata r:id="rId16" o:title=""/>
            </v:shape>
            <v:shape style="position:absolute;left:10593;top:1511;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98</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861"/>
        <w:gridCol w:w="1858"/>
        <w:gridCol w:w="1726"/>
        <w:gridCol w:w="2126"/>
      </w:tblGrid>
      <w:tr>
        <w:trPr>
          <w:trHeight w:val="403"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按账龄分析计提坏账准 备的应收账款</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112,779,87</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0.68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5,970,384.3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108,741,9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36.36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5,742,153.68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112,779,87</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0.68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5,970,384.3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108,741,9</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36.36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5,742,153.68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112,779,87</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0.68</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5,970,384.3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108,741,9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36.36</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5,742,153.68</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436" w:lineRule="auto" w:before="49"/>
        <w:ind w:left="513" w:right="0" w:hanging="361"/>
        <w:jc w:val="left"/>
      </w:pPr>
      <w:r>
        <w:rPr/>
        <w:t>应收账款种类的说明 </w:t>
      </w:r>
      <w:r>
        <w:rPr>
          <w:spacing w:val="-2"/>
        </w:rPr>
        <w:t>本公司应收账款分为：单项金额重大并单项计提坏账准备的应收账款、按账龄分析计提坏账准备的应收账款和单项金额</w:t>
      </w:r>
    </w:p>
    <w:p>
      <w:pPr>
        <w:pStyle w:val="BodyText"/>
        <w:spacing w:line="240" w:lineRule="auto" w:before="85"/>
        <w:ind w:right="0"/>
        <w:jc w:val="left"/>
      </w:pPr>
      <w:r>
        <w:rPr/>
        <w:t>不重大但单项计提坏账准备的应收账款。</w:t>
      </w:r>
    </w:p>
    <w:p>
      <w:pPr>
        <w:spacing w:line="240" w:lineRule="auto" w:before="6"/>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52"/>
          <w:pgSz w:w="11910" w:h="16840"/>
          <w:pgMar w:footer="1340" w:header="877" w:top="1060" w:bottom="1540" w:left="980" w:right="0"/>
        </w:sectPr>
      </w:pPr>
    </w:p>
    <w:p>
      <w:pPr>
        <w:pStyle w:val="BodyText"/>
        <w:spacing w:line="240" w:lineRule="auto" w:before="44"/>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67"/>
        <w:gridCol w:w="1594"/>
        <w:gridCol w:w="929"/>
        <w:gridCol w:w="1728"/>
        <w:gridCol w:w="1459"/>
        <w:gridCol w:w="932"/>
        <w:gridCol w:w="1459"/>
      </w:tblGrid>
      <w:tr>
        <w:trPr>
          <w:trHeight w:val="402" w:hRule="exact"/>
        </w:trPr>
        <w:tc>
          <w:tcPr>
            <w:tcW w:w="14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7"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7"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108,434,747.49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96.15%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5,421,651.14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103,270,619.04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94.97%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5,163,530.95</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108,434,747.49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96.15%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5,421,651.14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103,270,619.04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94.97%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5,163,530.95</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3,429,478.31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343,120.33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5,335,176.83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533,517.68</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840,698.63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168,139.72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76,550.65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15,310.13</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74,946.25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37,473.13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59,589.84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29,794.92</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112,779,870.68</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5,970,384.32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108,741,936.36</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5,742,153.68</w:t>
            </w:r>
          </w:p>
        </w:tc>
      </w:tr>
    </w:tbl>
    <w:p>
      <w:pPr>
        <w:pStyle w:val="BodyText"/>
        <w:spacing w:line="240" w:lineRule="auto" w:before="49"/>
        <w:ind w:right="0"/>
        <w:jc w:val="left"/>
      </w:pPr>
      <w:r>
        <w:rPr/>
        <w:t>组合中，采用余额百分比法计提坏账准备的应收账款</w:t>
      </w:r>
    </w:p>
    <w:p>
      <w:pPr>
        <w:pStyle w:val="BodyText"/>
        <w:spacing w:line="340" w:lineRule="auto" w:before="115"/>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40" w:lineRule="auto" w:before="39"/>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）本报告期实际核销的应收账款情况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after="0" w:line="240" w:lineRule="auto"/>
        <w:jc w:val="right"/>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中银信用卡有限公 司北京代表处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中国人寿财产保险 云南分公司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中国人寿财产保险 甘肃分公司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6,339.84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中国人民财产保险 广东省分公司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欠款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32,803.16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92,393.00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9314"/>
        <w:jc w:val="left"/>
      </w:pPr>
      <w:r>
        <w:rPr/>
        <w:t>应收账款核销说明 无</w:t>
      </w:r>
    </w:p>
    <w:p>
      <w:pPr>
        <w:spacing w:line="240" w:lineRule="auto" w:before="13"/>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）本报告期应收账款中持有公司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本报告期应收账款中无持有公司</w:t>
      </w:r>
      <w:r>
        <w:rPr>
          <w:spacing w:val="-45"/>
        </w:rPr>
        <w:t> </w:t>
      </w:r>
      <w:r>
        <w:rPr>
          <w:rFonts w:ascii="Times New Roman" w:hAnsi="Times New Roman" w:cs="Times New Roman" w:eastAsia="Times New Roman" w:hint="default"/>
        </w:rPr>
        <w:t>5%</w:t>
      </w:r>
      <w:r>
        <w:rPr/>
        <w:t>（含</w:t>
      </w:r>
      <w:r>
        <w:rPr>
          <w:spacing w:val="-46"/>
        </w:rPr>
        <w:t> </w:t>
      </w:r>
      <w:r>
        <w:rPr>
          <w:rFonts w:ascii="Times New Roman" w:hAnsi="Times New Roman" w:cs="Times New Roman" w:eastAsia="Times New Roman" w:hint="default"/>
        </w:rPr>
        <w:t>5%</w:t>
      </w:r>
      <w:r>
        <w:rPr/>
        <w:t>）以上表决权的股东单位。</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）应收账款中金额前五名单位情况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9,372,321.70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6,870,931.12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3,271,320.00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3,096,267.89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第无名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2,879,563.77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25,490,404.48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w:t>
            </w:r>
          </w:p>
        </w:tc>
      </w:tr>
    </w:tbl>
    <w:p>
      <w:pPr>
        <w:spacing w:line="240" w:lineRule="auto" w:before="9"/>
        <w:rPr>
          <w:rFonts w:ascii="宋体" w:hAnsi="宋体" w:cs="宋体" w:eastAsia="宋体" w:hint="default"/>
          <w:sz w:val="19"/>
          <w:szCs w:val="19"/>
        </w:rPr>
      </w:pPr>
    </w:p>
    <w:p>
      <w:pPr>
        <w:pStyle w:val="Heading5"/>
        <w:spacing w:line="240" w:lineRule="auto" w:before="37"/>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2"/>
        <w:gridCol w:w="1057"/>
        <w:gridCol w:w="792"/>
        <w:gridCol w:w="1058"/>
        <w:gridCol w:w="795"/>
        <w:gridCol w:w="1058"/>
        <w:gridCol w:w="926"/>
        <w:gridCol w:w="1191"/>
        <w:gridCol w:w="779"/>
      </w:tblGrid>
      <w:tr>
        <w:trPr>
          <w:trHeight w:val="403" w:hRule="exact"/>
        </w:trPr>
        <w:tc>
          <w:tcPr>
            <w:tcW w:w="19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902"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902"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footerReference w:type="default" r:id="rId53"/>
          <w:pgSz w:w="11910" w:h="16840"/>
          <w:pgMar w:footer="1340" w:header="877"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按账龄分析计提坏账准 备的其他应收款</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14,126,510.2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1,941,877.22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11,445,460.9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1,538,158.13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13.44%</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14,126,510.2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1,941,877.22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11,445,460.9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1,538,158.13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13.44%</w:t>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14,126,510.2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1,941,877.22</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11,445,460.9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1,538,158.13</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436" w:lineRule="auto" w:before="49"/>
        <w:ind w:left="513" w:right="0" w:hanging="361"/>
        <w:jc w:val="left"/>
      </w:pPr>
      <w:r>
        <w:rPr/>
        <w:t>其他应收款种类的说明 </w:t>
      </w:r>
      <w:r>
        <w:rPr>
          <w:spacing w:val="-2"/>
        </w:rPr>
        <w:t>本公司其他应收款分为：单项金额重大并单项计提坏账准备的其他应收款、按账龄分析计提坏账准备的其他应收款和单</w:t>
      </w:r>
    </w:p>
    <w:p>
      <w:pPr>
        <w:pStyle w:val="BodyText"/>
        <w:spacing w:line="240" w:lineRule="auto" w:before="85"/>
        <w:ind w:right="0"/>
        <w:jc w:val="left"/>
      </w:pPr>
      <w:r>
        <w:rPr/>
        <w:t>项金额不重大但单项计提坏账准备的其他应收款。</w:t>
      </w:r>
    </w:p>
    <w:p>
      <w:pPr>
        <w:spacing w:line="240" w:lineRule="auto" w:before="6"/>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54"/>
          <w:pgSz w:w="11910" w:h="16840"/>
          <w:pgMar w:footer="1340" w:header="877" w:top="1060" w:bottom="1540" w:left="980" w:right="0"/>
          <w:pgNumType w:start="101"/>
        </w:sectPr>
      </w:pPr>
    </w:p>
    <w:p>
      <w:pPr>
        <w:pStyle w:val="BodyText"/>
        <w:spacing w:line="240" w:lineRule="auto" w:before="44"/>
        <w:ind w:right="-20"/>
        <w:jc w:val="left"/>
      </w:pPr>
      <w:r>
        <w:rPr/>
        <w:t>期末单项金额重大并单项计提坏账准备的其他应收款</w:t>
      </w:r>
    </w:p>
    <w:p>
      <w:pPr>
        <w:pStyle w:val="BodyText"/>
        <w:spacing w:line="338"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8"/>
        <w:gridCol w:w="1841"/>
        <w:gridCol w:w="658"/>
        <w:gridCol w:w="1448"/>
        <w:gridCol w:w="1450"/>
        <w:gridCol w:w="658"/>
        <w:gridCol w:w="1668"/>
      </w:tblGrid>
      <w:tr>
        <w:trPr>
          <w:trHeight w:val="402" w:hRule="exact"/>
        </w:trPr>
        <w:tc>
          <w:tcPr>
            <w:tcW w:w="1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8" w:type="dxa"/>
            <w:vMerge/>
            <w:tcBorders>
              <w:left w:val="single" w:sz="4" w:space="0" w:color="000000"/>
              <w:right w:val="single" w:sz="4" w:space="0" w:color="000000"/>
            </w:tcBorders>
            <w:shd w:val="clear" w:color="auto" w:fill="D2D2D2"/>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8"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2"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8,537,396.88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60.44%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426,869.84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4,805,542.73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41.99%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240,277.14</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8,537,396.88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 w:right="0"/>
              <w:jc w:val="center"/>
              <w:rPr>
                <w:rFonts w:ascii="Times New Roman" w:hAnsi="Times New Roman" w:cs="Times New Roman" w:eastAsia="Times New Roman" w:hint="default"/>
                <w:sz w:val="18"/>
                <w:szCs w:val="18"/>
              </w:rPr>
            </w:pPr>
            <w:r>
              <w:rPr>
                <w:rFonts w:ascii="Times New Roman"/>
                <w:sz w:val="18"/>
              </w:rPr>
              <w:t>60.44%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426,869.84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4,805,542.73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41.99%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240,277.14</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1,825,433.69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12.92%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182,543.37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3,820,804.02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33.38%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382,080.40</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1,831,252.82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 w:right="0"/>
              <w:jc w:val="center"/>
              <w:rPr>
                <w:rFonts w:ascii="Times New Roman" w:hAnsi="Times New Roman" w:cs="Times New Roman" w:eastAsia="Times New Roman" w:hint="default"/>
                <w:sz w:val="18"/>
                <w:szCs w:val="18"/>
              </w:rPr>
            </w:pPr>
            <w:r>
              <w:rPr>
                <w:rFonts w:ascii="Times New Roman"/>
                <w:sz w:val="18"/>
              </w:rPr>
              <w:t>12.96%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366,250.56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1,645,855.07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14.38%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329,171.01</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1,932,426.89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13.68%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966,213.45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1,173,259.15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10.25%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586,629.58</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14,126,510.28</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1,941,877.22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11,445,460.97</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1,538,158.13</w:t>
            </w:r>
          </w:p>
        </w:tc>
      </w:tr>
    </w:tbl>
    <w:p>
      <w:pPr>
        <w:pStyle w:val="BodyText"/>
        <w:spacing w:line="240" w:lineRule="auto" w:before="49"/>
        <w:ind w:right="0"/>
        <w:jc w:val="left"/>
      </w:pPr>
      <w:r>
        <w:rPr/>
        <w:t>组合中，采用余额百分比法计提坏账准备的其他应收款</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38" w:lineRule="auto" w:before="41"/>
        <w:ind w:right="6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）本报告期其他应收款中持有公司</w:t>
      </w:r>
      <w:r>
        <w:rPr>
          <w:spacing w:val="-53"/>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本报告期其他应收款中无持有公司</w:t>
      </w:r>
      <w:r>
        <w:rPr>
          <w:spacing w:val="-45"/>
        </w:rPr>
        <w:t> </w:t>
      </w:r>
      <w:r>
        <w:rPr>
          <w:rFonts w:ascii="Times New Roman" w:hAnsi="Times New Roman" w:cs="Times New Roman" w:eastAsia="Times New Roman" w:hint="default"/>
        </w:rPr>
        <w:t>5%</w:t>
      </w:r>
      <w:r>
        <w:rPr/>
        <w:t>（含</w:t>
      </w:r>
      <w:r>
        <w:rPr>
          <w:spacing w:val="-46"/>
        </w:rPr>
        <w:t> </w:t>
      </w:r>
      <w:r>
        <w:rPr>
          <w:rFonts w:ascii="Times New Roman" w:hAnsi="Times New Roman" w:cs="Times New Roman" w:eastAsia="Times New Roman" w:hint="default"/>
        </w:rPr>
        <w:t>5%</w:t>
      </w:r>
      <w:r>
        <w:rPr/>
        <w:t>）以上表决权的股东单位。</w:t>
      </w:r>
    </w:p>
    <w:p>
      <w:pPr>
        <w:spacing w:after="0" w:line="240" w:lineRule="auto"/>
        <w:jc w:val="left"/>
        <w:sectPr>
          <w:type w:val="continuous"/>
          <w:pgSz w:w="11910" w:h="16840"/>
          <w:pgMar w:top="1060" w:bottom="1540" w:left="980" w:right="0"/>
        </w:sectPr>
      </w:pPr>
    </w:p>
    <w:p>
      <w:pPr>
        <w:spacing w:line="240" w:lineRule="auto" w:before="3"/>
        <w:rPr>
          <w:rFonts w:ascii="宋体" w:hAnsi="宋体" w:cs="宋体" w:eastAsia="宋体" w:hint="default"/>
          <w:sz w:val="25"/>
          <w:szCs w:val="25"/>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3</w:t>
      </w:r>
      <w:r>
        <w:rPr/>
        <w:t>）其他应收款金额前五名单位情况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1,667,579.61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政府部门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6.05%</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6,237,579.61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2"/>
        <w:gridCol w:w="3199"/>
        <w:gridCol w:w="1064"/>
        <w:gridCol w:w="3053"/>
        <w:gridCol w:w="1063"/>
      </w:tblGrid>
      <w:tr>
        <w:trPr>
          <w:trHeight w:val="206" w:hRule="exact"/>
        </w:trPr>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192"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7" w:hRule="exact"/>
        </w:trPr>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1,650,280.51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79.46%</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2,071,676.22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97.54%</w:t>
            </w: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376,297.50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18.12%</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0.09%</w:t>
            </w: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50,256.46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50,256.46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w:t>
            </w: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2,076,834.47</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2,123,932.68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预付款项账龄的说明</w:t>
      </w:r>
    </w:p>
    <w:p>
      <w:pPr>
        <w:spacing w:line="240" w:lineRule="auto" w:before="11"/>
        <w:rPr>
          <w:rFonts w:ascii="宋体" w:hAnsi="宋体" w:cs="宋体" w:eastAsia="宋体" w:hint="default"/>
          <w:sz w:val="14"/>
          <w:szCs w:val="14"/>
        </w:rPr>
      </w:pPr>
    </w:p>
    <w:p>
      <w:pPr>
        <w:pStyle w:val="BodyText"/>
        <w:spacing w:line="240" w:lineRule="auto"/>
        <w:ind w:left="513" w:right="0"/>
        <w:jc w:val="left"/>
      </w:pPr>
      <w:r>
        <w:rPr/>
        <w:t>本公司</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年以内的预付款项占全部预付款项的</w:t>
      </w:r>
      <w:r>
        <w:rPr>
          <w:spacing w:val="-45"/>
        </w:rPr>
        <w:t> </w:t>
      </w:r>
      <w:r>
        <w:rPr>
          <w:rFonts w:ascii="Times New Roman" w:hAnsi="Times New Roman" w:cs="Times New Roman" w:eastAsia="Times New Roman" w:hint="default"/>
        </w:rPr>
        <w:t>79.46%</w:t>
      </w:r>
      <w:r>
        <w:rPr/>
        <w:t>。</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1560"/>
        <w:gridCol w:w="1208"/>
        <w:gridCol w:w="1913"/>
        <w:gridCol w:w="1916"/>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广州市彩之源印务有限公司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387,007.96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济南市历城区供电公司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333,553.30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库尔兹烫印器材销售</w:t>
            </w:r>
            <w:r>
              <w:rPr>
                <w:rFonts w:ascii="Times New Roman" w:hAnsi="Times New Roman" w:cs="Times New Roman" w:eastAsia="Times New Roman" w:hint="default"/>
                <w:sz w:val="18"/>
                <w:szCs w:val="18"/>
              </w:rPr>
              <w:t>(</w:t>
            </w:r>
            <w:r>
              <w:rPr>
                <w:rFonts w:ascii="宋体" w:hAnsi="宋体" w:cs="宋体" w:eastAsia="宋体" w:hint="default"/>
                <w:sz w:val="18"/>
                <w:szCs w:val="18"/>
              </w:rPr>
              <w:t>合肥</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315,840.00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上海市电力公司闵行区供电分公司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广州市榆萱文化用品有限公司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117,914.40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979"/>
        <w:gridCol w:w="1549"/>
        <w:gridCol w:w="1218"/>
        <w:gridCol w:w="1914"/>
        <w:gridCol w:w="1914"/>
      </w:tblGrid>
      <w:tr>
        <w:trPr>
          <w:trHeight w:val="404"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121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27" w:right="0"/>
              <w:jc w:val="left"/>
              <w:rPr>
                <w:rFonts w:ascii="Times New Roman" w:hAnsi="Times New Roman" w:cs="Times New Roman" w:eastAsia="Times New Roman" w:hint="default"/>
                <w:sz w:val="18"/>
                <w:szCs w:val="18"/>
              </w:rPr>
            </w:pPr>
            <w:r>
              <w:rPr>
                <w:rFonts w:ascii="Times New Roman"/>
                <w:sz w:val="18"/>
              </w:rPr>
              <w:t>1,372,115.66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436" w:lineRule="auto" w:before="49"/>
        <w:ind w:left="513" w:right="7153" w:hanging="361"/>
        <w:jc w:val="left"/>
      </w:pPr>
      <w:r>
        <w:rPr/>
        <w:t>预付款项主要单位的说明 本公司预付款单位全部为本公司供应商。</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3"/>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本报告期预付款项中无持有公司</w:t>
      </w:r>
      <w:r>
        <w:rPr>
          <w:spacing w:val="-46"/>
        </w:rPr>
        <w:t> </w:t>
      </w:r>
      <w:r>
        <w:rPr>
          <w:rFonts w:ascii="Times New Roman" w:hAnsi="Times New Roman" w:cs="Times New Roman" w:eastAsia="Times New Roman" w:hint="default"/>
        </w:rPr>
        <w:t>5%</w:t>
      </w:r>
      <w:r>
        <w:rPr/>
        <w:t>（含</w:t>
      </w:r>
      <w:r>
        <w:rPr>
          <w:spacing w:val="-47"/>
        </w:rPr>
        <w:t> </w:t>
      </w:r>
      <w:r>
        <w:rPr>
          <w:rFonts w:ascii="Times New Roman" w:hAnsi="Times New Roman" w:cs="Times New Roman" w:eastAsia="Times New Roman" w:hint="default"/>
        </w:rPr>
        <w:t>5%</w:t>
      </w:r>
      <w:r>
        <w:rPr/>
        <w:t>）以上表决权的股东单位。</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7"/>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461"/>
        <w:gridCol w:w="1193"/>
        <w:gridCol w:w="1330"/>
        <w:gridCol w:w="1327"/>
        <w:gridCol w:w="1330"/>
        <w:gridCol w:w="1327"/>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4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1"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44,685,771.61</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44,685,771.61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42,055,576.68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42,055,576.68</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5,228,755.45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5,228,755.45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5,759,151.11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5,759,151.11</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49,302,731.09</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49,302,731.09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39,835,620.89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39,835,620.89</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1,945,625.23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1,945,625.23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1,466,289.83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1,466,289.83</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101,162,883.38</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101,162,883.38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89,116,638.51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89,116,638.51</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7"/>
        <w:gridCol w:w="2924"/>
        <w:gridCol w:w="3190"/>
      </w:tblGrid>
      <w:tr>
        <w:trPr>
          <w:trHeight w:val="401"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w:t>
            </w:r>
            <w:r>
              <w:rPr>
                <w:rFonts w:ascii="Times New Roman" w:hAnsi="Times New Roman" w:cs="Times New Roman" w:eastAsia="Times New Roman" w:hint="default"/>
                <w:sz w:val="18"/>
                <w:szCs w:val="18"/>
              </w:rPr>
              <w:t>-</w:t>
            </w:r>
            <w:r>
              <w:rPr>
                <w:rFonts w:ascii="宋体" w:hAnsi="宋体" w:cs="宋体" w:eastAsia="宋体" w:hint="default"/>
                <w:sz w:val="18"/>
                <w:szCs w:val="18"/>
              </w:rPr>
              <w:t>厂房租金</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59,802.90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79,935.60</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w:t>
            </w:r>
            <w:r>
              <w:rPr>
                <w:rFonts w:ascii="Times New Roman" w:hAnsi="Times New Roman" w:cs="Times New Roman" w:eastAsia="Times New Roman" w:hint="default"/>
                <w:sz w:val="18"/>
                <w:szCs w:val="18"/>
              </w:rPr>
              <w:t>-</w:t>
            </w:r>
            <w:r>
              <w:rPr>
                <w:rFonts w:ascii="宋体" w:hAnsi="宋体" w:cs="宋体" w:eastAsia="宋体" w:hint="default"/>
                <w:sz w:val="18"/>
                <w:szCs w:val="18"/>
              </w:rPr>
              <w:t>保险费</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199,908.32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243,535.55</w:t>
            </w:r>
          </w:p>
        </w:tc>
      </w:tr>
      <w:tr>
        <w:trPr>
          <w:trHeight w:val="404"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w:t>
            </w:r>
            <w:r>
              <w:rPr>
                <w:rFonts w:ascii="Times New Roman" w:hAnsi="Times New Roman" w:cs="Times New Roman" w:eastAsia="Times New Roman" w:hint="default"/>
                <w:sz w:val="18"/>
                <w:szCs w:val="18"/>
              </w:rPr>
              <w:t>-</w:t>
            </w:r>
            <w:r>
              <w:rPr>
                <w:rFonts w:ascii="宋体" w:hAnsi="宋体" w:cs="宋体" w:eastAsia="宋体" w:hint="default"/>
                <w:sz w:val="18"/>
                <w:szCs w:val="18"/>
              </w:rPr>
              <w:t>取暖费</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29,980.59</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w:t>
            </w:r>
            <w:r>
              <w:rPr>
                <w:rFonts w:ascii="宋体" w:hAnsi="宋体" w:cs="宋体" w:eastAsia="宋体" w:hint="default"/>
                <w:sz w:val="18"/>
                <w:szCs w:val="18"/>
              </w:rPr>
              <w:t>保本型理财</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487,911.76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62,177.30</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190,783,531.56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415,629.04</w:t>
            </w:r>
          </w:p>
        </w:tc>
      </w:tr>
    </w:tbl>
    <w:p>
      <w:pPr>
        <w:pStyle w:val="BodyText"/>
        <w:spacing w:line="240" w:lineRule="auto" w:before="49"/>
        <w:ind w:right="0"/>
        <w:jc w:val="left"/>
      </w:pPr>
      <w:r>
        <w:rPr/>
        <w:t>其他流动资产说明</w:t>
      </w:r>
    </w:p>
    <w:p>
      <w:pPr>
        <w:spacing w:after="0" w:line="240" w:lineRule="auto"/>
        <w:jc w:val="left"/>
        <w:sectPr>
          <w:pgSz w:w="11910" w:h="16840"/>
          <w:pgMar w:header="877" w:footer="1340" w:top="1060" w:bottom="1540" w:left="980" w:right="0"/>
        </w:sectPr>
      </w:pPr>
    </w:p>
    <w:p>
      <w:pPr>
        <w:spacing w:line="240" w:lineRule="auto" w:before="3"/>
        <w:rPr>
          <w:rFonts w:ascii="宋体" w:hAnsi="宋体" w:cs="宋体" w:eastAsia="宋体" w:hint="default"/>
          <w:sz w:val="25"/>
          <w:szCs w:val="25"/>
        </w:rPr>
      </w:pPr>
    </w:p>
    <w:p>
      <w:pPr>
        <w:pStyle w:val="Heading5"/>
        <w:spacing w:line="240" w:lineRule="auto" w:before="37"/>
        <w:ind w:right="0"/>
        <w:jc w:val="left"/>
        <w:rPr>
          <w:b w:val="0"/>
          <w:bCs w:val="0"/>
        </w:rPr>
      </w:pPr>
      <w:r>
        <w:rPr>
          <w:rFonts w:ascii="Times New Roman" w:hAnsi="Times New Roman" w:cs="Times New Roman" w:eastAsia="Times New Roman" w:hint="default"/>
        </w:rPr>
        <w:t>9</w:t>
      </w:r>
      <w:r>
        <w:rPr/>
        <w:t>、投资性房地产</w:t>
      </w:r>
      <w:r>
        <w:rPr>
          <w:b w:val="0"/>
          <w:bCs w:val="0"/>
        </w:rPr>
      </w:r>
    </w:p>
    <w:p>
      <w:pPr>
        <w:spacing w:line="240" w:lineRule="auto" w:before="11"/>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08"/>
        <w:gridCol w:w="2003"/>
        <w:gridCol w:w="1863"/>
        <w:gridCol w:w="1860"/>
        <w:gridCol w:w="2127"/>
      </w:tblGrid>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15,592,337.72</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15,592,337.72</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15,592,337.72</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15,592,337.72</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2,248,944.38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702,157.68</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2,951,102.06</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2,248,944.38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702,157.68</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2,951,102.06</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13,343,393.34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-702,157.68</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12,641,235.66</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13,343,393.34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-702,157.68</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12,641,235.66</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13,343,393.34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-702,157.68</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12,641,235.66</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13,343,393.34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-702,157.68</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12,641,235.66</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38"/>
        <w:gridCol w:w="4221"/>
      </w:tblGrid>
      <w:tr>
        <w:trPr>
          <w:trHeight w:val="401"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702,157.68</w:t>
            </w:r>
          </w:p>
        </w:tc>
      </w:tr>
      <w:tr>
        <w:trPr>
          <w:trHeight w:val="401"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6"/>
        <w:gridCol w:w="1473"/>
        <w:gridCol w:w="1327"/>
        <w:gridCol w:w="1594"/>
        <w:gridCol w:w="1597"/>
        <w:gridCol w:w="1459"/>
      </w:tblGrid>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971,339,353.98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67,807,070.27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443,347.61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1,038,703,076.64</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362,201,991.16</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26,924,976.74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389,126,967.90</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539,441,059.44</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38,098,052.20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71,331.60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577,467,780.04</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24,600,375.39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158,119.66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90,200.00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24,668,295.05</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45,095,927.99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2,625,921.67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281,816.01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47,440,033.65</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294,522,154.58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65,527,950.30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326,182.53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359,723,922.35</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41,977,687.58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14,728,811.99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56,706,499.57</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219,916,295.53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41,908,432.43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201,480.49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261,623,247.47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1315"/>
        <w:gridCol w:w="1594"/>
        <w:gridCol w:w="1585"/>
        <w:gridCol w:w="1471"/>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13,548,737.86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2,765,538.51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81,000.00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16,233,276.37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4"/>
              <w:jc w:val="right"/>
              <w:rPr>
                <w:rFonts w:ascii="Times New Roman" w:hAnsi="Times New Roman" w:cs="Times New Roman" w:eastAsia="Times New Roman" w:hint="default"/>
                <w:sz w:val="18"/>
                <w:szCs w:val="18"/>
              </w:rPr>
            </w:pPr>
            <w:r>
              <w:rPr>
                <w:rFonts w:ascii="Times New Roman"/>
                <w:spacing w:val="-1"/>
                <w:sz w:val="18"/>
              </w:rPr>
              <w:t>19,079,433.61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6,125,167.37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43,702.04</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25,160,898.94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676,817,199.40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678,979,154.29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320,224,303.58</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332,420,468.33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319,524,763.91</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315,844,532.57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11,051,637.53</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8,435,018.68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26,016,494.38</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22,279,134.71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53,577.91</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51,225.06</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45,453.01</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43,100.16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8,124.90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8,124.90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676,763,621.49</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678,927,929.23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320,224,303.58</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332,420,468.33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319,479,310.90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315,801,432.41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11,051,637.53</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8,435,018.68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26,008,369.48</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22,271,009.81</w:t>
            </w:r>
          </w:p>
        </w:tc>
      </w:tr>
    </w:tbl>
    <w:p>
      <w:pPr>
        <w:pStyle w:val="BodyText"/>
        <w:spacing w:line="240" w:lineRule="auto" w:before="49"/>
        <w:ind w:right="0"/>
        <w:jc w:val="left"/>
      </w:pPr>
      <w:r>
        <w:rPr/>
        <w:t>本期折旧额</w:t>
      </w:r>
      <w:r>
        <w:rPr>
          <w:spacing w:val="-47"/>
        </w:rPr>
        <w:t> </w:t>
      </w:r>
      <w:r>
        <w:rPr>
          <w:rFonts w:ascii="Times New Roman" w:hAnsi="Times New Roman" w:cs="Times New Roman" w:eastAsia="Times New Roman" w:hint="default"/>
        </w:rPr>
        <w:t>65,527,950.30</w:t>
      </w:r>
      <w:r>
        <w:rPr>
          <w:rFonts w:ascii="Times New Roman" w:hAnsi="Times New Roman" w:cs="Times New Roman" w:eastAsia="Times New Roman" w:hint="default"/>
          <w:spacing w:val="-1"/>
        </w:rPr>
        <w:t> </w:t>
      </w:r>
      <w:r>
        <w:rPr/>
        <w:t>元；本期由在建工程转入固定资产原价为</w:t>
      </w:r>
      <w:r>
        <w:rPr>
          <w:spacing w:val="-47"/>
        </w:rPr>
        <w:t> </w:t>
      </w:r>
      <w:r>
        <w:rPr>
          <w:rFonts w:ascii="Times New Roman" w:hAnsi="Times New Roman" w:cs="Times New Roman" w:eastAsia="Times New Roman" w:hint="default"/>
        </w:rPr>
        <w:t>67,807,070.27</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济南临港生产基地车间及办公楼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该生产基地科研楼今年刚刚完工，产权 证手续正在办理中</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固定资产说明</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11</w:t>
      </w:r>
      <w:r>
        <w:rPr/>
        <w:t>、在建工程</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济南临港生产基地（二期） 基建工程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126,784.40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126,784.40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9,699,730.11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9,699,730.11</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广州数据项目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64,278.00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64,278.00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7,402,467.59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7,402,467.59</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成都公司兰剑物流设备</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26,405.98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26,405.98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26,405.98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26,405.98</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信件封装机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289,006.63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289,006.63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5"/>
        <w:gridCol w:w="1196"/>
        <w:gridCol w:w="1195"/>
        <w:gridCol w:w="1196"/>
        <w:gridCol w:w="1193"/>
        <w:gridCol w:w="1196"/>
        <w:gridCol w:w="1330"/>
      </w:tblGrid>
      <w:tr>
        <w:trPr>
          <w:trHeight w:val="404"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506,475.01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506,475.01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17,128,603.68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17,128,603.68</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1337"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 入占预 算比例 </w:t>
            </w:r>
            <w:r>
              <w:rPr>
                <w:rFonts w:ascii="Times New Roman" w:hAnsi="Times New Roman" w:cs="Times New Roman" w:eastAsia="Times New Roman"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52"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济南临 港生产 </w:t>
            </w:r>
            <w:r>
              <w:rPr>
                <w:rFonts w:ascii="宋体" w:hAnsi="宋体" w:cs="宋体" w:eastAsia="宋体" w:hint="default"/>
                <w:spacing w:val="-11"/>
                <w:sz w:val="18"/>
                <w:szCs w:val="18"/>
              </w:rPr>
              <w:t>基地（一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期）基建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工程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113,950,</w:t>
            </w:r>
          </w:p>
          <w:p>
            <w:pPr>
              <w:pStyle w:val="TableParagraph"/>
              <w:spacing w:line="240" w:lineRule="auto" w:before="103"/>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9,699,73</w:t>
            </w:r>
          </w:p>
          <w:p>
            <w:pPr>
              <w:pStyle w:val="TableParagraph"/>
              <w:spacing w:line="240" w:lineRule="auto" w:before="103"/>
              <w:ind w:left="388" w:right="0"/>
              <w:jc w:val="left"/>
              <w:rPr>
                <w:rFonts w:ascii="Times New Roman" w:hAnsi="Times New Roman" w:cs="Times New Roman" w:eastAsia="Times New Roman" w:hint="default"/>
                <w:sz w:val="18"/>
                <w:szCs w:val="18"/>
              </w:rPr>
            </w:pPr>
            <w:r>
              <w:rPr>
                <w:rFonts w:ascii="Times New Roman"/>
                <w:sz w:val="18"/>
              </w:rPr>
              <w:t>0.11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16,925,2</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46.63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26,624,9</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76.74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100%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113,950,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9,699,73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0.11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16,925,2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46.63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26,624,9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76.74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414"/>
        <w:jc w:val="left"/>
      </w:pPr>
      <w:r>
        <w:rPr/>
        <w:t>在建工程项目变动情况的说明 无</w:t>
      </w:r>
    </w:p>
    <w:p>
      <w:pPr>
        <w:spacing w:line="240" w:lineRule="auto" w:before="13"/>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）重大在建工程的工程进度情况</w:t>
      </w:r>
      <w:r>
        <w:rPr>
          <w:b w:val="0"/>
          <w:bCs w:val="0"/>
        </w:rPr>
      </w:r>
    </w:p>
    <w:p>
      <w:pPr>
        <w:spacing w:line="240" w:lineRule="auto" w:before="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济南临港生产基地（一期）基建工程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b/>
          <w:bCs/>
          <w:sz w:val="19"/>
          <w:szCs w:val="19"/>
        </w:rPr>
      </w:pPr>
    </w:p>
    <w:p>
      <w:pPr>
        <w:pStyle w:val="Heading5"/>
        <w:spacing w:line="240" w:lineRule="auto" w:before="37"/>
        <w:ind w:right="0"/>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8"/>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76,383,727.55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28,271,103.95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104,654,831.50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土地房屋使用权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68,922,634.37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23,051,520.00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91,974,154.37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软件使用费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6,012,205.63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6,033,205.63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648,887.55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5,198,583.95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5,847,471.50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13,882,646.33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1,864,982.04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15,747,628.37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土地房屋使用权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8,550,631.73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1,342,064.90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9,892,696.63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软件使用费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4,444,864.70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436,428.39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4,881,293.09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87,149.90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86,488.75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173,638.65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62,501,081.22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26,406,121.91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88,907,203.13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土地房屋使用权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60,372,002.64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21,709,455.10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82,081,457.74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软件使用费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1,567,340.93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-415,428.39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1,151,912.54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561,737.65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5,112,095.20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5,673,832.85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土地房屋使用权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软件使用费</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62,501,081.22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26,406,121.91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88,907,203.13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土地房屋使用权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60,372,002.64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21,709,455.10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82,081,457.74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软件使用费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1,567,340.93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-415,428.39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1,151,912.54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561,737.65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5,112,095.20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5,673,832.85</w:t>
            </w:r>
          </w:p>
        </w:tc>
      </w:tr>
    </w:tbl>
    <w:p>
      <w:pPr>
        <w:pStyle w:val="BodyText"/>
        <w:spacing w:line="240" w:lineRule="auto" w:before="49"/>
        <w:ind w:right="0"/>
        <w:jc w:val="left"/>
      </w:pPr>
      <w:r>
        <w:rPr/>
        <w:t>本期摊销额</w:t>
      </w:r>
      <w:r>
        <w:rPr>
          <w:spacing w:val="-47"/>
        </w:rPr>
        <w:t> </w:t>
      </w:r>
      <w:r>
        <w:rPr>
          <w:rFonts w:ascii="Times New Roman" w:hAnsi="Times New Roman" w:cs="Times New Roman" w:eastAsia="Times New Roman" w:hint="default"/>
        </w:rPr>
        <w:t>1,864,982.04</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4"/>
        <w:gridCol w:w="1592"/>
        <w:gridCol w:w="1594"/>
        <w:gridCol w:w="1594"/>
      </w:tblGrid>
      <w:tr>
        <w:trPr>
          <w:trHeight w:val="401"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拟申请专利技术的 研发支出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6,220,791.03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3,984,987.45</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5,198,583.95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5,007,194.53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其他研发支出</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43,296,996.73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43,296,996.73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6,220,791.03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47,281,984.18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43,296,996.73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5,198,583.95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5,007,194.53</w:t>
            </w:r>
          </w:p>
        </w:tc>
      </w:tr>
    </w:tbl>
    <w:p>
      <w:pPr>
        <w:pStyle w:val="BodyText"/>
        <w:spacing w:line="338" w:lineRule="auto" w:before="49"/>
        <w:ind w:right="1123"/>
        <w:jc w:val="left"/>
      </w:pPr>
      <w:r>
        <w:rPr/>
        <w:t>本期开发支出占本期研究开发项目支出总额的比例</w:t>
      </w:r>
      <w:r>
        <w:rPr>
          <w:spacing w:val="-44"/>
        </w:rPr>
        <w:t> </w:t>
      </w:r>
      <w:r>
        <w:rPr>
          <w:rFonts w:ascii="Times New Roman" w:hAnsi="Times New Roman" w:cs="Times New Roman" w:eastAsia="Times New Roman" w:hint="default"/>
        </w:rPr>
        <w:t>8.43%</w:t>
      </w:r>
      <w:r>
        <w:rPr/>
        <w:t>。 通过公司内部研发形成的无形资产占无形资产期末账面价值的比例</w:t>
      </w:r>
      <w:r>
        <w:rPr>
          <w:spacing w:val="-43"/>
        </w:rPr>
        <w:t> </w:t>
      </w:r>
      <w:r>
        <w:rPr>
          <w:rFonts w:ascii="Times New Roman" w:hAnsi="Times New Roman" w:cs="Times New Roman" w:eastAsia="Times New Roman" w:hint="default"/>
        </w:rPr>
        <w:t>6.16%</w:t>
      </w:r>
      <w:r>
        <w:rPr/>
        <w:t>。 </w:t>
      </w:r>
      <w:r>
        <w:rPr>
          <w:spacing w:val="-2"/>
        </w:rPr>
        <w:t>公司开发项目的说明，包括本期发生的单项价值在</w:t>
      </w:r>
      <w:r>
        <w:rPr>
          <w:spacing w:val="-36"/>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9"/>
        </w:rPr>
        <w:t> </w:t>
      </w:r>
      <w:r>
        <w:rPr>
          <w:spacing w:val="-2"/>
        </w:rPr>
        <w:t>万元以上且以评估值为入账依据的，应披露评估机构名称、评估方法</w:t>
      </w:r>
      <w:r>
        <w:rPr>
          <w:spacing w:val="-88"/>
        </w:rPr>
        <w:t> </w:t>
      </w:r>
      <w:r>
        <w:rPr>
          <w:spacing w:val="-88"/>
        </w:rPr>
      </w:r>
      <w:r>
        <w:rPr/>
        <w:t>无</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13</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1"/>
        <w:jc w:val="right"/>
      </w:pPr>
      <w:r>
        <w:rPr/>
        <w:pict>
          <v:group style="position:absolute;margin-left:460.320007pt;margin-top:76.931717pt;width:135pt;height:77pt;mso-position-horizontal-relative:page;mso-position-vertical-relative:paragraph;z-index:-753592" coordorigin="9206,1539" coordsize="2700,1540">
            <v:shape style="position:absolute;left:9206;top:1539;width:2700;height:1540" type="#_x0000_t75" stroked="false">
              <v:imagedata r:id="rId16" o:title=""/>
            </v:shape>
            <v:shape style="position:absolute;left:10502;top:189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107</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设备租赁费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233,333.34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99,999.96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133,333.38</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银联资质认证费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550,075.00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330,585.00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219,490.00</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5"/>
          <w:footerReference w:type="default" r:id="rId56"/>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卡检测费</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783,408.34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546,384.96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468,623.38</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长期待摊费用的说明</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14</w:t>
      </w:r>
      <w:r>
        <w:rPr/>
        <w:t>、递延所得税资产和递延所得税负债</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0"/>
        <w:jc w:val="left"/>
      </w:pPr>
      <w:r>
        <w:rPr/>
        <w:t>已确认的递延所得税资产和递延所得税负债</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4"/>
        <w:gridCol w:w="2924"/>
        <w:gridCol w:w="2921"/>
      </w:tblGrid>
      <w:tr>
        <w:trPr>
          <w:trHeight w:val="409"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1,208,596.04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1,112,452.36</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4,981.91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36,031.38</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已计提未发放的工资</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1,025,539.65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239,926.35</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2,239,117.60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1,388,410.09</w:t>
            </w:r>
          </w:p>
        </w:tc>
      </w:tr>
      <w:tr>
        <w:trPr>
          <w:trHeight w:val="403"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49"/>
        <w:ind w:right="0"/>
        <w:jc w:val="left"/>
      </w:pPr>
      <w:r>
        <w:rPr/>
        <w:t>未确认递延所得税资产明细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1"/>
        <w:gridCol w:w="2934"/>
        <w:gridCol w:w="2921"/>
      </w:tblGrid>
      <w:tr>
        <w:trPr>
          <w:trHeight w:val="401"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14,714,327.61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9,210,664.88</w:t>
            </w:r>
          </w:p>
        </w:tc>
      </w:tr>
      <w:tr>
        <w:trPr>
          <w:trHeight w:val="401"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14,714,327.61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9,210,664.88</w:t>
            </w:r>
          </w:p>
        </w:tc>
      </w:tr>
    </w:tbl>
    <w:p>
      <w:pPr>
        <w:pStyle w:val="BodyText"/>
        <w:spacing w:line="240" w:lineRule="auto" w:before="49"/>
        <w:ind w:right="0"/>
        <w:jc w:val="left"/>
      </w:pPr>
      <w:r>
        <w:rPr/>
        <w:t>应纳税差异和可抵扣差异项目明细</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402" w:hRule="exact"/>
        </w:trPr>
        <w:tc>
          <w:tcPr>
            <w:tcW w:w="38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5"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7,963,486.60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7,333,889.72</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33,212.71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277,266.16</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已计提未发放的工资</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6,717,628.30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1,599,509.00</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14,714,327.61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9,210,664.88</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互抵后的递延所得税资产及负债的组成项目</w:t>
      </w:r>
    </w:p>
    <w:p>
      <w:pPr>
        <w:spacing w:after="0" w:line="240" w:lineRule="auto"/>
        <w:jc w:val="left"/>
        <w:sectPr>
          <w:footerReference w:type="default" r:id="rId57"/>
          <w:pgSz w:w="11910" w:h="16840"/>
          <w:pgMar w:footer="1334" w:header="877" w:top="1060" w:bottom="1520" w:left="980" w:right="0"/>
          <w:pgNumType w:start="108"/>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3"/>
        <w:gridCol w:w="1626"/>
        <w:gridCol w:w="1628"/>
        <w:gridCol w:w="1628"/>
        <w:gridCol w:w="1616"/>
      </w:tblGrid>
      <w:tr>
        <w:trPr>
          <w:trHeight w:val="317" w:hRule="exact"/>
        </w:trPr>
        <w:tc>
          <w:tcPr>
            <w:tcW w:w="3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6"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16" w:type="dxa"/>
            <w:vMerge/>
            <w:tcBorders>
              <w:left w:val="single" w:sz="4" w:space="0" w:color="000000"/>
              <w:right w:val="single" w:sz="4" w:space="0" w:color="000000"/>
            </w:tcBorders>
            <w:shd w:val="clear" w:color="auto" w:fill="D2D2D2"/>
          </w:tcPr>
          <w:p>
            <w:pPr/>
          </w:p>
        </w:tc>
      </w:tr>
      <w:tr>
        <w:trPr>
          <w:trHeight w:val="317" w:hRule="exact"/>
        </w:trPr>
        <w:tc>
          <w:tcPr>
            <w:tcW w:w="3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6"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43" w:right="0"/>
              <w:jc w:val="left"/>
              <w:rPr>
                <w:rFonts w:ascii="Times New Roman" w:hAnsi="Times New Roman" w:cs="Times New Roman" w:eastAsia="Times New Roman" w:hint="default"/>
                <w:sz w:val="18"/>
                <w:szCs w:val="18"/>
              </w:rPr>
            </w:pPr>
            <w:r>
              <w:rPr>
                <w:rFonts w:ascii="Times New Roman"/>
                <w:sz w:val="18"/>
              </w:rPr>
              <w:t>2,239,117.60</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1,388,410.09</w:t>
            </w: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rFonts w:ascii="Times New Roman" w:hAnsi="Times New Roman" w:cs="Times New Roman" w:eastAsia="Times New Roman" w:hint="default"/>
        </w:rPr>
        <w:t>15</w:t>
      </w:r>
      <w:r>
        <w:rPr/>
        <w:t>、资产减值准备明细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54"/>
        <w:gridCol w:w="1527"/>
        <w:gridCol w:w="1529"/>
        <w:gridCol w:w="1399"/>
        <w:gridCol w:w="1397"/>
        <w:gridCol w:w="1452"/>
      </w:tblGrid>
      <w:tr>
        <w:trPr>
          <w:trHeight w:val="206" w:hRule="exact"/>
        </w:trPr>
        <w:tc>
          <w:tcPr>
            <w:tcW w:w="22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2254"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7,280,311.81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724,342.73</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92,393.00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7,912,261.54</w:t>
            </w:r>
          </w:p>
        </w:tc>
      </w:tr>
      <w:tr>
        <w:trPr>
          <w:trHeight w:val="401"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53,577.91</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2,352.85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51,225.06</w:t>
            </w:r>
          </w:p>
        </w:tc>
      </w:tr>
      <w:tr>
        <w:trPr>
          <w:trHeight w:val="403"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7,333,889.72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724,342.73</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94,745.85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7,963,486.60</w:t>
            </w:r>
          </w:p>
        </w:tc>
      </w:tr>
    </w:tbl>
    <w:p>
      <w:pPr>
        <w:pStyle w:val="BodyText"/>
        <w:spacing w:line="240" w:lineRule="auto" w:before="49"/>
        <w:ind w:right="0"/>
        <w:jc w:val="left"/>
      </w:pPr>
      <w:r>
        <w:rPr/>
        <w:t>资产减值明细情况的说明</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16</w:t>
      </w:r>
      <w:r>
        <w:rPr/>
        <w:t>、应付票据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74,165,902.22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71,894,750.28</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74,165,902.22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71,894,750.28</w:t>
            </w:r>
          </w:p>
        </w:tc>
      </w:tr>
    </w:tbl>
    <w:p>
      <w:pPr>
        <w:pStyle w:val="BodyText"/>
        <w:spacing w:line="340" w:lineRule="auto" w:before="49"/>
        <w:ind w:right="7109"/>
        <w:jc w:val="left"/>
      </w:pPr>
      <w:r>
        <w:rPr/>
        <w:t>下一会计期间将到期的金额</w:t>
      </w:r>
      <w:r>
        <w:rPr>
          <w:spacing w:val="-46"/>
        </w:rPr>
        <w:t> </w:t>
      </w:r>
      <w:r>
        <w:rPr>
          <w:rFonts w:ascii="Times New Roman" w:hAnsi="Times New Roman" w:cs="Times New Roman" w:eastAsia="Times New Roman" w:hint="default"/>
        </w:rPr>
        <w:t>74,165,902.22</w:t>
      </w:r>
      <w:r>
        <w:rPr>
          <w:rFonts w:ascii="Times New Roman" w:hAnsi="Times New Roman" w:cs="Times New Roman" w:eastAsia="Times New Roman" w:hint="default"/>
          <w:spacing w:val="1"/>
        </w:rPr>
        <w:t> </w:t>
      </w:r>
      <w:r>
        <w:rPr/>
        <w:t>元。 应付票据的说明</w:t>
      </w:r>
    </w:p>
    <w:p>
      <w:pPr>
        <w:spacing w:line="240" w:lineRule="auto" w:before="10"/>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17</w:t>
      </w:r>
      <w:r>
        <w:rPr/>
        <w:t>、应付账款</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应付购货款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112,893,266.26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113,845,351.02</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112,893,266.26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113,845,351.02</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4"/>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1334" w:top="1060" w:bottom="1540" w:left="980" w:right="0"/>
        </w:sectPr>
      </w:pPr>
    </w:p>
    <w:p>
      <w:pPr>
        <w:spacing w:line="240" w:lineRule="auto" w:before="3"/>
        <w:rPr>
          <w:rFonts w:ascii="宋体" w:hAnsi="宋体" w:cs="宋体" w:eastAsia="宋体" w:hint="default"/>
          <w:sz w:val="25"/>
          <w:szCs w:val="25"/>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3"/>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3207"/>
        <w:gridCol w:w="1963"/>
        <w:gridCol w:w="1702"/>
        <w:gridCol w:w="1877"/>
      </w:tblGrid>
      <w:tr>
        <w:trPr>
          <w:trHeight w:val="353" w:hRule="exact"/>
        </w:trPr>
        <w:tc>
          <w:tcPr>
            <w:tcW w:w="3207"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债权人名称</w:t>
            </w:r>
          </w:p>
        </w:tc>
        <w:tc>
          <w:tcPr>
            <w:tcW w:w="1963"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2"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未偿还的原因</w:t>
            </w:r>
          </w:p>
        </w:tc>
        <w:tc>
          <w:tcPr>
            <w:tcW w:w="1877" w:type="dxa"/>
            <w:tcBorders>
              <w:top w:val="single" w:sz="6" w:space="0" w:color="000000"/>
              <w:left w:val="single" w:sz="6" w:space="0" w:color="000000"/>
              <w:bottom w:val="single" w:sz="12" w:space="0" w:color="000000"/>
              <w:right w:val="nil" w:sz="6" w:space="0" w:color="auto"/>
            </w:tcBorders>
            <w:shd w:val="clear" w:color="auto" w:fill="D9D9D9"/>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报表日后是否归还</w:t>
            </w:r>
          </w:p>
        </w:tc>
      </w:tr>
      <w:tr>
        <w:trPr>
          <w:trHeight w:val="353"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东莞天盛特种纸制品有限公司</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371,938.50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c>
          <w:tcPr>
            <w:tcW w:w="18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北京建峰建设装饰工程集团</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182,250.00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c>
          <w:tcPr>
            <w:tcW w:w="18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深圳市博泰印刷设备有限公司</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192,840.00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c>
          <w:tcPr>
            <w:tcW w:w="18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tabs>
                <w:tab w:pos="544" w:val="left" w:leader="none"/>
              </w:tabs>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747,028.50</w:t>
            </w:r>
          </w:p>
        </w:tc>
        <w:tc>
          <w:tcPr>
            <w:tcW w:w="1702" w:type="dxa"/>
            <w:tcBorders>
              <w:top w:val="single" w:sz="12" w:space="0" w:color="000000"/>
              <w:left w:val="single" w:sz="6" w:space="0" w:color="000000"/>
              <w:bottom w:val="single" w:sz="12" w:space="0" w:color="000000"/>
              <w:right w:val="single" w:sz="6" w:space="0" w:color="000000"/>
            </w:tcBorders>
          </w:tcPr>
          <w:p>
            <w:pPr/>
          </w:p>
        </w:tc>
        <w:tc>
          <w:tcPr>
            <w:tcW w:w="1877"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pStyle w:val="Heading5"/>
        <w:spacing w:line="240" w:lineRule="auto" w:before="37"/>
        <w:ind w:right="0"/>
        <w:jc w:val="left"/>
        <w:rPr>
          <w:b w:val="0"/>
          <w:bCs w:val="0"/>
        </w:rPr>
      </w:pPr>
      <w:r>
        <w:rPr>
          <w:rFonts w:ascii="Times New Roman" w:hAnsi="Times New Roman" w:cs="Times New Roman" w:eastAsia="Times New Roman" w:hint="default"/>
        </w:rPr>
        <w:t>18</w:t>
      </w:r>
      <w:r>
        <w:rPr/>
        <w:t>、预收账款</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45,093,386.37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22,315,644.85</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45,093,386.37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22,315,644.85</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4"/>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本报告期预收账款中无持有公司</w:t>
      </w:r>
      <w:r>
        <w:rPr>
          <w:spacing w:val="-45"/>
        </w:rPr>
        <w:t> </w:t>
      </w:r>
      <w:r>
        <w:rPr>
          <w:rFonts w:ascii="Times New Roman" w:hAnsi="Times New Roman" w:cs="Times New Roman" w:eastAsia="Times New Roman" w:hint="default"/>
        </w:rPr>
        <w:t>5%</w:t>
      </w:r>
      <w:r>
        <w:rPr/>
        <w:t>（含</w:t>
      </w:r>
      <w:r>
        <w:rPr>
          <w:spacing w:val="-46"/>
        </w:rPr>
        <w:t> </w:t>
      </w:r>
      <w:r>
        <w:rPr>
          <w:rFonts w:ascii="Times New Roman" w:hAnsi="Times New Roman" w:cs="Times New Roman" w:eastAsia="Times New Roman" w:hint="default"/>
        </w:rPr>
        <w:t>5%</w:t>
      </w:r>
      <w:r>
        <w:rPr/>
        <w:t>）以上表决权的股东单位。</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19</w:t>
      </w:r>
      <w:r>
        <w:rPr/>
        <w:t>、应付职工薪酬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4"/>
        <w:gridCol w:w="1874"/>
        <w:gridCol w:w="1992"/>
        <w:gridCol w:w="2259"/>
        <w:gridCol w:w="1860"/>
      </w:tblGrid>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5"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1,599,509.00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68,079,422.18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62,961,302.88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6,717,628.30</w:t>
            </w: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4,315,862.36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4,315,862.36</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19,285,129.67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19,285,129.67</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6,006,846.46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6,006,846.46</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6,559,876.86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3,203,857.52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1,112,269.89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8,651,464.49</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8,159,385.86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100,891,118.19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93,681,411.26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15,369,092.79</w:t>
            </w:r>
          </w:p>
        </w:tc>
      </w:tr>
    </w:tbl>
    <w:p>
      <w:pPr>
        <w:pStyle w:val="BodyText"/>
        <w:spacing w:line="240" w:lineRule="auto" w:before="49"/>
        <w:ind w:right="0"/>
        <w:jc w:val="left"/>
      </w:pPr>
      <w:r>
        <w:rPr/>
        <w:t>应付职工薪酬中属于拖欠性质的金额</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40" w:lineRule="auto" w:before="101"/>
        <w:ind w:right="1667"/>
        <w:jc w:val="left"/>
      </w:pPr>
      <w:r>
        <w:rPr/>
        <w:t>工会经费和职工教育经费金额</w:t>
      </w:r>
      <w:r>
        <w:rPr>
          <w:spacing w:val="-46"/>
        </w:rPr>
        <w:t> </w:t>
      </w:r>
      <w:r>
        <w:rPr>
          <w:rFonts w:ascii="Times New Roman" w:hAnsi="Times New Roman" w:cs="Times New Roman" w:eastAsia="Times New Roman" w:hint="default"/>
        </w:rPr>
        <w:t>8,651,464.49</w:t>
      </w:r>
      <w:r>
        <w:rPr>
          <w:rFonts w:ascii="Times New Roman" w:hAnsi="Times New Roman" w:cs="Times New Roman" w:eastAsia="Times New Roman" w:hint="default"/>
          <w:spacing w:val="1"/>
        </w:rPr>
        <w:t> </w:t>
      </w:r>
      <w:r>
        <w:rPr/>
        <w:t>元，非货币性福利金额</w:t>
      </w:r>
      <w:r>
        <w:rPr>
          <w:spacing w:val="-47"/>
        </w:rPr>
        <w:t> </w:t>
      </w:r>
      <w:r>
        <w:rPr>
          <w:rFonts w:ascii="Times New Roman" w:hAnsi="Times New Roman" w:cs="Times New Roman" w:eastAsia="Times New Roman" w:hint="default"/>
        </w:rPr>
        <w:t>0.00 </w:t>
      </w:r>
      <w:r>
        <w:rPr/>
        <w:t>元，因解除劳动关系给予补偿</w:t>
      </w:r>
      <w:r>
        <w:rPr>
          <w:spacing w:val="-46"/>
        </w:rPr>
        <w:t> </w:t>
      </w:r>
      <w:r>
        <w:rPr>
          <w:rFonts w:ascii="Times New Roman" w:hAnsi="Times New Roman" w:cs="Times New Roman" w:eastAsia="Times New Roman" w:hint="default"/>
        </w:rPr>
        <w:t>76,000.00 </w:t>
      </w:r>
      <w:r>
        <w:rPr/>
        <w:t>元。 应付职工薪酬预计发放时间、金额等安排</w:t>
      </w:r>
    </w:p>
    <w:p>
      <w:pPr>
        <w:pStyle w:val="BodyText"/>
        <w:spacing w:line="240" w:lineRule="auto" w:before="39"/>
        <w:ind w:right="0"/>
        <w:jc w:val="left"/>
      </w:pPr>
      <w:r>
        <w:rPr/>
        <w:t>不适用</w:t>
      </w:r>
    </w:p>
    <w:p>
      <w:pPr>
        <w:spacing w:after="0" w:line="240" w:lineRule="auto"/>
        <w:jc w:val="left"/>
        <w:sectPr>
          <w:pgSz w:w="11910" w:h="16840"/>
          <w:pgMar w:header="877" w:footer="1334" w:top="1060" w:bottom="1540" w:left="980" w:right="0"/>
        </w:sectPr>
      </w:pPr>
    </w:p>
    <w:p>
      <w:pPr>
        <w:spacing w:line="240" w:lineRule="auto" w:before="3"/>
        <w:rPr>
          <w:rFonts w:ascii="宋体" w:hAnsi="宋体" w:cs="宋体" w:eastAsia="宋体" w:hint="default"/>
          <w:sz w:val="25"/>
          <w:szCs w:val="25"/>
        </w:rPr>
      </w:pPr>
    </w:p>
    <w:p>
      <w:pPr>
        <w:pStyle w:val="Heading5"/>
        <w:spacing w:line="240" w:lineRule="auto" w:before="37"/>
        <w:ind w:right="0"/>
        <w:jc w:val="left"/>
        <w:rPr>
          <w:b w:val="0"/>
          <w:bCs w:val="0"/>
        </w:rPr>
      </w:pPr>
      <w:r>
        <w:rPr>
          <w:rFonts w:ascii="Times New Roman" w:hAnsi="Times New Roman" w:cs="Times New Roman" w:eastAsia="Times New Roman" w:hint="default"/>
        </w:rPr>
        <w:t>20</w:t>
      </w:r>
      <w:r>
        <w:rPr/>
        <w:t>、应交税费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5,781,510.79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4,149,777.78</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26,109.34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61,945.53</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5,907,831.17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804,930.28</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78,474.62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71,019.92</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395,705.41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418,591.15</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243,292.18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107,458.24</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559,772.40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715,907.25</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468,977.90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332,722.10</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堤防维护费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46,196.56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45,851.46</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48,094.54</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34,443.93</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13,590,408.84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6,708,203.71</w:t>
            </w:r>
          </w:p>
        </w:tc>
      </w:tr>
    </w:tbl>
    <w:p>
      <w:pPr>
        <w:pStyle w:val="BodyText"/>
        <w:spacing w:line="357" w:lineRule="auto" w:before="49"/>
        <w:ind w:right="2474"/>
        <w:jc w:val="left"/>
      </w:pPr>
      <w:r>
        <w:rPr/>
        <w:t>应交税费说明，所在地税务机关同意各分公司、分厂之间应纳税所得额相互调剂的，应说明税款计算过程 无</w:t>
      </w:r>
    </w:p>
    <w:p>
      <w:pPr>
        <w:spacing w:line="240" w:lineRule="auto" w:before="13"/>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21</w:t>
      </w:r>
      <w:r>
        <w:rPr/>
        <w:t>、应付股利</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2"/>
        <w:gridCol w:w="1994"/>
        <w:gridCol w:w="2127"/>
        <w:gridCol w:w="2657"/>
      </w:tblGrid>
      <w:tr>
        <w:trPr>
          <w:trHeight w:val="402"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英属维尔京群岛欣泉有限公司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39,887.41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1,514,468.36</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39,887.41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1,514,468.36</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9354"/>
        <w:jc w:val="left"/>
      </w:pPr>
      <w:r>
        <w:rPr/>
        <w:t>应付股利的说明 无</w:t>
      </w:r>
    </w:p>
    <w:p>
      <w:pPr>
        <w:spacing w:line="240" w:lineRule="auto" w:before="13"/>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22</w:t>
      </w:r>
      <w:r>
        <w:rPr/>
        <w:t>、其他应付款</w:t>
      </w:r>
      <w:r>
        <w:rPr>
          <w:b w:val="0"/>
          <w:bCs w:val="0"/>
        </w:rPr>
      </w:r>
    </w:p>
    <w:p>
      <w:pPr>
        <w:spacing w:line="240" w:lineRule="auto" w:before="11"/>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19,752,767.98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18,393,780.83</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13,007,727.32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7,352,255.30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32,760,495.30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25,746,036.13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34" w:top="1060" w:bottom="1540" w:left="980" w:right="0"/>
        </w:sectPr>
      </w:pPr>
    </w:p>
    <w:p>
      <w:pPr>
        <w:spacing w:line="240" w:lineRule="auto" w:before="3"/>
        <w:rPr>
          <w:rFonts w:ascii="宋体" w:hAnsi="宋体" w:cs="宋体" w:eastAsia="宋体" w:hint="default"/>
          <w:sz w:val="25"/>
          <w:szCs w:val="25"/>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4"/>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本报告期其他应付款中无持有公司</w:t>
      </w:r>
      <w:r>
        <w:rPr>
          <w:spacing w:val="-45"/>
        </w:rPr>
        <w:t> </w:t>
      </w:r>
      <w:r>
        <w:rPr>
          <w:rFonts w:ascii="Times New Roman" w:hAnsi="Times New Roman" w:cs="Times New Roman" w:eastAsia="Times New Roman" w:hint="default"/>
        </w:rPr>
        <w:t>5</w:t>
      </w:r>
      <w:r>
        <w:rPr/>
        <w:t>％（含</w:t>
      </w:r>
      <w:r>
        <w:rPr>
          <w:spacing w:val="-46"/>
        </w:rPr>
        <w:t> </w:t>
      </w:r>
      <w:r>
        <w:rPr>
          <w:rFonts w:ascii="Times New Roman" w:hAnsi="Times New Roman" w:cs="Times New Roman" w:eastAsia="Times New Roman" w:hint="default"/>
        </w:rPr>
        <w:t>5</w:t>
      </w:r>
      <w:r>
        <w:rPr/>
        <w:t>％）以上表决权股份的股东单位款项单位。</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3"/>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3229"/>
        <w:gridCol w:w="2268"/>
        <w:gridCol w:w="1843"/>
        <w:gridCol w:w="1875"/>
      </w:tblGrid>
      <w:tr>
        <w:trPr>
          <w:trHeight w:val="348" w:hRule="exact"/>
        </w:trPr>
        <w:tc>
          <w:tcPr>
            <w:tcW w:w="32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债权人名称</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6" w:right="0"/>
              <w:jc w:val="center"/>
              <w:rPr>
                <w:rFonts w:ascii="宋体" w:hAnsi="宋体" w:cs="宋体" w:eastAsia="宋体" w:hint="default"/>
                <w:sz w:val="18"/>
                <w:szCs w:val="18"/>
              </w:rPr>
            </w:pPr>
            <w:r>
              <w:rPr>
                <w:rFonts w:ascii="宋体" w:hAnsi="宋体" w:cs="宋体" w:eastAsia="宋体" w:hint="default"/>
                <w:sz w:val="18"/>
                <w:szCs w:val="18"/>
              </w:rPr>
              <w:t>未偿还的原因</w:t>
            </w:r>
          </w:p>
        </w:tc>
        <w:tc>
          <w:tcPr>
            <w:tcW w:w="18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3" w:right="0"/>
              <w:jc w:val="center"/>
              <w:rPr>
                <w:rFonts w:ascii="宋体" w:hAnsi="宋体" w:cs="宋体" w:eastAsia="宋体" w:hint="default"/>
                <w:sz w:val="18"/>
                <w:szCs w:val="18"/>
              </w:rPr>
            </w:pPr>
            <w:r>
              <w:rPr>
                <w:rFonts w:ascii="宋体" w:hAnsi="宋体" w:cs="宋体" w:eastAsia="宋体" w:hint="default"/>
                <w:sz w:val="18"/>
                <w:szCs w:val="18"/>
              </w:rPr>
              <w:t>报表日后是否归还</w:t>
            </w:r>
          </w:p>
        </w:tc>
      </w:tr>
      <w:tr>
        <w:trPr>
          <w:trHeight w:val="346" w:hRule="exact"/>
        </w:trPr>
        <w:tc>
          <w:tcPr>
            <w:tcW w:w="322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山东三箭建筑工程股份有限公司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3,826,799.57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工程尾款</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上海东江建筑装饰工程有限公司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工程尾款</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济南信高工程技术有限公司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848,096.00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工程尾款</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山东安泰智能工程有限公司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1,172,216.32</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工程尾款</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tabs>
                <w:tab w:pos="545" w:val="left" w:leader="none"/>
              </w:tabs>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7,547,111.89</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7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spacing w:line="3135" w:lineRule="exact"/>
        <w:ind w:left="184"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4181475" cy="1990725"/>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58" cstate="print"/>
                    <a:stretch>
                      <a:fillRect/>
                    </a:stretch>
                  </pic:blipFill>
                  <pic:spPr>
                    <a:xfrm>
                      <a:off x="0" y="0"/>
                      <a:ext cx="4181475" cy="1990725"/>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23</w:t>
      </w:r>
      <w:r>
        <w:rPr/>
        <w:t>、其他流动负债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bl>
    <w:p>
      <w:pPr>
        <w:pStyle w:val="BodyText"/>
        <w:spacing w:line="360" w:lineRule="auto" w:before="49"/>
        <w:ind w:right="9314"/>
        <w:jc w:val="left"/>
      </w:pPr>
      <w:r>
        <w:rPr/>
        <w:t>其他流动负债说明 无</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24</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401"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334" w:top="1060" w:bottom="152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40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126,414,172.00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126,414,172.00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-80,000.00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126,334,172.00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252,748,344.00</w:t>
            </w:r>
          </w:p>
        </w:tc>
      </w:tr>
    </w:tbl>
    <w:p>
      <w:pPr>
        <w:pStyle w:val="BodyText"/>
        <w:spacing w:line="240" w:lineRule="auto" w:before="49"/>
        <w:ind w:right="0"/>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3"/>
        </w:rPr>
        <w:t> </w:t>
      </w:r>
      <w:r>
        <w:rPr>
          <w:rFonts w:ascii="Times New Roman" w:hAnsi="Times New Roman" w:cs="Times New Roman" w:eastAsia="Times New Roman" w:hint="default"/>
        </w:rPr>
        <w:t>3</w:t>
      </w:r>
    </w:p>
    <w:p>
      <w:pPr>
        <w:pStyle w:val="BodyText"/>
        <w:spacing w:line="439" w:lineRule="auto" w:before="60"/>
        <w:ind w:left="633" w:right="0" w:hanging="481"/>
        <w:jc w:val="left"/>
      </w:pPr>
      <w:r>
        <w:rPr/>
        <w:t>年的股份有限公司，设立前的年份只需说明净资产情况；有限责任公司整体变更为股份公司应说明公司设立时的验资情况 </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25</w:t>
      </w:r>
      <w:r>
        <w:rPr/>
        <w:t>日，根据本公司第三届董事会第二十四次会议决议和</w:t>
      </w:r>
      <w:r>
        <w:rPr>
          <w:rFonts w:ascii="宋体" w:hAnsi="宋体" w:cs="宋体" w:eastAsia="宋体" w:hint="default"/>
        </w:rPr>
        <w:t>2011</w:t>
      </w:r>
      <w:r>
        <w:rPr/>
        <w:t>年度股东大会决议，本公司公司按每</w:t>
      </w:r>
      <w:r>
        <w:rPr>
          <w:rFonts w:ascii="宋体" w:hAnsi="宋体" w:cs="宋体" w:eastAsia="宋体" w:hint="default"/>
        </w:rPr>
        <w:t>10</w:t>
      </w:r>
      <w:r>
        <w:rPr/>
        <w:t>股转增</w:t>
      </w:r>
    </w:p>
    <w:p>
      <w:pPr>
        <w:pStyle w:val="BodyText"/>
        <w:spacing w:line="477" w:lineRule="auto" w:before="83"/>
        <w:ind w:left="0" w:right="1131"/>
        <w:jc w:val="right"/>
      </w:pPr>
      <w:r>
        <w:rPr>
          <w:rFonts w:ascii="宋体" w:hAnsi="宋体" w:cs="宋体" w:eastAsia="宋体" w:hint="default"/>
          <w:spacing w:val="-3"/>
        </w:rPr>
        <w:t>10</w:t>
      </w:r>
      <w:r>
        <w:rPr>
          <w:spacing w:val="-3"/>
        </w:rPr>
        <w:t>股的比例，以资本公积向全体股东转增股份</w:t>
      </w:r>
      <w:r>
        <w:rPr>
          <w:rFonts w:ascii="宋体" w:hAnsi="宋体" w:cs="宋体" w:eastAsia="宋体" w:hint="default"/>
          <w:spacing w:val="-3"/>
        </w:rPr>
        <w:t>126,414.172.00</w:t>
      </w:r>
      <w:r>
        <w:rPr>
          <w:spacing w:val="-3"/>
        </w:rPr>
        <w:t>股，每股面值</w:t>
      </w:r>
      <w:r>
        <w:rPr>
          <w:rFonts w:ascii="宋体" w:hAnsi="宋体" w:cs="宋体" w:eastAsia="宋体" w:hint="default"/>
          <w:spacing w:val="-3"/>
        </w:rPr>
        <w:t>1</w:t>
      </w:r>
      <w:r>
        <w:rPr>
          <w:spacing w:val="-3"/>
        </w:rPr>
        <w:t>元，变更后本公司总股本为</w:t>
      </w:r>
      <w:r>
        <w:rPr>
          <w:rFonts w:ascii="宋体" w:hAnsi="宋体" w:cs="宋体" w:eastAsia="宋体" w:hint="default"/>
          <w:spacing w:val="-3"/>
        </w:rPr>
        <w:t>252,828,344.00</w:t>
      </w:r>
      <w:r>
        <w:rPr>
          <w:spacing w:val="-3"/>
        </w:rPr>
        <w:t>元。 </w:t>
      </w:r>
      <w:r>
        <w:rPr>
          <w:spacing w:val="-1"/>
        </w:rPr>
        <w:t>根据本公司第四届董事会第三次会议决议和</w:t>
      </w:r>
      <w:r>
        <w:rPr>
          <w:rFonts w:ascii="宋体" w:hAnsi="宋体" w:cs="宋体" w:eastAsia="宋体" w:hint="default"/>
          <w:spacing w:val="-1"/>
        </w:rPr>
        <w:t>2012</w:t>
      </w:r>
      <w:r>
        <w:rPr>
          <w:spacing w:val="-1"/>
        </w:rPr>
        <w:t>年第二次临时股东大会决议，本公司回购员工张峰、包士明持有的已</w:t>
      </w:r>
      <w:r>
        <w:rPr/>
        <w:t> </w:t>
      </w:r>
      <w:r>
        <w:rPr>
          <w:spacing w:val="-2"/>
        </w:rPr>
        <w:t>获授权但尚未解锁的</w:t>
      </w:r>
      <w:r>
        <w:rPr>
          <w:rFonts w:ascii="宋体" w:hAnsi="宋体" w:cs="宋体" w:eastAsia="宋体" w:hint="default"/>
          <w:spacing w:val="-2"/>
        </w:rPr>
        <w:t>80,000</w:t>
      </w:r>
      <w:r>
        <w:rPr>
          <w:spacing w:val="-2"/>
        </w:rPr>
        <w:t>股限制性股票。本次回购完成后，本公司总股本变更为</w:t>
      </w:r>
      <w:r>
        <w:rPr>
          <w:rFonts w:ascii="宋体" w:hAnsi="宋体" w:cs="宋体" w:eastAsia="宋体" w:hint="default"/>
          <w:spacing w:val="-2"/>
        </w:rPr>
        <w:t>252,748,344.00</w:t>
      </w:r>
      <w:r>
        <w:rPr>
          <w:spacing w:val="-2"/>
        </w:rPr>
        <w:t>元，其中无限售条件流通</w:t>
      </w:r>
    </w:p>
    <w:p>
      <w:pPr>
        <w:pStyle w:val="BodyText"/>
        <w:spacing w:line="240" w:lineRule="auto" w:before="54"/>
        <w:ind w:right="0"/>
        <w:jc w:val="left"/>
      </w:pPr>
      <w:r>
        <w:rPr/>
        <w:t>股股本</w:t>
      </w:r>
      <w:r>
        <w:rPr>
          <w:rFonts w:ascii="宋体" w:hAnsi="宋体" w:cs="宋体" w:eastAsia="宋体" w:hint="default"/>
        </w:rPr>
        <w:t>249,373,344.00</w:t>
      </w:r>
      <w:r>
        <w:rPr/>
        <w:t>元，有限售条件流通股股本</w:t>
      </w:r>
      <w:r>
        <w:rPr>
          <w:rFonts w:ascii="宋体" w:hAnsi="宋体" w:cs="宋体" w:eastAsia="宋体" w:hint="default"/>
        </w:rPr>
        <w:t>3,375,000.00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5"/>
        <w:spacing w:line="240" w:lineRule="auto"/>
        <w:ind w:right="0"/>
        <w:jc w:val="left"/>
        <w:rPr>
          <w:b w:val="0"/>
          <w:bCs w:val="0"/>
        </w:rPr>
      </w:pPr>
      <w:r>
        <w:rPr>
          <w:rFonts w:ascii="Times New Roman" w:hAnsi="Times New Roman" w:cs="Times New Roman" w:eastAsia="Times New Roman" w:hint="default"/>
        </w:rPr>
        <w:t>25</w:t>
      </w:r>
      <w:r>
        <w:rPr/>
        <w:t>、资本公积</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597,456,998.08</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126,723,372.00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470,733,626.08</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2,668,280.61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4,593,225.00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7,261,505.61</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600,125,278.69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4,593,225.00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126,723,372.00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477,995,131.69</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rFonts w:ascii="Times New Roman" w:hAnsi="Times New Roman" w:cs="Times New Roman" w:eastAsia="Times New Roman" w:hint="default"/>
        </w:rPr>
        <w:t>26</w:t>
      </w:r>
      <w:r>
        <w:rPr/>
        <w:t>、盈余公积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50,165,201.66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7,017,210.33</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57,182,411.99</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25,082,600.82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3,508,605.17</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28,591,205.99</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75,247,802.48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10,525,815.50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85,773,617.98</w:t>
            </w:r>
          </w:p>
        </w:tc>
      </w:tr>
    </w:tbl>
    <w:p>
      <w:pPr>
        <w:pStyle w:val="BodyText"/>
        <w:spacing w:line="436" w:lineRule="auto" w:before="49"/>
        <w:ind w:left="633" w:right="1813" w:hanging="481"/>
        <w:jc w:val="left"/>
      </w:pPr>
      <w:r>
        <w:rPr/>
        <w:t>盈余公积说明，用盈余公积转增股本、弥补亏损、分派股利的，应说明有关决议 根据公司法、公司章程的规定，本公司按净利润的</w:t>
      </w:r>
      <w:r>
        <w:rPr>
          <w:rFonts w:ascii="宋体" w:hAnsi="宋体" w:cs="宋体" w:eastAsia="宋体" w:hint="default"/>
        </w:rPr>
        <w:t>10%</w:t>
      </w:r>
      <w:r>
        <w:rPr/>
        <w:t>提取法定盈余公积</w:t>
      </w:r>
      <w:r>
        <w:rPr>
          <w:rFonts w:ascii="宋体" w:hAnsi="宋体" w:cs="宋体" w:eastAsia="宋体" w:hint="default"/>
        </w:rPr>
        <w:t>,</w:t>
      </w:r>
      <w:r>
        <w:rPr/>
        <w:t>按净利润的</w:t>
      </w:r>
      <w:r>
        <w:rPr>
          <w:rFonts w:ascii="宋体" w:hAnsi="宋体" w:cs="宋体" w:eastAsia="宋体" w:hint="default"/>
        </w:rPr>
        <w:t>5%</w:t>
      </w:r>
      <w:r>
        <w:rPr/>
        <w:t>提取任意盈余公积。</w:t>
      </w:r>
    </w:p>
    <w:p>
      <w:pPr>
        <w:spacing w:line="240" w:lineRule="auto" w:before="5"/>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27</w:t>
      </w:r>
      <w:r>
        <w:rPr/>
        <w:t>、未分配利润</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53"/>
        <w:gridCol w:w="2098"/>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247,754,599.37</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247,754,599.37</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103,008,617.89</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34" w:top="1060" w:bottom="152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7"/>
        <w:gridCol w:w="3730"/>
        <w:gridCol w:w="2122"/>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7,017,210.33</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50,549,668.80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289,687,732.96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调整年初未分配利润明细：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3)</w:t>
      </w:r>
      <w:r>
        <w:rPr/>
        <w:t>、由于重大会计差错更正，影响年初未分配利润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24" w:lineRule="auto" w:before="103"/>
        <w:ind w:right="0"/>
        <w:jc w:val="left"/>
      </w:pPr>
      <w:r>
        <w:rPr>
          <w:rFonts w:ascii="Times New Roman" w:hAnsi="Times New Roman" w:cs="Times New Roman" w:eastAsia="Times New Roman" w:hint="default"/>
        </w:rPr>
        <w:t>5)</w:t>
      </w:r>
      <w:r>
        <w:rPr/>
        <w:t>、其他调整合计影响年初未分配利润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r>
        <w:rPr>
          <w:w w:val="99"/>
        </w:rPr>
        <w:t> </w:t>
      </w:r>
      <w:r>
        <w:rPr>
          <w:spacing w:val="-2"/>
        </w:rPr>
        <w:t>未分配利润说明，对于首次公开发行证券的公司，如果发行前的滚存利润经股东大会决议由新老股东共同享有，应明确予以</w:t>
      </w:r>
      <w:r>
        <w:rPr>
          <w:spacing w:val="-64"/>
        </w:rPr>
        <w:t> </w:t>
      </w:r>
      <w:r>
        <w:rPr>
          <w:spacing w:val="-64"/>
        </w:rPr>
      </w:r>
      <w:r>
        <w:rPr>
          <w:spacing w:val="-2"/>
        </w:rPr>
        <w:t>说明；如果发行前的滚存利润经股东大会决议在发行前进行分配并由老股东享有，公司应明确披露应付股利中老股东享有的</w:t>
      </w:r>
      <w:r>
        <w:rPr>
          <w:spacing w:val="-65"/>
        </w:rPr>
        <w:t> </w:t>
      </w:r>
      <w:r>
        <w:rPr>
          <w:spacing w:val="-65"/>
        </w:rPr>
      </w:r>
      <w:r>
        <w:rPr/>
        <w:t>经审计的利润数</w:t>
      </w:r>
    </w:p>
    <w:p>
      <w:pPr>
        <w:pStyle w:val="BodyText"/>
        <w:spacing w:line="240" w:lineRule="auto" w:before="54"/>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7"/>
        <w:ind w:right="0"/>
        <w:jc w:val="left"/>
        <w:rPr>
          <w:b w:val="0"/>
          <w:bCs w:val="0"/>
        </w:rPr>
      </w:pPr>
      <w:r>
        <w:rPr>
          <w:rFonts w:ascii="Times New Roman" w:hAnsi="Times New Roman" w:cs="Times New Roman" w:eastAsia="Times New Roman" w:hint="default"/>
        </w:rPr>
        <w:t>28</w:t>
      </w:r>
      <w:r>
        <w:rPr/>
        <w:t>、营业收入、营业成本</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810,199,394.04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766,419,650.85</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7,201,325.21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15,345,990.32</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500,682,616.49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510,572,616.08</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票证印刷业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810,199,394.04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497,169,653.52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766,419,650.85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497,429,422.39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810,199,394.04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497,169,653.52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766,419,650.85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497,429,422.39</w:t>
            </w:r>
          </w:p>
        </w:tc>
      </w:tr>
    </w:tbl>
    <w:p>
      <w:pPr>
        <w:spacing w:line="240" w:lineRule="auto" w:before="9"/>
        <w:rPr>
          <w:rFonts w:ascii="宋体" w:hAnsi="宋体" w:cs="宋体" w:eastAsia="宋体" w:hint="default"/>
          <w:sz w:val="19"/>
          <w:szCs w:val="19"/>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pict>
          <v:group style="position:absolute;margin-left:460.320007pt;margin-top:97.131714pt;width:135pt;height:77pt;mso-position-horizontal-relative:page;mso-position-vertical-relative:paragraph;z-index:-753544" coordorigin="9206,1943" coordsize="2700,1540">
            <v:shape style="position:absolute;left:9206;top:1943;width:2700;height:1540" type="#_x0000_t75" stroked="false">
              <v:imagedata r:id="rId16" o:title=""/>
            </v:shape>
            <v:shape style="position:absolute;left:10502;top:2303;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114</w:t>
                    </w:r>
                  </w:p>
                </w:txbxContent>
              </v:textbox>
              <w10:wrap type="none"/>
            </v:shape>
            <w10:wrap type="none"/>
          </v:group>
        </w:pict>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票据产品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632,802,957.41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367,624,975.96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634,737,939.62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394,909,698.54</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彩印产品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46,216,373.13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31,978,184.48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40,643,869.77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31,678,846.81</w:t>
            </w:r>
          </w:p>
        </w:tc>
      </w:tr>
    </w:tbl>
    <w:p>
      <w:pPr>
        <w:spacing w:after="0" w:line="240" w:lineRule="auto"/>
        <w:jc w:val="right"/>
        <w:rPr>
          <w:rFonts w:ascii="Times New Roman" w:hAnsi="Times New Roman" w:cs="Times New Roman" w:eastAsia="Times New Roman" w:hint="default"/>
          <w:sz w:val="18"/>
          <w:szCs w:val="18"/>
        </w:rPr>
        <w:sectPr>
          <w:headerReference w:type="default" r:id="rId59"/>
          <w:footerReference w:type="default" r:id="rId60"/>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标签产品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50,048,028.44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33,135,494.26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40,548,133.88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31,802,822.99</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数据产品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62,343,683.35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39,651,095.81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45,269,620.46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30,865,469.17</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卡类产品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18,788,351.71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24,779,903.01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5,220,087.12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8,172,584.88</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810,199,394.04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497,169,653.52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766,419,650.85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497,429,422.39</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69" w:right="0"/>
              <w:jc w:val="left"/>
              <w:rPr>
                <w:rFonts w:ascii="Times New Roman" w:hAnsi="Times New Roman" w:cs="Times New Roman" w:eastAsia="Times New Roman" w:hint="default"/>
                <w:sz w:val="18"/>
                <w:szCs w:val="18"/>
              </w:rPr>
            </w:pPr>
            <w:r>
              <w:rPr>
                <w:rFonts w:ascii="Times New Roman"/>
                <w:sz w:val="18"/>
              </w:rPr>
              <w:t>588,447,819.89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361,094,319.35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561,708,962.11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364,566,023.67</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221,751,574.15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136,075,334.17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204,710,688.74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132,863,398.72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9" w:right="0"/>
              <w:jc w:val="left"/>
              <w:rPr>
                <w:rFonts w:ascii="Times New Roman" w:hAnsi="Times New Roman" w:cs="Times New Roman" w:eastAsia="Times New Roman" w:hint="default"/>
                <w:sz w:val="18"/>
                <w:szCs w:val="18"/>
              </w:rPr>
            </w:pPr>
            <w:r>
              <w:rPr>
                <w:rFonts w:ascii="Times New Roman"/>
                <w:sz w:val="18"/>
              </w:rPr>
              <w:t>810,199,394.04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497,169,653.52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766,419,650.85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497,429,422.39</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40,974,170.93</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20,809,812.82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17,929,089.99</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15,195,075.56</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14,503,989.80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109,412,139.10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13.39%</w:t>
            </w:r>
          </w:p>
        </w:tc>
      </w:tr>
    </w:tbl>
    <w:p>
      <w:pPr>
        <w:pStyle w:val="BodyText"/>
        <w:spacing w:line="357" w:lineRule="auto" w:before="49"/>
        <w:ind w:right="9494"/>
        <w:jc w:val="left"/>
      </w:pPr>
      <w:r>
        <w:rPr/>
        <w:t>营业收入的说明 无</w:t>
      </w:r>
    </w:p>
    <w:p>
      <w:pPr>
        <w:spacing w:line="240" w:lineRule="auto" w:before="13"/>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29</w:t>
      </w:r>
      <w:r>
        <w:rPr/>
        <w:t>、合同项目收入</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5"/>
        <w:ind w:right="0"/>
        <w:jc w:val="left"/>
        <w:rPr>
          <w:b w:val="0"/>
          <w:bCs w:val="0"/>
        </w:rPr>
      </w:pPr>
      <w:r>
        <w:rPr>
          <w:rFonts w:ascii="Times New Roman" w:hAnsi="Times New Roman" w:cs="Times New Roman" w:eastAsia="Times New Roman" w:hint="default"/>
        </w:rPr>
        <w:t>30</w:t>
      </w:r>
      <w:r>
        <w:rPr/>
        <w:t>、营业税金及附加</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595,642.75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545,037.86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4,195,676.84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3,427,027.02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2,411,486.60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2,510,358.94</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1"/>
          <w:pgSz w:w="11910" w:h="16840"/>
          <w:pgMar w:footer="1258" w:header="877" w:top="1060" w:bottom="1440" w:left="980" w:right="0"/>
          <w:pgNumType w:start="115"/>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795"/>
        <w:gridCol w:w="1992"/>
        <w:gridCol w:w="1863"/>
        <w:gridCol w:w="2921"/>
      </w:tblGrid>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391,761.84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202,368.00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407,246.11</w:t>
            </w:r>
          </w:p>
        </w:tc>
        <w:tc>
          <w:tcPr>
            <w:tcW w:w="186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8,001,814.14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6,684,791.82</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营业税金及附加的说明</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31</w:t>
      </w:r>
      <w:r>
        <w:rPr/>
        <w:t>、销售费用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27,767,398.20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19,813,171.91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10,546,771.46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10,639,040.04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16,464,867.40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13,785,851.77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7,407,054.34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5,369,314.49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8,608,926.16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7,883,942.98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552,649.10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1,709,232.24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827,739.40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942,288.64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电话邮政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603,543.18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797,670.73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住宿费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2,017,370.73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1,449,571.86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50,736.50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2,954,689.61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4,102,981.94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77,801,746.08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66,493,066.60</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rFonts w:ascii="Times New Roman" w:hAnsi="Times New Roman" w:cs="Times New Roman" w:eastAsia="Times New Roman" w:hint="default"/>
        </w:rPr>
        <w:t>32</w:t>
      </w:r>
      <w:r>
        <w:rPr/>
        <w:t>、管理费用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43,296,996.73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35,951,400.51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17,742,608.67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9,755,028.87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6,049,145.68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4,932,912.78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7,101,364.27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6,883,720.93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6,770,131.66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5,206,918.99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1,855,688.94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1,689,113.54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5,520,148.55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4,124,915.95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1,766,854.00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1,509,714.86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2,694,015.08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1,845,347.39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2,367,574.78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58"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4,593,225.00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781,500.00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283,766.14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10,156,287.56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15,427,199.23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110,197,807.06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88,107,773.05</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rFonts w:ascii="Times New Roman" w:hAnsi="Times New Roman" w:cs="Times New Roman" w:eastAsia="Times New Roman" w:hint="default"/>
        </w:rPr>
        <w:t>33</w:t>
      </w:r>
      <w:r>
        <w:rPr/>
        <w:t>、财务费用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376,441.66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-7,757,108.99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-3,817,754.50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-157,155.82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461,789.29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279,917.53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-7,305,835.64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-3,318,551.13</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rFonts w:ascii="Times New Roman" w:hAnsi="Times New Roman" w:cs="Times New Roman" w:eastAsia="Times New Roman" w:hint="default"/>
        </w:rPr>
        <w:t>34</w:t>
      </w:r>
      <w:r>
        <w:rPr/>
        <w:t>、公允价值变动收益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7"/>
        <w:ind w:right="0"/>
        <w:jc w:val="left"/>
        <w:rPr>
          <w:b w:val="0"/>
          <w:bCs w:val="0"/>
        </w:rPr>
      </w:pPr>
      <w:r>
        <w:rPr>
          <w:rFonts w:ascii="Times New Roman" w:hAnsi="Times New Roman" w:cs="Times New Roman" w:eastAsia="Times New Roman" w:hint="default"/>
        </w:rPr>
        <w:t>35</w:t>
      </w:r>
      <w:r>
        <w:rPr/>
        <w:t>、资产减值损失</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724,342.73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2,236,733.57</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724,342.73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2,236,733.57</w:t>
            </w:r>
          </w:p>
        </w:tc>
      </w:tr>
    </w:tbl>
    <w:p>
      <w:pPr>
        <w:spacing w:line="240" w:lineRule="auto" w:before="11"/>
        <w:rPr>
          <w:rFonts w:ascii="宋体" w:hAnsi="宋体" w:cs="宋体" w:eastAsia="宋体" w:hint="default"/>
          <w:sz w:val="14"/>
          <w:szCs w:val="14"/>
        </w:rPr>
      </w:pPr>
    </w:p>
    <w:p>
      <w:pPr>
        <w:pStyle w:val="Heading5"/>
        <w:spacing w:line="240" w:lineRule="auto" w:before="37"/>
        <w:ind w:right="0"/>
        <w:jc w:val="left"/>
        <w:rPr>
          <w:b w:val="0"/>
          <w:bCs w:val="0"/>
        </w:rPr>
      </w:pPr>
      <w:r>
        <w:rPr>
          <w:rFonts w:ascii="Times New Roman" w:hAnsi="Times New Roman" w:cs="Times New Roman" w:eastAsia="Times New Roman" w:hint="default"/>
        </w:rPr>
        <w:t>36</w:t>
      </w:r>
      <w:r>
        <w:rPr/>
        <w:t>、营业外收入</w:t>
      </w:r>
      <w:r>
        <w:rPr>
          <w:b w:val="0"/>
          <w:bCs w:val="0"/>
        </w:rPr>
      </w:r>
    </w:p>
    <w:p>
      <w:pPr>
        <w:spacing w:line="240" w:lineRule="auto" w:before="0"/>
        <w:rPr>
          <w:rFonts w:ascii="宋体" w:hAnsi="宋体" w:cs="宋体" w:eastAsia="宋体" w:hint="default"/>
          <w:b/>
          <w:bCs/>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1"/>
        <w:rPr>
          <w:rFonts w:ascii="宋体" w:hAnsi="宋体" w:cs="宋体" w:eastAsia="宋体" w:hint="default"/>
          <w:b/>
          <w:bCs/>
          <w:sz w:val="18"/>
          <w:szCs w:val="18"/>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82"/>
        <w:gridCol w:w="1956"/>
        <w:gridCol w:w="2160"/>
        <w:gridCol w:w="2161"/>
      </w:tblGrid>
      <w:tr>
        <w:trPr>
          <w:trHeight w:val="161" w:hRule="exact"/>
        </w:trPr>
        <w:tc>
          <w:tcPr>
            <w:tcW w:w="3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2" w:hRule="exact"/>
        </w:trPr>
        <w:tc>
          <w:tcPr>
            <w:tcW w:w="3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1,076.00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6,385.00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1,076.00</w:t>
            </w: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1,076.00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6,385.00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1,076.00</w:t>
            </w: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9,802,002.05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2,030,186.94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9,802,002.05</w:t>
            </w: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102,568.66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237,046.63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102,568.66</w:t>
            </w: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229,586.03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523,743.82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229,586.03</w:t>
            </w: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10,135,232.74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2,797,362.39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10,135,232.74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58" w:top="1060" w:bottom="1540" w:left="980" w:right="0"/>
        </w:sectPr>
      </w:pPr>
    </w:p>
    <w:p>
      <w:pPr>
        <w:spacing w:line="240" w:lineRule="auto" w:before="3"/>
        <w:rPr>
          <w:rFonts w:ascii="宋体" w:hAnsi="宋体" w:cs="宋体" w:eastAsia="宋体" w:hint="default"/>
          <w:sz w:val="25"/>
          <w:szCs w:val="25"/>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471,286.94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政府经费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9,558,837.05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1,477,900.00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政府奖励</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243,165.00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9,802,002.05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2,030,186.94</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营业外收入说明</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rFonts w:ascii="Times New Roman" w:hAnsi="Times New Roman" w:cs="Times New Roman" w:eastAsia="Times New Roman" w:hint="default"/>
        </w:rPr>
        <w:t>37</w:t>
      </w:r>
      <w:r>
        <w:rPr/>
        <w:t>、营业外支出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56,639.46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461,544.53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56,639.46</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56,639.46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461,544.53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56,639.46</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114,305.92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87,779.15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114,305.92</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170,945.38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549,323.68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170,945.38</w:t>
            </w:r>
          </w:p>
        </w:tc>
      </w:tr>
    </w:tbl>
    <w:p>
      <w:pPr>
        <w:pStyle w:val="BodyText"/>
        <w:spacing w:line="240" w:lineRule="auto" w:before="49"/>
        <w:ind w:right="0"/>
        <w:jc w:val="left"/>
      </w:pPr>
      <w:r>
        <w:rPr/>
        <w:t>营业外支出说明</w:t>
      </w:r>
    </w:p>
    <w:p>
      <w:pPr>
        <w:spacing w:line="240" w:lineRule="auto" w:before="0"/>
        <w:rPr>
          <w:rFonts w:ascii="宋体" w:hAnsi="宋体" w:cs="宋体" w:eastAsia="宋体" w:hint="default"/>
          <w:sz w:val="18"/>
          <w:szCs w:val="18"/>
        </w:rPr>
      </w:pPr>
    </w:p>
    <w:p>
      <w:pPr>
        <w:pStyle w:val="Heading5"/>
        <w:spacing w:line="240" w:lineRule="auto" w:before="127"/>
        <w:ind w:right="0"/>
        <w:jc w:val="left"/>
        <w:rPr>
          <w:b w:val="0"/>
          <w:bCs w:val="0"/>
        </w:rPr>
      </w:pPr>
      <w:r>
        <w:rPr>
          <w:rFonts w:ascii="Times New Roman" w:hAnsi="Times New Roman" w:cs="Times New Roman" w:eastAsia="Times New Roman" w:hint="default"/>
        </w:rPr>
        <w:t>38</w:t>
      </w:r>
      <w:r>
        <w:rPr/>
        <w:t>、所得税费用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21,662,199.13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17,625,546.26</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-850,707.51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-544,645.91</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20,811,491.62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17,080,900.35</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rFonts w:ascii="Times New Roman" w:hAnsi="Times New Roman" w:cs="Times New Roman" w:eastAsia="Times New Roman" w:hint="default"/>
        </w:rPr>
        <w:t>39</w:t>
      </w:r>
      <w:r>
        <w:rPr/>
        <w:t>、基本每股收益和稀释每股收益的计算过程</w:t>
      </w:r>
      <w:r>
        <w:rPr>
          <w:b w:val="0"/>
          <w:bCs w:val="0"/>
        </w:rPr>
      </w:r>
    </w:p>
    <w:p>
      <w:pPr>
        <w:spacing w:line="240" w:lineRule="auto" w:before="0"/>
        <w:rPr>
          <w:rFonts w:ascii="宋体" w:hAnsi="宋体" w:cs="宋体" w:eastAsia="宋体" w:hint="default"/>
          <w:b/>
          <w:bCs/>
          <w:sz w:val="20"/>
          <w:szCs w:val="20"/>
        </w:rPr>
      </w:pPr>
    </w:p>
    <w:p>
      <w:pPr>
        <w:pStyle w:val="BodyText"/>
        <w:spacing w:line="477" w:lineRule="auto" w:before="169"/>
        <w:ind w:right="0" w:firstLine="480"/>
        <w:jc w:val="left"/>
      </w:pPr>
      <w:r>
        <w:rPr>
          <w:spacing w:val="-1"/>
        </w:rPr>
        <w:t>基本每股收益按照归属于本公司普通股股东的当期净利润，除以发行在外普通股的加权平均数计算。新发行普通股股</w:t>
      </w:r>
      <w:r>
        <w:rPr/>
        <w:t> 数，根据发行合同的具体条款，从应收对价之日（一般为股票发行日）起计算确定。</w:t>
      </w:r>
    </w:p>
    <w:p>
      <w:pPr>
        <w:pStyle w:val="BodyText"/>
        <w:spacing w:line="477" w:lineRule="auto" w:before="54"/>
        <w:ind w:right="0" w:firstLine="480"/>
        <w:jc w:val="left"/>
      </w:pPr>
      <w:r>
        <w:rPr/>
        <w:t>稀释每股收益的分子以归属于本公司普通股股东的当期净利润，调整下述因素后确定：（</w:t>
      </w:r>
      <w:r>
        <w:rPr>
          <w:rFonts w:ascii="宋体" w:hAnsi="宋体" w:cs="宋体" w:eastAsia="宋体" w:hint="default"/>
        </w:rPr>
        <w:t>1</w:t>
      </w:r>
      <w:r>
        <w:rPr/>
        <w:t>）当期已确认为费用的稀 释性潜在普通股的利息；（</w:t>
      </w:r>
      <w:r>
        <w:rPr>
          <w:rFonts w:ascii="宋体" w:hAnsi="宋体" w:cs="宋体" w:eastAsia="宋体" w:hint="default"/>
        </w:rPr>
        <w:t>2</w:t>
      </w:r>
      <w:r>
        <w:rPr/>
        <w:t>）稀释性潜在普通股转换时将产生的收益或费用；以及（</w:t>
      </w:r>
      <w:r>
        <w:rPr>
          <w:rFonts w:ascii="宋体" w:hAnsi="宋体" w:cs="宋体" w:eastAsia="宋体" w:hint="default"/>
        </w:rPr>
        <w:t>3</w:t>
      </w:r>
      <w:r>
        <w:rPr/>
        <w:t>）上述调整相关的所得税影响。</w:t>
      </w:r>
    </w:p>
    <w:p>
      <w:pPr>
        <w:pStyle w:val="BodyText"/>
        <w:spacing w:line="240" w:lineRule="auto" w:before="54"/>
        <w:ind w:left="633" w:right="0"/>
        <w:jc w:val="left"/>
      </w:pPr>
      <w:r>
        <w:rPr/>
        <w:t>稀释每股收益的分母等于下列两项之和：（</w:t>
      </w:r>
      <w:r>
        <w:rPr>
          <w:rFonts w:ascii="宋体" w:hAnsi="宋体" w:cs="宋体" w:eastAsia="宋体" w:hint="default"/>
        </w:rPr>
        <w:t>1</w:t>
      </w:r>
      <w:r>
        <w:rPr/>
        <w:t>）基本每股收益中母公司已发行普通股的加权平均数；及（</w:t>
      </w:r>
      <w:r>
        <w:rPr>
          <w:rFonts w:ascii="宋体" w:hAnsi="宋体" w:cs="宋体" w:eastAsia="宋体" w:hint="default"/>
        </w:rPr>
        <w:t>2</w:t>
      </w:r>
      <w:r>
        <w:rPr/>
        <w:t>）假定稀释</w:t>
      </w:r>
    </w:p>
    <w:p>
      <w:pPr>
        <w:spacing w:line="240" w:lineRule="auto" w:before="10"/>
        <w:rPr>
          <w:rFonts w:ascii="宋体" w:hAnsi="宋体" w:cs="宋体" w:eastAsia="宋体" w:hint="default"/>
          <w:sz w:val="17"/>
          <w:szCs w:val="17"/>
        </w:rPr>
      </w:pPr>
    </w:p>
    <w:p>
      <w:pPr>
        <w:pStyle w:val="BodyText"/>
        <w:spacing w:line="240" w:lineRule="auto"/>
        <w:ind w:right="0"/>
        <w:jc w:val="left"/>
      </w:pPr>
      <w:r>
        <w:rPr/>
        <w:t>性潜在普通股转换为普通股而增加的普通股的加权平均数。</w:t>
      </w:r>
    </w:p>
    <w:p>
      <w:pPr>
        <w:spacing w:after="0" w:line="240" w:lineRule="auto"/>
        <w:jc w:val="left"/>
        <w:sectPr>
          <w:pgSz w:w="11910" w:h="16840"/>
          <w:pgMar w:header="877" w:footer="1258" w:top="1060" w:bottom="15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0" w:firstLine="480"/>
        <w:jc w:val="left"/>
      </w:pPr>
      <w:r>
        <w:rPr>
          <w:spacing w:val="-1"/>
        </w:rPr>
        <w:t>在计算稀释性潜在普通股转换为已发行普通股而增加的普通股股数的加权平均数时，以前期间发行的稀释性潜在普通</w:t>
      </w:r>
      <w:r>
        <w:rPr/>
        <w:t> 股，假设在当年年初转换；当年发行的稀释性潜在普通股，假设在发行日转换。</w:t>
      </w:r>
    </w:p>
    <w:p>
      <w:pPr>
        <w:pStyle w:val="BodyText"/>
        <w:spacing w:line="240" w:lineRule="auto" w:before="54"/>
        <w:ind w:left="633" w:right="0"/>
        <w:jc w:val="left"/>
      </w:pPr>
      <w:r>
        <w:rPr/>
        <w:t>（</w:t>
      </w:r>
      <w:r>
        <w:rPr>
          <w:rFonts w:ascii="宋体" w:hAnsi="宋体" w:cs="宋体" w:eastAsia="宋体" w:hint="default"/>
        </w:rPr>
        <w:t>1</w:t>
      </w:r>
      <w:r>
        <w:rPr/>
        <w:t>）各期基本每股收益和稀释每股收益金额列示</w:t>
      </w:r>
    </w:p>
    <w:p>
      <w:pPr>
        <w:spacing w:line="240" w:lineRule="auto" w:before="1"/>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2213"/>
        <w:gridCol w:w="1865"/>
        <w:gridCol w:w="1560"/>
        <w:gridCol w:w="1702"/>
        <w:gridCol w:w="1877"/>
      </w:tblGrid>
      <w:tr>
        <w:trPr>
          <w:trHeight w:val="355" w:hRule="exact"/>
        </w:trPr>
        <w:tc>
          <w:tcPr>
            <w:tcW w:w="221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left="650"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426" w:type="dxa"/>
            <w:gridSpan w:val="2"/>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本年发生数</w:t>
            </w:r>
          </w:p>
        </w:tc>
        <w:tc>
          <w:tcPr>
            <w:tcW w:w="3579" w:type="dxa"/>
            <w:gridSpan w:val="2"/>
            <w:tcBorders>
              <w:top w:val="single" w:sz="6" w:space="0" w:color="000000"/>
              <w:left w:val="single" w:sz="6" w:space="0" w:color="000000"/>
              <w:bottom w:val="single" w:sz="12" w:space="0" w:color="000000"/>
              <w:right w:val="nil" w:sz="6" w:space="0" w:color="auto"/>
            </w:tcBorders>
            <w:shd w:val="clear" w:color="auto" w:fill="D9D9D9"/>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50" w:hRule="exact"/>
        </w:trPr>
        <w:tc>
          <w:tcPr>
            <w:tcW w:w="2213" w:type="dxa"/>
            <w:vMerge/>
            <w:tcBorders>
              <w:left w:val="single" w:sz="6" w:space="0" w:color="000000"/>
              <w:bottom w:val="single" w:sz="12" w:space="0" w:color="000000"/>
              <w:right w:val="single" w:sz="6" w:space="0" w:color="000000"/>
            </w:tcBorders>
            <w:shd w:val="clear" w:color="auto" w:fill="D9D9D9"/>
          </w:tcPr>
          <w:p>
            <w:pPr/>
          </w:p>
        </w:tc>
        <w:tc>
          <w:tcPr>
            <w:tcW w:w="1865"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560"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8"/>
              <w:ind w:left="23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702"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877" w:type="dxa"/>
            <w:tcBorders>
              <w:top w:val="single" w:sz="12" w:space="0" w:color="000000"/>
              <w:left w:val="single" w:sz="6" w:space="0" w:color="000000"/>
              <w:bottom w:val="single" w:sz="12" w:space="0" w:color="000000"/>
              <w:right w:val="nil" w:sz="6" w:space="0" w:color="auto"/>
            </w:tcBorders>
            <w:shd w:val="clear" w:color="auto" w:fill="D9D9D9"/>
          </w:tcPr>
          <w:p>
            <w:pPr>
              <w:pStyle w:val="TableParagraph"/>
              <w:spacing w:line="240" w:lineRule="auto" w:before="8"/>
              <w:ind w:left="391"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665" w:hRule="exact"/>
        </w:trPr>
        <w:tc>
          <w:tcPr>
            <w:tcW w:w="221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33"/>
              <w:jc w:val="left"/>
              <w:rPr>
                <w:rFonts w:ascii="宋体" w:hAnsi="宋体" w:cs="宋体" w:eastAsia="宋体" w:hint="default"/>
                <w:sz w:val="18"/>
                <w:szCs w:val="18"/>
              </w:rPr>
            </w:pPr>
            <w:r>
              <w:rPr>
                <w:rFonts w:ascii="宋体" w:hAnsi="宋体" w:cs="宋体" w:eastAsia="宋体" w:hint="default"/>
                <w:sz w:val="18"/>
                <w:szCs w:val="18"/>
              </w:rPr>
              <w:t>归属于公司普通股股东的净 利润</w:t>
            </w:r>
          </w:p>
        </w:tc>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pacing w:val="-1"/>
                <w:sz w:val="18"/>
              </w:rPr>
              <w:t>0.41</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pacing w:val="-1"/>
                <w:sz w:val="18"/>
              </w:rPr>
              <w:t>0.41</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0.35</w:t>
            </w:r>
          </w:p>
        </w:tc>
        <w:tc>
          <w:tcPr>
            <w:tcW w:w="18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z w:val="18"/>
              </w:rPr>
              <w:t>0.35</w:t>
            </w:r>
          </w:p>
        </w:tc>
      </w:tr>
      <w:tr>
        <w:trPr>
          <w:trHeight w:val="665" w:hRule="exact"/>
        </w:trPr>
        <w:tc>
          <w:tcPr>
            <w:tcW w:w="221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33"/>
              <w:jc w:val="left"/>
              <w:rPr>
                <w:rFonts w:ascii="宋体" w:hAnsi="宋体" w:cs="宋体" w:eastAsia="宋体" w:hint="default"/>
                <w:sz w:val="18"/>
                <w:szCs w:val="18"/>
              </w:rPr>
            </w:pPr>
            <w:r>
              <w:rPr>
                <w:rFonts w:ascii="宋体" w:hAnsi="宋体" w:cs="宋体" w:eastAsia="宋体" w:hint="default"/>
                <w:sz w:val="18"/>
                <w:szCs w:val="18"/>
              </w:rPr>
              <w:t>扣除非经常性损益后归属于 公司普通股股东的净利润</w:t>
            </w:r>
          </w:p>
        </w:tc>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0.38</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0.38</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0.34</w:t>
            </w:r>
          </w:p>
        </w:tc>
        <w:tc>
          <w:tcPr>
            <w:tcW w:w="18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z w:val="18"/>
              </w:rPr>
              <w:t>0.34</w:t>
            </w:r>
          </w:p>
        </w:tc>
      </w:tr>
    </w:tbl>
    <w:p>
      <w:pPr>
        <w:pStyle w:val="BodyText"/>
        <w:spacing w:line="477" w:lineRule="auto" w:before="87"/>
        <w:ind w:left="633" w:right="2713"/>
        <w:jc w:val="left"/>
      </w:pPr>
      <w:r>
        <w:rPr/>
        <w:t>（</w:t>
      </w:r>
      <w:r>
        <w:rPr>
          <w:rFonts w:ascii="宋体" w:hAnsi="宋体" w:cs="宋体" w:eastAsia="宋体" w:hint="default"/>
        </w:rPr>
        <w:t>2</w:t>
      </w:r>
      <w:r>
        <w:rPr/>
        <w:t>）每股收益和稀释每股收益的计算过程 本报告期内，本公司不存在具有稀释性的潜在普通股，因此，稀释每股收益等于基本每股收益。</w:t>
      </w:r>
    </w:p>
    <w:p>
      <w:pPr>
        <w:pStyle w:val="BodyText"/>
        <w:spacing w:line="240" w:lineRule="auto" w:before="54"/>
        <w:ind w:left="633" w:right="0"/>
        <w:jc w:val="left"/>
      </w:pPr>
      <w:r>
        <w:rPr/>
        <w:t>①</w:t>
      </w:r>
      <w:r>
        <w:rPr>
          <w:spacing w:val="1"/>
        </w:rPr>
        <w:t> </w:t>
      </w:r>
      <w:r>
        <w:rPr/>
        <w:t>计算基本每股收益时，归属于普通股股东的当期净利润为：</w:t>
      </w:r>
    </w:p>
    <w:p>
      <w:pPr>
        <w:spacing w:line="240" w:lineRule="auto" w:before="1"/>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4931"/>
        <w:gridCol w:w="1947"/>
        <w:gridCol w:w="2341"/>
      </w:tblGrid>
      <w:tr>
        <w:trPr>
          <w:trHeight w:val="354" w:hRule="exact"/>
        </w:trPr>
        <w:tc>
          <w:tcPr>
            <w:tcW w:w="4931"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947"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7"/>
              <w:ind w:left="516"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341" w:type="dxa"/>
            <w:tcBorders>
              <w:top w:val="single" w:sz="6" w:space="0" w:color="000000"/>
              <w:left w:val="single" w:sz="6" w:space="0" w:color="000000"/>
              <w:bottom w:val="single" w:sz="12" w:space="0" w:color="000000"/>
              <w:right w:val="nil" w:sz="6" w:space="0" w:color="auto"/>
            </w:tcBorders>
            <w:shd w:val="clear" w:color="auto" w:fill="D9D9D9"/>
          </w:tcPr>
          <w:p>
            <w:pPr>
              <w:pStyle w:val="TableParagraph"/>
              <w:spacing w:line="240" w:lineRule="auto" w:before="17"/>
              <w:ind w:left="710"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52" w:hRule="exact"/>
        </w:trPr>
        <w:tc>
          <w:tcPr>
            <w:tcW w:w="49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left="4" w:right="0"/>
              <w:jc w:val="left"/>
              <w:rPr>
                <w:rFonts w:ascii="宋体" w:hAnsi="宋体" w:cs="宋体" w:eastAsia="宋体" w:hint="default"/>
                <w:sz w:val="18"/>
                <w:szCs w:val="18"/>
              </w:rPr>
            </w:pPr>
            <w:r>
              <w:rPr>
                <w:rFonts w:ascii="宋体" w:hAnsi="宋体" w:cs="宋体" w:eastAsia="宋体" w:hint="default"/>
                <w:sz w:val="18"/>
                <w:szCs w:val="18"/>
              </w:rPr>
              <w:t>归属于普通股股东的当期净利润</w:t>
            </w:r>
          </w:p>
        </w:tc>
        <w:tc>
          <w:tcPr>
            <w:tcW w:w="19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103,008,617.89</w:t>
            </w:r>
          </w:p>
        </w:tc>
        <w:tc>
          <w:tcPr>
            <w:tcW w:w="23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10"/>
              <w:jc w:val="right"/>
              <w:rPr>
                <w:rFonts w:ascii="Times New Roman" w:hAnsi="Times New Roman" w:cs="Times New Roman" w:eastAsia="Times New Roman" w:hint="default"/>
                <w:sz w:val="18"/>
                <w:szCs w:val="18"/>
              </w:rPr>
            </w:pPr>
            <w:r>
              <w:rPr>
                <w:rFonts w:ascii="Times New Roman"/>
                <w:spacing w:val="-1"/>
                <w:sz w:val="18"/>
              </w:rPr>
              <w:t>86,964,360.30</w:t>
            </w:r>
          </w:p>
        </w:tc>
      </w:tr>
      <w:tr>
        <w:trPr>
          <w:trHeight w:val="353" w:hRule="exact"/>
        </w:trPr>
        <w:tc>
          <w:tcPr>
            <w:tcW w:w="49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其中：归属于持续经营的净利润</w:t>
            </w:r>
          </w:p>
        </w:tc>
        <w:tc>
          <w:tcPr>
            <w:tcW w:w="19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103,008,617.89</w:t>
            </w:r>
          </w:p>
        </w:tc>
        <w:tc>
          <w:tcPr>
            <w:tcW w:w="23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spacing w:val="-1"/>
                <w:sz w:val="18"/>
              </w:rPr>
              <w:t>86,964,360.30</w:t>
            </w:r>
          </w:p>
        </w:tc>
      </w:tr>
      <w:tr>
        <w:trPr>
          <w:trHeight w:val="353" w:hRule="exact"/>
        </w:trPr>
        <w:tc>
          <w:tcPr>
            <w:tcW w:w="49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09" w:right="0"/>
              <w:jc w:val="left"/>
              <w:rPr>
                <w:rFonts w:ascii="宋体" w:hAnsi="宋体" w:cs="宋体" w:eastAsia="宋体" w:hint="default"/>
                <w:sz w:val="18"/>
                <w:szCs w:val="18"/>
              </w:rPr>
            </w:pPr>
            <w:r>
              <w:rPr>
                <w:rFonts w:ascii="宋体" w:hAnsi="宋体" w:cs="宋体" w:eastAsia="宋体" w:hint="default"/>
                <w:sz w:val="18"/>
                <w:szCs w:val="18"/>
              </w:rPr>
              <w:t>归属于终止经营的净利润</w:t>
            </w:r>
          </w:p>
        </w:tc>
        <w:tc>
          <w:tcPr>
            <w:tcW w:w="1947" w:type="dxa"/>
            <w:tcBorders>
              <w:top w:val="single" w:sz="12" w:space="0" w:color="000000"/>
              <w:left w:val="single" w:sz="6" w:space="0" w:color="000000"/>
              <w:bottom w:val="single" w:sz="12" w:space="0" w:color="000000"/>
              <w:right w:val="single" w:sz="6" w:space="0" w:color="000000"/>
            </w:tcBorders>
          </w:tcPr>
          <w:p>
            <w:pPr/>
          </w:p>
        </w:tc>
        <w:tc>
          <w:tcPr>
            <w:tcW w:w="2341"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49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9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95,471,949.84</w:t>
            </w:r>
          </w:p>
        </w:tc>
        <w:tc>
          <w:tcPr>
            <w:tcW w:w="23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0"/>
              <w:jc w:val="right"/>
              <w:rPr>
                <w:rFonts w:ascii="Times New Roman" w:hAnsi="Times New Roman" w:cs="Times New Roman" w:eastAsia="Times New Roman" w:hint="default"/>
                <w:sz w:val="18"/>
                <w:szCs w:val="18"/>
              </w:rPr>
            </w:pPr>
            <w:r>
              <w:rPr>
                <w:rFonts w:ascii="Times New Roman"/>
                <w:spacing w:val="-1"/>
                <w:sz w:val="18"/>
              </w:rPr>
              <w:t>85,178,243.78</w:t>
            </w:r>
          </w:p>
        </w:tc>
      </w:tr>
      <w:tr>
        <w:trPr>
          <w:trHeight w:val="353" w:hRule="exact"/>
        </w:trPr>
        <w:tc>
          <w:tcPr>
            <w:tcW w:w="49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其中：归属于持续经营的净利润</w:t>
            </w:r>
          </w:p>
        </w:tc>
        <w:tc>
          <w:tcPr>
            <w:tcW w:w="19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95,471,949.84</w:t>
            </w:r>
          </w:p>
        </w:tc>
        <w:tc>
          <w:tcPr>
            <w:tcW w:w="23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spacing w:val="-1"/>
                <w:sz w:val="18"/>
              </w:rPr>
              <w:t>85,178,243.78</w:t>
            </w:r>
          </w:p>
        </w:tc>
      </w:tr>
      <w:tr>
        <w:trPr>
          <w:trHeight w:val="353" w:hRule="exact"/>
        </w:trPr>
        <w:tc>
          <w:tcPr>
            <w:tcW w:w="49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09" w:right="0"/>
              <w:jc w:val="left"/>
              <w:rPr>
                <w:rFonts w:ascii="宋体" w:hAnsi="宋体" w:cs="宋体" w:eastAsia="宋体" w:hint="default"/>
                <w:sz w:val="18"/>
                <w:szCs w:val="18"/>
              </w:rPr>
            </w:pPr>
            <w:r>
              <w:rPr>
                <w:rFonts w:ascii="宋体" w:hAnsi="宋体" w:cs="宋体" w:eastAsia="宋体" w:hint="default"/>
                <w:sz w:val="18"/>
                <w:szCs w:val="18"/>
              </w:rPr>
              <w:t>归属于终止经营的净利润</w:t>
            </w:r>
          </w:p>
        </w:tc>
        <w:tc>
          <w:tcPr>
            <w:tcW w:w="1947" w:type="dxa"/>
            <w:tcBorders>
              <w:top w:val="single" w:sz="12" w:space="0" w:color="000000"/>
              <w:left w:val="single" w:sz="6" w:space="0" w:color="000000"/>
              <w:bottom w:val="single" w:sz="12" w:space="0" w:color="000000"/>
              <w:right w:val="single" w:sz="6" w:space="0" w:color="000000"/>
            </w:tcBorders>
          </w:tcPr>
          <w:p>
            <w:pPr/>
          </w:p>
        </w:tc>
        <w:tc>
          <w:tcPr>
            <w:tcW w:w="2341" w:type="dxa"/>
            <w:tcBorders>
              <w:top w:val="single" w:sz="12" w:space="0" w:color="000000"/>
              <w:left w:val="single" w:sz="6" w:space="0" w:color="000000"/>
              <w:bottom w:val="single" w:sz="12" w:space="0" w:color="000000"/>
              <w:right w:val="nil" w:sz="6" w:space="0" w:color="auto"/>
            </w:tcBorders>
          </w:tcPr>
          <w:p>
            <w:pPr/>
          </w:p>
        </w:tc>
      </w:tr>
    </w:tbl>
    <w:p>
      <w:pPr>
        <w:pStyle w:val="BodyText"/>
        <w:spacing w:line="240" w:lineRule="auto" w:before="8"/>
        <w:ind w:left="633" w:right="0"/>
        <w:jc w:val="left"/>
      </w:pPr>
      <w:r>
        <w:rPr/>
        <w:t>②</w:t>
      </w:r>
      <w:r>
        <w:rPr>
          <w:spacing w:val="-18"/>
        </w:rPr>
        <w:t> </w:t>
      </w:r>
      <w:r>
        <w:rPr/>
        <w:t>计算基本每股收益时，分母为发行在外普通股加权平均数，计算过程如下：</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364"/>
        <w:gridCol w:w="2597"/>
        <w:gridCol w:w="2257"/>
      </w:tblGrid>
      <w:tr>
        <w:trPr>
          <w:trHeight w:val="355" w:hRule="exact"/>
        </w:trPr>
        <w:tc>
          <w:tcPr>
            <w:tcW w:w="4364"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597"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0"/>
              <w:ind w:left="840"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257" w:type="dxa"/>
            <w:tcBorders>
              <w:top w:val="single" w:sz="6" w:space="0" w:color="000000"/>
              <w:left w:val="single" w:sz="6" w:space="0" w:color="000000"/>
              <w:bottom w:val="single" w:sz="12" w:space="0" w:color="000000"/>
              <w:right w:val="nil" w:sz="6" w:space="0" w:color="auto"/>
            </w:tcBorders>
            <w:shd w:val="clear" w:color="auto" w:fill="D9D9D9"/>
          </w:tcPr>
          <w:p>
            <w:pPr>
              <w:pStyle w:val="TableParagraph"/>
              <w:spacing w:line="240" w:lineRule="auto" w:before="20"/>
              <w:ind w:left="671"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50" w:hRule="exact"/>
        </w:trPr>
        <w:tc>
          <w:tcPr>
            <w:tcW w:w="4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年初发行在外的普通股股数</w:t>
            </w:r>
          </w:p>
        </w:tc>
        <w:tc>
          <w:tcPr>
            <w:tcW w:w="25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252,828,344.00</w:t>
            </w:r>
          </w:p>
        </w:tc>
        <w:tc>
          <w:tcPr>
            <w:tcW w:w="225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248,248,344.00</w:t>
            </w:r>
          </w:p>
        </w:tc>
      </w:tr>
      <w:tr>
        <w:trPr>
          <w:trHeight w:val="353" w:hRule="exact"/>
        </w:trPr>
        <w:tc>
          <w:tcPr>
            <w:tcW w:w="4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加：本年发行的普通股加权数</w:t>
            </w:r>
          </w:p>
        </w:tc>
        <w:tc>
          <w:tcPr>
            <w:tcW w:w="2597" w:type="dxa"/>
            <w:tcBorders>
              <w:top w:val="single" w:sz="12" w:space="0" w:color="000000"/>
              <w:left w:val="single" w:sz="6" w:space="0" w:color="000000"/>
              <w:bottom w:val="single" w:sz="12" w:space="0" w:color="000000"/>
              <w:right w:val="single" w:sz="6" w:space="0" w:color="000000"/>
            </w:tcBorders>
          </w:tcPr>
          <w:p>
            <w:pPr/>
          </w:p>
        </w:tc>
        <w:tc>
          <w:tcPr>
            <w:tcW w:w="225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763,333.00</w:t>
            </w:r>
          </w:p>
        </w:tc>
      </w:tr>
      <w:tr>
        <w:trPr>
          <w:trHeight w:val="353" w:hRule="exact"/>
        </w:trPr>
        <w:tc>
          <w:tcPr>
            <w:tcW w:w="4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减：本年回购的普通股加权数</w:t>
            </w:r>
          </w:p>
        </w:tc>
        <w:tc>
          <w:tcPr>
            <w:tcW w:w="2597" w:type="dxa"/>
            <w:tcBorders>
              <w:top w:val="single" w:sz="12" w:space="0" w:color="000000"/>
              <w:left w:val="single" w:sz="6" w:space="0" w:color="000000"/>
              <w:bottom w:val="single" w:sz="12" w:space="0" w:color="000000"/>
              <w:right w:val="single" w:sz="6" w:space="0" w:color="000000"/>
            </w:tcBorders>
          </w:tcPr>
          <w:p>
            <w:pPr/>
          </w:p>
        </w:tc>
        <w:tc>
          <w:tcPr>
            <w:tcW w:w="2257"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年末发行在外的普通股加权数</w:t>
            </w:r>
          </w:p>
        </w:tc>
        <w:tc>
          <w:tcPr>
            <w:tcW w:w="25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252,828,344.00</w:t>
            </w:r>
          </w:p>
        </w:tc>
        <w:tc>
          <w:tcPr>
            <w:tcW w:w="225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249,011,677.00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5"/>
        <w:spacing w:line="240" w:lineRule="auto" w:before="37"/>
        <w:ind w:right="0"/>
        <w:jc w:val="left"/>
        <w:rPr>
          <w:b w:val="0"/>
          <w:bCs w:val="0"/>
        </w:rPr>
      </w:pPr>
      <w:r>
        <w:rPr>
          <w:rFonts w:ascii="Times New Roman" w:hAnsi="Times New Roman" w:cs="Times New Roman" w:eastAsia="Times New Roman" w:hint="default"/>
        </w:rPr>
        <w:t>40</w:t>
      </w:r>
      <w:r>
        <w:rPr/>
        <w:t>、现金流量表附注</w:t>
      </w:r>
      <w:r>
        <w:rPr>
          <w:b w:val="0"/>
          <w:bCs w:val="0"/>
        </w:rPr>
      </w:r>
    </w:p>
    <w:p>
      <w:pPr>
        <w:spacing w:line="240" w:lineRule="auto" w:before="8"/>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7,802,002.05</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收到的利息</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7,757,834.56</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2,388,682.70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收取的罚款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20,371.52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58"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4,605,305.77</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收回备用金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7,928,246.90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收押金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72,649.16</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暂收款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4,833,026.28</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13,917,155.94</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49,325,274.88</w:t>
            </w:r>
          </w:p>
        </w:tc>
      </w:tr>
    </w:tbl>
    <w:p>
      <w:pPr>
        <w:pStyle w:val="BodyText"/>
        <w:spacing w:line="357" w:lineRule="auto" w:before="49"/>
        <w:ind w:right="7514"/>
        <w:jc w:val="left"/>
      </w:pPr>
      <w:r>
        <w:rPr/>
        <w:t>收到的其他与经营活动有关的现金说明： 无</w:t>
      </w:r>
    </w:p>
    <w:p>
      <w:pPr>
        <w:spacing w:line="240" w:lineRule="auto" w:before="13"/>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16,063,283.27</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9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18,231,721.40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1,675,665.00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差旅费及交通费等</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16,271,414.23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1,305,247.03</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983,109.56</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960,333.31</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支付的备用金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18,301,249.35</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554,449.40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387,000.00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213,961.52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9,827,534.81</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8,504,629.03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93,279,597.91</w:t>
            </w:r>
          </w:p>
        </w:tc>
      </w:tr>
    </w:tbl>
    <w:p>
      <w:pPr>
        <w:pStyle w:val="BodyText"/>
        <w:spacing w:line="357" w:lineRule="auto" w:before="49"/>
        <w:ind w:right="7694"/>
        <w:jc w:val="left"/>
      </w:pPr>
      <w:r>
        <w:rPr/>
        <w:t>支付的其他与经营活动有关的现金说明 无</w:t>
      </w:r>
    </w:p>
    <w:p>
      <w:pPr>
        <w:spacing w:line="240" w:lineRule="auto" w:before="13"/>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4"/>
        <w:ind w:right="0"/>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258" w:top="1060" w:bottom="14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退还购股款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389,200.00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389,200.00</w:t>
            </w:r>
          </w:p>
        </w:tc>
      </w:tr>
    </w:tbl>
    <w:p>
      <w:pPr>
        <w:pStyle w:val="BodyText"/>
        <w:spacing w:line="357" w:lineRule="auto" w:before="49"/>
        <w:ind w:right="7694"/>
        <w:jc w:val="left"/>
      </w:pPr>
      <w:r>
        <w:rPr/>
        <w:t>支付的其他与筹资活动有关的现金说明 无</w:t>
      </w:r>
    </w:p>
    <w:p>
      <w:pPr>
        <w:spacing w:line="240" w:lineRule="auto" w:before="13"/>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41</w:t>
      </w:r>
      <w:r>
        <w:rPr/>
        <w:t>、现金流量表补充资料</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116,451,024.13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96,156,349.54</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724,342.73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2,236,733.57</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64,423,561.16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61,326,308.92</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1,864,982.04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1,792,769.65</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546,384.96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347,029.98</w:t>
            </w:r>
          </w:p>
        </w:tc>
      </w:tr>
      <w:tr>
        <w:trPr>
          <w:trHeight w:val="715"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55,563.46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455,159.53</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-10,515.94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219,285.84</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-850,707.51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-544,645.91</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-12,046,244.87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3,989,281.18</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-7,969,536.41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-17,230,725.45</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42,615,423.27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28,292,770.63</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4,593,225.00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781,500.00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210,397,502.02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177,821,817.48</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249,046,494.36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366,072,642.31</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366,072,642.31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409,824,815.84</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-117,026,147.95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-43,752,173.53</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7"/>
        <w:gridCol w:w="2525"/>
        <w:gridCol w:w="2645"/>
      </w:tblGrid>
      <w:tr>
        <w:trPr>
          <w:trHeight w:val="403"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1258" w:top="1060" w:bottom="14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87"/>
        <w:gridCol w:w="2525"/>
        <w:gridCol w:w="2657"/>
      </w:tblGrid>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249,046,494.36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366,072,642.31</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204,838.86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280,016.00</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219,669,597.88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342,412,449.80</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29,172,057.62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23,380,176.51</w:t>
            </w:r>
          </w:p>
        </w:tc>
      </w:tr>
      <w:tr>
        <w:trPr>
          <w:trHeight w:val="403"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249,046,494.36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366,072,642.31</w:t>
            </w:r>
          </w:p>
        </w:tc>
      </w:tr>
    </w:tbl>
    <w:p>
      <w:pPr>
        <w:pStyle w:val="BodyText"/>
        <w:spacing w:line="240" w:lineRule="auto" w:before="49"/>
        <w:ind w:right="0"/>
        <w:jc w:val="left"/>
      </w:pPr>
      <w:r>
        <w:rPr/>
        <w:t>现金流量表补充资料的说明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八、关联方及关联交易</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2"/>
        <w:gridCol w:w="869"/>
        <w:gridCol w:w="862"/>
      </w:tblGrid>
      <w:tr>
        <w:trPr>
          <w:trHeight w:val="1339"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1"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持股比例 </w:t>
            </w:r>
            <w:r>
              <w:rPr>
                <w:rFonts w:ascii="Times New Roman" w:hAnsi="Times New Roman" w:cs="Times New Roman" w:eastAsia="Times New Roman"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025"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香港喜多 来集团有 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13"/>
              <w:jc w:val="right"/>
              <w:rPr>
                <w:rFonts w:ascii="宋体" w:hAnsi="宋体" w:cs="宋体" w:eastAsia="宋体" w:hint="default"/>
                <w:sz w:val="18"/>
                <w:szCs w:val="18"/>
              </w:rPr>
            </w:pPr>
            <w:r>
              <w:rPr>
                <w:rFonts w:ascii="宋体" w:hAnsi="宋体" w:cs="宋体" w:eastAsia="宋体" w:hint="default"/>
                <w:sz w:val="18"/>
                <w:szCs w:val="18"/>
              </w:rPr>
              <w:t>中国香港</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国际贸易</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3" w:right="158"/>
              <w:jc w:val="left"/>
              <w:rPr>
                <w:rFonts w:ascii="宋体" w:hAnsi="宋体" w:cs="宋体" w:eastAsia="宋体" w:hint="default"/>
                <w:sz w:val="18"/>
                <w:szCs w:val="18"/>
              </w:rPr>
            </w:pPr>
            <w:r>
              <w:rPr>
                <w:rFonts w:ascii="Times New Roman" w:hAnsi="Times New Roman" w:cs="Times New Roman" w:eastAsia="Times New Roman" w:hint="default"/>
                <w:sz w:val="18"/>
                <w:szCs w:val="18"/>
              </w:rPr>
              <w:t>400 </w:t>
            </w:r>
            <w:r>
              <w:rPr>
                <w:rFonts w:ascii="宋体" w:hAnsi="宋体" w:cs="宋体" w:eastAsia="宋体" w:hint="default"/>
                <w:sz w:val="18"/>
                <w:szCs w:val="18"/>
              </w:rPr>
              <w:t>万港 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29.43%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29.43%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8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本企业的母公司情况的说明</w:t>
      </w:r>
    </w:p>
    <w:p>
      <w:pPr>
        <w:spacing w:line="240" w:lineRule="auto" w:before="0"/>
        <w:rPr>
          <w:rFonts w:ascii="宋体" w:hAnsi="宋体" w:cs="宋体" w:eastAsia="宋体" w:hint="default"/>
          <w:sz w:val="18"/>
          <w:szCs w:val="18"/>
        </w:rPr>
      </w:pPr>
    </w:p>
    <w:p>
      <w:pPr>
        <w:pStyle w:val="Heading5"/>
        <w:spacing w:line="240" w:lineRule="auto" w:before="127"/>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郑州东港安 全印刷有限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74579116-9</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北京东港安 全印刷有限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71785190-2</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新疆东港安 全印刷有限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77606809-6</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上海东港安 全印刷有限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74265815-1</w:t>
            </w:r>
          </w:p>
        </w:tc>
      </w:tr>
      <w:tr>
        <w:trPr>
          <w:trHeight w:val="67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北京东港嘉 华安全信息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 </w:t>
            </w:r>
            <w:r>
              <w:rPr>
                <w:rFonts w:ascii="宋体" w:hAnsi="宋体" w:cs="宋体" w:eastAsia="宋体" w:hint="default"/>
                <w:sz w:val="18"/>
                <w:szCs w:val="18"/>
              </w:rPr>
              <w:t>万美元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79755702-4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58" w:top="1060" w:bottom="14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67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2"/>
              <w:jc w:val="left"/>
              <w:rPr>
                <w:rFonts w:ascii="宋体" w:hAnsi="宋体" w:cs="宋体" w:eastAsia="宋体" w:hint="default"/>
                <w:sz w:val="18"/>
                <w:szCs w:val="18"/>
              </w:rPr>
            </w:pPr>
            <w:r>
              <w:rPr>
                <w:rFonts w:ascii="宋体" w:hAnsi="宋体" w:cs="宋体" w:eastAsia="宋体" w:hint="default"/>
                <w:sz w:val="18"/>
                <w:szCs w:val="18"/>
              </w:rPr>
              <w:t>技术有限公 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广州东港安 全印刷有限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4,200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79739514-1</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成都东港安 全印刷有限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66966012-3</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山东东港数 据处理有限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66670371-4</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上海东港数 据处理有限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98.54%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66942589-5</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rFonts w:ascii="Times New Roman" w:hAnsi="Times New Roman" w:cs="Times New Roman" w:eastAsia="Times New Roman" w:hint="default"/>
        </w:rPr>
        <w:t>3</w:t>
      </w:r>
      <w:r>
        <w:rPr/>
        <w:t>、关联方交易</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140"/>
        <w:jc w:val="right"/>
      </w:pPr>
      <w:r>
        <w:rPr/>
        <w:pict>
          <v:shape style="position:absolute;margin-left:409.630005pt;margin-top:3.831716pt;width:85.5pt;height:15.6pt;mso-position-horizontal-relative:page;mso-position-vertical-relative:paragraph;z-index:-753520" type="#_x0000_t202" filled="false" stroked="false">
            <v:textbox inset="0,0,0,0">
              <w:txbxContent>
                <w:p>
                  <w:pPr>
                    <w:pStyle w:val="BodyText"/>
                    <w:spacing w:line="203" w:lineRule="exact"/>
                    <w:ind w:left="0" w:right="0"/>
                    <w:jc w:val="left"/>
                  </w:pPr>
                  <w:r>
                    <w:rPr/>
                    <w:t>）</w:t>
                  </w:r>
                </w:p>
              </w:txbxContent>
            </v:textbox>
            <w10:wrap type="none"/>
          </v:shape>
        </w:pict>
      </w:r>
      <w:r>
        <w:rPr/>
        <w:pict>
          <v:shape style="position:absolute;margin-left:56.459999pt;margin-top:-51.988285pt;width:479.1pt;height:71.9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4"/>
                    <w:gridCol w:w="797"/>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8"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5"/>
        <w:rPr>
          <w:rFonts w:ascii="宋体" w:hAnsi="宋体" w:cs="宋体" w:eastAsia="宋体" w:hint="default"/>
          <w:sz w:val="9"/>
          <w:szCs w:val="9"/>
        </w:rPr>
      </w:pPr>
    </w:p>
    <w:p>
      <w:pPr>
        <w:pStyle w:val="BodyText"/>
        <w:spacing w:line="240" w:lineRule="auto" w:before="44"/>
        <w:ind w:right="0"/>
        <w:jc w:val="left"/>
      </w:pPr>
      <w:r>
        <w:rPr/>
        <w:t>出售商品、提供劳务情况表</w:t>
      </w:r>
    </w:p>
    <w:p>
      <w:pPr>
        <w:pStyle w:val="BodyText"/>
        <w:spacing w:line="240" w:lineRule="auto" w:before="115"/>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140"/>
        <w:jc w:val="right"/>
      </w:pPr>
      <w:r>
        <w:rPr/>
        <w:pict>
          <v:shape style="position:absolute;margin-left:409.630005pt;margin-top:3.83173pt;width:85.5pt;height:15.6pt;mso-position-horizontal-relative:page;mso-position-vertical-relative:paragraph;z-index:-753496" type="#_x0000_t202" filled="false" stroked="false">
            <v:textbox inset="0,0,0,0">
              <w:txbxContent>
                <w:p>
                  <w:pPr>
                    <w:pStyle w:val="BodyText"/>
                    <w:spacing w:line="203" w:lineRule="exact"/>
                    <w:ind w:left="0" w:right="0"/>
                    <w:jc w:val="left"/>
                  </w:pPr>
                  <w:r>
                    <w:rPr/>
                    <w:t>）</w:t>
                  </w:r>
                </w:p>
              </w:txbxContent>
            </v:textbox>
            <w10:wrap type="none"/>
          </v:shape>
        </w:pict>
      </w:r>
      <w:r>
        <w:rPr/>
        <w:pict>
          <v:shape style="position:absolute;margin-left:56.459999pt;margin-top:-51.968269pt;width:479.1pt;height:107.65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4"/>
                    <w:gridCol w:w="797"/>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5"/>
                          <w:jc w:val="left"/>
                          <w:rPr>
                            <w:rFonts w:ascii="宋体" w:hAnsi="宋体" w:cs="宋体" w:eastAsia="宋体" w:hint="default"/>
                            <w:sz w:val="18"/>
                            <w:szCs w:val="18"/>
                          </w:rPr>
                        </w:pPr>
                        <w:r>
                          <w:rPr>
                            <w:rFonts w:ascii="宋体" w:hAnsi="宋体" w:cs="宋体" w:eastAsia="宋体" w:hint="default"/>
                            <w:spacing w:val="14"/>
                            <w:sz w:val="18"/>
                            <w:szCs w:val="18"/>
                          </w:rPr>
                          <w:t>日照大地依索新建 </w:t>
                        </w:r>
                        <w:r>
                          <w:rPr>
                            <w:rFonts w:ascii="宋体" w:hAnsi="宋体" w:cs="宋体" w:eastAsia="宋体" w:hint="default"/>
                            <w:sz w:val="18"/>
                            <w:szCs w:val="18"/>
                          </w:rPr>
                          <w:t>材有限公司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2,816.00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0.0003</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1"/>
        <w:gridCol w:w="1348"/>
      </w:tblGrid>
      <w:tr>
        <w:trPr>
          <w:trHeight w:val="1026"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97" w:lineRule="auto"/>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97" w:lineRule="auto"/>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97" w:lineRule="auto"/>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97" w:lineRule="auto"/>
              <w:ind w:left="232" w:right="22" w:hanging="20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0"/>
              <w:ind w:left="45" w:right="30"/>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spacing w:after="0" w:line="307" w:lineRule="auto"/>
        <w:jc w:val="center"/>
        <w:rPr>
          <w:rFonts w:ascii="宋体" w:hAnsi="宋体" w:cs="宋体" w:eastAsia="宋体" w:hint="default"/>
          <w:sz w:val="18"/>
          <w:szCs w:val="18"/>
        </w:rPr>
        <w:sectPr>
          <w:pgSz w:w="11910" w:h="16840"/>
          <w:pgMar w:header="877" w:footer="1258" w:top="1060" w:bottom="14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公司委托管理</w:t>
      </w:r>
      <w:r>
        <w:rPr>
          <w:rFonts w:ascii="Times New Roman" w:hAnsi="Times New Roman" w:cs="Times New Roman" w:eastAsia="Times New Roman" w:hint="default"/>
        </w:rPr>
        <w:t>/</w:t>
      </w:r>
      <w:r>
        <w:rPr/>
        <w:t>出包情况表</w:t>
      </w:r>
    </w:p>
    <w:p>
      <w:pPr>
        <w:pStyle w:val="BodyText"/>
        <w:spacing w:line="240" w:lineRule="auto" w:before="10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2"/>
        <w:gridCol w:w="1346"/>
      </w:tblGrid>
      <w:tr>
        <w:trPr>
          <w:trHeight w:val="715"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12" w:right="23" w:hanging="38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9" w:right="30"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0"/>
        <w:jc w:val="left"/>
      </w:pPr>
      <w:r>
        <w:rPr/>
        <w:t>关联托管</w:t>
      </w:r>
      <w:r>
        <w:rPr>
          <w:rFonts w:ascii="Times New Roman" w:hAnsi="Times New Roman" w:cs="Times New Roman" w:eastAsia="Times New Roman" w:hint="default"/>
        </w:rPr>
        <w:t>/</w:t>
      </w:r>
      <w:r>
        <w:rPr/>
        <w:t>承包情况说明</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九、股份支付</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80,000.00</w:t>
            </w:r>
          </w:p>
        </w:tc>
      </w:tr>
    </w:tbl>
    <w:p>
      <w:pPr>
        <w:pStyle w:val="BodyText"/>
        <w:spacing w:line="357" w:lineRule="auto" w:before="49"/>
        <w:ind w:right="5579"/>
        <w:jc w:val="left"/>
      </w:pPr>
      <w:r>
        <w:rPr/>
        <w:t>股份支付情况的说明 报告期内，公司回购注销不符合激励条件的限制性股票</w:t>
      </w:r>
      <w:r>
        <w:rPr>
          <w:rFonts w:ascii="Times New Roman" w:hAnsi="Times New Roman" w:cs="Times New Roman" w:eastAsia="Times New Roman" w:hint="default"/>
        </w:rPr>
        <w:t>80,000</w:t>
      </w:r>
      <w:r>
        <w:rPr/>
        <w:t>股。</w:t>
      </w:r>
    </w:p>
    <w:p>
      <w:pPr>
        <w:spacing w:line="240" w:lineRule="auto" w:before="3"/>
        <w:rPr>
          <w:rFonts w:ascii="宋体" w:hAnsi="宋体" w:cs="宋体" w:eastAsia="宋体" w:hint="default"/>
          <w:sz w:val="19"/>
          <w:szCs w:val="19"/>
        </w:rPr>
      </w:pPr>
    </w:p>
    <w:p>
      <w:pPr>
        <w:pStyle w:val="Heading5"/>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5,374,725.00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4,593,225.00</w:t>
            </w:r>
          </w:p>
        </w:tc>
      </w:tr>
    </w:tbl>
    <w:p>
      <w:pPr>
        <w:pStyle w:val="BodyText"/>
        <w:spacing w:line="240" w:lineRule="auto" w:before="49"/>
        <w:ind w:right="0"/>
        <w:jc w:val="left"/>
      </w:pPr>
      <w:r>
        <w:rPr/>
        <w:t>以权益结算的股份支付的说明</w:t>
      </w:r>
    </w:p>
    <w:p>
      <w:pPr>
        <w:spacing w:line="240" w:lineRule="auto" w:before="0"/>
        <w:rPr>
          <w:rFonts w:ascii="宋体" w:hAnsi="宋体" w:cs="宋体" w:eastAsia="宋体" w:hint="default"/>
          <w:sz w:val="18"/>
          <w:szCs w:val="18"/>
        </w:rPr>
      </w:pPr>
    </w:p>
    <w:p>
      <w:pPr>
        <w:pStyle w:val="Heading5"/>
        <w:spacing w:line="240" w:lineRule="auto" w:before="125"/>
        <w:ind w:right="0"/>
        <w:jc w:val="left"/>
        <w:rPr>
          <w:b w:val="0"/>
          <w:bCs w:val="0"/>
        </w:rPr>
      </w:pPr>
      <w:r>
        <w:rPr>
          <w:rFonts w:ascii="Times New Roman" w:hAnsi="Times New Roman" w:cs="Times New Roman" w:eastAsia="Times New Roman" w:hint="default"/>
        </w:rPr>
        <w:t>3</w:t>
      </w:r>
      <w:r>
        <w:rPr/>
        <w:t>、以股份支付服务情况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27,641,250.00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十、或有事项</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、未决诉讼或仲裁形成的或有负债及其财务影响</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7"/>
        <w:ind w:right="0"/>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11"/>
        <w:rPr>
          <w:rFonts w:ascii="宋体" w:hAnsi="宋体" w:cs="宋体" w:eastAsia="宋体" w:hint="default"/>
          <w:b/>
          <w:bCs/>
          <w:sz w:val="26"/>
          <w:szCs w:val="26"/>
        </w:rPr>
      </w:pPr>
    </w:p>
    <w:p>
      <w:pPr>
        <w:pStyle w:val="BodyText"/>
        <w:spacing w:line="357" w:lineRule="auto"/>
        <w:ind w:right="8594"/>
        <w:jc w:val="left"/>
      </w:pPr>
      <w:r>
        <w:rPr/>
        <w:t>无 其他或有负债及其财务影响 无</w:t>
      </w:r>
    </w:p>
    <w:p>
      <w:pPr>
        <w:spacing w:after="0" w:line="357" w:lineRule="auto"/>
        <w:jc w:val="left"/>
        <w:sectPr>
          <w:pgSz w:w="11910" w:h="16840"/>
          <w:pgMar w:header="877" w:footer="1258" w:top="1060" w:bottom="14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十一、承诺事项</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7"/>
        <w:ind w:right="0"/>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十二、资产负债表日后事项</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、重要的资产负债表日后事项说明</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10" w:right="111"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50,549,668.80</w:t>
            </w:r>
          </w:p>
        </w:tc>
      </w:tr>
    </w:tbl>
    <w:p>
      <w:pPr>
        <w:spacing w:line="240" w:lineRule="auto" w:before="9"/>
        <w:rPr>
          <w:rFonts w:ascii="宋体" w:hAnsi="宋体" w:cs="宋体" w:eastAsia="宋体" w:hint="default"/>
          <w:sz w:val="19"/>
          <w:szCs w:val="19"/>
        </w:rPr>
      </w:pPr>
    </w:p>
    <w:p>
      <w:pPr>
        <w:pStyle w:val="Heading5"/>
        <w:spacing w:line="240" w:lineRule="auto" w:before="37"/>
        <w:ind w:right="0"/>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515" w:right="0"/>
        <w:jc w:val="left"/>
        <w:rPr>
          <w:rFonts w:ascii="宋体" w:hAnsi="宋体" w:cs="宋体" w:eastAsia="宋体" w:hint="default"/>
          <w:sz w:val="24"/>
          <w:szCs w:val="24"/>
        </w:rPr>
      </w:pPr>
      <w:r>
        <w:rPr/>
        <w:t>本公司无需披露的其他重要事项</w:t>
      </w:r>
      <w:r>
        <w:rPr>
          <w:rFonts w:ascii="宋体" w:hAnsi="宋体" w:cs="宋体" w:eastAsia="宋体" w:hint="default"/>
          <w:sz w:val="24"/>
          <w:szCs w:val="24"/>
        </w:rPr>
        <w:t>。</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r>
        <w:rPr/>
        <w:t>十三、其他重要事项</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、非货币性资产交换</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7"/>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7"/>
        <w:ind w:right="0"/>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7"/>
        <w:ind w:right="0"/>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1258" w:top="1060" w:bottom="1440" w:left="980" w:right="0"/>
        </w:sectPr>
      </w:pPr>
    </w:p>
    <w:p>
      <w:pPr>
        <w:spacing w:line="240" w:lineRule="auto" w:before="3"/>
        <w:rPr>
          <w:rFonts w:ascii="宋体" w:hAnsi="宋体" w:cs="宋体" w:eastAsia="宋体" w:hint="default"/>
          <w:sz w:val="25"/>
          <w:szCs w:val="25"/>
        </w:rPr>
      </w:pPr>
    </w:p>
    <w:p>
      <w:pPr>
        <w:pStyle w:val="Heading5"/>
        <w:spacing w:line="240" w:lineRule="auto" w:before="37"/>
        <w:ind w:right="0"/>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7"/>
        <w:ind w:right="0"/>
        <w:jc w:val="left"/>
        <w:rPr>
          <w:b w:val="0"/>
          <w:bCs w:val="0"/>
        </w:rPr>
      </w:pPr>
      <w:r>
        <w:rPr>
          <w:rFonts w:ascii="Times New Roman" w:hAnsi="Times New Roman" w:cs="Times New Roman" w:eastAsia="Times New Roman" w:hint="default"/>
        </w:rPr>
        <w:t>6</w:t>
      </w:r>
      <w:r>
        <w:rPr/>
        <w:t>、年金计划主要内容及重大变化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7"/>
        <w:ind w:right="0"/>
        <w:jc w:val="left"/>
        <w:rPr>
          <w:b w:val="0"/>
          <w:bCs w:val="0"/>
        </w:rPr>
      </w:pPr>
      <w:r>
        <w:rPr>
          <w:rFonts w:ascii="Times New Roman" w:hAnsi="Times New Roman" w:cs="Times New Roman" w:eastAsia="Times New Roman" w:hint="default"/>
        </w:rPr>
        <w:t>7</w:t>
      </w:r>
      <w:r>
        <w:rPr/>
        <w:t>、其他</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十四、母公司财务报表主要项目注释</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33"/>
        <w:gridCol w:w="1327"/>
        <w:gridCol w:w="665"/>
        <w:gridCol w:w="1195"/>
        <w:gridCol w:w="665"/>
        <w:gridCol w:w="1328"/>
        <w:gridCol w:w="665"/>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按账龄合计提坏账准备 的应收账款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47,754,562.47</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2,478,187.99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5.19%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42,914,230.26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2,179,599.55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5.08%</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center"/>
              <w:rPr>
                <w:rFonts w:ascii="Times New Roman" w:hAnsi="Times New Roman" w:cs="Times New Roman" w:eastAsia="Times New Roman" w:hint="default"/>
                <w:sz w:val="18"/>
                <w:szCs w:val="18"/>
              </w:rPr>
            </w:pPr>
            <w:r>
              <w:rPr>
                <w:rFonts w:ascii="Times New Roman"/>
                <w:sz w:val="18"/>
              </w:rPr>
              <w:t>47,754,562.47</w:t>
            </w:r>
          </w:p>
        </w:tc>
        <w:tc>
          <w:tcPr>
            <w:tcW w:w="53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2,478,187.99</w:t>
            </w:r>
          </w:p>
        </w:tc>
        <w:tc>
          <w:tcPr>
            <w:tcW w:w="66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Times New Roman" w:hAnsi="Times New Roman" w:cs="Times New Roman" w:eastAsia="Times New Roman" w:hint="default"/>
                <w:sz w:val="18"/>
                <w:szCs w:val="18"/>
              </w:rPr>
            </w:pPr>
            <w:r>
              <w:rPr>
                <w:rFonts w:ascii="Times New Roman"/>
                <w:sz w:val="18"/>
              </w:rPr>
              <w:t>42,914,230.26</w:t>
            </w:r>
          </w:p>
        </w:tc>
        <w:tc>
          <w:tcPr>
            <w:tcW w:w="66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2,179,599.55</w:t>
            </w: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47,754,562.47</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2,478,187.99</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42,914,230.26</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2,179,599.55</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left="441" w:right="0" w:hanging="289"/>
        <w:jc w:val="left"/>
      </w:pPr>
      <w:r>
        <w:rPr/>
        <w:t>应收账款种类的说明 </w:t>
      </w:r>
      <w:r>
        <w:rPr>
          <w:spacing w:val="-1"/>
        </w:rPr>
        <w:t>本公司应收账款分为：单项金额重大并单项计提坏账准备的应收账款、按账龄分析计提坏账准备的应收账款和单项金额</w:t>
      </w:r>
    </w:p>
    <w:p>
      <w:pPr>
        <w:pStyle w:val="BodyText"/>
        <w:spacing w:line="242" w:lineRule="exact"/>
        <w:ind w:right="0"/>
        <w:jc w:val="left"/>
        <w:rPr>
          <w:sz w:val="21"/>
          <w:szCs w:val="21"/>
        </w:rPr>
      </w:pPr>
      <w:r>
        <w:rPr/>
        <w:t>不重大但单项计提坏账准备的应收账款</w:t>
      </w:r>
      <w:r>
        <w:rPr>
          <w:sz w:val="21"/>
          <w:szCs w:val="21"/>
        </w:rPr>
        <w:t>。</w:t>
      </w:r>
    </w:p>
    <w:p>
      <w:pPr>
        <w:pStyle w:val="BodyText"/>
        <w:spacing w:line="240" w:lineRule="auto" w:before="98"/>
        <w:ind w:right="0"/>
        <w:jc w:val="left"/>
      </w:pPr>
      <w:r>
        <w:rPr/>
        <w:t>期末单项金额重大并单项计提坏账准备的应收账款</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组合中，采用账龄分析法计提坏账准备的应收账款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995"/>
        <w:gridCol w:w="662"/>
        <w:gridCol w:w="1462"/>
        <w:gridCol w:w="2126"/>
        <w:gridCol w:w="665"/>
        <w:gridCol w:w="1594"/>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4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5" w:type="dxa"/>
            <w:vMerge/>
            <w:tcBorders>
              <w:left w:val="single" w:sz="4" w:space="0" w:color="000000"/>
              <w:right w:val="single" w:sz="4" w:space="0" w:color="000000"/>
            </w:tcBorders>
            <w:shd w:val="clear" w:color="auto" w:fill="D2D2D2"/>
          </w:tcPr>
          <w:p>
            <w:pP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258" w:top="1060" w:bottom="14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5"/>
        <w:gridCol w:w="1995"/>
        <w:gridCol w:w="662"/>
        <w:gridCol w:w="1462"/>
        <w:gridCol w:w="2126"/>
        <w:gridCol w:w="665"/>
        <w:gridCol w:w="1594"/>
      </w:tblGrid>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46,916,641.43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98.25%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2,345,832.07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42,246,297.57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2,112,314.88</w:t>
            </w:r>
          </w:p>
        </w:tc>
      </w:tr>
      <w:tr>
        <w:trPr>
          <w:trHeight w:val="715"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46,916,641.43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98.25%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2,345,832.07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42,246,297.57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2,112,314.88</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367,024.93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36,702.50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663,018.69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66,301.87</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465,982.11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93,196.42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4,914.00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982.80</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4,914.00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2,457.00</w:t>
            </w:r>
          </w:p>
        </w:tc>
        <w:tc>
          <w:tcPr>
            <w:tcW w:w="21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47,754,562.47</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2,478,187.99</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5"/>
              <w:jc w:val="right"/>
              <w:rPr>
                <w:rFonts w:ascii="Times New Roman" w:hAnsi="Times New Roman" w:cs="Times New Roman" w:eastAsia="Times New Roman" w:hint="default"/>
                <w:sz w:val="18"/>
                <w:szCs w:val="18"/>
              </w:rPr>
            </w:pPr>
            <w:r>
              <w:rPr>
                <w:rFonts w:ascii="Times New Roman"/>
                <w:spacing w:val="-1"/>
                <w:sz w:val="18"/>
              </w:rPr>
              <w:t>42,914,230.26</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2,179,599.55</w:t>
            </w:r>
          </w:p>
        </w:tc>
      </w:tr>
    </w:tbl>
    <w:p>
      <w:pPr>
        <w:pStyle w:val="BodyText"/>
        <w:spacing w:line="240" w:lineRule="auto" w:before="49"/>
        <w:ind w:right="0"/>
        <w:jc w:val="left"/>
      </w:pPr>
      <w:r>
        <w:rPr/>
        <w:t>组合中，采用余额百分比法计提坏账准备的应收账款</w:t>
      </w:r>
    </w:p>
    <w:p>
      <w:pPr>
        <w:pStyle w:val="BodyText"/>
        <w:spacing w:line="340" w:lineRule="auto" w:before="115"/>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38" w:lineRule="auto" w:before="41"/>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）本报告期应收账款中持有公司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本报告期应收账款中无持有公司</w:t>
      </w:r>
      <w:r>
        <w:rPr>
          <w:spacing w:val="-45"/>
        </w:rPr>
        <w:t> </w:t>
      </w:r>
      <w:r>
        <w:rPr>
          <w:rFonts w:ascii="Times New Roman" w:hAnsi="Times New Roman" w:cs="Times New Roman" w:eastAsia="Times New Roman" w:hint="default"/>
        </w:rPr>
        <w:t>5%</w:t>
      </w:r>
      <w:r>
        <w:rPr/>
        <w:t>（含</w:t>
      </w:r>
      <w:r>
        <w:rPr>
          <w:spacing w:val="-46"/>
        </w:rPr>
        <w:t> </w:t>
      </w:r>
      <w:r>
        <w:rPr>
          <w:rFonts w:ascii="Times New Roman" w:hAnsi="Times New Roman" w:cs="Times New Roman" w:eastAsia="Times New Roman" w:hint="default"/>
        </w:rPr>
        <w:t>5%</w:t>
      </w:r>
      <w:r>
        <w:rPr/>
        <w:t>）以上表决权的股东单位。</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）金额较大的其他的应收账款的性质或内容</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7"/>
        <w:ind w:right="0"/>
        <w:jc w:val="left"/>
        <w:rPr>
          <w:b w:val="0"/>
          <w:bCs w:val="0"/>
        </w:rPr>
      </w:pPr>
      <w:r>
        <w:rPr/>
        <w:t>（</w:t>
      </w:r>
      <w:r>
        <w:rPr>
          <w:rFonts w:ascii="Times New Roman" w:hAnsi="Times New Roman" w:cs="Times New Roman" w:eastAsia="Times New Roman" w:hint="default"/>
        </w:rPr>
        <w:t>4</w:t>
      </w:r>
      <w:r>
        <w:rPr/>
        <w:t>）应收账款中金额前五名单位情况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9,372,321.70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19.63%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2,043,660.26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4.28%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2,879,563.77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1,644,651.78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1,483,794.87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17,423,992.38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36.49%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58" w:top="1060" w:bottom="1440" w:left="980" w:right="0"/>
        </w:sectPr>
      </w:pPr>
    </w:p>
    <w:p>
      <w:pPr>
        <w:spacing w:line="240" w:lineRule="auto" w:before="3"/>
        <w:rPr>
          <w:rFonts w:ascii="宋体" w:hAnsi="宋体" w:cs="宋体" w:eastAsia="宋体" w:hint="default"/>
          <w:sz w:val="25"/>
          <w:szCs w:val="25"/>
        </w:rPr>
      </w:pPr>
    </w:p>
    <w:p>
      <w:pPr>
        <w:pStyle w:val="Heading5"/>
        <w:spacing w:line="240" w:lineRule="auto" w:before="37"/>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1"/>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0"/>
        <w:gridCol w:w="1455"/>
        <w:gridCol w:w="528"/>
        <w:gridCol w:w="1320"/>
        <w:gridCol w:w="528"/>
        <w:gridCol w:w="1322"/>
        <w:gridCol w:w="529"/>
        <w:gridCol w:w="1190"/>
        <w:gridCol w:w="526"/>
      </w:tblGrid>
      <w:tr>
        <w:trPr>
          <w:trHeight w:val="401" w:hRule="exact"/>
        </w:trPr>
        <w:tc>
          <w:tcPr>
            <w:tcW w:w="21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170"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170"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4"/>
              <w:jc w:val="left"/>
              <w:rPr>
                <w:rFonts w:ascii="宋体" w:hAnsi="宋体" w:cs="宋体" w:eastAsia="宋体" w:hint="default"/>
                <w:sz w:val="18"/>
                <w:szCs w:val="18"/>
              </w:rPr>
            </w:pPr>
            <w:r>
              <w:rPr>
                <w:rFonts w:ascii="宋体" w:hAnsi="宋体" w:cs="宋体" w:eastAsia="宋体" w:hint="default"/>
                <w:sz w:val="18"/>
                <w:szCs w:val="18"/>
              </w:rPr>
              <w:t>按账龄分析计提坏账准备 的其他应收款</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10,355,486.95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1,505,179.31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14.54</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9,041,689.07</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1,024,428.28</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11.33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10,355,486.95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1,505,179.31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14.54</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9,041,689.07</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1,024,428.28</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11.33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10,355,486.95</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1,505,179.31</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9,041,689.07</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1,024,428.28</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439" w:lineRule="auto" w:before="49"/>
        <w:ind w:left="441" w:right="0" w:hanging="289"/>
        <w:jc w:val="left"/>
      </w:pPr>
      <w:r>
        <w:rPr/>
        <w:t>其他应收款种类的说明 </w:t>
      </w:r>
      <w:r>
        <w:rPr>
          <w:spacing w:val="-1"/>
        </w:rPr>
        <w:t>本公司其他应收款分为：单项金额重大并单项计提坏账准备的其他应收款、按账龄分析计提坏账准备的其他应收款和单</w:t>
      </w:r>
    </w:p>
    <w:p>
      <w:pPr>
        <w:pStyle w:val="BodyText"/>
        <w:spacing w:line="240" w:lineRule="auto" w:before="83"/>
        <w:ind w:right="0"/>
        <w:jc w:val="left"/>
      </w:pPr>
      <w:r>
        <w:rPr/>
        <w:t>项金额不重大但单项计提坏账准备的其他应收款。</w:t>
      </w:r>
    </w:p>
    <w:p>
      <w:pPr>
        <w:spacing w:line="240" w:lineRule="auto" w:before="6"/>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77" w:footer="1258" w:top="1060" w:bottom="1440" w:left="980" w:right="0"/>
        </w:sectPr>
      </w:pPr>
    </w:p>
    <w:p>
      <w:pPr>
        <w:pStyle w:val="BodyText"/>
        <w:spacing w:line="240" w:lineRule="auto" w:before="44"/>
        <w:ind w:right="-20"/>
        <w:jc w:val="left"/>
      </w:pPr>
      <w:r>
        <w:rPr/>
        <w:t>期末单项金额重大并单项计提坏账准备的其他应收款</w:t>
      </w:r>
    </w:p>
    <w:p>
      <w:pPr>
        <w:pStyle w:val="BodyText"/>
        <w:spacing w:line="3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793"/>
        <w:gridCol w:w="662"/>
        <w:gridCol w:w="1594"/>
        <w:gridCol w:w="1862"/>
        <w:gridCol w:w="665"/>
        <w:gridCol w:w="1726"/>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268"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5,793,910.76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289,695.54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3,719,258.04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41.14%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185,962.90</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5,793,910.76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289,695.54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3,719,258.04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41.14%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185,962.90</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1,594,433.69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159,443.37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3,349,004.02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37.04%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334,900.40</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1,425,102.82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285,020.56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1,610,495.07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17.81%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322,099.01</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1,542,039.68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771,019.84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362,931.94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4.01%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181,465.97</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10,355,486.95</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1,505,179.31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9,041,689.07</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1,024,428.28</w:t>
            </w:r>
          </w:p>
        </w:tc>
      </w:tr>
    </w:tbl>
    <w:p>
      <w:pPr>
        <w:pStyle w:val="BodyText"/>
        <w:spacing w:line="240" w:lineRule="auto" w:before="49"/>
        <w:ind w:right="0"/>
        <w:jc w:val="left"/>
      </w:pPr>
      <w:r>
        <w:rPr/>
        <w:t>组合中，采用余额百分比法计提坏账准备的其他应收款</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组合中，采用其他方法计提坏账准备的其他应收款</w:t>
      </w:r>
    </w:p>
    <w:p>
      <w:pPr>
        <w:pStyle w:val="BodyText"/>
        <w:spacing w:line="338" w:lineRule="auto" w:before="117"/>
        <w:ind w:right="6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）本报告期其他应收款中持有公司</w:t>
      </w:r>
      <w:r>
        <w:rPr>
          <w:spacing w:val="-53"/>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本报告期其他应收款中无持有公司</w:t>
      </w:r>
      <w:r>
        <w:rPr>
          <w:spacing w:val="-45"/>
        </w:rPr>
        <w:t> </w:t>
      </w:r>
      <w:r>
        <w:rPr>
          <w:rFonts w:ascii="Times New Roman" w:hAnsi="Times New Roman" w:cs="Times New Roman" w:eastAsia="Times New Roman" w:hint="default"/>
        </w:rPr>
        <w:t>5%</w:t>
      </w:r>
      <w:r>
        <w:rPr/>
        <w:t>（含</w:t>
      </w:r>
      <w:r>
        <w:rPr>
          <w:spacing w:val="-46"/>
        </w:rPr>
        <w:t> </w:t>
      </w:r>
      <w:r>
        <w:rPr>
          <w:rFonts w:ascii="Times New Roman" w:hAnsi="Times New Roman" w:cs="Times New Roman" w:eastAsia="Times New Roman" w:hint="default"/>
        </w:rPr>
        <w:t>5%</w:t>
      </w:r>
      <w:r>
        <w:rPr/>
        <w:t>）以上表决权的股东单位。</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）金额较大的其他应收款的性质或内容</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7"/>
        <w:ind w:right="0"/>
        <w:jc w:val="left"/>
        <w:rPr>
          <w:b w:val="0"/>
          <w:bCs w:val="0"/>
        </w:rPr>
      </w:pPr>
      <w:r>
        <w:rPr/>
        <w:t>（</w:t>
      </w:r>
      <w:r>
        <w:rPr>
          <w:rFonts w:ascii="Times New Roman" w:hAnsi="Times New Roman" w:cs="Times New Roman" w:eastAsia="Times New Roman" w:hint="default"/>
        </w:rPr>
        <w:t>4</w:t>
      </w:r>
      <w:r>
        <w:rPr/>
        <w:t>）其他应收款金额前五名单位情况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14.34%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11.88%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政府部门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4,780,000.00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46.17%</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4"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39"/>
              <w:jc w:val="both"/>
              <w:rPr>
                <w:rFonts w:ascii="宋体" w:hAnsi="宋体" w:cs="宋体" w:eastAsia="宋体" w:hint="default"/>
                <w:sz w:val="18"/>
                <w:szCs w:val="18"/>
              </w:rPr>
            </w:pPr>
            <w:r>
              <w:rPr>
                <w:rFonts w:ascii="宋体" w:hAnsi="宋体" w:cs="宋体" w:eastAsia="宋体" w:hint="default"/>
                <w:sz w:val="18"/>
                <w:szCs w:val="18"/>
              </w:rPr>
              <w:t>郑州东港 安全印刷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27,238,92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17,336,05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9,902,869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27,238,92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4.82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少数股东 为本公司 之控股子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北京东港 安全印刷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35,325,00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35,325,00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16,302,07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58" w:top="1060" w:bottom="14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39"/>
              <w:jc w:val="both"/>
              <w:rPr>
                <w:rFonts w:ascii="宋体" w:hAnsi="宋体" w:cs="宋体" w:eastAsia="宋体" w:hint="default"/>
                <w:sz w:val="18"/>
                <w:szCs w:val="18"/>
              </w:rPr>
            </w:pPr>
            <w:r>
              <w:rPr>
                <w:rFonts w:ascii="宋体" w:hAnsi="宋体" w:cs="宋体" w:eastAsia="宋体" w:hint="default"/>
                <w:sz w:val="18"/>
                <w:szCs w:val="18"/>
              </w:rPr>
              <w:t>新疆东港 安全印刷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少数股东 为本公司 之控股子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1,284,133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39"/>
              <w:jc w:val="both"/>
              <w:rPr>
                <w:rFonts w:ascii="宋体" w:hAnsi="宋体" w:cs="宋体" w:eastAsia="宋体" w:hint="default"/>
                <w:sz w:val="18"/>
                <w:szCs w:val="18"/>
              </w:rPr>
            </w:pPr>
            <w:r>
              <w:rPr>
                <w:rFonts w:ascii="宋体" w:hAnsi="宋体" w:cs="宋体" w:eastAsia="宋体" w:hint="default"/>
                <w:sz w:val="18"/>
                <w:szCs w:val="18"/>
              </w:rPr>
              <w:t>上海东港 安全印刷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30,597,74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8,097,743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30,597,74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3.07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3"/>
              <w:jc w:val="both"/>
              <w:rPr>
                <w:rFonts w:ascii="宋体" w:hAnsi="宋体" w:cs="宋体" w:eastAsia="宋体" w:hint="default"/>
                <w:sz w:val="18"/>
                <w:szCs w:val="18"/>
              </w:rPr>
            </w:pPr>
            <w:r>
              <w:rPr>
                <w:rFonts w:ascii="宋体" w:hAnsi="宋体" w:cs="宋体" w:eastAsia="宋体" w:hint="default"/>
                <w:sz w:val="18"/>
                <w:szCs w:val="18"/>
              </w:rPr>
              <w:t>少数股东 为本公司 之控股子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广州东港 安全印刷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4,944,531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w:t>
            </w:r>
          </w:p>
        </w:tc>
      </w:tr>
      <w:tr>
        <w:trPr>
          <w:trHeight w:val="134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39"/>
              <w:jc w:val="both"/>
              <w:rPr>
                <w:rFonts w:ascii="宋体" w:hAnsi="宋体" w:cs="宋体" w:eastAsia="宋体" w:hint="default"/>
                <w:sz w:val="18"/>
                <w:szCs w:val="18"/>
              </w:rPr>
            </w:pPr>
            <w:r>
              <w:rPr>
                <w:rFonts w:ascii="宋体" w:hAnsi="宋体" w:cs="宋体" w:eastAsia="宋体" w:hint="default"/>
                <w:sz w:val="18"/>
                <w:szCs w:val="18"/>
              </w:rPr>
              <w:t>北京东港 嘉华安全 信息技术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36,696,71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36,696,71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2.50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36,696,71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2.50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3,552,125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.57</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成都东港 安全印刷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7,861,107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2,861,107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7,861,107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山东东港 数据处理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1,738,969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.09</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39"/>
              <w:jc w:val="both"/>
              <w:rPr>
                <w:rFonts w:ascii="宋体" w:hAnsi="宋体" w:cs="宋体" w:eastAsia="宋体" w:hint="default"/>
                <w:sz w:val="18"/>
                <w:szCs w:val="18"/>
              </w:rPr>
            </w:pPr>
            <w:r>
              <w:rPr>
                <w:rFonts w:ascii="宋体" w:hAnsi="宋体" w:cs="宋体" w:eastAsia="宋体" w:hint="default"/>
                <w:sz w:val="18"/>
                <w:szCs w:val="18"/>
              </w:rPr>
              <w:t>上海东港 数据处理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少数股东 为本公司 之控股子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389,499.1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323,894,4</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88.19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312,107,7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67.50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24,611,72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336,719,4</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88.19</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28,211,33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1.46</w:t>
            </w:r>
          </w:p>
        </w:tc>
      </w:tr>
    </w:tbl>
    <w:p>
      <w:pPr>
        <w:pStyle w:val="BodyText"/>
        <w:spacing w:line="357" w:lineRule="auto" w:before="49"/>
        <w:ind w:right="9134"/>
        <w:jc w:val="left"/>
      </w:pPr>
      <w:r>
        <w:rPr/>
        <w:t>长期股权投资的说明 无</w:t>
      </w:r>
    </w:p>
    <w:p>
      <w:pPr>
        <w:spacing w:line="240" w:lineRule="auto" w:before="13"/>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530,728,684.46</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517,359,689.42</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22,611,066.72</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23,103,556.58</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553,339,751.18</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540,463,246.00</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407,047,665.34</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411,757,887.23</w:t>
            </w:r>
          </w:p>
        </w:tc>
      </w:tr>
    </w:tbl>
    <w:p>
      <w:pPr>
        <w:spacing w:after="0" w:line="240" w:lineRule="auto"/>
        <w:jc w:val="right"/>
        <w:rPr>
          <w:rFonts w:ascii="Times New Roman" w:hAnsi="Times New Roman" w:cs="Times New Roman" w:eastAsia="Times New Roman" w:hint="default"/>
          <w:sz w:val="18"/>
          <w:szCs w:val="18"/>
        </w:rPr>
        <w:sectPr>
          <w:footerReference w:type="default" r:id="rId62"/>
          <w:pgSz w:w="11910" w:h="16840"/>
          <w:pgMar w:footer="1340" w:header="877" w:top="1060" w:bottom="1540" w:left="980" w:right="0"/>
          <w:pgNumType w:start="130"/>
        </w:sectPr>
      </w:pPr>
    </w:p>
    <w:p>
      <w:pPr>
        <w:spacing w:line="240" w:lineRule="auto" w:before="3"/>
        <w:rPr>
          <w:rFonts w:ascii="宋体" w:hAnsi="宋体" w:cs="宋体" w:eastAsia="宋体" w:hint="default"/>
          <w:sz w:val="25"/>
          <w:szCs w:val="25"/>
        </w:rPr>
      </w:pPr>
      <w:r>
        <w:rPr/>
        <w:pict>
          <v:group style="position:absolute;margin-left:460.320007pt;margin-top:764.919983pt;width:135pt;height:77pt;mso-position-horizontal-relative:page;mso-position-vertical-relative:page;z-index:-753400" coordorigin="9206,15298" coordsize="2700,1540">
            <v:shape style="position:absolute;left:9206;top:15298;width:2700;height:1540" type="#_x0000_t75" stroked="false">
              <v:imagedata r:id="rId16"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131</w:t>
                    </w:r>
                  </w:p>
                </w:txbxContent>
              </v:textbox>
              <w10:wrap type="none"/>
            </v:shape>
            <w10:wrap type="none"/>
          </v:group>
        </w:pict>
      </w:r>
    </w:p>
    <w:p>
      <w:pPr>
        <w:pStyle w:val="Heading5"/>
        <w:spacing w:line="240" w:lineRule="auto" w:before="37"/>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票证印刷业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530,728,684.46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386,732,421.26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517,359,689.42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390,124,668.36</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530,728,684.46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386,732,421.26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517,359,689.42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390,124,668.36</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票据产品</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353,621,891.94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247,683,664.07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389,883,321.63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286,961,387.79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彩印产品</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46,095,893.10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32,668,636.52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41,152,975.61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31,217,201.48</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标签产品</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51,471,601.00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35,676,537.27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40,258,697.59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31,633,056.64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数据产品</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61,545,268.68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45,998,038.50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40,836,761.32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32,132,591.42</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卡类产品</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17,994,029.74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24,705,544.90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5,227,933.27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8,180,431.03</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530,728,684.46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386,732,421.26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517,359,689.42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390,124,668.36</w:t>
            </w:r>
          </w:p>
        </w:tc>
      </w:tr>
    </w:tbl>
    <w:p>
      <w:pPr>
        <w:spacing w:line="240" w:lineRule="auto" w:before="9"/>
        <w:rPr>
          <w:rFonts w:ascii="宋体" w:hAnsi="宋体" w:cs="宋体" w:eastAsia="宋体" w:hint="default"/>
          <w:sz w:val="19"/>
          <w:szCs w:val="19"/>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529,484,671.02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385,671,476.98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515,614,314.42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388,565,410.21</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1,244,013.44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1,060,944.28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1,745,375.00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1,559,258.15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530,728,684.46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386,732,421.26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517,359,689.42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390,124,668.36</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40,974,170.93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17,929,089.99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12,503,277.20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11,808,955.90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w:t>
            </w:r>
          </w:p>
        </w:tc>
      </w:tr>
    </w:tbl>
    <w:p>
      <w:pPr>
        <w:spacing w:after="0" w:line="240" w:lineRule="auto"/>
        <w:jc w:val="right"/>
        <w:rPr>
          <w:rFonts w:ascii="Times New Roman" w:hAnsi="Times New Roman" w:cs="Times New Roman" w:eastAsia="Times New Roman" w:hint="default"/>
          <w:sz w:val="18"/>
          <w:szCs w:val="18"/>
        </w:rPr>
        <w:sectPr>
          <w:footerReference w:type="default" r:id="rId63"/>
          <w:pgSz w:w="11910" w:h="16840"/>
          <w:pgMar w:footer="0" w:header="877"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11,284,497.45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94,499,991.47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17.07%</w:t>
            </w:r>
          </w:p>
        </w:tc>
      </w:tr>
    </w:tbl>
    <w:p>
      <w:pPr>
        <w:pStyle w:val="BodyText"/>
        <w:spacing w:line="357" w:lineRule="auto" w:before="49"/>
        <w:ind w:right="9494"/>
        <w:jc w:val="left"/>
      </w:pPr>
      <w:r>
        <w:rPr/>
        <w:t>营业收入的说明 无</w:t>
      </w:r>
    </w:p>
    <w:p>
      <w:pPr>
        <w:spacing w:line="240" w:lineRule="auto" w:before="13"/>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28,211,331.46</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37,533,079.52</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28,211,331.46</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37,533,079.52</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郑州东港安全印刷有限公司</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5,273,123.59</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北京东港安全印刷有限公司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16,302,073.53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13,494,221.98</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新疆东港安全印刷有限公司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1,284,133.05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443,775.22</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上海东港安全印刷有限公司</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3,687,903.17</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广州东港安全印刷有限公司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4,944,531.08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2,364,005.24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北京东港嘉华安全信息技术有限公司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3,552,125.57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5,410,257.95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成都东港安全印刷有限公司</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3,316,865.68</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山东东港数据处理有限公司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1,738,969.09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3,542,926.69</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上海东港数据处理有限公司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389,499.14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28,211,331.46</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37,533,079.52</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5"/>
        <w:spacing w:line="240" w:lineRule="auto" w:before="37"/>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70,172,103.34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80,273,150.39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812,142.63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411,866.04</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37,060,844.92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37,296,063.81</w:t>
            </w:r>
          </w:p>
        </w:tc>
      </w:tr>
    </w:tbl>
    <w:p>
      <w:pPr>
        <w:spacing w:after="0" w:line="240" w:lineRule="auto"/>
        <w:jc w:val="right"/>
        <w:rPr>
          <w:rFonts w:ascii="Times New Roman" w:hAnsi="Times New Roman" w:cs="Times New Roman" w:eastAsia="Times New Roman" w:hint="default"/>
          <w:sz w:val="18"/>
          <w:szCs w:val="18"/>
        </w:rPr>
        <w:sectPr>
          <w:footerReference w:type="default" r:id="rId64"/>
          <w:pgSz w:w="11910" w:h="16840"/>
          <w:pgMar w:footer="1340" w:header="877" w:top="1060" w:bottom="1540" w:left="980" w:right="0"/>
          <w:pgNumType w:start="132"/>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1,323,140.04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1,247,296.76</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546,384.96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312,229.66</w:t>
            </w:r>
          </w:p>
        </w:tc>
      </w:tr>
      <w:tr>
        <w:trPr>
          <w:trHeight w:val="71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31,449.65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324,618.10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-10,571.45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-158,603.18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-28,211,331.46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-37,533,079.52</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-593,278.39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-299,306.25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-9,801,001.59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451,402.29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-7,709,328.25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-8,317,571.84</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131,606,066.28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-34,206,161.18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4,593,225.00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781,500.00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199,819,845.68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40,583,405.08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76"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76"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204,821,424.28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275,917,341.63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275,917,341.63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384,017,489.26</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-71,095,917.35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-108,100,147.63</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十五、补充资料</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529"/>
        <w:gridCol w:w="2177"/>
        <w:gridCol w:w="1915"/>
        <w:gridCol w:w="1937"/>
      </w:tblGrid>
      <w:tr>
        <w:trPr>
          <w:trHeight w:val="184"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0.41</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1"/>
                <w:sz w:val="18"/>
              </w:rPr>
              <w:t>0.41</w:t>
            </w:r>
          </w:p>
        </w:tc>
      </w:tr>
      <w:tr>
        <w:trPr>
          <w:trHeight w:val="715"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0.38</w:t>
            </w:r>
          </w:p>
        </w:tc>
      </w:tr>
    </w:tbl>
    <w:p>
      <w:pPr>
        <w:spacing w:line="240" w:lineRule="auto" w:before="9"/>
        <w:rPr>
          <w:rFonts w:ascii="宋体" w:hAnsi="宋体" w:cs="宋体" w:eastAsia="宋体" w:hint="default"/>
          <w:sz w:val="19"/>
          <w:szCs w:val="19"/>
        </w:rPr>
      </w:pPr>
    </w:p>
    <w:p>
      <w:pPr>
        <w:pStyle w:val="Heading5"/>
        <w:spacing w:line="240" w:lineRule="auto" w:before="37"/>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8"/>
        <w:ind w:left="604" w:right="0"/>
        <w:jc w:val="left"/>
      </w:pPr>
      <w:r>
        <w:rPr>
          <w:rFonts w:ascii="Times New Roman" w:hAnsi="Times New Roman" w:cs="Times New Roman" w:eastAsia="Times New Roman" w:hint="default"/>
        </w:rPr>
        <w:t>1</w:t>
      </w:r>
      <w:r>
        <w:rPr/>
        <w:t>）货币资金</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日期末数为</w:t>
      </w:r>
      <w:r>
        <w:rPr>
          <w:rFonts w:ascii="Times New Roman" w:hAnsi="Times New Roman" w:cs="Times New Roman" w:eastAsia="Times New Roman" w:hint="default"/>
        </w:rPr>
        <w:t>249,046,494.36</w:t>
      </w:r>
      <w:r>
        <w:rPr/>
        <w:t>元，比期初数减少</w:t>
      </w:r>
      <w:r>
        <w:rPr>
          <w:rFonts w:ascii="Times New Roman" w:hAnsi="Times New Roman" w:cs="Times New Roman" w:eastAsia="Times New Roman" w:hint="default"/>
        </w:rPr>
        <w:t>32%</w:t>
      </w:r>
      <w:r>
        <w:rPr/>
        <w:t>，其他流动资产</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日期末数为</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190,783,531.56</w:t>
      </w:r>
      <w:r>
        <w:rPr/>
        <w:t>元，比期初数增加</w:t>
      </w:r>
      <w:r>
        <w:rPr>
          <w:rFonts w:ascii="Times New Roman" w:hAnsi="Times New Roman" w:cs="Times New Roman" w:eastAsia="Times New Roman" w:hint="default"/>
        </w:rPr>
        <w:t>459.02%</w:t>
      </w:r>
      <w:r>
        <w:rPr/>
        <w:t>，主要原因是本公司</w:t>
      </w:r>
      <w:r>
        <w:rPr>
          <w:rFonts w:ascii="Times New Roman" w:hAnsi="Times New Roman" w:cs="Times New Roman" w:eastAsia="Times New Roman" w:hint="default"/>
        </w:rPr>
        <w:t>2012</w:t>
      </w:r>
      <w:r>
        <w:rPr/>
        <w:t>购买理财产品</w:t>
      </w:r>
      <w:r>
        <w:rPr>
          <w:rFonts w:ascii="Times New Roman" w:hAnsi="Times New Roman" w:cs="Times New Roman" w:eastAsia="Times New Roman" w:hint="default"/>
        </w:rPr>
        <w:t>1.9</w:t>
      </w:r>
      <w:r>
        <w:rPr/>
        <w:t>亿元。</w:t>
      </w:r>
    </w:p>
    <w:p>
      <w:pPr>
        <w:spacing w:line="240" w:lineRule="auto" w:before="9"/>
        <w:rPr>
          <w:rFonts w:ascii="宋体" w:hAnsi="宋体" w:cs="宋体" w:eastAsia="宋体" w:hint="default"/>
          <w:sz w:val="16"/>
          <w:szCs w:val="16"/>
        </w:rPr>
      </w:pPr>
    </w:p>
    <w:p>
      <w:pPr>
        <w:pStyle w:val="BodyText"/>
        <w:spacing w:line="451" w:lineRule="auto"/>
        <w:ind w:right="0" w:firstLine="360"/>
        <w:jc w:val="left"/>
      </w:pPr>
      <w:r>
        <w:rPr>
          <w:rFonts w:ascii="Times New Roman" w:hAnsi="Times New Roman" w:cs="Times New Roman" w:eastAsia="Times New Roman" w:hint="default"/>
          <w:spacing w:val="-1"/>
        </w:rPr>
        <w:t>2</w:t>
      </w:r>
      <w:r>
        <w:rPr>
          <w:spacing w:val="-1"/>
        </w:rPr>
        <w:t>）在建工程</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日期末数为</w:t>
      </w:r>
      <w:r>
        <w:rPr>
          <w:rFonts w:ascii="Times New Roman" w:hAnsi="Times New Roman" w:cs="Times New Roman" w:eastAsia="Times New Roman" w:hint="default"/>
          <w:spacing w:val="-1"/>
        </w:rPr>
        <w:t>506,475.01</w:t>
      </w:r>
      <w:r>
        <w:rPr>
          <w:spacing w:val="-1"/>
        </w:rPr>
        <w:t>元，比期初数减少</w:t>
      </w:r>
      <w:r>
        <w:rPr>
          <w:rFonts w:ascii="Times New Roman" w:hAnsi="Times New Roman" w:cs="Times New Roman" w:eastAsia="Times New Roman" w:hint="default"/>
          <w:spacing w:val="-1"/>
        </w:rPr>
        <w:t>97%</w:t>
      </w:r>
      <w:r>
        <w:rPr>
          <w:spacing w:val="-1"/>
        </w:rPr>
        <w:t>，主要原因是本公司</w:t>
      </w:r>
      <w:r>
        <w:rPr>
          <w:rFonts w:ascii="Times New Roman" w:hAnsi="Times New Roman" w:cs="Times New Roman" w:eastAsia="Times New Roman" w:hint="default"/>
          <w:spacing w:val="-1"/>
        </w:rPr>
        <w:t>2012</w:t>
      </w:r>
      <w:r>
        <w:rPr>
          <w:spacing w:val="-1"/>
        </w:rPr>
        <w:t>年研发楼达到预定可使</w:t>
      </w:r>
      <w:r>
        <w:rPr/>
        <w:t> 用状态结转固定资产。</w:t>
      </w:r>
    </w:p>
    <w:p>
      <w:pPr>
        <w:pStyle w:val="BodyText"/>
        <w:spacing w:line="240" w:lineRule="auto" w:before="74"/>
        <w:ind w:left="513" w:right="0"/>
        <w:jc w:val="left"/>
      </w:pPr>
      <w:r>
        <w:rPr>
          <w:rFonts w:ascii="Times New Roman" w:hAnsi="Times New Roman" w:cs="Times New Roman" w:eastAsia="Times New Roman" w:hint="default"/>
        </w:rPr>
        <w:t>3</w:t>
      </w:r>
      <w:r>
        <w:rPr/>
        <w:t>）无形资产</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日期末数为</w:t>
      </w:r>
      <w:r>
        <w:rPr>
          <w:rFonts w:ascii="Times New Roman" w:hAnsi="Times New Roman" w:cs="Times New Roman" w:eastAsia="Times New Roman" w:hint="default"/>
        </w:rPr>
        <w:t>88,907,203.13</w:t>
      </w:r>
      <w:r>
        <w:rPr/>
        <w:t>元，比期初数增加</w:t>
      </w:r>
      <w:r>
        <w:rPr>
          <w:rFonts w:ascii="Times New Roman" w:hAnsi="Times New Roman" w:cs="Times New Roman" w:eastAsia="Times New Roman" w:hint="default"/>
        </w:rPr>
        <w:t>42%</w:t>
      </w:r>
      <w:r>
        <w:rPr/>
        <w:t>，主要原因是本公司</w:t>
      </w:r>
      <w:r>
        <w:rPr>
          <w:rFonts w:ascii="Times New Roman" w:hAnsi="Times New Roman" w:cs="Times New Roman" w:eastAsia="Times New Roman" w:hint="default"/>
        </w:rPr>
        <w:t>2012</w:t>
      </w:r>
      <w:r>
        <w:rPr/>
        <w:t>年取得专利证书，</w:t>
      </w:r>
    </w:p>
    <w:p>
      <w:pPr>
        <w:spacing w:after="0" w:line="240"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t>研发支出结转无形资产。</w:t>
      </w:r>
    </w:p>
    <w:p>
      <w:pPr>
        <w:spacing w:line="240" w:lineRule="auto" w:before="10"/>
        <w:rPr>
          <w:rFonts w:ascii="宋体" w:hAnsi="宋体" w:cs="宋体" w:eastAsia="宋体" w:hint="default"/>
          <w:sz w:val="17"/>
          <w:szCs w:val="17"/>
        </w:rPr>
      </w:pPr>
    </w:p>
    <w:p>
      <w:pPr>
        <w:pStyle w:val="BodyText"/>
        <w:spacing w:line="451" w:lineRule="auto"/>
        <w:ind w:right="1123" w:firstLine="360"/>
        <w:jc w:val="left"/>
      </w:pPr>
      <w:r>
        <w:rPr>
          <w:rFonts w:ascii="Times New Roman" w:hAnsi="Times New Roman" w:cs="Times New Roman" w:eastAsia="Times New Roman" w:hint="default"/>
        </w:rPr>
        <w:t>4</w:t>
      </w:r>
      <w:r>
        <w:rPr/>
        <w:t>）应付职工薪酬</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日期末数为</w:t>
      </w:r>
      <w:r>
        <w:rPr>
          <w:rFonts w:ascii="Times New Roman" w:hAnsi="Times New Roman" w:cs="Times New Roman" w:eastAsia="Times New Roman" w:hint="default"/>
        </w:rPr>
        <w:t>15,369,092.79</w:t>
      </w:r>
      <w:r>
        <w:rPr>
          <w:rFonts w:ascii="Times New Roman" w:hAnsi="Times New Roman" w:cs="Times New Roman" w:eastAsia="Times New Roman" w:hint="default"/>
          <w:spacing w:val="31"/>
        </w:rPr>
        <w:t> </w:t>
      </w:r>
      <w:r>
        <w:rPr/>
        <w:t>元，比期初数增加</w:t>
      </w:r>
      <w:r>
        <w:rPr>
          <w:rFonts w:ascii="Times New Roman" w:hAnsi="Times New Roman" w:cs="Times New Roman" w:eastAsia="Times New Roman" w:hint="default"/>
        </w:rPr>
        <w:t>88%</w:t>
      </w:r>
      <w:r>
        <w:rPr/>
        <w:t>，主要原因是本公司</w:t>
      </w:r>
      <w:r>
        <w:rPr>
          <w:rFonts w:ascii="Times New Roman" w:hAnsi="Times New Roman" w:cs="Times New Roman" w:eastAsia="Times New Roman" w:hint="default"/>
        </w:rPr>
        <w:t>2012</w:t>
      </w:r>
      <w:r>
        <w:rPr/>
        <w:t>年计提工资较 上年增加。</w:t>
      </w:r>
    </w:p>
    <w:p>
      <w:pPr>
        <w:pStyle w:val="BodyText"/>
        <w:spacing w:line="451" w:lineRule="auto" w:before="74"/>
        <w:ind w:right="1123" w:firstLine="360"/>
        <w:jc w:val="left"/>
      </w:pPr>
      <w:r>
        <w:rPr>
          <w:rFonts w:ascii="Times New Roman" w:hAnsi="Times New Roman" w:cs="Times New Roman" w:eastAsia="Times New Roman" w:hint="default"/>
          <w:spacing w:val="-2"/>
        </w:rPr>
        <w:t>5</w:t>
      </w:r>
      <w:r>
        <w:rPr>
          <w:spacing w:val="-2"/>
        </w:rPr>
        <w:t>）预收账款</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日期末数为</w:t>
      </w:r>
      <w:r>
        <w:rPr>
          <w:rFonts w:ascii="Times New Roman" w:hAnsi="Times New Roman" w:cs="Times New Roman" w:eastAsia="Times New Roman" w:hint="default"/>
          <w:spacing w:val="-2"/>
        </w:rPr>
        <w:t>45,093,386.37</w:t>
      </w:r>
      <w:r>
        <w:rPr>
          <w:rFonts w:ascii="Times New Roman" w:hAnsi="Times New Roman" w:cs="Times New Roman" w:eastAsia="Times New Roman" w:hint="default"/>
          <w:spacing w:val="15"/>
        </w:rPr>
        <w:t> </w:t>
      </w:r>
      <w:r>
        <w:rPr>
          <w:spacing w:val="-2"/>
        </w:rPr>
        <w:t>元，比期初数增加</w:t>
      </w:r>
      <w:r>
        <w:rPr>
          <w:rFonts w:ascii="Times New Roman" w:hAnsi="Times New Roman" w:cs="Times New Roman" w:eastAsia="Times New Roman" w:hint="default"/>
          <w:spacing w:val="-2"/>
        </w:rPr>
        <w:t>102%</w:t>
      </w:r>
      <w:r>
        <w:rPr>
          <w:spacing w:val="-2"/>
        </w:rPr>
        <w:t>，主要原因是本公司</w:t>
      </w:r>
      <w:r>
        <w:rPr>
          <w:rFonts w:ascii="Times New Roman" w:hAnsi="Times New Roman" w:cs="Times New Roman" w:eastAsia="Times New Roman" w:hint="default"/>
          <w:spacing w:val="-2"/>
        </w:rPr>
        <w:t>2012</w:t>
      </w:r>
      <w:r>
        <w:rPr>
          <w:spacing w:val="-2"/>
        </w:rPr>
        <w:t>年票证产品增加预</w:t>
      </w:r>
      <w:r>
        <w:rPr/>
        <w:t> 收款。</w:t>
      </w:r>
    </w:p>
    <w:p>
      <w:pPr>
        <w:pStyle w:val="BodyText"/>
        <w:spacing w:line="240" w:lineRule="auto" w:before="74"/>
        <w:ind w:left="513" w:right="0"/>
        <w:jc w:val="left"/>
      </w:pPr>
      <w:r>
        <w:rPr>
          <w:rFonts w:ascii="Times New Roman" w:hAnsi="Times New Roman" w:cs="Times New Roman" w:eastAsia="Times New Roman" w:hint="default"/>
        </w:rPr>
        <w:t>6</w:t>
      </w:r>
      <w:r>
        <w:rPr/>
        <w:t>）股本</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日期末数为</w:t>
      </w:r>
      <w:r>
        <w:rPr>
          <w:rFonts w:ascii="Times New Roman" w:hAnsi="Times New Roman" w:cs="Times New Roman" w:eastAsia="Times New Roman" w:hint="default"/>
        </w:rPr>
        <w:t>252,748,344 </w:t>
      </w:r>
      <w:r>
        <w:rPr>
          <w:rFonts w:ascii="Times New Roman" w:hAnsi="Times New Roman" w:cs="Times New Roman" w:eastAsia="Times New Roman" w:hint="default"/>
          <w:spacing w:val="24"/>
        </w:rPr>
        <w:t> </w:t>
      </w:r>
      <w:r>
        <w:rPr/>
        <w:t>元，比期初数增加</w:t>
      </w:r>
      <w:r>
        <w:rPr>
          <w:rFonts w:ascii="Times New Roman" w:hAnsi="Times New Roman" w:cs="Times New Roman" w:eastAsia="Times New Roman" w:hint="default"/>
        </w:rPr>
        <w:t>100%</w:t>
      </w:r>
      <w:r>
        <w:rPr/>
        <w:t>，主要原因是本公司</w:t>
      </w:r>
      <w:r>
        <w:rPr>
          <w:rFonts w:ascii="Times New Roman" w:hAnsi="Times New Roman" w:cs="Times New Roman" w:eastAsia="Times New Roman" w:hint="default"/>
        </w:rPr>
        <w:t>2012</w:t>
      </w:r>
      <w:r>
        <w:rPr/>
        <w:t>年资本公积转增注册资</w:t>
      </w:r>
    </w:p>
    <w:p>
      <w:pPr>
        <w:spacing w:line="240" w:lineRule="auto" w:before="9"/>
        <w:rPr>
          <w:rFonts w:ascii="宋体" w:hAnsi="宋体" w:cs="宋体" w:eastAsia="宋体" w:hint="default"/>
          <w:sz w:val="16"/>
          <w:szCs w:val="16"/>
        </w:rPr>
      </w:pPr>
    </w:p>
    <w:p>
      <w:pPr>
        <w:pStyle w:val="BodyText"/>
        <w:spacing w:line="240" w:lineRule="auto"/>
        <w:ind w:right="0"/>
        <w:jc w:val="left"/>
      </w:pPr>
      <w:r>
        <w:rPr/>
        <w:t>本。</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rFonts w:ascii="Times New Roman" w:hAnsi="Times New Roman" w:cs="Times New Roman" w:eastAsia="Times New Roman" w:hint="default"/>
        </w:rPr>
        <w:t>7</w:t>
      </w:r>
      <w:r>
        <w:rPr/>
        <w:t>）财务费用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日发生数为</w:t>
      </w:r>
      <w:r>
        <w:rPr>
          <w:rFonts w:ascii="Times New Roman" w:hAnsi="Times New Roman" w:cs="Times New Roman" w:eastAsia="Times New Roman" w:hint="default"/>
        </w:rPr>
        <w:t>-7,305,835.64</w:t>
      </w:r>
      <w:r>
        <w:rPr/>
        <w:t>元，比上年降低</w:t>
      </w:r>
      <w:r>
        <w:rPr>
          <w:rFonts w:ascii="Times New Roman" w:hAnsi="Times New Roman" w:cs="Times New Roman" w:eastAsia="Times New Roman" w:hint="default"/>
        </w:rPr>
        <w:t>120%</w:t>
      </w:r>
      <w:r>
        <w:rPr/>
        <w:t>，主要原因是本公司</w:t>
      </w:r>
      <w:r>
        <w:rPr>
          <w:rFonts w:ascii="Times New Roman" w:hAnsi="Times New Roman" w:cs="Times New Roman" w:eastAsia="Times New Roman" w:hint="default"/>
        </w:rPr>
        <w:t>2012</w:t>
      </w:r>
      <w:r>
        <w:rPr/>
        <w:t>年利息增加。</w:t>
      </w:r>
    </w:p>
    <w:p>
      <w:pPr>
        <w:spacing w:after="0" w:line="240"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5" w:right="0"/>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0"/>
        <w:rPr>
          <w:rFonts w:ascii="宋体" w:hAnsi="宋体" w:cs="宋体" w:eastAsia="宋体" w:hint="default"/>
          <w:b/>
          <w:bCs/>
          <w:sz w:val="32"/>
          <w:szCs w:val="32"/>
        </w:rPr>
      </w:pPr>
    </w:p>
    <w:p>
      <w:pPr>
        <w:pStyle w:val="BodyText"/>
        <w:spacing w:line="240" w:lineRule="auto" w:before="216"/>
        <w:ind w:right="0"/>
        <w:jc w:val="left"/>
      </w:pPr>
      <w:r>
        <w:rPr/>
        <w:t>（一）载有公司负责人、财务负责人、会计机构负责人签名并盖章的会计报表。</w:t>
      </w:r>
    </w:p>
    <w:p>
      <w:pPr>
        <w:spacing w:line="240" w:lineRule="auto" w:before="10"/>
        <w:rPr>
          <w:rFonts w:ascii="宋体" w:hAnsi="宋体" w:cs="宋体" w:eastAsia="宋体" w:hint="default"/>
          <w:sz w:val="17"/>
          <w:szCs w:val="17"/>
        </w:rPr>
      </w:pPr>
    </w:p>
    <w:p>
      <w:pPr>
        <w:pStyle w:val="BodyText"/>
        <w:spacing w:line="240" w:lineRule="auto"/>
        <w:ind w:right="0"/>
        <w:jc w:val="left"/>
      </w:pPr>
      <w:r>
        <w:rPr/>
        <w:t>（二）载有会计师事务所盖章、注册会计师签名并盖章的审计报告原件。</w:t>
      </w:r>
    </w:p>
    <w:p>
      <w:pPr>
        <w:spacing w:line="240" w:lineRule="auto" w:before="10"/>
        <w:rPr>
          <w:rFonts w:ascii="宋体" w:hAnsi="宋体" w:cs="宋体" w:eastAsia="宋体" w:hint="default"/>
          <w:sz w:val="17"/>
          <w:szCs w:val="17"/>
        </w:rPr>
      </w:pPr>
    </w:p>
    <w:p>
      <w:pPr>
        <w:pStyle w:val="BodyText"/>
        <w:spacing w:line="240" w:lineRule="auto"/>
        <w:ind w:right="0"/>
        <w:jc w:val="left"/>
      </w:pPr>
      <w:r>
        <w:rPr/>
        <w:t>（三）报告期内，在中国证监会指定报纸上公开披露过的所有文件正本及公告原稿。</w:t>
      </w:r>
    </w:p>
    <w:p>
      <w:pPr>
        <w:spacing w:line="240" w:lineRule="auto" w:before="10"/>
        <w:rPr>
          <w:rFonts w:ascii="宋体" w:hAnsi="宋体" w:cs="宋体" w:eastAsia="宋体" w:hint="default"/>
          <w:sz w:val="17"/>
          <w:szCs w:val="17"/>
        </w:rPr>
      </w:pPr>
    </w:p>
    <w:p>
      <w:pPr>
        <w:pStyle w:val="BodyText"/>
        <w:spacing w:line="240" w:lineRule="auto"/>
        <w:ind w:right="0"/>
        <w:jc w:val="left"/>
      </w:pPr>
      <w:r>
        <w:rPr/>
        <w:t>（四）以上备查文件的备置地点：公司证券办公室。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477" w:lineRule="auto"/>
        <w:ind w:left="7178" w:right="2108"/>
        <w:jc w:val="left"/>
      </w:pPr>
      <w:r>
        <w:rPr/>
        <w:t>东港股份有限公司 法定代表人：王爱先 </w:t>
      </w:r>
      <w:r>
        <w:rPr>
          <w:rFonts w:ascii="宋体" w:hAnsi="宋体" w:cs="宋体" w:eastAsia="宋体" w:hint="default"/>
        </w:rPr>
        <w:t>2013</w:t>
      </w:r>
      <w:r>
        <w:rPr/>
        <w:t>年</w:t>
      </w:r>
      <w:r>
        <w:rPr>
          <w:rFonts w:ascii="宋体" w:hAnsi="宋体" w:cs="宋体" w:eastAsia="宋体" w:hint="default"/>
        </w:rPr>
        <w:t>2</w:t>
      </w:r>
      <w:r>
        <w:rPr/>
        <w:t>月</w:t>
      </w:r>
      <w:r>
        <w:rPr>
          <w:rFonts w:ascii="宋体" w:hAnsi="宋体" w:cs="宋体" w:eastAsia="宋体" w:hint="default"/>
        </w:rPr>
        <w:t>26</w:t>
      </w:r>
      <w:r>
        <w:rPr/>
        <w:t>日</w:t>
      </w:r>
    </w:p>
    <w:sectPr>
      <w:pgSz w:w="11910" w:h="16840"/>
      <w:pgMar w:header="877" w:footer="1340" w:top="1060" w:bottom="15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55032" type="#_x0000_t75" stroked="false">
          <v:imagedata r:id="rId1" o:title=""/>
        </v:shape>
      </w:pict>
    </w:r>
    <w:r>
      <w:rPr/>
      <w:pict>
        <v:shape style="position:absolute;margin-left:533.099976pt;margin-top:795.637939pt;width:6.5pt;height:11pt;mso-position-horizontal-relative:page;mso-position-vertical-relative:page;z-index:-7550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54600" type="#_x0000_t75" stroked="false">
          <v:imagedata r:id="rId1" o:title=""/>
        </v:shape>
      </w:pict>
    </w:r>
    <w:r>
      <w:rPr/>
      <w:pict>
        <v:shape style="position:absolute;margin-left:527.659973pt;margin-top:781.933899pt;width:13.15pt;height:11pt;mso-position-horizontal-relative:page;mso-position-vertical-relative:page;z-index:-754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54552" type="#_x0000_t75" stroked="false">
          <v:imagedata r:id="rId1" o:title=""/>
        </v:shape>
      </w:pict>
    </w:r>
    <w:r>
      <w:rPr/>
      <w:pict>
        <v:shape style="position:absolute;margin-left:527.659973pt;margin-top:781.933899pt;width:13.15pt;height:11pt;mso-position-horizontal-relative:page;mso-position-vertical-relative:page;z-index:-754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25</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54504" type="#_x0000_t75" stroked="false">
          <v:imagedata r:id="rId1" o:title=""/>
        </v:shape>
      </w:pict>
    </w:r>
    <w:r>
      <w:rPr/>
      <w:pict>
        <v:shape style="position:absolute;margin-left:527.659973pt;margin-top:781.933899pt;width:13.15pt;height:11pt;mso-position-horizontal-relative:page;mso-position-vertical-relative:page;z-index:-7544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26</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54408" type="#_x0000_t75" stroked="false">
          <v:imagedata r:id="rId1" o:title=""/>
        </v:shape>
      </w:pict>
    </w:r>
    <w:r>
      <w:rPr/>
      <w:pict>
        <v:shape style="position:absolute;margin-left:527.659973pt;margin-top:781.933899pt;width:13.15pt;height:11pt;mso-position-horizontal-relative:page;mso-position-vertical-relative:page;z-index:-754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39</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54360" type="#_x0000_t75" stroked="false">
          <v:imagedata r:id="rId1" o:title=""/>
        </v:shape>
      </w:pict>
    </w:r>
    <w:r>
      <w:rPr/>
      <w:pict>
        <v:shape style="position:absolute;margin-left:527.659973pt;margin-top:781.933899pt;width:13.15pt;height:11pt;mso-position-horizontal-relative:page;mso-position-vertical-relative:page;z-index:-7543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45</w:t>
                </w:r>
                <w:r>
                  <w:rPr/>
                  <w:fldChar w:fldCharType="end"/>
                </w:r>
                <w:r>
                  <w:rPr>
                    <w:rFonts w:ascii="Times New Roman"/>
                    <w:spacing w:val="1"/>
                  </w:rPr>
                </w:r>
                <w:r>
                  <w:rPr>
                    <w:rFonts w:ascii="Times New Roman"/>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54264" type="#_x0000_t75" stroked="false">
          <v:imagedata r:id="rId1" o:title=""/>
        </v:shape>
      </w:pict>
    </w:r>
    <w:r>
      <w:rPr/>
      <w:pict>
        <v:shape style="position:absolute;margin-left:527.659973pt;margin-top:781.933899pt;width:13.15pt;height:11pt;mso-position-horizontal-relative:page;mso-position-vertical-relative:page;z-index:-754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81</w:t>
                </w:r>
                <w:r>
                  <w:rPr/>
                  <w:fldChar w:fldCharType="end"/>
                </w:r>
                <w:r>
                  <w:rPr>
                    <w:rFonts w:ascii="Times New Roman"/>
                    <w:spacing w:val="1"/>
                  </w:rPr>
                </w:r>
                <w:r>
                  <w:rPr>
                    <w:rFonts w:ascii="Times New Roman"/>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54168" type="#_x0000_t75" stroked="false">
          <v:imagedata r:id="rId1" o:title=""/>
        </v:shape>
      </w:pict>
    </w:r>
    <w:r>
      <w:rPr/>
      <w:pict>
        <v:shape style="position:absolute;margin-left:527.659973pt;margin-top:781.933899pt;width:13.15pt;height:11pt;mso-position-horizontal-relative:page;mso-position-vertical-relative:page;z-index:-7541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54984" type="#_x0000_t75" stroked="false">
          <v:imagedata r:id="rId1" o:title=""/>
        </v:shape>
      </w:pict>
    </w:r>
    <w:r>
      <w:rPr/>
      <w:pict>
        <v:shape style="position:absolute;margin-left:532.099976pt;margin-top:781.933899pt;width:8.5pt;height:11pt;mso-position-horizontal-relative:page;mso-position-vertical-relative:page;z-index:-754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53928" type="#_x0000_t75" stroked="false">
          <v:imagedata r:id="rId1" o:title=""/>
        </v:shape>
      </w:pict>
    </w:r>
    <w:r>
      <w:rPr/>
      <w:pict>
        <v:shape style="position:absolute;margin-left:528.659973pt;margin-top:781.933899pt;width:11.15pt;height:11pt;mso-position-horizontal-relative:page;mso-position-vertical-relative:page;z-index:-7539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99</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53880" type="#_x0000_t75" stroked="false">
          <v:imagedata r:id="rId1" o:title=""/>
        </v:shape>
      </w:pict>
    </w:r>
    <w:r>
      <w:rPr/>
      <w:pict>
        <v:shape style="position:absolute;margin-left:524.099976pt;margin-top:781.933899pt;width:15.7pt;height:11pt;mso-position-horizontal-relative:page;mso-position-vertical-relative:page;z-index:-7538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53832" type="#_x0000_t75" stroked="false">
          <v:imagedata r:id="rId1" o:title=""/>
        </v:shape>
      </w:pict>
    </w:r>
    <w:r>
      <w:rPr/>
      <w:pict>
        <v:shape style="position:absolute;margin-left:523.099976pt;margin-top:781.933899pt;width:17.7pt;height:11pt;mso-position-horizontal-relative:page;mso-position-vertical-relative:page;z-index:-7538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53736" type="#_x0000_t75" stroked="false">
          <v:imagedata r:id="rId1" o:title=""/>
        </v:shape>
      </w:pict>
    </w:r>
    <w:r>
      <w:rPr/>
      <w:pict>
        <v:shape style="position:absolute;margin-left:523.099976pt;margin-top:781.933899pt;width:17.7pt;height:11pt;mso-position-horizontal-relative:page;mso-position-vertical-relative:page;z-index:-7537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112</w:t>
                </w:r>
                <w:r>
                  <w:rPr/>
                  <w:fldChar w:fldCharType="end"/>
                </w:r>
                <w:r>
                  <w:rPr>
                    <w:rFonts w:ascii="Times New Roman"/>
                    <w:spacing w:val="1"/>
                  </w:rPr>
                </w:r>
                <w:r>
                  <w:rPr>
                    <w:rFonts w:ascii="Times New Roman"/>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53640" type="#_x0000_t75" stroked="false">
          <v:imagedata r:id="rId1" o:title=""/>
        </v:shape>
      </w:pict>
    </w:r>
    <w:r>
      <w:rPr/>
      <w:pict>
        <v:shape style="position:absolute;margin-left:523.099976pt;margin-top:781.933899pt;width:17.7pt;height:11pt;mso-position-horizontal-relative:page;mso-position-vertical-relative:page;z-index:-7536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53592" type="#_x0000_t75" stroked="false">
          <v:imagedata r:id="rId1" o:title=""/>
        </v:shape>
      </w:pict>
    </w:r>
    <w:r>
      <w:rPr/>
      <w:pict>
        <v:shape style="position:absolute;margin-left:523.099976pt;margin-top:781.933899pt;width:17.650pt;height:11pt;mso-position-horizontal-relative:page;mso-position-vertical-relative:page;z-index:-7535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53544" type="#_x0000_t75" stroked="false">
          <v:imagedata r:id="rId1" o:title=""/>
        </v:shape>
      </w:pict>
    </w:r>
    <w:r>
      <w:rPr/>
      <w:pict>
        <v:shape style="position:absolute;margin-left:523.099976pt;margin-top:781.933899pt;width:17.7pt;height:11pt;mso-position-horizontal-relative:page;mso-position-vertical-relative:page;z-index:-7535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132</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54888" type="#_x0000_t75" stroked="false">
          <v:imagedata r:id="rId1" o:title=""/>
        </v:shape>
      </w:pict>
    </w:r>
    <w:r>
      <w:rPr/>
      <w:pict>
        <v:shape style="position:absolute;margin-left:527.659973pt;margin-top:781.933899pt;width:13.15pt;height:11pt;mso-position-horizontal-relative:page;mso-position-vertical-relative:page;z-index:-754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54744" type="#_x0000_t75" stroked="false">
          <v:imagedata r:id="rId1" o:title=""/>
        </v:shape>
      </w:pict>
    </w:r>
    <w:r>
      <w:rPr/>
      <w:pict>
        <v:shape style="position:absolute;margin-left:527.659973pt;margin-top:781.933899pt;width:13.15pt;height:11pt;mso-position-horizontal-relative:page;mso-position-vertical-relative:page;z-index:-754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9.070007pt;margin-top:36.265610pt;width:150.6pt;height:11.5pt;mso-position-horizontal-relative:page;mso-position-vertical-relative:page;z-index:-755056" type="#_x0000_t202" filled="false" stroked="false">
          <v:textbox inset="0,0,0,0">
            <w:txbxContent>
              <w:p>
                <w:pPr>
                  <w:pStyle w:val="BodyText"/>
                  <w:spacing w:line="214" w:lineRule="exact"/>
                  <w:ind w:left="20" w:right="0"/>
                  <w:jc w:val="left"/>
                </w:pPr>
                <w:r>
                  <w:rPr/>
                  <w:t>东港股份有限公司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541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89.070007pt;margin-top:42.865608pt;width:150.6pt;height:11.5pt;mso-position-horizontal-relative:page;mso-position-vertical-relative:page;z-index:-754096" type="#_x0000_t202" filled="false" stroked="false">
          <v:textbox inset="0,0,0,0">
            <w:txbxContent>
              <w:p>
                <w:pPr>
                  <w:pStyle w:val="BodyText"/>
                  <w:spacing w:line="214" w:lineRule="exact"/>
                  <w:ind w:left="20" w:right="0"/>
                  <w:jc w:val="left"/>
                </w:pPr>
                <w:r>
                  <w:rPr/>
                  <w:t>东港股份有限公司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5407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89.070007pt;margin-top:42.865608pt;width:150.6pt;height:11.5pt;mso-position-horizontal-relative:page;mso-position-vertical-relative:page;z-index:-754048" type="#_x0000_t202" filled="false" stroked="false">
          <v:textbox inset="0,0,0,0">
            <w:txbxContent>
              <w:p>
                <w:pPr>
                  <w:pStyle w:val="BodyText"/>
                  <w:spacing w:line="214" w:lineRule="exact"/>
                  <w:ind w:left="20" w:right="0"/>
                  <w:jc w:val="left"/>
                </w:pPr>
                <w:r>
                  <w:rPr/>
                  <w:t>东港股份有限公司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5402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89.070007pt;margin-top:42.865608pt;width:150.6pt;height:11.5pt;mso-position-horizontal-relative:page;mso-position-vertical-relative:page;z-index:-754000" type="#_x0000_t202" filled="false" stroked="false">
          <v:textbox inset="0,0,0,0">
            <w:txbxContent>
              <w:p>
                <w:pPr>
                  <w:pStyle w:val="BodyText"/>
                  <w:spacing w:line="214" w:lineRule="exact"/>
                  <w:ind w:left="20" w:right="0"/>
                  <w:jc w:val="left"/>
                </w:pPr>
                <w:r>
                  <w:rPr/>
                  <w:t>东港股份有限公司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5397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89.070007pt;margin-top:42.865608pt;width:150.6pt;height:11.5pt;mso-position-horizontal-relative:page;mso-position-vertical-relative:page;z-index:-753952" type="#_x0000_t202" filled="false" stroked="false">
          <v:textbox inset="0,0,0,0">
            <w:txbxContent>
              <w:p>
                <w:pPr>
                  <w:pStyle w:val="BodyText"/>
                  <w:spacing w:line="214" w:lineRule="exact"/>
                  <w:ind w:left="20" w:right="0"/>
                  <w:jc w:val="left"/>
                </w:pPr>
                <w:r>
                  <w:rPr/>
                  <w:t>东港股份有限公司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5378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89.070007pt;margin-top:42.865608pt;width:150.6pt;height:11.5pt;mso-position-horizontal-relative:page;mso-position-vertical-relative:page;z-index:-753760" type="#_x0000_t202" filled="false" stroked="false">
          <v:textbox inset="0,0,0,0">
            <w:txbxContent>
              <w:p>
                <w:pPr>
                  <w:pStyle w:val="BodyText"/>
                  <w:spacing w:line="214" w:lineRule="exact"/>
                  <w:ind w:left="20" w:right="0"/>
                  <w:jc w:val="left"/>
                </w:pPr>
                <w:r>
                  <w:rPr/>
                  <w:t>东港股份有限公司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536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89.070007pt;margin-top:42.865608pt;width:150.6pt;height:11.5pt;mso-position-horizontal-relative:page;mso-position-vertical-relative:page;z-index:-753664" type="#_x0000_t202" filled="false" stroked="false">
          <v:textbox inset="0,0,0,0">
            <w:txbxContent>
              <w:p>
                <w:pPr>
                  <w:pStyle w:val="BodyText"/>
                  <w:spacing w:line="214" w:lineRule="exact"/>
                  <w:ind w:left="20" w:right="0"/>
                  <w:jc w:val="left"/>
                </w:pPr>
                <w:r>
                  <w:rPr/>
                  <w:t>东港股份有限公司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549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89.070007pt;margin-top:42.865608pt;width:150.6pt;height:11.5pt;mso-position-horizontal-relative:page;mso-position-vertical-relative:page;z-index:-754912" type="#_x0000_t202" filled="false" stroked="false">
          <v:textbox inset="0,0,0,0">
            <w:txbxContent>
              <w:p>
                <w:pPr>
                  <w:pStyle w:val="BodyText"/>
                  <w:spacing w:line="214" w:lineRule="exact"/>
                  <w:ind w:left="20" w:right="0"/>
                  <w:jc w:val="left"/>
                </w:pPr>
                <w:r>
                  <w:rPr/>
                  <w:t>东港股份有限公司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548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89.070007pt;margin-top:42.865608pt;width:150.6pt;height:11.5pt;mso-position-horizontal-relative:page;mso-position-vertical-relative:page;z-index:-754816" type="#_x0000_t202" filled="false" stroked="false">
          <v:textbox inset="0,0,0,0">
            <w:txbxContent>
              <w:p>
                <w:pPr>
                  <w:pStyle w:val="BodyText"/>
                  <w:spacing w:line="214" w:lineRule="exact"/>
                  <w:ind w:left="20" w:right="0"/>
                  <w:jc w:val="left"/>
                </w:pPr>
                <w:r>
                  <w:rPr/>
                  <w:t>东港股份有限公司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5479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89.070007pt;margin-top:42.865608pt;width:150.6pt;height:11.5pt;mso-position-horizontal-relative:page;mso-position-vertical-relative:page;z-index:-754768" type="#_x0000_t202" filled="false" stroked="false">
          <v:textbox inset="0,0,0,0">
            <w:txbxContent>
              <w:p>
                <w:pPr>
                  <w:pStyle w:val="BodyText"/>
                  <w:spacing w:line="214" w:lineRule="exact"/>
                  <w:ind w:left="20" w:right="0"/>
                  <w:jc w:val="left"/>
                </w:pPr>
                <w:r>
                  <w:rPr/>
                  <w:t>东港股份有限公司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546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89.070007pt;margin-top:42.865608pt;width:150.6pt;height:11.5pt;mso-position-horizontal-relative:page;mso-position-vertical-relative:page;z-index:-754672" type="#_x0000_t202" filled="false" stroked="false">
          <v:textbox inset="0,0,0,0">
            <w:txbxContent>
              <w:p>
                <w:pPr>
                  <w:pStyle w:val="BodyText"/>
                  <w:spacing w:line="214" w:lineRule="exact"/>
                  <w:ind w:left="20" w:right="0"/>
                  <w:jc w:val="left"/>
                </w:pPr>
                <w:r>
                  <w:rPr/>
                  <w:t>东港股份有限公司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546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89.070007pt;margin-top:42.865608pt;width:150.6pt;height:11.5pt;mso-position-horizontal-relative:page;mso-position-vertical-relative:page;z-index:-754624" type="#_x0000_t202" filled="false" stroked="false">
          <v:textbox inset="0,0,0,0">
            <w:txbxContent>
              <w:p>
                <w:pPr>
                  <w:pStyle w:val="BodyText"/>
                  <w:spacing w:line="214" w:lineRule="exact"/>
                  <w:ind w:left="20" w:right="0"/>
                  <w:jc w:val="left"/>
                </w:pPr>
                <w:r>
                  <w:rPr/>
                  <w:t>东港股份有限公司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544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89.070007pt;margin-top:42.865608pt;width:150.6pt;height:11.5pt;mso-position-horizontal-relative:page;mso-position-vertical-relative:page;z-index:-754432" type="#_x0000_t202" filled="false" stroked="false">
          <v:textbox inset="0,0,0,0">
            <w:txbxContent>
              <w:p>
                <w:pPr>
                  <w:pStyle w:val="BodyText"/>
                  <w:spacing w:line="214" w:lineRule="exact"/>
                  <w:ind w:left="20" w:right="0"/>
                  <w:jc w:val="left"/>
                </w:pPr>
                <w:r>
                  <w:rPr/>
                  <w:t>东港股份有限公司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5431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89.070007pt;margin-top:42.865608pt;width:150.6pt;height:11.5pt;mso-position-horizontal-relative:page;mso-position-vertical-relative:page;z-index:-754288" type="#_x0000_t202" filled="false" stroked="false">
          <v:textbox inset="0,0,0,0">
            <w:txbxContent>
              <w:p>
                <w:pPr>
                  <w:pStyle w:val="BodyText"/>
                  <w:spacing w:line="214" w:lineRule="exact"/>
                  <w:ind w:left="20" w:right="0"/>
                  <w:jc w:val="left"/>
                </w:pPr>
                <w:r>
                  <w:rPr/>
                  <w:t>东港股份有限公司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542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89.070007pt;margin-top:42.865608pt;width:150.6pt;height:11.5pt;mso-position-horizontal-relative:page;mso-position-vertical-relative:page;z-index:-754192" type="#_x0000_t202" filled="false" stroked="false">
          <v:textbox inset="0,0,0,0">
            <w:txbxContent>
              <w:p>
                <w:pPr>
                  <w:pStyle w:val="BodyText"/>
                  <w:spacing w:line="214" w:lineRule="exact"/>
                  <w:ind w:left="20" w:right="0"/>
                  <w:jc w:val="left"/>
                </w:pPr>
                <w:r>
                  <w:rPr/>
                  <w:t>东港股份有限公司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50"/>
      <w:ind w:left="152"/>
    </w:pPr>
    <w:rPr>
      <w:rFonts w:ascii="黑体" w:hAnsi="黑体" w:eastAsia="黑体"/>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506"/>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36"/>
      <w:ind w:left="152"/>
      <w:outlineLvl w:val="4"/>
    </w:pPr>
    <w:rPr>
      <w:rFonts w:ascii="宋体" w:hAnsi="宋体" w:eastAsia="宋体"/>
      <w:sz w:val="21"/>
      <w:szCs w:val="21"/>
    </w:rPr>
  </w:style>
  <w:style w:styleId="Heading5" w:type="paragraph">
    <w:name w:val="Heading 5"/>
    <w:basedOn w:val="Normal"/>
    <w:uiPriority w:val="1"/>
    <w:qFormat/>
    <w:pPr>
      <w:ind w:left="152"/>
      <w:outlineLvl w:val="5"/>
    </w:pPr>
    <w:rPr>
      <w:rFonts w:ascii="宋体" w:hAnsi="宋体" w:eastAsia="宋体"/>
      <w:b/>
      <w:bCs/>
      <w:sz w:val="20"/>
      <w:szCs w:val="20"/>
    </w:rPr>
  </w:style>
  <w:style w:styleId="Heading6" w:type="paragraph">
    <w:name w:val="Heading 6"/>
    <w:basedOn w:val="Normal"/>
    <w:uiPriority w:val="1"/>
    <w:qFormat/>
    <w:pPr>
      <w:spacing w:before="44"/>
      <w:ind w:left="152"/>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hyperlink" Target="http://www.tungkong.com.cn/" TargetMode="External"/><Relationship Id="rId12" Type="http://schemas.openxmlformats.org/officeDocument/2006/relationships/hyperlink" Target="mailto:dggf@tungkong.com.cn" TargetMode="External"/><Relationship Id="rId13" Type="http://schemas.openxmlformats.org/officeDocument/2006/relationships/hyperlink" Target="mailto:Qi-liguo@tungkong.com.cn" TargetMode="External"/><Relationship Id="rId14" Type="http://schemas.openxmlformats.org/officeDocument/2006/relationships/hyperlink" Target="mailto:Ruan-yongcheng@tungkong.com.cn" TargetMode="External"/><Relationship Id="rId15" Type="http://schemas.openxmlformats.org/officeDocument/2006/relationships/hyperlink" Target="http://www.cninfo.com.cn/" TargetMode="External"/><Relationship Id="rId16" Type="http://schemas.openxmlformats.org/officeDocument/2006/relationships/image" Target="media/image1.png"/><Relationship Id="rId17" Type="http://schemas.openxmlformats.org/officeDocument/2006/relationships/footer" Target="footer4.xml"/><Relationship Id="rId18" Type="http://schemas.openxmlformats.org/officeDocument/2006/relationships/header" Target="header3.xml"/><Relationship Id="rId19" Type="http://schemas.openxmlformats.org/officeDocument/2006/relationships/footer" Target="footer5.xml"/><Relationship Id="rId20" Type="http://schemas.openxmlformats.org/officeDocument/2006/relationships/image" Target="media/image3.png"/><Relationship Id="rId21" Type="http://schemas.openxmlformats.org/officeDocument/2006/relationships/header" Target="header4.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header" Target="header5.xml"/><Relationship Id="rId25" Type="http://schemas.openxmlformats.org/officeDocument/2006/relationships/footer" Target="footer8.xml"/><Relationship Id="rId26" Type="http://schemas.openxmlformats.org/officeDocument/2006/relationships/header" Target="header6.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image" Target="media/image4.png"/><Relationship Id="rId32" Type="http://schemas.openxmlformats.org/officeDocument/2006/relationships/header" Target="header7.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image" Target="media/image5.png"/><Relationship Id="rId36" Type="http://schemas.openxmlformats.org/officeDocument/2006/relationships/image" Target="media/image6.png"/><Relationship Id="rId37" Type="http://schemas.openxmlformats.org/officeDocument/2006/relationships/footer" Target="footer15.xml"/><Relationship Id="rId38" Type="http://schemas.openxmlformats.org/officeDocument/2006/relationships/header" Target="header8.xml"/><Relationship Id="rId39" Type="http://schemas.openxmlformats.org/officeDocument/2006/relationships/footer" Target="footer16.xml"/><Relationship Id="rId40" Type="http://schemas.openxmlformats.org/officeDocument/2006/relationships/footer" Target="footer17.xml"/><Relationship Id="rId41" Type="http://schemas.openxmlformats.org/officeDocument/2006/relationships/header" Target="header9.xml"/><Relationship Id="rId42" Type="http://schemas.openxmlformats.org/officeDocument/2006/relationships/footer" Target="footer18.xml"/><Relationship Id="rId43" Type="http://schemas.openxmlformats.org/officeDocument/2006/relationships/footer" Target="footer19.xml"/><Relationship Id="rId44" Type="http://schemas.openxmlformats.org/officeDocument/2006/relationships/header" Target="header10.xml"/><Relationship Id="rId45" Type="http://schemas.openxmlformats.org/officeDocument/2006/relationships/footer" Target="footer20.xml"/><Relationship Id="rId46" Type="http://schemas.openxmlformats.org/officeDocument/2006/relationships/header" Target="header11.xml"/><Relationship Id="rId47" Type="http://schemas.openxmlformats.org/officeDocument/2006/relationships/footer" Target="footer21.xml"/><Relationship Id="rId48" Type="http://schemas.openxmlformats.org/officeDocument/2006/relationships/header" Target="header12.xml"/><Relationship Id="rId49" Type="http://schemas.openxmlformats.org/officeDocument/2006/relationships/footer" Target="footer22.xml"/><Relationship Id="rId50" Type="http://schemas.openxmlformats.org/officeDocument/2006/relationships/header" Target="header13.xml"/><Relationship Id="rId51" Type="http://schemas.openxmlformats.org/officeDocument/2006/relationships/footer" Target="footer23.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footer" Target="footer26.xml"/><Relationship Id="rId55" Type="http://schemas.openxmlformats.org/officeDocument/2006/relationships/header" Target="header14.xml"/><Relationship Id="rId56" Type="http://schemas.openxmlformats.org/officeDocument/2006/relationships/footer" Target="footer27.xml"/><Relationship Id="rId57" Type="http://schemas.openxmlformats.org/officeDocument/2006/relationships/footer" Target="footer28.xml"/><Relationship Id="rId58" Type="http://schemas.openxmlformats.org/officeDocument/2006/relationships/image" Target="media/image7.png"/><Relationship Id="rId59" Type="http://schemas.openxmlformats.org/officeDocument/2006/relationships/header" Target="header15.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footer" Target="footer31.xml"/><Relationship Id="rId63" Type="http://schemas.openxmlformats.org/officeDocument/2006/relationships/footer" Target="footer32.xml"/><Relationship Id="rId64" Type="http://schemas.openxmlformats.org/officeDocument/2006/relationships/footer" Target="footer3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31.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2020-05-04T00:13:11Z</dcterms:created>
  <dcterms:modified xsi:type="dcterms:W3CDTF">2020-05-04T00:13:11Z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2013-02-27T00:00:00Z</vt:filetime>
  </property>
  <property fmtid="{D5CDD505-2E9C-101B-9397-08002B2CF9AE}" pid="3" name="Creator">
    <vt:lpwstr>Microsoft® Office Word 2007</vt:lpwstr>
  </property>
  <property fmtid="{D5CDD505-2E9C-101B-9397-08002B2CF9AE}" pid="4" name="LastSaved">
    <vt:filetime>2020-05-03T00:00:00Z</vt:filetime>
  </property>
</Properties>
</file>