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42" w:lineRule="exact"/>
        <w:ind w:left="38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drawing>
          <wp:inline distT="0" distB="0" distL="0" distR="0">
            <wp:extent cx="1424432" cy="142379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24432" cy="1423797"/>
                    </a:xfrm>
                    <a:prstGeom prst="rect">
                      <a:avLst/>
                    </a:prstGeom>
                  </pic:spPr>
                </pic:pic>
              </a:graphicData>
            </a:graphic>
          </wp:inline>
        </w:drawing>
      </w:r>
      <w:r>
        <w:rPr>
          <w:rFonts w:ascii="Times New Roman" w:hAnsi="Times New Roman" w:cs="Times New Roman" w:eastAsia="Times New Roman" w:hint="default"/>
          <w:position w:val="-4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3509" w:right="4486" w:firstLine="0"/>
        <w:jc w:val="center"/>
        <w:rPr>
          <w:rFonts w:ascii="宋体" w:hAnsi="宋体" w:cs="宋体" w:eastAsia="宋体" w:hint="default"/>
          <w:sz w:val="36"/>
          <w:szCs w:val="36"/>
        </w:rPr>
      </w:pPr>
      <w:r>
        <w:rPr>
          <w:rFonts w:ascii="宋体" w:hAnsi="宋体" w:cs="宋体" w:eastAsia="宋体" w:hint="default"/>
          <w:b/>
          <w:bCs/>
          <w:sz w:val="36"/>
          <w:szCs w:val="36"/>
        </w:rPr>
        <w:t>东港股份有限公司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507" w:right="448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509" w:right="44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公司负责人王爱先、主管会计工作负责人史建中及会计机构负责人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郑理声明：保证年度报告中财务报告的真实、准确、完整。</w:t>
      </w:r>
      <w:r>
        <w:rPr>
          <w:rFonts w:ascii="宋体" w:hAnsi="宋体" w:cs="宋体" w:eastAsia="宋体" w:hint="default"/>
          <w:sz w:val="28"/>
          <w:szCs w:val="28"/>
        </w:rPr>
      </w:r>
    </w:p>
    <w:p>
      <w:pPr>
        <w:spacing w:line="472" w:lineRule="auto" w:before="147"/>
        <w:ind w:left="715" w:right="113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公司面临宏观经济增速放缓、专业的市场开发人员不足，以及新业务发展</w:t>
      </w:r>
      <w:r>
        <w:rPr>
          <w:rFonts w:ascii="宋体" w:hAnsi="宋体" w:cs="宋体" w:eastAsia="宋体" w:hint="default"/>
          <w:spacing w:val="3"/>
          <w:sz w:val="28"/>
          <w:szCs w:val="28"/>
        </w:rPr>
      </w:r>
    </w:p>
    <w:p>
      <w:pPr>
        <w:tabs>
          <w:tab w:pos="3949" w:val="left" w:leader="none"/>
        </w:tabs>
        <w:spacing w:line="386" w:lineRule="auto" w:before="0"/>
        <w:ind w:left="153" w:right="1132" w:firstLine="0"/>
        <w:jc w:val="left"/>
        <w:rPr>
          <w:rFonts w:ascii="宋体" w:hAnsi="宋体" w:cs="宋体" w:eastAsia="宋体" w:hint="default"/>
          <w:sz w:val="28"/>
          <w:szCs w:val="28"/>
        </w:rPr>
      </w:pPr>
      <w:r>
        <w:rPr>
          <w:rFonts w:ascii="宋体" w:hAnsi="宋体" w:cs="宋体" w:eastAsia="宋体" w:hint="default"/>
          <w:b/>
          <w:bCs/>
          <w:spacing w:val="-1"/>
          <w:w w:val="95"/>
          <w:sz w:val="28"/>
          <w:szCs w:val="28"/>
        </w:rPr>
        <w:t>资金需求较大等风险，敬请广大投资者注意投资风险。详细内容见本报告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w:t>
      </w:r>
      <w:r>
        <w:rPr>
          <w:rFonts w:ascii="宋体" w:hAnsi="宋体" w:cs="宋体" w:eastAsia="宋体" w:hint="default"/>
          <w:b/>
          <w:bCs/>
          <w:spacing w:val="1"/>
          <w:w w:val="95"/>
          <w:sz w:val="28"/>
          <w:szCs w:val="28"/>
        </w:rPr>
        <w:t>  </w:t>
      </w:r>
      <w:r>
        <w:rPr>
          <w:rFonts w:ascii="宋体" w:hAnsi="宋体" w:cs="宋体" w:eastAsia="宋体" w:hint="default"/>
          <w:b/>
          <w:bCs/>
          <w:spacing w:val="33"/>
          <w:w w:val="95"/>
          <w:sz w:val="28"/>
          <w:szCs w:val="28"/>
        </w:rPr>
        <w:t> </w:t>
      </w:r>
      <w:r>
        <w:rPr>
          <w:rFonts w:ascii="宋体" w:hAnsi="宋体" w:cs="宋体" w:eastAsia="宋体" w:hint="default"/>
          <w:b/>
          <w:bCs/>
          <w:sz w:val="28"/>
          <w:szCs w:val="28"/>
        </w:rPr>
        <w:t>节</w:t>
      </w:r>
      <w:r>
        <w:rPr>
          <w:rFonts w:ascii="宋体" w:hAnsi="宋体" w:cs="宋体" w:eastAsia="宋体" w:hint="default"/>
          <w:b/>
          <w:bCs/>
          <w:spacing w:val="-12"/>
          <w:sz w:val="28"/>
          <w:szCs w:val="28"/>
        </w:rPr>
        <w:t> </w:t>
      </w:r>
      <w:r>
        <w:rPr>
          <w:rFonts w:ascii="宋体" w:hAnsi="宋体" w:cs="宋体" w:eastAsia="宋体" w:hint="default"/>
          <w:b/>
          <w:bCs/>
          <w:sz w:val="28"/>
          <w:szCs w:val="28"/>
        </w:rPr>
        <w:t>九、公司未来发展的展望</w:t>
        <w:tab/>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、公司面临的风险及应对措施</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363,777,614</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1132"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9"/>
          <w:w w:val="99"/>
          <w:sz w:val="28"/>
          <w:szCs w:val="28"/>
        </w:rPr>
        <w:t>元（含税），送红股</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6"/>
          <w:w w:val="99"/>
          <w:sz w:val="28"/>
          <w:szCs w:val="28"/>
        </w:rPr>
        <w:t>股（含税），不以公积金</w:t>
      </w:r>
      <w:r>
        <w:rPr>
          <w:rFonts w:ascii="宋体" w:hAnsi="宋体" w:cs="宋体" w:eastAsia="宋体" w:hint="default"/>
          <w:b/>
          <w:bCs/>
          <w:w w:val="99"/>
          <w:sz w:val="28"/>
          <w:szCs w:val="28"/>
        </w:rPr>
        <w:t> </w:t>
      </w:r>
      <w:r>
        <w:rPr>
          <w:rFonts w:ascii="宋体" w:hAnsi="宋体" w:cs="宋体" w:eastAsia="宋体" w:hint="default"/>
          <w:b/>
          <w:bCs/>
          <w:sz w:val="28"/>
          <w:szCs w:val="28"/>
        </w:rPr>
        <w:t>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509" w:right="448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24</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133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509" w:right="448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77670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3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002117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TUNGKONG</w:t>
            </w:r>
            <w:r>
              <w:rPr>
                <w:rFonts w:ascii="Times New Roman"/>
                <w:spacing w:val="-2"/>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TK</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王爱先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www.tungkong.com.cn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dggf@tungkong.com.cn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阮永城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Qi-liguo@tungkong.com.cn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Ruan-yongcheng@tungkong.com.cn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32"/>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before="44"/>
        <w:ind w:left="0" w:right="1138"/>
        <w:jc w:val="right"/>
      </w:pPr>
      <w:r>
        <w:rPr/>
        <w:pict>
          <v:shape style="position:absolute;margin-left:56.459999pt;margin-top:-98.968262pt;width:479.2pt;height:388.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91370000613207311A</w:t>
                        </w:r>
                      </w:p>
                    </w:tc>
                  </w:tr>
                  <w:tr>
                    <w:trPr>
                      <w:trHeight w:val="695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月，公司经营范围变更为：出版物、包装装潢印刷品、其他类印刷 品印刷。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 他类印刷品印刷；纸制品的生产销售、高档防伪纸张的防伪处理、销售；数据打 印系统的开发、生产；科技信息咨询服务；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卡产品和智能标签产品的生产、销 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月，公司经营范围变更为：出版物、包装装潢印刷品、其他印 刷品印刷，办公用纸、纸制品的生产、销售，高档纸张的防伪处理、销售，磁卡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 范围变更为：出版物、包装装潢印刷品及其他印刷品印刷；办公用纸、纸制品的 生产；高档纸张的防伪处理，磁卡、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 材、电子设备及产品、办公自动化设备及产品、电子元器件、软件产品的开发、 生产，销售本公司生产的产品；信息系统集成工程及技术服务，数据及信息处理 服务，科技信息咨询服务；印刷品设计服务；从事上述产品的批发；技术进出口 自有房屋租赁。</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 品及其他印刷品印刷；办公用纸、纸制品的生产；高档纸张的防伪处理，磁卡、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卡、智能卡、识别卡和智能标签、印刷器材、电子设备及产品、办公自动化设 备及产品、电子元器件、软件产品的开发、生产，销售本公司生产的产品；信息 系统集成工程及技术服务，数据及信息处理服务，科技信息咨询服务；从事上述 产品的批发；图书期刊、音像制品、电子出版物的批发及网络销售；档案存储及 数字化加工服务，档案管理、咨询服务；技术进出口，自有房屋租赁。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left="154" w:right="1132"/>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黄简、罗军</w:t>
            </w:r>
          </w:p>
        </w:tc>
      </w:tr>
    </w:tbl>
    <w:p>
      <w:pPr>
        <w:pStyle w:val="BodyText"/>
        <w:spacing w:line="240" w:lineRule="auto" w:before="51"/>
        <w:ind w:left="154" w:right="1132"/>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2"/>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t>公司是否因会计政策变更及会计差错更正等追溯调整或重述以前年度会计数据</w:t>
      </w:r>
    </w:p>
    <w:p>
      <w:pPr>
        <w:pStyle w:val="BodyText"/>
        <w:spacing w:line="240" w:lineRule="auto" w:before="117"/>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1,256,248,131.57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1,110,878,833.02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926,700,621.74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216,223,017.20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168,826,144.61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130,042,243.68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207,323,395.37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161,901,982.32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125,930,595.41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296,881,672.54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307,620,030.67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242,734,310.37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2,028,819,935.77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1,823,896,910.26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1,593,769,899.09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1,413,163,838.44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1,297,217,743.73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1,179,318,345.27</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113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2"/>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330,068,218.96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298,391,325.27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263,432,668.18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364,355,919.16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44,696,211.64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47,403,833.83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55,331,026.96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68,791,944.77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44,682,868.32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42,886,025.80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55,010,108.75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64,744,392.50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-86,709,626.22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28,795,463.63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21,871,585.07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332,924,250.06</w:t>
            </w:r>
          </w:p>
        </w:tc>
      </w:tr>
    </w:tbl>
    <w:p>
      <w:pPr>
        <w:pStyle w:val="BodyText"/>
        <w:spacing w:line="240" w:lineRule="auto" w:before="51"/>
        <w:ind w:left="154" w:right="1132"/>
        <w:jc w:val="left"/>
      </w:pPr>
      <w:r>
        <w:rPr/>
        <w:t>上述财务指标或其加总数是否与公司已披露季度报告、半年度报告相关财务指标存在重大差异</w:t>
      </w:r>
    </w:p>
    <w:p>
      <w:pPr>
        <w:pStyle w:val="BodyText"/>
        <w:spacing w:line="240" w:lineRule="auto" w:before="117"/>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2"/>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4,313,797.80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159,280.28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-61,908.63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9,298,430.98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8,076,507.00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5,427,013.40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-1,146,249.96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1,064,831.26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454,775.57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1,870,916.69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1,402,315.75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874,500.12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1,695,440.30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974,140.50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833,731.95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8,899,621.83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6,924,162.29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4,111,648.27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2"/>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2"/>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6" w:right="0"/>
        <w:jc w:val="left"/>
      </w:pPr>
      <w:r>
        <w:rPr/>
        <w:t>（一）、主营业务 </w:t>
      </w:r>
      <w:r>
        <w:rPr>
          <w:spacing w:val="-2"/>
        </w:rPr>
        <w:t>目前公司的主要业务包括商业票证印刷，智能卡制造与个性化处理，数据处理打印与邮发封装，个性化彩色印刷，普通</w:t>
      </w:r>
    </w:p>
    <w:p>
      <w:pPr>
        <w:pStyle w:val="BodyText"/>
        <w:spacing w:line="300" w:lineRule="auto" w:before="19"/>
        <w:ind w:right="1163"/>
        <w:jc w:val="left"/>
      </w:pPr>
      <w:r>
        <w:rPr/>
        <w:t>商业标签与</w:t>
      </w:r>
      <w:r>
        <w:rPr>
          <w:rFonts w:ascii="Times New Roman" w:hAnsi="Times New Roman" w:cs="Times New Roman" w:eastAsia="Times New Roman" w:hint="default"/>
        </w:rPr>
        <w:t>RFID</w:t>
      </w:r>
      <w:r>
        <w:rPr/>
        <w:t>智能标签，电子发票服务，彩票销售与自助销售终端的研发、运营，档案存储与电子化等。所提供的产品 和服务主要应用于银行、保险等金融企业、财政、税务等政府部门以及企业及个人消费者。</w:t>
      </w:r>
    </w:p>
    <w:p>
      <w:pPr>
        <w:pStyle w:val="BodyText"/>
        <w:spacing w:line="316" w:lineRule="auto" w:before="31"/>
        <w:ind w:left="516" w:right="0"/>
        <w:jc w:val="left"/>
      </w:pPr>
      <w:r>
        <w:rPr/>
        <w:t>（二）、经营模式 </w:t>
      </w:r>
      <w:r>
        <w:rPr>
          <w:spacing w:val="-2"/>
        </w:rPr>
        <w:t>在销售方面，我公司十分注重营销队伍的建设，在全国</w:t>
      </w:r>
      <w:r>
        <w:rPr>
          <w:rFonts w:ascii="Times New Roman" w:hAnsi="Times New Roman" w:cs="Times New Roman" w:eastAsia="Times New Roman" w:hint="default"/>
          <w:spacing w:val="-2"/>
        </w:rPr>
        <w:t>30</w:t>
      </w:r>
      <w:r>
        <w:rPr>
          <w:spacing w:val="-2"/>
        </w:rPr>
        <w:t>多个省市设立了联络处，销售范围覆盖全国，通过参加公开招</w:t>
      </w:r>
    </w:p>
    <w:p>
      <w:pPr>
        <w:pStyle w:val="BodyText"/>
        <w:spacing w:line="316" w:lineRule="auto"/>
        <w:ind w:left="516" w:right="1150" w:hanging="363"/>
        <w:jc w:val="left"/>
      </w:pPr>
      <w:r>
        <w:rPr/>
        <w:t>标、为客户提供定制化产品的方式，为全国客户提供优质、及时、专业的服务，可及时有效地满足各地客户的需求。 在生产方面，本公司在济南、北京、上海、广州等重点城市，建设有</w:t>
      </w:r>
      <w:r>
        <w:rPr>
          <w:rFonts w:ascii="Times New Roman" w:hAnsi="Times New Roman" w:cs="Times New Roman" w:eastAsia="Times New Roman" w:hint="default"/>
        </w:rPr>
        <w:t>8</w:t>
      </w:r>
      <w:r>
        <w:rPr/>
        <w:t>个生产基地，并在全集团范围内实施了</w:t>
      </w:r>
      <w:r>
        <w:rPr>
          <w:rFonts w:ascii="Times New Roman" w:hAnsi="Times New Roman" w:cs="Times New Roman" w:eastAsia="Times New Roman" w:hint="default"/>
        </w:rPr>
        <w:t>ERP</w:t>
      </w:r>
      <w:r>
        <w:rPr/>
        <w:t>企业</w:t>
      </w:r>
    </w:p>
    <w:p>
      <w:pPr>
        <w:pStyle w:val="BodyText"/>
        <w:spacing w:line="316" w:lineRule="auto"/>
        <w:ind w:left="154" w:right="1132"/>
        <w:jc w:val="left"/>
      </w:pPr>
      <w:r>
        <w:rPr>
          <w:spacing w:val="-2"/>
        </w:rPr>
        <w:t>资源管理系统，将经营和生产过程中各个环节进行信息集成，合理调配生产原辅材料和业务流程，全面提升了公司的生产管</w:t>
      </w:r>
      <w:r>
        <w:rPr>
          <w:spacing w:val="-66"/>
        </w:rPr>
        <w:t> </w:t>
      </w:r>
      <w:r>
        <w:rPr>
          <w:spacing w:val="-66"/>
        </w:rPr>
      </w:r>
      <w:r>
        <w:rPr/>
        <w:t>理水平，使公司较同行具备生产覆盖半径广，产品生产周期短，运输成本低的优势。</w:t>
      </w:r>
    </w:p>
    <w:p>
      <w:pPr>
        <w:pStyle w:val="BodyText"/>
        <w:spacing w:line="316" w:lineRule="auto" w:before="19"/>
        <w:ind w:left="516" w:right="0"/>
        <w:jc w:val="left"/>
      </w:pPr>
      <w:r>
        <w:rPr/>
        <w:t>（三）、行业地位 </w:t>
      </w:r>
      <w:r>
        <w:rPr>
          <w:spacing w:val="-2"/>
        </w:rPr>
        <w:t>经过多年的努力，凭借优异的产品、有效的服务、良好的信誉，公司获得了多家全国性金融企业和政府财税部门的定点</w:t>
      </w:r>
    </w:p>
    <w:p>
      <w:pPr>
        <w:pStyle w:val="BodyText"/>
        <w:spacing w:line="316" w:lineRule="auto" w:before="19"/>
        <w:ind w:right="1132"/>
        <w:jc w:val="left"/>
      </w:pPr>
      <w:r>
        <w:rPr>
          <w:spacing w:val="-2"/>
        </w:rPr>
        <w:t>供应商资质，为客户提供了大量的票证、智能卡、彩印、数据打印等各类服务，在产品质量、服务水平、安全保密等方面受</w:t>
      </w:r>
      <w:r>
        <w:rPr>
          <w:spacing w:val="-72"/>
        </w:rPr>
        <w:t> </w:t>
      </w:r>
      <w:r>
        <w:rPr>
          <w:spacing w:val="-72"/>
        </w:rPr>
      </w:r>
      <w:r>
        <w:rPr/>
        <w:t>到了合作客户的一致好评。在服务覆盖面积、产品销量、经营业绩等多个方面居于全国同行业中的领先地位。</w:t>
      </w:r>
    </w:p>
    <w:p>
      <w:pPr>
        <w:pStyle w:val="BodyText"/>
        <w:spacing w:line="312" w:lineRule="auto" w:before="19"/>
        <w:ind w:right="1130" w:firstLine="362"/>
        <w:jc w:val="both"/>
      </w:pPr>
      <w:r>
        <w:rPr>
          <w:spacing w:val="-2"/>
        </w:rPr>
        <w:t>在不断巩固传统业务优势地位的同时，报告期内，公司还大力推广基于信息技术服务的新业务。公司建设的电子发票服</w:t>
      </w:r>
      <w:r>
        <w:rPr/>
        <w:t> </w:t>
      </w:r>
      <w:r>
        <w:rPr>
          <w:spacing w:val="-2"/>
        </w:rPr>
        <w:t>务平台</w:t>
      </w:r>
      <w:r>
        <w:rPr>
          <w:rFonts w:ascii="Times New Roman" w:hAnsi="Times New Roman" w:cs="Times New Roman" w:eastAsia="Times New Roman" w:hint="default"/>
          <w:spacing w:val="-2"/>
        </w:rPr>
        <w:t>—</w:t>
      </w:r>
      <w:r>
        <w:rPr>
          <w:spacing w:val="-2"/>
        </w:rPr>
        <w:t>瑞宏网，已在北京、天津、厦门、山东等地开始提供服务，开票数量居于行业前列。控股子公司东港彩意公司研发</w:t>
      </w:r>
      <w:r>
        <w:rPr>
          <w:spacing w:val="-68"/>
        </w:rPr>
        <w:t> </w:t>
      </w:r>
      <w:r>
        <w:rPr>
          <w:spacing w:val="-68"/>
        </w:rPr>
      </w:r>
      <w:r>
        <w:rPr>
          <w:spacing w:val="-2"/>
        </w:rPr>
        <w:t>的电脑彩票与即开型彩票自助销售一体机，在国内率先试点运营，试点效果良好，并研发了多种彩票投注游戏，正处于完善</w:t>
      </w:r>
      <w:r>
        <w:rPr>
          <w:spacing w:val="-66"/>
        </w:rPr>
        <w:t> </w:t>
      </w:r>
      <w:r>
        <w:rPr>
          <w:spacing w:val="-66"/>
        </w:rPr>
      </w:r>
      <w:r>
        <w:rPr/>
        <w:t>阶段。公司推广的档案存储与电子化业务，获得了多家金融和政府单位的认可，在行业内的影响力逐步提升。</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2"/>
        <w:spacing w:line="240" w:lineRule="auto"/>
        <w:ind w:right="1132"/>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19"/>
              <w:jc w:val="both"/>
              <w:rPr>
                <w:rFonts w:ascii="宋体" w:hAnsi="宋体" w:cs="宋体" w:eastAsia="宋体" w:hint="default"/>
                <w:sz w:val="18"/>
                <w:szCs w:val="18"/>
              </w:rPr>
            </w:pPr>
            <w:r>
              <w:rPr>
                <w:rFonts w:ascii="宋体" w:hAnsi="宋体" w:cs="宋体" w:eastAsia="宋体" w:hint="default"/>
                <w:sz w:val="18"/>
                <w:szCs w:val="18"/>
              </w:rPr>
              <w:t>报告期内，本公司出资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万元，收购了北京瑞宏科技有限公司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的股权。收购 </w:t>
            </w:r>
            <w:r>
              <w:rPr>
                <w:rFonts w:ascii="宋体" w:hAnsi="宋体" w:cs="宋体" w:eastAsia="宋体" w:hint="default"/>
                <w:spacing w:val="-1"/>
                <w:sz w:val="18"/>
                <w:szCs w:val="18"/>
              </w:rPr>
              <w:t>完成后，北京瑞宏科技有限公司纳入本公司合并报表范围内，因此长期股权投资较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报告期内，本公司在建工程增加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6,063.17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万元，主要是因为控股子公司上海东港数 据处理有限公司新厂房建设投入增加所致。</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1132"/>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2"/>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85" w:firstLine="388"/>
        <w:jc w:val="left"/>
      </w:pPr>
      <w:r>
        <w:rPr/>
        <w:t>公司多年来，不断总结经验，探索新的产品和业务，逐渐在企业文化、管理机制、市场、技术等方面形成了特有的核 心竞争力。</w:t>
      </w:r>
    </w:p>
    <w:p>
      <w:pPr>
        <w:pStyle w:val="BodyText"/>
        <w:spacing w:line="309" w:lineRule="auto" w:before="19"/>
        <w:ind w:right="1033" w:firstLine="388"/>
        <w:jc w:val="left"/>
      </w:pPr>
      <w:r>
        <w:rPr/>
        <w:t>首先，公司形成了创新型企业文化和以市场需求为导向的创新体系。公司本着市场唯先，用户至上的经营理念，在充 </w:t>
      </w:r>
      <w:r>
        <w:rPr>
          <w:spacing w:val="-2"/>
        </w:rPr>
        <w:t>分了解客户需求的基础上，研究市场动态，通过专业能力（</w:t>
      </w:r>
      <w:r>
        <w:rPr>
          <w:rFonts w:ascii="Times New Roman" w:hAnsi="Times New Roman" w:cs="Times New Roman" w:eastAsia="Times New Roman" w:hint="default"/>
          <w:spacing w:val="-2"/>
        </w:rPr>
        <w:t>IT</w:t>
      </w:r>
      <w:r>
        <w:rPr>
          <w:spacing w:val="-2"/>
        </w:rPr>
        <w:t>技术、安全、质量）及服务（时效、完整解决方案、客户满意</w:t>
      </w:r>
      <w:r>
        <w:rPr>
          <w:spacing w:val="-59"/>
        </w:rPr>
        <w:t> </w:t>
      </w:r>
      <w:r>
        <w:rPr>
          <w:spacing w:val="-59"/>
        </w:rPr>
      </w:r>
      <w:r>
        <w:rPr>
          <w:spacing w:val="-2"/>
        </w:rPr>
        <w:t>度）的提升形成了持续的产品和服务创新能力，构建了高效创新体系，引领行业发展。通过不断的创新，公司逐步实现了产</w:t>
      </w:r>
      <w:r>
        <w:rPr>
          <w:spacing w:val="-66"/>
        </w:rPr>
        <w:t> </w:t>
      </w:r>
      <w:r>
        <w:rPr>
          <w:spacing w:val="-66"/>
        </w:rPr>
      </w:r>
      <w:r>
        <w:rPr>
          <w:spacing w:val="-2"/>
        </w:rPr>
        <w:t>品升级和业务升级，在产品方面，公司不断提高产品技术含量，由原来的单一票证类印刷品，发展成为集票证类印刷品、数</w:t>
      </w:r>
      <w:r>
        <w:rPr>
          <w:spacing w:val="-66"/>
        </w:rPr>
        <w:t> </w:t>
      </w:r>
      <w:r>
        <w:rPr>
          <w:spacing w:val="-66"/>
        </w:rPr>
      </w:r>
      <w:r>
        <w:rPr/>
        <w:t>据处理打印服务、</w:t>
      </w:r>
      <w:r>
        <w:rPr>
          <w:rFonts w:ascii="Times New Roman" w:hAnsi="Times New Roman" w:cs="Times New Roman" w:eastAsia="Times New Roman" w:hint="default"/>
        </w:rPr>
        <w:t>RFID</w:t>
      </w:r>
      <w:r>
        <w:rPr/>
        <w:t>标签、智能卡为一体的产品体系，在业务领域方面，公司在提供实物产品的基础上，为客户提供数 据外包服务、设计外包服务、系统集成服务、软件开发和信息服务等多种服务，自</w:t>
      </w:r>
      <w:r>
        <w:rPr>
          <w:rFonts w:ascii="Times New Roman" w:hAnsi="Times New Roman" w:cs="Times New Roman" w:eastAsia="Times New Roman" w:hint="default"/>
        </w:rPr>
        <w:t>2013</w:t>
      </w:r>
      <w:r>
        <w:rPr/>
        <w:t>年起公司尝试互联网服务业务领域， 研发了电子发票产品和电子彩票。公司逐渐由传统的制造厂商转型为信息技术服务供应商。</w:t>
      </w:r>
    </w:p>
    <w:p>
      <w:pPr>
        <w:pStyle w:val="BodyText"/>
        <w:spacing w:line="309" w:lineRule="auto" w:before="24"/>
        <w:ind w:right="1033" w:firstLine="388"/>
        <w:jc w:val="left"/>
      </w:pPr>
      <w:r>
        <w:rPr/>
        <w:t>其次，公司建立了适应市场发展的管理体制。公司管理体制兼顾股东、客户和员工三方利益，根据市场不同阶段的特 征适时进行调整和改进，在规范的基础上有效地调动各级员工的积极性。管理体制具体包括：</w:t>
      </w:r>
      <w:r>
        <w:rPr>
          <w:rFonts w:ascii="Times New Roman" w:hAnsi="Times New Roman" w:cs="Times New Roman" w:eastAsia="Times New Roman" w:hint="default"/>
        </w:rPr>
        <w:t>1</w:t>
      </w:r>
      <w:r>
        <w:rPr/>
        <w:t>、责、权匹配的工作体系， </w:t>
      </w:r>
      <w:r>
        <w:rPr>
          <w:spacing w:val="-2"/>
        </w:rPr>
        <w:t>公司作为管理平台，将职责和权利赋予各业务负责人，由各负责人经营各项业务，并对经营成果负责。</w:t>
      </w:r>
      <w:r>
        <w:rPr>
          <w:rFonts w:ascii="Times New Roman" w:hAnsi="Times New Roman" w:cs="Times New Roman" w:eastAsia="Times New Roman" w:hint="default"/>
          <w:spacing w:val="-2"/>
        </w:rPr>
        <w:t>2</w:t>
      </w:r>
      <w:r>
        <w:rPr>
          <w:spacing w:val="-2"/>
        </w:rPr>
        <w:t>、客观的评价体制，</w:t>
      </w:r>
      <w:r>
        <w:rPr>
          <w:spacing w:val="-63"/>
        </w:rPr>
        <w:t> </w:t>
      </w:r>
      <w:r>
        <w:rPr>
          <w:spacing w:val="-63"/>
        </w:rPr>
      </w:r>
      <w:r>
        <w:rPr>
          <w:spacing w:val="-2"/>
        </w:rPr>
        <w:t>公司建立了完善的综合评价体系，通过对各级员工进行业绩考评，给员工公平、公正地评价，确保各项任务指标的完成。</w:t>
      </w:r>
      <w:r>
        <w:rPr>
          <w:rFonts w:ascii="Times New Roman" w:hAnsi="Times New Roman" w:cs="Times New Roman" w:eastAsia="Times New Roman" w:hint="default"/>
          <w:spacing w:val="-2"/>
        </w:rPr>
        <w:t>3</w:t>
      </w:r>
      <w:r>
        <w:rPr>
          <w:spacing w:val="-2"/>
        </w:rPr>
        <w:t>、</w:t>
      </w:r>
      <w:r>
        <w:rPr>
          <w:spacing w:val="-64"/>
        </w:rPr>
        <w:t> </w:t>
      </w:r>
      <w:r>
        <w:rPr/>
        <w:t>有效的激励体制，一是在客观评价的基础上，建立了多层级的薪酬和奖励体系，实现了以业绩指标为导向的薪酬管理体系， </w:t>
      </w:r>
      <w:r>
        <w:rPr>
          <w:spacing w:val="-2"/>
        </w:rPr>
        <w:t>二是对主要经营管理层人员实施了管理层持股，三是对主要骨干员工实施了限制性股票激励计划，四是在更大的范围内拟推</w:t>
      </w:r>
      <w:r>
        <w:rPr>
          <w:spacing w:val="-64"/>
        </w:rPr>
        <w:t> </w:t>
      </w:r>
      <w:r>
        <w:rPr>
          <w:spacing w:val="-64"/>
        </w:rPr>
      </w:r>
      <w:r>
        <w:rPr/>
        <w:t>行员工持股计划，使员工获得了与公司共同发展的机会，为公司长期稳定的发展奠定了基础。</w:t>
      </w:r>
      <w:r>
        <w:rPr>
          <w:rFonts w:ascii="Times New Roman" w:hAnsi="Times New Roman" w:cs="Times New Roman" w:eastAsia="Times New Roman" w:hint="default"/>
        </w:rPr>
        <w:t>4</w:t>
      </w:r>
      <w:r>
        <w:rPr/>
        <w:t>、公司为实现产业转型的战 </w:t>
      </w:r>
      <w:r>
        <w:rPr>
          <w:spacing w:val="-2"/>
        </w:rPr>
        <w:t>略，建立了鼓励创新的环境和制度，在大力发展数据服务、电子票证、系统集成和互联网服务等新业务的规划下，相关部门</w:t>
      </w:r>
      <w:r>
        <w:rPr>
          <w:spacing w:val="-66"/>
        </w:rPr>
        <w:t> </w:t>
      </w:r>
      <w:r>
        <w:rPr>
          <w:spacing w:val="-66"/>
        </w:rPr>
      </w:r>
      <w:r>
        <w:rPr/>
        <w:t>和员工，能够根据客户需求的变化，通过专业能力及服务的提升，满足公司产品升级和业务转型的战略发展需求。</w:t>
      </w:r>
    </w:p>
    <w:p>
      <w:pPr>
        <w:pStyle w:val="BodyText"/>
        <w:spacing w:line="316" w:lineRule="auto" w:before="24"/>
        <w:ind w:right="0" w:firstLine="388"/>
        <w:jc w:val="left"/>
      </w:pPr>
      <w:r>
        <w:rPr/>
        <w:t>第三，公司具备了高效的执行力。公司崇尚实干精神，形成了脚踏实地，精益求精的执行力体系，在制定计划、实施 </w:t>
      </w:r>
      <w:r>
        <w:rPr>
          <w:spacing w:val="-2"/>
        </w:rPr>
        <w:t>推广等各个环节重实干、讲实效，以严谨细致的态度把工作完成，从而形成了高效的执行力团队。经过多年的发展，公司建</w:t>
      </w:r>
      <w:r>
        <w:rPr>
          <w:spacing w:val="-66"/>
        </w:rPr>
        <w:t> </w:t>
      </w:r>
      <w:r>
        <w:rPr>
          <w:spacing w:val="-66"/>
        </w:rPr>
      </w:r>
      <w:r>
        <w:rPr>
          <w:spacing w:val="-2"/>
        </w:rPr>
        <w:t>成了覆盖全国的销售和生产服务网络，完善的销售和生产服务网络确保公司参与全国各个区域市场的竞争，能够为全国各地</w:t>
      </w:r>
      <w:r>
        <w:rPr>
          <w:spacing w:val="-64"/>
        </w:rPr>
        <w:t> </w:t>
      </w:r>
      <w:r>
        <w:rPr>
          <w:spacing w:val="-64"/>
        </w:rPr>
      </w:r>
      <w:r>
        <w:rPr>
          <w:spacing w:val="-2"/>
        </w:rPr>
        <w:t>区的客户提供高效、便捷的服务。为适应多元化和信息化发展的趋势，公司还建立了快速的反应机制，对于如何满足客户需</w:t>
      </w:r>
      <w:r>
        <w:rPr>
          <w:spacing w:val="-66"/>
        </w:rPr>
        <w:t> </w:t>
      </w:r>
      <w:r>
        <w:rPr>
          <w:spacing w:val="-66"/>
        </w:rPr>
      </w:r>
      <w:r>
        <w:rPr>
          <w:spacing w:val="-2"/>
        </w:rPr>
        <w:t>求，赋予员工自由发挥的空间，充分调动员工的主观能动性，使客户需求能够高效、快速的实现，促进了新业务开展。高效</w:t>
      </w:r>
      <w:r>
        <w:rPr>
          <w:spacing w:val="-68"/>
        </w:rPr>
        <w:t> </w:t>
      </w:r>
      <w:r>
        <w:rPr>
          <w:spacing w:val="-68"/>
        </w:rPr>
      </w:r>
      <w:r>
        <w:rPr/>
        <w:t>的执行力已经成为本公司独特的竞争优势，使本公司具有很强的业务拓展能力。</w:t>
      </w:r>
    </w:p>
    <w:p>
      <w:pPr>
        <w:pStyle w:val="BodyText"/>
        <w:spacing w:line="314" w:lineRule="auto" w:before="19"/>
        <w:ind w:left="154" w:right="1131" w:firstLine="388"/>
        <w:jc w:val="both"/>
      </w:pPr>
      <w:r>
        <w:rPr>
          <w:spacing w:val="-1"/>
        </w:rPr>
        <w:t>第四，公司具有丰富的客户资源和良好的市场口碑。公司在全国重点城市建立了</w:t>
      </w:r>
      <w:r>
        <w:rPr>
          <w:rFonts w:ascii="Times New Roman" w:hAnsi="Times New Roman" w:cs="Times New Roman" w:eastAsia="Times New Roman" w:hint="default"/>
          <w:spacing w:val="-1"/>
        </w:rPr>
        <w:t>30</w:t>
      </w:r>
      <w:r>
        <w:rPr>
          <w:spacing w:val="-1"/>
        </w:rPr>
        <w:t>个销售网点和</w:t>
      </w:r>
      <w:r>
        <w:rPr>
          <w:rFonts w:ascii="Times New Roman" w:hAnsi="Times New Roman" w:cs="Times New Roman" w:eastAsia="Times New Roman" w:hint="default"/>
          <w:spacing w:val="-1"/>
        </w:rPr>
        <w:t>8</w:t>
      </w:r>
      <w:r>
        <w:rPr>
          <w:spacing w:val="-1"/>
        </w:rPr>
        <w:t>家控股子公司，而且</w:t>
      </w:r>
      <w:r>
        <w:rPr/>
        <w:t> </w:t>
      </w:r>
      <w:r>
        <w:rPr>
          <w:spacing w:val="-2"/>
        </w:rPr>
        <w:t>已经和业内众多金融、保险、财税客户建立了稳定的合作关系，积累了大量的优质客户资源，公司不仅能从客户对商业票证</w:t>
      </w:r>
      <w:r>
        <w:rPr>
          <w:spacing w:val="-66"/>
        </w:rPr>
        <w:t> </w:t>
      </w:r>
      <w:r>
        <w:rPr>
          <w:spacing w:val="-66"/>
        </w:rPr>
      </w:r>
      <w:r>
        <w:rPr>
          <w:spacing w:val="-2"/>
        </w:rPr>
        <w:t>需求的增长中充分分享行业的增长，而且能够依托现有客户群不断提升的个性化需求，进行多种产品和服务叠加，增加产品</w:t>
      </w:r>
      <w:r>
        <w:rPr>
          <w:spacing w:val="-66"/>
        </w:rPr>
        <w:t> </w:t>
      </w:r>
      <w:r>
        <w:rPr>
          <w:spacing w:val="-66"/>
        </w:rPr>
      </w:r>
      <w:r>
        <w:rPr>
          <w:spacing w:val="-2"/>
        </w:rPr>
        <w:t>和服务的附加价值。加之公司具有较强的自主研发和技术创新能力，能够引领客户不断产生新的需求，从而使公司各项业务</w:t>
      </w:r>
      <w:r>
        <w:rPr>
          <w:spacing w:val="-66"/>
        </w:rPr>
        <w:t> </w:t>
      </w:r>
      <w:r>
        <w:rPr>
          <w:spacing w:val="-66"/>
        </w:rPr>
      </w:r>
      <w:r>
        <w:rPr/>
        <w:t>不断发展，也使得公司的主要产品在市场上享有较高的声誉。</w:t>
      </w:r>
    </w:p>
    <w:p>
      <w:pPr>
        <w:pStyle w:val="BodyText"/>
        <w:spacing w:line="316" w:lineRule="auto" w:before="20"/>
        <w:ind w:left="154" w:right="1184" w:firstLine="388"/>
        <w:jc w:val="left"/>
      </w:pPr>
      <w:r>
        <w:rPr/>
        <w:t>依靠上述竞争优势，公司不断推进产品和业务升级，由传统的票证印刷厂商，逐步转型为以信息技术为核心和整体方 案供应商。</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132"/>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2"/>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2"/>
        <w:jc w:val="left"/>
      </w:pPr>
      <w:r>
        <w:rPr>
          <w:spacing w:val="-2"/>
        </w:rPr>
        <w:t>报告期内，公司根据董事会制定的经营计划，紧紧围绕客户的需求和信息技术的发展，推进产品升级和产业转型。不断</w:t>
      </w:r>
      <w:r>
        <w:rPr/>
        <w:t> </w:t>
      </w:r>
      <w:r>
        <w:rPr>
          <w:spacing w:val="-4"/>
        </w:rPr>
        <w:t>提升票证印刷品技术含量，大力发展智能卡、标签、数据处理、个性化彩印等产品，由单一产品形成系列产品，增加附加值，</w:t>
      </w:r>
      <w:r>
        <w:rPr>
          <w:spacing w:val="-44"/>
        </w:rPr>
        <w:t> </w:t>
      </w:r>
      <w:r>
        <w:rPr>
          <w:spacing w:val="-44"/>
        </w:rPr>
      </w:r>
      <w:r>
        <w:rPr>
          <w:spacing w:val="-2"/>
        </w:rPr>
        <w:t>拓展市场空间，实现产品升级。在此基础上，公司积极探索信息服务产业的新领域，推进电子发票、新渠道彩票销售业务的</w:t>
      </w:r>
      <w:r>
        <w:rPr>
          <w:spacing w:val="-66"/>
        </w:rPr>
        <w:t> </w:t>
      </w:r>
      <w:r>
        <w:rPr>
          <w:spacing w:val="-66"/>
        </w:rPr>
      </w:r>
      <w:r>
        <w:rPr>
          <w:spacing w:val="-2"/>
        </w:rPr>
        <w:t>市场推广，并开拓了档案存储与电子化业务，公司业务正在由单一制造业升级为跨制造和信息服务为一体的综合产业，取得</w:t>
      </w:r>
      <w:r>
        <w:rPr>
          <w:spacing w:val="-66"/>
        </w:rPr>
        <w:t> </w:t>
      </w:r>
      <w:r>
        <w:rPr>
          <w:spacing w:val="-66"/>
        </w:rPr>
      </w:r>
      <w:r>
        <w:rPr/>
        <w:t>了较好的经营业绩和效果。</w:t>
      </w:r>
    </w:p>
    <w:p>
      <w:pPr>
        <w:pStyle w:val="BodyText"/>
        <w:spacing w:line="240" w:lineRule="auto" w:before="19"/>
        <w:ind w:left="516" w:right="1132"/>
        <w:jc w:val="left"/>
      </w:pPr>
      <w:r>
        <w:rPr/>
        <w:t>报告期内公司实现营业总收入</w:t>
      </w:r>
      <w:r>
        <w:rPr>
          <w:rFonts w:ascii="Times New Roman" w:hAnsi="Times New Roman" w:cs="Times New Roman" w:eastAsia="Times New Roman" w:hint="default"/>
        </w:rPr>
        <w:t>12.56</w:t>
      </w:r>
      <w:r>
        <w:rPr/>
        <w:t>亿元，实现归属于上市公司股东的净利润</w:t>
      </w:r>
      <w:r>
        <w:rPr>
          <w:rFonts w:ascii="Times New Roman" w:hAnsi="Times New Roman" w:cs="Times New Roman" w:eastAsia="Times New Roman" w:hint="default"/>
        </w:rPr>
        <w:t>2.16</w:t>
      </w:r>
      <w:r>
        <w:rPr/>
        <w:t>亿元，分别比去年同期增长</w:t>
      </w:r>
      <w:r>
        <w:rPr>
          <w:rFonts w:ascii="Times New Roman" w:hAnsi="Times New Roman" w:cs="Times New Roman" w:eastAsia="Times New Roman" w:hint="default"/>
        </w:rPr>
        <w:t>13.09%</w:t>
      </w:r>
      <w:r>
        <w:rPr/>
        <w:t>和</w:t>
      </w:r>
    </w:p>
    <w:p>
      <w:pPr>
        <w:pStyle w:val="BodyText"/>
        <w:spacing w:line="240" w:lineRule="auto" w:before="63"/>
        <w:ind w:right="1132"/>
        <w:jc w:val="left"/>
      </w:pPr>
      <w:r>
        <w:rPr>
          <w:rFonts w:ascii="Times New Roman" w:hAnsi="Times New Roman" w:cs="Times New Roman" w:eastAsia="Times New Roman" w:hint="default"/>
        </w:rPr>
        <w:t>28.07%</w:t>
      </w:r>
      <w:r>
        <w:rPr/>
        <w:t>。</w:t>
      </w:r>
    </w:p>
    <w:p>
      <w:pPr>
        <w:spacing w:line="240" w:lineRule="auto" w:before="1"/>
        <w:rPr>
          <w:rFonts w:ascii="宋体" w:hAnsi="宋体" w:cs="宋体" w:eastAsia="宋体" w:hint="default"/>
          <w:sz w:val="24"/>
          <w:szCs w:val="24"/>
        </w:rPr>
      </w:pPr>
    </w:p>
    <w:p>
      <w:pPr>
        <w:pStyle w:val="Heading2"/>
        <w:spacing w:line="240" w:lineRule="auto"/>
        <w:ind w:right="1132"/>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53" w:right="1132"/>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1,256,248,131.57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1,110,878,833.02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1,240,125,386.96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1,104,774,074.64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8,415,406.75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7,707,337.86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6,104,758.38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印刷类产品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1,071,372,296.39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991,261,287.57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89.23%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168,753,090.57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113,512,787.07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10.22%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8,415,406.75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7,707,337.86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6,104,758.38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951,105,460.41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825,938,412.35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74.35%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305,142,671.16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284,940,420.67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1,240,125,386.96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746,624,034.15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1,071,372,296.39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635,025,283.73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168,753,090.57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111,598,750.42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951,105,460.41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562,124,543.04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305,142,671.16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192,607,657.61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r>
    </w:tbl>
    <w:p>
      <w:pPr>
        <w:pStyle w:val="BodyText"/>
        <w:spacing w:line="240" w:lineRule="auto" w:before="51"/>
        <w:ind w:left="154" w:right="113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2"/>
        <w:jc w:val="left"/>
      </w:pPr>
      <w:r>
        <w:rPr/>
        <w:t>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382,750,996.63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370,212,927.47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64,812,647.98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46,327,753.44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110,150,987.15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114,674,745.65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77,310,652.00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56,711,272.92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71,649,039.62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43,037,367.42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11,803,086.55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5,588,701.64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19,386,586.92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13,514,946.76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8,760,037.32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7,110,542.07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2,724,757.35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1,085,275.25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92,073.90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559,185.63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314,732.89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委托外部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147,577.02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82,729.14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月，本公司收购北京瑞宏科技有限公司</w:t>
      </w:r>
      <w:r>
        <w:rPr>
          <w:rFonts w:ascii="Times New Roman" w:hAnsi="Times New Roman" w:cs="Times New Roman" w:eastAsia="Times New Roman" w:hint="default"/>
          <w:spacing w:val="-1"/>
        </w:rPr>
        <w:t>39%</w:t>
      </w:r>
      <w:r>
        <w:rPr>
          <w:spacing w:val="-1"/>
        </w:rPr>
        <w:t>股权，本次收购完成后，我公司控制北京瑞宏科技有限公司</w:t>
      </w:r>
      <w:r>
        <w:rPr>
          <w:rFonts w:ascii="Times New Roman" w:hAnsi="Times New Roman" w:cs="Times New Roman" w:eastAsia="Times New Roman" w:hint="default"/>
          <w:spacing w:val="-1"/>
        </w:rPr>
        <w:t>90%</w:t>
      </w:r>
      <w:r>
        <w:rPr>
          <w:spacing w:val="-1"/>
        </w:rPr>
        <w:t>的股</w:t>
      </w:r>
      <w:r>
        <w:rPr>
          <w:spacing w:val="-53"/>
        </w:rPr>
        <w:t> </w:t>
      </w:r>
      <w:r>
        <w:rPr/>
        <w:t>权，北京瑞宏科技纳入我公司合并范围。</w:t>
      </w:r>
    </w:p>
    <w:p>
      <w:pPr>
        <w:pStyle w:val="BodyText"/>
        <w:spacing w:line="240" w:lineRule="auto" w:before="17"/>
        <w:ind w:right="1132"/>
        <w:jc w:val="left"/>
      </w:pPr>
      <w:r>
        <w:rPr>
          <w:rFonts w:ascii="Times New Roman" w:hAnsi="Times New Roman" w:cs="Times New Roman" w:eastAsia="Times New Roman" w:hint="default"/>
        </w:rPr>
        <w:t>2014</w:t>
      </w:r>
      <w:r>
        <w:rPr/>
        <w:t>年北京瑞宏的财务数据如下：</w:t>
      </w:r>
    </w:p>
    <w:p>
      <w:pPr>
        <w:spacing w:line="240" w:lineRule="auto" w:before="13"/>
        <w:rPr>
          <w:rFonts w:ascii="宋体" w:hAnsi="宋体" w:cs="宋体" w:eastAsia="宋体" w:hint="default"/>
          <w:sz w:val="3"/>
          <w:szCs w:val="3"/>
        </w:rPr>
      </w:pPr>
    </w:p>
    <w:tbl>
      <w:tblPr>
        <w:tblW w:w="0" w:type="auto"/>
        <w:jc w:val="left"/>
        <w:tblInd w:w="1197" w:type="dxa"/>
        <w:tblLayout w:type="fixed"/>
        <w:tblCellMar>
          <w:top w:w="0" w:type="dxa"/>
          <w:left w:w="0" w:type="dxa"/>
          <w:bottom w:w="0" w:type="dxa"/>
          <w:right w:w="0" w:type="dxa"/>
        </w:tblCellMar>
        <w:tblLook w:val="01E0"/>
      </w:tblPr>
      <w:tblGrid>
        <w:gridCol w:w="4282"/>
        <w:gridCol w:w="3261"/>
      </w:tblGrid>
      <w:tr>
        <w:trPr>
          <w:trHeight w:val="422" w:hRule="exact"/>
        </w:trPr>
        <w:tc>
          <w:tcPr>
            <w:tcW w:w="4282" w:type="dxa"/>
            <w:vMerge w:val="restart"/>
            <w:tcBorders>
              <w:top w:val="single" w:sz="4" w:space="0" w:color="000000"/>
              <w:left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年发生额</w:t>
            </w:r>
          </w:p>
        </w:tc>
      </w:tr>
      <w:tr>
        <w:trPr>
          <w:trHeight w:val="422" w:hRule="exact"/>
        </w:trPr>
        <w:tc>
          <w:tcPr>
            <w:tcW w:w="4282" w:type="dxa"/>
            <w:vMerge/>
            <w:tcBorders>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24"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r>
      <w:tr>
        <w:trPr>
          <w:trHeight w:val="42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17,616,200.52</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5,406,551.02</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3,105,119.9</w:t>
            </w:r>
          </w:p>
        </w:tc>
      </w:tr>
      <w:tr>
        <w:trPr>
          <w:trHeight w:val="42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20,721,320.49</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1,503,765.00</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1,503,765.00</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19,217,555.49</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9,800,666.42</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9,800,666.42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97" w:type="dxa"/>
        <w:tblLayout w:type="fixed"/>
        <w:tblCellMar>
          <w:top w:w="0" w:type="dxa"/>
          <w:left w:w="0" w:type="dxa"/>
          <w:bottom w:w="0" w:type="dxa"/>
          <w:right w:w="0" w:type="dxa"/>
        </w:tblCellMar>
        <w:tblLook w:val="01E0"/>
      </w:tblPr>
      <w:tblGrid>
        <w:gridCol w:w="4282"/>
        <w:gridCol w:w="3261"/>
      </w:tblGrid>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1,224,999.98</w:t>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w w:val="95"/>
                <w:sz w:val="18"/>
              </w:rPr>
              <w:t>-60,639.47</w:t>
            </w:r>
            <w:r>
              <w:rPr>
                <w:rFonts w:ascii="Times New Roman"/>
                <w:sz w:val="18"/>
              </w:rPr>
            </w:r>
          </w:p>
        </w:tc>
      </w:tr>
      <w:tr>
        <w:trPr>
          <w:trHeight w:val="423"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w w:val="95"/>
                <w:sz w:val="18"/>
              </w:rPr>
              <w:t>-1,406.25</w:t>
            </w:r>
            <w:r>
              <w:rPr>
                <w:rFonts w:ascii="Times New Roman"/>
                <w:sz w:val="18"/>
              </w:rPr>
            </w:r>
          </w:p>
        </w:tc>
      </w:tr>
      <w:tr>
        <w:trPr>
          <w:trHeight w:val="421"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w w:val="95"/>
                <w:sz w:val="18"/>
              </w:rPr>
              <w:t>-782,444.51</w:t>
            </w:r>
            <w:r>
              <w:rPr>
                <w:rFonts w:ascii="Times New Roman"/>
                <w:sz w:val="18"/>
              </w:rPr>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6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w w:val="95"/>
                <w:sz w:val="18"/>
              </w:rPr>
              <w:t>-782,444.51</w:t>
            </w:r>
            <w:r>
              <w:rPr>
                <w:rFonts w:ascii="Times New Roman"/>
                <w:sz w:val="18"/>
              </w:rPr>
            </w:r>
          </w:p>
        </w:tc>
      </w:tr>
      <w:tr>
        <w:trPr>
          <w:trHeight w:val="422" w:hRule="exact"/>
        </w:trPr>
        <w:tc>
          <w:tcPr>
            <w:tcW w:w="4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2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1132"/>
        <w:jc w:val="left"/>
      </w:pPr>
      <w:r>
        <w:rPr>
          <w:rFonts w:ascii="Times New Roman" w:hAnsi="Times New Roman" w:cs="Times New Roman" w:eastAsia="Times New Roman" w:hint="default"/>
        </w:rPr>
        <w:t>2</w:t>
      </w:r>
      <w:r>
        <w:rPr/>
        <w:t>、报告期内，公司合资设立了青岛瑞宏科技有限公司和天津征瑞科技有限公司两家控股子公司。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3" w:right="113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264,337,290.30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21.04%</w:t>
            </w:r>
          </w:p>
        </w:tc>
      </w:tr>
    </w:tbl>
    <w:p>
      <w:pPr>
        <w:pStyle w:val="BodyText"/>
        <w:spacing w:line="240" w:lineRule="auto" w:before="51"/>
        <w:ind w:left="154" w:right="11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154,834,594.78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33,862,230.58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31,426,801.74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24,471,697.17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19,741,966.03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264,337,290.30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21.04%</w:t>
            </w:r>
          </w:p>
        </w:tc>
      </w:tr>
    </w:tbl>
    <w:p>
      <w:pPr>
        <w:pStyle w:val="BodyText"/>
        <w:spacing w:line="240" w:lineRule="auto" w:before="51"/>
        <w:ind w:left="154" w:right="1132"/>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242,504,018.68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35.91%</w:t>
            </w:r>
          </w:p>
        </w:tc>
      </w:tr>
    </w:tbl>
    <w:p>
      <w:pPr>
        <w:pStyle w:val="BodyText"/>
        <w:spacing w:line="240" w:lineRule="auto" w:before="51"/>
        <w:ind w:left="154" w:right="11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24"/>
        <w:gridCol w:w="3168"/>
        <w:gridCol w:w="2322"/>
        <w:gridCol w:w="3143"/>
      </w:tblGrid>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108,192,128.98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68,036,585.19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27,924,144.53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19,386,026.39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18,965,133.59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242,504,018.68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35.90%</w:t>
            </w:r>
          </w:p>
        </w:tc>
      </w:tr>
    </w:tbl>
    <w:p>
      <w:pPr>
        <w:pStyle w:val="BodyText"/>
        <w:spacing w:line="240" w:lineRule="auto" w:before="51"/>
        <w:ind w:left="154" w:right="1132"/>
        <w:jc w:val="left"/>
      </w:pPr>
      <w:r>
        <w:rPr/>
        <w:t>主要供应商其他情况说明</w:t>
      </w:r>
    </w:p>
    <w:p>
      <w:pPr>
        <w:pStyle w:val="BodyText"/>
        <w:spacing w:line="240" w:lineRule="auto" w:before="117"/>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89,092,363.11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88,052,730.86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162,012,681.57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154,565,808.34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-1,022,060.54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-2,184,396.92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-53.21%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报告期内公司财务费用增加，主要是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由于公司利用自有资金购买银行理 </w:t>
            </w:r>
            <w:r>
              <w:rPr>
                <w:rFonts w:ascii="宋体" w:hAnsi="宋体" w:cs="宋体" w:eastAsia="宋体" w:hint="default"/>
                <w:spacing w:val="-2"/>
                <w:sz w:val="18"/>
                <w:szCs w:val="18"/>
              </w:rPr>
              <w:t>财产品，投资收益增加，存款利息收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益下降所致。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39,763,834.74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32,064,900.69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132"/>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6" w:right="1160"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本年度公司为提升产品技术含量，对智能卡、</w:t>
      </w:r>
      <w:r>
        <w:rPr>
          <w:rFonts w:ascii="Times New Roman" w:hAnsi="Times New Roman" w:cs="Times New Roman" w:eastAsia="Times New Roman" w:hint="default"/>
        </w:rPr>
        <w:t>RIFD</w:t>
      </w:r>
      <w:r>
        <w:rPr/>
        <w:t>标签等多个项目进行了技术研发，并开发了电子发票、彩票销售系</w:t>
      </w:r>
    </w:p>
    <w:p>
      <w:pPr>
        <w:pStyle w:val="BodyText"/>
        <w:spacing w:line="217" w:lineRule="exact"/>
        <w:ind w:right="1132"/>
        <w:jc w:val="left"/>
      </w:pPr>
      <w:r>
        <w:rPr/>
        <w:t>统等多个基于信息技术系统的新项目。</w:t>
      </w:r>
    </w:p>
    <w:p>
      <w:pPr>
        <w:pStyle w:val="BodyText"/>
        <w:spacing w:line="240" w:lineRule="auto" w:before="117"/>
        <w:ind w:right="1132"/>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74,374,488.24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61,583,472.82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9,989,798.71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1,160,941.37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760.49%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11.54%</w:t>
            </w:r>
          </w:p>
        </w:tc>
      </w:tr>
    </w:tbl>
    <w:p>
      <w:pPr>
        <w:pStyle w:val="BodyText"/>
        <w:spacing w:line="240" w:lineRule="auto" w:before="51"/>
        <w:ind w:left="154" w:right="1132"/>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left"/>
      </w:pPr>
      <w:r>
        <w:rPr>
          <w:spacing w:val="-2"/>
        </w:rPr>
        <w:t>报告期内，获得知识产权证书或已申报知识产权证书，达到项目资本化确认条件的研发项目较去年同期增加，导致资本化率</w:t>
      </w:r>
      <w:r>
        <w:rPr>
          <w:spacing w:val="-66"/>
        </w:rPr>
        <w:t> </w:t>
      </w:r>
      <w:r>
        <w:rPr>
          <w:spacing w:val="-66"/>
        </w:rPr>
      </w:r>
      <w:r>
        <w:rPr/>
        <w:t>大幅度提高。</w:t>
      </w:r>
    </w:p>
    <w:p>
      <w:pPr>
        <w:pStyle w:val="BodyText"/>
        <w:spacing w:line="240" w:lineRule="auto" w:before="59"/>
        <w:ind w:right="1132"/>
        <w:jc w:val="left"/>
      </w:pPr>
      <w:r>
        <w:rPr/>
        <w:t>近两年专利数情况</w:t>
      </w:r>
    </w:p>
    <w:p>
      <w:pPr>
        <w:pStyle w:val="BodyText"/>
        <w:spacing w:line="240" w:lineRule="auto" w:before="117"/>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1,601,089,406.73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1,388,206,190.13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1,304,207,734.19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1,080,586,159.46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296,881,672.54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307,620,030.67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690,685,941.06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543,246,205.15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763,844,762.89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1,012,414,587.61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-73,158,821.83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-469,168,382.46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127,615,336.94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74,811,316.71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-120,665,336.94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-62,861,716.71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103,057,058.60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-224,411,219.78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145.92%</w:t>
            </w:r>
          </w:p>
        </w:tc>
      </w:tr>
    </w:tbl>
    <w:p>
      <w:pPr>
        <w:pStyle w:val="BodyText"/>
        <w:spacing w:line="240" w:lineRule="auto" w:before="51"/>
        <w:ind w:left="154" w:right="1132"/>
        <w:jc w:val="left"/>
      </w:pPr>
      <w:r>
        <w:rPr/>
        <w:t>相关数据同比发生重大变动的主要影响因素说明</w:t>
      </w:r>
    </w:p>
    <w:p>
      <w:pPr>
        <w:pStyle w:val="BodyText"/>
        <w:spacing w:line="240" w:lineRule="auto" w:before="117"/>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132"/>
        <w:jc w:val="left"/>
      </w:pPr>
      <w:r>
        <w:rPr>
          <w:rFonts w:ascii="Times New Roman" w:hAnsi="Times New Roman" w:cs="Times New Roman" w:eastAsia="Times New Roman" w:hint="default"/>
        </w:rPr>
        <w:t>1</w:t>
      </w:r>
      <w:r>
        <w:rPr/>
        <w:t>、投资活动产生现金流量净额增加</w:t>
      </w:r>
      <w:r>
        <w:rPr>
          <w:rFonts w:ascii="Times New Roman" w:hAnsi="Times New Roman" w:cs="Times New Roman" w:eastAsia="Times New Roman" w:hint="default"/>
        </w:rPr>
        <w:t>84.41%</w:t>
      </w:r>
      <w:r>
        <w:rPr/>
        <w:t>，主要是因为</w:t>
      </w:r>
      <w:r>
        <w:rPr>
          <w:rFonts w:ascii="Times New Roman" w:hAnsi="Times New Roman" w:cs="Times New Roman" w:eastAsia="Times New Roman" w:hint="default"/>
        </w:rPr>
        <w:t>2014</w:t>
      </w:r>
      <w:r>
        <w:rPr/>
        <w:t>年度购买的理财产品，在报告期内收回本金及收益所致。</w:t>
      </w:r>
    </w:p>
    <w:p>
      <w:pPr>
        <w:pStyle w:val="BodyText"/>
        <w:spacing w:line="300" w:lineRule="auto" w:before="63"/>
        <w:ind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年度筹资活动现金流入主要为报告期内吸收的少数股东对控股子公司的投资，较</w:t>
      </w:r>
      <w:r>
        <w:rPr>
          <w:rFonts w:ascii="Times New Roman" w:hAnsi="Times New Roman" w:cs="Times New Roman" w:eastAsia="Times New Roman" w:hint="default"/>
        </w:rPr>
        <w:t>2014</w:t>
      </w:r>
      <w:r>
        <w:rPr/>
        <w:t>年度收到与资产相关的政府补 助减少，导致筹资活动现金流入小计减少</w:t>
      </w:r>
      <w:r>
        <w:rPr>
          <w:rFonts w:ascii="Times New Roman" w:hAnsi="Times New Roman" w:cs="Times New Roman" w:eastAsia="Times New Roman" w:hint="default"/>
        </w:rPr>
        <w:t>41.84%</w:t>
      </w:r>
      <w:r>
        <w:rPr/>
        <w:t>。 </w:t>
      </w:r>
      <w:r>
        <w:rPr>
          <w:rFonts w:ascii="Times New Roman" w:hAnsi="Times New Roman" w:cs="Times New Roman" w:eastAsia="Times New Roman" w:hint="default"/>
          <w:spacing w:val="-1"/>
        </w:rPr>
        <w:t>3</w:t>
      </w:r>
      <w:r>
        <w:rPr>
          <w:spacing w:val="-1"/>
        </w:rPr>
        <w:t>、筹资活动现金流出小计增加</w:t>
      </w:r>
      <w:r>
        <w:rPr>
          <w:rFonts w:ascii="Times New Roman" w:hAnsi="Times New Roman" w:cs="Times New Roman" w:eastAsia="Times New Roman" w:hint="default"/>
          <w:spacing w:val="-1"/>
        </w:rPr>
        <w:t>70.58%</w:t>
      </w:r>
      <w:r>
        <w:rPr>
          <w:spacing w:val="-1"/>
        </w:rPr>
        <w:t>，筹资活动产生现金流量净额减少</w:t>
      </w:r>
      <w:r>
        <w:rPr>
          <w:rFonts w:ascii="Times New Roman" w:hAnsi="Times New Roman" w:cs="Times New Roman" w:eastAsia="Times New Roman" w:hint="default"/>
          <w:spacing w:val="-1"/>
        </w:rPr>
        <w:t>91.95%</w:t>
      </w:r>
      <w:r>
        <w:rPr>
          <w:spacing w:val="-1"/>
        </w:rPr>
        <w:t>，主要是因为，</w:t>
      </w:r>
      <w:r>
        <w:rPr>
          <w:rFonts w:ascii="Times New Roman" w:hAnsi="Times New Roman" w:cs="Times New Roman" w:eastAsia="Times New Roman" w:hint="default"/>
          <w:spacing w:val="-1"/>
        </w:rPr>
        <w:t>2015</w:t>
      </w:r>
      <w:r>
        <w:rPr>
          <w:spacing w:val="-1"/>
        </w:rPr>
        <w:t>年度分配的现金股利增</w:t>
      </w:r>
      <w:r>
        <w:rPr>
          <w:spacing w:val="-52"/>
        </w:rPr>
        <w:t> </w:t>
      </w:r>
      <w:r>
        <w:rPr/>
        <w:t>加所致。</w:t>
      </w:r>
    </w:p>
    <w:p>
      <w:pPr>
        <w:pStyle w:val="BodyText"/>
        <w:spacing w:line="340" w:lineRule="auto" w:before="31"/>
        <w:ind w:left="154" w:right="3177"/>
        <w:jc w:val="left"/>
      </w:pPr>
      <w:r>
        <w:rPr>
          <w:rFonts w:ascii="Times New Roman" w:hAnsi="Times New Roman" w:cs="Times New Roman" w:eastAsia="Times New Roman" w:hint="default"/>
        </w:rPr>
        <w:t>4</w:t>
      </w:r>
      <w:r>
        <w:rPr/>
        <w:t>、现金及现金等价物净增加额增加</w:t>
      </w:r>
      <w:r>
        <w:rPr>
          <w:rFonts w:ascii="Times New Roman" w:hAnsi="Times New Roman" w:cs="Times New Roman" w:eastAsia="Times New Roman" w:hint="default"/>
        </w:rPr>
        <w:t>145.92%</w:t>
      </w:r>
      <w:r>
        <w:rPr/>
        <w:t>，主要因为投资活动产生的现金流量净额增加所致。 报告期内公司经营活动产生的现金净流量与本年度净利润存在重大差异的原因说明</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13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1276"/>
        <w:gridCol w:w="1560"/>
        <w:gridCol w:w="1274"/>
        <w:gridCol w:w="1134"/>
        <w:gridCol w:w="1631"/>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8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6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383,596,462.05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279,032,612.77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182,828,441.96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110,559,791.32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122,614,486.18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136,133,535.25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8,250,945.06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5,252,958.14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9,800,666.42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624,346,358.01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642,821,241.81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106,422,058.04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45,790,382.26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24.85%</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7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北京瑞 宏科技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77"/>
              <w:jc w:val="left"/>
              <w:rPr>
                <w:rFonts w:ascii="宋体" w:hAnsi="宋体" w:cs="宋体" w:eastAsia="宋体" w:hint="default"/>
                <w:sz w:val="18"/>
                <w:szCs w:val="18"/>
              </w:rPr>
            </w:pPr>
            <w:r>
              <w:rPr>
                <w:rFonts w:ascii="宋体" w:hAnsi="宋体" w:cs="宋体" w:eastAsia="宋体" w:hint="default"/>
                <w:sz w:val="18"/>
                <w:szCs w:val="18"/>
              </w:rPr>
              <w:t>电子发 票服务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39.00%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浪潮软 件集团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43"/>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97"/>
              <w:jc w:val="left"/>
              <w:rPr>
                <w:rFonts w:ascii="宋体" w:hAnsi="宋体" w:cs="宋体" w:eastAsia="宋体" w:hint="default"/>
                <w:sz w:val="18"/>
                <w:szCs w:val="18"/>
              </w:rPr>
            </w:pPr>
            <w:r>
              <w:rPr>
                <w:rFonts w:ascii="宋体" w:hAnsi="宋体" w:cs="宋体" w:eastAsia="宋体" w:hint="default"/>
                <w:sz w:val="18"/>
                <w:szCs w:val="18"/>
              </w:rPr>
              <w:t>收购 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-4,039,1</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95.41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详见在 巨潮资 讯网披 露的</w:t>
            </w:r>
          </w:p>
          <w:p>
            <w:pPr>
              <w:pStyle w:val="TableParagraph"/>
              <w:spacing w:line="319"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《关联 交易公 告》</w:t>
            </w: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-4,039,1</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95.41</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53" w:right="113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1132"/>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2"/>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2"/>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北京东港安 全印刷有限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0"/>
              <w:jc w:val="right"/>
              <w:rPr>
                <w:rFonts w:ascii="宋体" w:hAnsi="宋体" w:cs="宋体" w:eastAsia="宋体" w:hint="default"/>
                <w:sz w:val="18"/>
                <w:szCs w:val="18"/>
              </w:rPr>
            </w:pPr>
            <w:r>
              <w:rPr>
                <w:rFonts w:ascii="宋体" w:hAnsi="宋体" w:cs="宋体" w:eastAsia="宋体" w:hint="default"/>
                <w:sz w:val="18"/>
                <w:szCs w:val="18"/>
              </w:rPr>
              <w:t>票证印刷品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52,000,000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224,398,125.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140,434,737.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295,763,146.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66,207,435.7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63,504,278.2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上海东港安 全印刷有限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0"/>
              <w:jc w:val="right"/>
              <w:rPr>
                <w:rFonts w:ascii="宋体" w:hAnsi="宋体" w:cs="宋体" w:eastAsia="宋体" w:hint="default"/>
                <w:sz w:val="18"/>
                <w:szCs w:val="18"/>
              </w:rPr>
            </w:pPr>
            <w:r>
              <w:rPr>
                <w:rFonts w:ascii="宋体" w:hAnsi="宋体" w:cs="宋体" w:eastAsia="宋体" w:hint="default"/>
                <w:sz w:val="18"/>
                <w:szCs w:val="18"/>
              </w:rPr>
              <w:t>票证印刷品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127,145,444.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73,012,496.7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164,579,307.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17,715,684.2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16,401,808.6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1132"/>
        <w:jc w:val="left"/>
      </w:pPr>
      <w:r>
        <w:rPr/>
        <w:t>报告期内取得和处置子公司的情况</w:t>
      </w:r>
    </w:p>
    <w:p>
      <w:pPr>
        <w:pStyle w:val="BodyText"/>
        <w:spacing w:line="240" w:lineRule="auto" w:before="117"/>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2908"/>
        <w:gridCol w:w="347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有利于公司电子发票业务的发展，但在报告 期内该项业务还处于推广阶段，对公司的经 营业绩未带来实质性影响。</w:t>
            </w:r>
          </w:p>
        </w:tc>
      </w:tr>
    </w:tbl>
    <w:p>
      <w:pPr>
        <w:pStyle w:val="BodyText"/>
        <w:spacing w:line="240" w:lineRule="auto" w:before="51"/>
        <w:ind w:left="154" w:right="0"/>
        <w:jc w:val="both"/>
      </w:pPr>
      <w:r>
        <w:rPr/>
        <w:t>主要控股参股公司情况说明</w:t>
      </w:r>
    </w:p>
    <w:p>
      <w:pPr>
        <w:pStyle w:val="BodyText"/>
        <w:spacing w:line="338" w:lineRule="auto" w:before="117"/>
        <w:ind w:left="514" w:right="1132"/>
        <w:jc w:val="left"/>
      </w:pPr>
      <w:r>
        <w:rPr/>
        <w:t>（</w:t>
      </w:r>
      <w:r>
        <w:rPr>
          <w:rFonts w:ascii="Times New Roman" w:hAnsi="Times New Roman" w:cs="Times New Roman" w:eastAsia="Times New Roman" w:hint="default"/>
        </w:rPr>
        <w:t>1</w:t>
      </w:r>
      <w:r>
        <w:rPr/>
        <w:t>）控股子公司</w:t>
      </w:r>
      <w:r>
        <w:rPr>
          <w:rFonts w:ascii="Times New Roman" w:hAnsi="Times New Roman" w:cs="Times New Roman" w:eastAsia="Times New Roman" w:hint="default"/>
        </w:rPr>
        <w:t>—</w:t>
      </w:r>
      <w:r>
        <w:rPr/>
        <w:t>郑州东港安全印刷有限公司： </w:t>
      </w:r>
      <w:r>
        <w:rPr>
          <w:spacing w:val="-1"/>
        </w:rPr>
        <w:t>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w:t>
      </w:r>
      <w:r>
        <w:rPr>
          <w:spacing w:val="-1"/>
        </w:rPr>
        <w:t>月成立，注册资本</w:t>
      </w:r>
      <w:r>
        <w:rPr>
          <w:rFonts w:ascii="Times New Roman" w:hAnsi="Times New Roman" w:cs="Times New Roman" w:eastAsia="Times New Roman" w:hint="default"/>
          <w:spacing w:val="-1"/>
        </w:rPr>
        <w:t>5,000</w:t>
      </w:r>
      <w:r>
        <w:rPr>
          <w:spacing w:val="-1"/>
        </w:rPr>
        <w:t>万元，本公司持股比例为</w:t>
      </w:r>
      <w:r>
        <w:rPr>
          <w:rFonts w:ascii="Times New Roman" w:hAnsi="Times New Roman" w:cs="Times New Roman" w:eastAsia="Times New Roman" w:hint="default"/>
          <w:spacing w:val="-1"/>
        </w:rPr>
        <w:t>75%</w:t>
      </w:r>
      <w:r>
        <w:rPr>
          <w:spacing w:val="-1"/>
        </w:rPr>
        <w:t>。公司法定代表人：史建中。注册地址：郑州高新</w:t>
      </w:r>
    </w:p>
    <w:p>
      <w:pPr>
        <w:pStyle w:val="BodyText"/>
        <w:spacing w:line="230" w:lineRule="exact"/>
        <w:ind w:right="0"/>
        <w:jc w:val="both"/>
        <w:rPr>
          <w:rFonts w:ascii="Times New Roman" w:hAnsi="Times New Roman" w:cs="Times New Roman" w:eastAsia="Times New Roman" w:hint="default"/>
        </w:rPr>
      </w:pPr>
      <w:r>
        <w:rPr/>
        <w:t>区国槐街</w:t>
      </w:r>
      <w:r>
        <w:rPr>
          <w:rFonts w:ascii="Times New Roman" w:hAnsi="Times New Roman" w:cs="Times New Roman" w:eastAsia="Times New Roman" w:hint="default"/>
        </w:rPr>
        <w:t>11</w:t>
      </w:r>
      <w:r>
        <w:rPr/>
        <w:t>号。经营范围：包装装潢印刷品及其他印刷品印刷，办公用纸、纸制品的生产，高档纸张防伪处理，磁卡、</w:t>
      </w:r>
      <w:r>
        <w:rPr>
          <w:rFonts w:ascii="Times New Roman" w:hAnsi="Times New Roman" w:cs="Times New Roman" w:eastAsia="Times New Roman" w:hint="default"/>
        </w:rPr>
        <w:t>IC</w:t>
      </w:r>
    </w:p>
    <w:p>
      <w:pPr>
        <w:pStyle w:val="BodyText"/>
        <w:spacing w:line="319" w:lineRule="auto" w:before="63"/>
        <w:ind w:right="1130"/>
        <w:jc w:val="both"/>
      </w:pPr>
      <w:r>
        <w:rPr>
          <w:spacing w:val="-2"/>
        </w:rPr>
        <w:t>卡、智能卡、识别卡和智能标签、印刷器材、电子设备及产品、办公自动化设备及产品、电子元器件、软件产品的开发、生</w:t>
      </w:r>
      <w:r>
        <w:rPr>
          <w:spacing w:val="-67"/>
        </w:rPr>
        <w:t> </w:t>
      </w:r>
      <w:r>
        <w:rPr>
          <w:spacing w:val="-67"/>
        </w:rPr>
      </w:r>
      <w:r>
        <w:rPr>
          <w:spacing w:val="-2"/>
        </w:rPr>
        <w:t>产，销售本公司生产的产品，信息系统集成及技术服务，数据及信息处理服务，科技信息咨询服务，印刷品设计服务，从事</w:t>
      </w:r>
      <w:r>
        <w:rPr>
          <w:spacing w:val="-68"/>
        </w:rPr>
        <w:t> </w:t>
      </w:r>
      <w:r>
        <w:rPr>
          <w:spacing w:val="-68"/>
        </w:rPr>
      </w:r>
      <w:r>
        <w:rPr/>
        <w:t>上述产品的销售，技术进出口，房屋租赁，档案储存及数字化加工服务，档案咨询管理服务。</w:t>
      </w:r>
    </w:p>
    <w:p>
      <w:pPr>
        <w:pStyle w:val="BodyText"/>
        <w:spacing w:line="240" w:lineRule="auto" w:before="58"/>
        <w:ind w:left="513" w:right="1132"/>
        <w:jc w:val="left"/>
      </w:pPr>
      <w:r>
        <w:rPr/>
        <w:t>该公司报告期实现净利润</w:t>
      </w:r>
      <w:r>
        <w:rPr>
          <w:rFonts w:ascii="Times New Roman" w:hAnsi="Times New Roman" w:cs="Times New Roman" w:eastAsia="Times New Roman" w:hint="default"/>
        </w:rPr>
        <w:t>1,425.21</w:t>
      </w:r>
      <w:r>
        <w:rPr/>
        <w:t>万元，报告期末资产总额为</w:t>
      </w:r>
      <w:r>
        <w:rPr>
          <w:rFonts w:ascii="Times New Roman" w:hAnsi="Times New Roman" w:cs="Times New Roman" w:eastAsia="Times New Roman" w:hint="default"/>
        </w:rPr>
        <w:t>11,109.71</w:t>
      </w:r>
      <w:r>
        <w:rPr/>
        <w:t>万元。</w:t>
      </w:r>
    </w:p>
    <w:p>
      <w:pPr>
        <w:pStyle w:val="BodyText"/>
        <w:spacing w:line="338" w:lineRule="auto" w:before="102"/>
        <w:ind w:left="514" w:right="1132"/>
        <w:jc w:val="left"/>
      </w:pPr>
      <w:r>
        <w:rPr/>
        <w:t>（</w:t>
      </w:r>
      <w:r>
        <w:rPr>
          <w:rFonts w:ascii="Times New Roman" w:hAnsi="Times New Roman" w:cs="Times New Roman" w:eastAsia="Times New Roman" w:hint="default"/>
        </w:rPr>
        <w:t>2</w:t>
      </w:r>
      <w:r>
        <w:rPr/>
        <w:t>）控股子公司</w:t>
      </w:r>
      <w:r>
        <w:rPr>
          <w:rFonts w:ascii="Times New Roman" w:hAnsi="Times New Roman" w:cs="Times New Roman" w:eastAsia="Times New Roman" w:hint="default"/>
        </w:rPr>
        <w:t>—</w:t>
      </w:r>
      <w:r>
        <w:rPr/>
        <w:t>北京东港安全印刷有限公司： </w:t>
      </w:r>
      <w:r>
        <w:rPr>
          <w:spacing w:val="-1"/>
        </w:rPr>
        <w:t>公司于</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日成立，注册资本</w:t>
      </w:r>
      <w:r>
        <w:rPr>
          <w:rFonts w:ascii="Times New Roman" w:hAnsi="Times New Roman" w:cs="Times New Roman" w:eastAsia="Times New Roman" w:hint="default"/>
          <w:spacing w:val="-1"/>
        </w:rPr>
        <w:t>5,200</w:t>
      </w:r>
      <w:r>
        <w:rPr>
          <w:spacing w:val="-1"/>
        </w:rPr>
        <w:t>万元，本公司持股比例为</w:t>
      </w:r>
      <w:r>
        <w:rPr>
          <w:rFonts w:ascii="Times New Roman" w:hAnsi="Times New Roman" w:cs="Times New Roman" w:eastAsia="Times New Roman" w:hint="default"/>
          <w:spacing w:val="-1"/>
        </w:rPr>
        <w:t>75%</w:t>
      </w:r>
      <w:r>
        <w:rPr>
          <w:spacing w:val="-1"/>
        </w:rPr>
        <w:t>。公司法定代表人：史建中。注册地址：北京</w:t>
      </w:r>
    </w:p>
    <w:p>
      <w:pPr>
        <w:pStyle w:val="BodyText"/>
        <w:spacing w:line="230" w:lineRule="exact"/>
        <w:ind w:right="0"/>
        <w:jc w:val="both"/>
      </w:pPr>
      <w:r>
        <w:rPr/>
        <w:t>市北京经济技术开发区经海四路</w:t>
      </w:r>
      <w:r>
        <w:rPr>
          <w:rFonts w:ascii="Times New Roman" w:hAnsi="Times New Roman" w:cs="Times New Roman" w:eastAsia="Times New Roman" w:hint="default"/>
        </w:rPr>
        <w:t>139</w:t>
      </w:r>
      <w:r>
        <w:rPr/>
        <w:t>号。经营范围：出版物印刷、包装装潢印刷品印刷、其他印刷品印刷；生产专用计算机</w:t>
      </w:r>
    </w:p>
    <w:p>
      <w:pPr>
        <w:pStyle w:val="BodyText"/>
        <w:spacing w:line="319" w:lineRule="auto" w:before="63"/>
        <w:ind w:right="1131"/>
        <w:jc w:val="both"/>
      </w:pPr>
      <w:r>
        <w:rPr>
          <w:spacing w:val="-2"/>
        </w:rPr>
        <w:t>软件；销售自产产品；提供数据处理服务及自产产品技术咨询、技术服务；磁卡、智能卡、智能卡电子设备及产品、办公自</w:t>
      </w:r>
      <w:r>
        <w:rPr>
          <w:spacing w:val="-72"/>
        </w:rPr>
        <w:t> </w:t>
      </w:r>
      <w:r>
        <w:rPr>
          <w:spacing w:val="-72"/>
        </w:rPr>
      </w:r>
      <w:r>
        <w:rPr>
          <w:spacing w:val="-2"/>
        </w:rPr>
        <w:t>动化设备及产品、电子元器件的研究、开发；物联网、计算机信息系统集成及技术服务；纸制品、高档防伪纸张、磁卡、智</w:t>
      </w:r>
      <w:r>
        <w:rPr>
          <w:spacing w:val="-68"/>
        </w:rPr>
        <w:t> </w:t>
      </w:r>
      <w:r>
        <w:rPr>
          <w:spacing w:val="-68"/>
        </w:rPr>
      </w:r>
      <w:r>
        <w:rPr>
          <w:spacing w:val="-5"/>
        </w:rPr>
        <w:t>能卡、智能卡电子设备及产品、智能电子标签、办公自动化设备及产品、电子元器件、计算机软件的批发、佣金代理业务（拍</w:t>
      </w:r>
      <w:r>
        <w:rPr>
          <w:spacing w:val="-81"/>
        </w:rPr>
        <w:t> </w:t>
      </w:r>
      <w:r>
        <w:rPr>
          <w:spacing w:val="-81"/>
        </w:rPr>
      </w:r>
      <w:r>
        <w:rPr/>
        <w:t>卖、涉及专项规定管理的商品除外）；科技信息咨询服务。</w:t>
      </w:r>
    </w:p>
    <w:p>
      <w:pPr>
        <w:pStyle w:val="BodyText"/>
        <w:spacing w:line="240" w:lineRule="auto" w:before="58"/>
        <w:ind w:left="514" w:right="1132"/>
        <w:jc w:val="left"/>
      </w:pPr>
      <w:r>
        <w:rPr/>
        <w:t>该公司报告期实现净利润</w:t>
      </w:r>
      <w:r>
        <w:rPr>
          <w:rFonts w:ascii="Times New Roman" w:hAnsi="Times New Roman" w:cs="Times New Roman" w:eastAsia="Times New Roman" w:hint="default"/>
        </w:rPr>
        <w:t>6,350.43</w:t>
      </w:r>
      <w:r>
        <w:rPr/>
        <w:t>万元，报告期末资产总额</w:t>
      </w:r>
      <w:r>
        <w:rPr>
          <w:rFonts w:ascii="Times New Roman" w:hAnsi="Times New Roman" w:cs="Times New Roman" w:eastAsia="Times New Roman" w:hint="default"/>
        </w:rPr>
        <w:t>22,439.81</w:t>
      </w:r>
      <w:r>
        <w:rPr/>
        <w:t>万元。</w:t>
      </w:r>
    </w:p>
    <w:p>
      <w:pPr>
        <w:pStyle w:val="BodyText"/>
        <w:spacing w:line="338" w:lineRule="auto" w:before="102"/>
        <w:ind w:left="514" w:right="1197"/>
        <w:jc w:val="left"/>
      </w:pPr>
      <w:r>
        <w:rPr/>
        <w:t>（</w:t>
      </w:r>
      <w:r>
        <w:rPr>
          <w:rFonts w:ascii="Times New Roman" w:hAnsi="Times New Roman" w:cs="Times New Roman" w:eastAsia="Times New Roman" w:hint="default"/>
        </w:rPr>
        <w:t>3</w:t>
      </w:r>
      <w:r>
        <w:rPr/>
        <w:t>）控股子公司</w:t>
      </w:r>
      <w:r>
        <w:rPr>
          <w:rFonts w:ascii="Times New Roman" w:hAnsi="Times New Roman" w:cs="Times New Roman" w:eastAsia="Times New Roman" w:hint="default"/>
        </w:rPr>
        <w:t>—</w:t>
      </w:r>
      <w:r>
        <w:rPr/>
        <w:t>上海东港安全印刷有限公司： 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日成立，注册资本</w:t>
      </w:r>
      <w:r>
        <w:rPr>
          <w:rFonts w:ascii="Times New Roman" w:hAnsi="Times New Roman" w:cs="Times New Roman" w:eastAsia="Times New Roman" w:hint="default"/>
        </w:rPr>
        <w:t>5,000</w:t>
      </w:r>
      <w:r>
        <w:rPr/>
        <w:t>万元，本公司持股比例为</w:t>
      </w:r>
      <w:r>
        <w:rPr>
          <w:rFonts w:ascii="Times New Roman" w:hAnsi="Times New Roman" w:cs="Times New Roman" w:eastAsia="Times New Roman" w:hint="default"/>
        </w:rPr>
        <w:t>75%</w:t>
      </w:r>
      <w:r>
        <w:rPr/>
        <w:t>。公司法定代表人：史建中。注册地址：上海</w:t>
      </w:r>
    </w:p>
    <w:p>
      <w:pPr>
        <w:pStyle w:val="BodyText"/>
        <w:spacing w:line="230" w:lineRule="exact"/>
        <w:ind w:left="154" w:right="0"/>
        <w:jc w:val="both"/>
      </w:pPr>
      <w:r>
        <w:rPr/>
        <w:t>市闵行区华锦路</w:t>
      </w:r>
      <w:r>
        <w:rPr>
          <w:rFonts w:ascii="Times New Roman" w:hAnsi="Times New Roman" w:cs="Times New Roman" w:eastAsia="Times New Roman" w:hint="default"/>
        </w:rPr>
        <w:t>288</w:t>
      </w:r>
      <w:r>
        <w:rPr/>
        <w:t>号。经营范围：从出版物印刷，包装印刷，其他印刷，电子元器件、计算机软件领域内的技术开发，纸</w:t>
      </w:r>
    </w:p>
    <w:p>
      <w:pPr>
        <w:pStyle w:val="BodyText"/>
        <w:spacing w:line="319" w:lineRule="auto" w:before="63"/>
        <w:ind w:left="154" w:right="1043"/>
        <w:jc w:val="both"/>
      </w:pPr>
      <w:r>
        <w:rPr>
          <w:spacing w:val="-4"/>
        </w:rPr>
        <w:t>制品、印刷器材、电子设备、办公自动化设备、电子元器件、计算机软件的销售，物业管理，从事货物及技术的进出口业务，</w:t>
      </w:r>
      <w:r>
        <w:rPr>
          <w:spacing w:val="-48"/>
        </w:rPr>
        <w:t> </w:t>
      </w:r>
      <w:r>
        <w:rPr>
          <w:spacing w:val="-48"/>
        </w:rPr>
      </w:r>
      <w:r>
        <w:rPr/>
        <w:t>仓储服务，接受金融机构委托从事金融业务流程外包，计算机服务（除互联网上网服务营业场所），档案管理服务。</w:t>
      </w:r>
    </w:p>
    <w:p>
      <w:pPr>
        <w:pStyle w:val="BodyText"/>
        <w:spacing w:line="240" w:lineRule="auto" w:before="58"/>
        <w:ind w:left="513" w:right="1132"/>
        <w:jc w:val="left"/>
      </w:pPr>
      <w:r>
        <w:rPr/>
        <w:t>该公司报告期实现净利润</w:t>
      </w:r>
      <w:r>
        <w:rPr>
          <w:rFonts w:ascii="Times New Roman" w:hAnsi="Times New Roman" w:cs="Times New Roman" w:eastAsia="Times New Roman" w:hint="default"/>
        </w:rPr>
        <w:t>1,640.18</w:t>
      </w:r>
      <w:r>
        <w:rPr/>
        <w:t>万元，报告期末资产总额</w:t>
      </w:r>
      <w:r>
        <w:rPr>
          <w:rFonts w:ascii="Times New Roman" w:hAnsi="Times New Roman" w:cs="Times New Roman" w:eastAsia="Times New Roman" w:hint="default"/>
        </w:rPr>
        <w:t>12,714.54</w:t>
      </w:r>
      <w:r>
        <w:rPr/>
        <w:t>万元。</w:t>
      </w:r>
    </w:p>
    <w:p>
      <w:pPr>
        <w:pStyle w:val="BodyText"/>
        <w:spacing w:line="338" w:lineRule="auto" w:before="103"/>
        <w:ind w:left="514" w:right="1152"/>
        <w:jc w:val="left"/>
      </w:pPr>
      <w:r>
        <w:rPr/>
        <w:t>（</w:t>
      </w:r>
      <w:r>
        <w:rPr>
          <w:rFonts w:ascii="Times New Roman" w:hAnsi="Times New Roman" w:cs="Times New Roman" w:eastAsia="Times New Roman" w:hint="default"/>
        </w:rPr>
        <w:t>4</w:t>
      </w:r>
      <w:r>
        <w:rPr/>
        <w:t>）控股子公司</w:t>
      </w:r>
      <w:r>
        <w:rPr>
          <w:rFonts w:ascii="Times New Roman" w:hAnsi="Times New Roman" w:cs="Times New Roman" w:eastAsia="Times New Roman" w:hint="default"/>
        </w:rPr>
        <w:t>—</w:t>
      </w:r>
      <w:r>
        <w:rPr/>
        <w:t>北京东港嘉华安全信息技术有限公司：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日成立，注册资本</w:t>
      </w:r>
      <w:r>
        <w:rPr>
          <w:rFonts w:ascii="Times New Roman" w:hAnsi="Times New Roman" w:cs="Times New Roman" w:eastAsia="Times New Roman" w:hint="default"/>
        </w:rPr>
        <w:t>700</w:t>
      </w:r>
      <w:r>
        <w:rPr/>
        <w:t>万美元，本公司持股比例为</w:t>
      </w:r>
      <w:r>
        <w:rPr>
          <w:rFonts w:ascii="Times New Roman" w:hAnsi="Times New Roman" w:cs="Times New Roman" w:eastAsia="Times New Roman" w:hint="default"/>
        </w:rPr>
        <w:t>75%</w:t>
      </w:r>
      <w:r>
        <w:rPr/>
        <w:t>。公司法定代表人：王爱先。注册地址：北京</w:t>
      </w:r>
    </w:p>
    <w:p>
      <w:pPr>
        <w:pStyle w:val="BodyText"/>
        <w:spacing w:line="230" w:lineRule="exact"/>
        <w:ind w:right="0"/>
        <w:jc w:val="both"/>
      </w:pPr>
      <w:r>
        <w:rPr/>
        <w:t>市北京经济技术开发区经海四路</w:t>
      </w:r>
      <w:r>
        <w:rPr>
          <w:rFonts w:ascii="Times New Roman" w:hAnsi="Times New Roman" w:cs="Times New Roman" w:eastAsia="Times New Roman" w:hint="default"/>
        </w:rPr>
        <w:t>139</w:t>
      </w:r>
      <w:r>
        <w:rPr/>
        <w:t>号。经营范围：生产喷墨打印设备、智能电子标签；其他印刷品印刷；开发喷墨打印设</w:t>
      </w:r>
    </w:p>
    <w:p>
      <w:pPr>
        <w:pStyle w:val="BodyText"/>
        <w:spacing w:line="240" w:lineRule="auto" w:before="63"/>
        <w:ind w:right="0"/>
        <w:jc w:val="both"/>
      </w:pPr>
      <w:r>
        <w:rPr/>
        <w:t>备、智能电子标签及专用计算机软件；生产专用计算机软件；销售自产产品；磁卡、智能卡、智能卡电子设备及产品、办公</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4"/>
        </w:rPr>
        <w:t>自动化设备及产品、电子元器件的研究、开发；高档纸张防伪处理服务；物联网、计算机信息系统集成及技术服务；纸制品、</w:t>
      </w:r>
      <w:r>
        <w:rPr>
          <w:spacing w:val="-44"/>
        </w:rPr>
        <w:t> </w:t>
      </w:r>
      <w:r>
        <w:rPr>
          <w:spacing w:val="-44"/>
        </w:rPr>
      </w:r>
      <w:r>
        <w:rPr>
          <w:spacing w:val="-2"/>
        </w:rPr>
        <w:t>高档防伪纸张、磁卡、智能卡、智能卡电子设备及产品、智能电子标签、办公自动化设备及产品、电子元器件、计算机软件</w:t>
      </w:r>
      <w:r>
        <w:rPr>
          <w:spacing w:val="-72"/>
        </w:rPr>
        <w:t> </w:t>
      </w:r>
      <w:r>
        <w:rPr>
          <w:spacing w:val="-72"/>
        </w:rPr>
      </w:r>
      <w:r>
        <w:rPr>
          <w:spacing w:val="-2"/>
        </w:rPr>
        <w:t>的批发、佣金代理业务（拍卖、涉及专项规定管理的商品除外）；档案存储、数字化加工服务；提供数据处理服务及自产产</w:t>
      </w:r>
      <w:r>
        <w:rPr>
          <w:spacing w:val="-71"/>
        </w:rPr>
        <w:t> </w:t>
      </w:r>
      <w:r>
        <w:rPr>
          <w:spacing w:val="-71"/>
        </w:rPr>
      </w:r>
      <w:r>
        <w:rPr/>
        <w:t>品技术咨询、技术服务；科技信息咨询服务。</w:t>
      </w:r>
    </w:p>
    <w:p>
      <w:pPr>
        <w:pStyle w:val="BodyText"/>
        <w:spacing w:line="240" w:lineRule="auto" w:before="57"/>
        <w:ind w:left="513" w:right="1132"/>
        <w:jc w:val="left"/>
      </w:pPr>
      <w:r>
        <w:rPr/>
        <w:t>该公司报告期实现净利润</w:t>
      </w:r>
      <w:r>
        <w:rPr>
          <w:rFonts w:ascii="Times New Roman" w:hAnsi="Times New Roman" w:cs="Times New Roman" w:eastAsia="Times New Roman" w:hint="default"/>
        </w:rPr>
        <w:t>-70.43</w:t>
      </w:r>
      <w:r>
        <w:rPr/>
        <w:t>万元，报告期末资产总额</w:t>
      </w:r>
      <w:r>
        <w:rPr>
          <w:rFonts w:ascii="Times New Roman" w:hAnsi="Times New Roman" w:cs="Times New Roman" w:eastAsia="Times New Roman" w:hint="default"/>
        </w:rPr>
        <w:t>18,089.86</w:t>
      </w:r>
      <w:r>
        <w:rPr/>
        <w:t>万元。</w:t>
      </w:r>
    </w:p>
    <w:p>
      <w:pPr>
        <w:pStyle w:val="BodyText"/>
        <w:spacing w:line="338" w:lineRule="auto" w:before="103"/>
        <w:ind w:left="514" w:right="1132"/>
        <w:jc w:val="left"/>
      </w:pPr>
      <w:r>
        <w:rPr/>
        <w:t>（</w:t>
      </w:r>
      <w:r>
        <w:rPr>
          <w:rFonts w:ascii="Times New Roman" w:hAnsi="Times New Roman" w:cs="Times New Roman" w:eastAsia="Times New Roman" w:hint="default"/>
        </w:rPr>
        <w:t>5</w:t>
      </w:r>
      <w:r>
        <w:rPr/>
        <w:t>）控股子公司</w:t>
      </w:r>
      <w:r>
        <w:rPr>
          <w:rFonts w:ascii="Times New Roman" w:hAnsi="Times New Roman" w:cs="Times New Roman" w:eastAsia="Times New Roman" w:hint="default"/>
        </w:rPr>
        <w:t>—</w:t>
      </w:r>
      <w:r>
        <w:rPr/>
        <w:t>广州东港安全印刷有限公司： </w:t>
      </w:r>
      <w:r>
        <w:rPr>
          <w:spacing w:val="-1"/>
        </w:rPr>
        <w:t>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日成立，注册资本</w:t>
      </w:r>
      <w:r>
        <w:rPr>
          <w:rFonts w:ascii="Times New Roman" w:hAnsi="Times New Roman" w:cs="Times New Roman" w:eastAsia="Times New Roman" w:hint="default"/>
          <w:spacing w:val="-1"/>
        </w:rPr>
        <w:t>4,200</w:t>
      </w:r>
      <w:r>
        <w:rPr>
          <w:spacing w:val="-1"/>
        </w:rPr>
        <w:t>万元，本公司持股比例为</w:t>
      </w:r>
      <w:r>
        <w:rPr>
          <w:rFonts w:ascii="Times New Roman" w:hAnsi="Times New Roman" w:cs="Times New Roman" w:eastAsia="Times New Roman" w:hint="default"/>
          <w:spacing w:val="-1"/>
        </w:rPr>
        <w:t>75%</w:t>
      </w:r>
      <w:r>
        <w:rPr>
          <w:spacing w:val="-1"/>
        </w:rPr>
        <w:t>。公司法定代表人：史建中。注册地址：广州</w:t>
      </w:r>
    </w:p>
    <w:p>
      <w:pPr>
        <w:pStyle w:val="BodyText"/>
        <w:spacing w:line="230" w:lineRule="exact"/>
        <w:ind w:right="0"/>
        <w:jc w:val="left"/>
      </w:pPr>
      <w:r>
        <w:rPr/>
        <w:t>市高新技术产业开发区科学城南云五路</w:t>
      </w:r>
      <w:r>
        <w:rPr>
          <w:rFonts w:ascii="Times New Roman" w:hAnsi="Times New Roman" w:cs="Times New Roman" w:eastAsia="Times New Roman" w:hint="default"/>
        </w:rPr>
        <w:t>5</w:t>
      </w:r>
      <w:r>
        <w:rPr/>
        <w:t>号。经营范围：包装装潢及其他类印刷品印刷；开发、生产软件产品、磁卡、智能</w:t>
      </w:r>
    </w:p>
    <w:p>
      <w:pPr>
        <w:pStyle w:val="BodyText"/>
        <w:spacing w:line="319" w:lineRule="auto" w:before="63"/>
        <w:ind w:right="0"/>
        <w:jc w:val="left"/>
      </w:pPr>
      <w:r>
        <w:rPr>
          <w:spacing w:val="-4"/>
        </w:rPr>
        <w:t>卡、识别卡、智能卡芯片及电子标签芯片、电子设备、办公自动化设备、电子元器件，销售本公司产品；从事纸张、纸制品、</w:t>
      </w:r>
      <w:r>
        <w:rPr>
          <w:spacing w:val="-46"/>
        </w:rPr>
        <w:t> </w:t>
      </w:r>
      <w:r>
        <w:rPr>
          <w:spacing w:val="-46"/>
        </w:rPr>
      </w:r>
      <w:r>
        <w:rPr>
          <w:spacing w:val="-2"/>
        </w:rPr>
        <w:t>印刷器材的批发、进出口（不设店铺经营，不涉及国营贸易管理商品，涉及配额、许可证管理商品的，按国家有关规定办理</w:t>
      </w:r>
      <w:r>
        <w:rPr>
          <w:spacing w:val="-69"/>
        </w:rPr>
        <w:t> </w:t>
      </w:r>
      <w:r>
        <w:rPr>
          <w:spacing w:val="-69"/>
        </w:rPr>
      </w:r>
      <w:r>
        <w:rPr>
          <w:spacing w:val="-4"/>
        </w:rPr>
        <w:t>申请）；从事信息系统集成工程及技术、数据及信息处理、科技信息咨询服务（国家限制、禁止类除外）；从事技术进出口。</w:t>
      </w:r>
    </w:p>
    <w:p>
      <w:pPr>
        <w:pStyle w:val="BodyText"/>
        <w:spacing w:line="240" w:lineRule="auto" w:before="56"/>
        <w:ind w:left="514" w:right="1132"/>
        <w:jc w:val="left"/>
      </w:pPr>
      <w:r>
        <w:rPr/>
        <w:t>该公司报告期实现净利润</w:t>
      </w:r>
      <w:r>
        <w:rPr>
          <w:rFonts w:ascii="Times New Roman" w:hAnsi="Times New Roman" w:cs="Times New Roman" w:eastAsia="Times New Roman" w:hint="default"/>
        </w:rPr>
        <w:t>1100.49</w:t>
      </w:r>
      <w:r>
        <w:rPr/>
        <w:t>万元，报告期末资产总额</w:t>
      </w:r>
      <w:r>
        <w:rPr>
          <w:rFonts w:ascii="Times New Roman" w:hAnsi="Times New Roman" w:cs="Times New Roman" w:eastAsia="Times New Roman" w:hint="default"/>
        </w:rPr>
        <w:t>12,538.35</w:t>
      </w:r>
      <w:r>
        <w:rPr/>
        <w:t>万元。</w:t>
      </w:r>
    </w:p>
    <w:p>
      <w:pPr>
        <w:pStyle w:val="BodyText"/>
        <w:spacing w:line="338" w:lineRule="auto" w:before="103"/>
        <w:ind w:left="514" w:right="1197"/>
        <w:jc w:val="left"/>
      </w:pPr>
      <w:r>
        <w:rPr/>
        <w:t>（</w:t>
      </w:r>
      <w:r>
        <w:rPr>
          <w:rFonts w:ascii="Times New Roman" w:hAnsi="Times New Roman" w:cs="Times New Roman" w:eastAsia="Times New Roman" w:hint="default"/>
        </w:rPr>
        <w:t>6</w:t>
      </w:r>
      <w:r>
        <w:rPr/>
        <w:t>）控股子公司</w:t>
      </w:r>
      <w:r>
        <w:rPr>
          <w:rFonts w:ascii="Times New Roman" w:hAnsi="Times New Roman" w:cs="Times New Roman" w:eastAsia="Times New Roman" w:hint="default"/>
        </w:rPr>
        <w:t>—</w:t>
      </w:r>
      <w:r>
        <w:rPr/>
        <w:t>山东东港数据处理有限公司：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日独资设立了山东东港数据处理有限公司，注册资本</w:t>
      </w:r>
      <w:r>
        <w:rPr>
          <w:rFonts w:ascii="Times New Roman" w:hAnsi="Times New Roman" w:cs="Times New Roman" w:eastAsia="Times New Roman" w:hint="default"/>
        </w:rPr>
        <w:t>3,000</w:t>
      </w:r>
      <w:r>
        <w:rPr/>
        <w:t>万元，本公司持股比例为</w:t>
      </w:r>
      <w:r>
        <w:rPr>
          <w:rFonts w:ascii="Times New Roman" w:hAnsi="Times New Roman" w:cs="Times New Roman" w:eastAsia="Times New Roman" w:hint="default"/>
        </w:rPr>
        <w:t>100%</w:t>
      </w:r>
      <w:r>
        <w:rPr/>
        <w:t>。公司法</w:t>
      </w:r>
    </w:p>
    <w:p>
      <w:pPr>
        <w:pStyle w:val="BodyText"/>
        <w:spacing w:line="230" w:lineRule="exact"/>
        <w:ind w:right="1132"/>
        <w:jc w:val="left"/>
      </w:pPr>
      <w:r>
        <w:rPr/>
        <w:t>定代表人：王爱先。注册地址：济南市山大北路</w:t>
      </w:r>
      <w:r>
        <w:rPr>
          <w:rFonts w:ascii="Times New Roman" w:hAnsi="Times New Roman" w:cs="Times New Roman" w:eastAsia="Times New Roman" w:hint="default"/>
        </w:rPr>
        <w:t>23</w:t>
      </w:r>
      <w:r>
        <w:rPr/>
        <w:t>号。经营范围：包装装潢印刷品印刷、其他印刷品印刷</w:t>
      </w:r>
      <w:r>
        <w:rPr>
          <w:rFonts w:ascii="Times New Roman" w:hAnsi="Times New Roman" w:cs="Times New Roman" w:eastAsia="Times New Roman" w:hint="default"/>
        </w:rPr>
        <w:t>(</w:t>
      </w:r>
      <w:r>
        <w:rPr/>
        <w:t>有效期限以许可</w:t>
      </w:r>
    </w:p>
    <w:p>
      <w:pPr>
        <w:pStyle w:val="BodyText"/>
        <w:spacing w:line="302" w:lineRule="auto" w:before="63"/>
        <w:ind w:right="1153"/>
        <w:jc w:val="left"/>
      </w:pPr>
      <w:r>
        <w:rPr/>
        <w:t>证为准</w:t>
      </w:r>
      <w:r>
        <w:rPr>
          <w:rFonts w:ascii="Times New Roman" w:hAnsi="Times New Roman" w:cs="Times New Roman" w:eastAsia="Times New Roman" w:hint="default"/>
        </w:rPr>
        <w:t>)</w:t>
      </w:r>
      <w:r>
        <w:rPr/>
        <w:t>。软件开发、生产销售；纸制品加工、销售；纸张、油墨、印刷机械的销售；科技信息咨询服务；数据打印系统开 发、生产，电脑数据处理、计算机技术服务、开发、转让、咨询；</w:t>
      </w:r>
      <w:r>
        <w:rPr>
          <w:rFonts w:ascii="Times New Roman" w:hAnsi="Times New Roman" w:cs="Times New Roman" w:eastAsia="Times New Roman" w:hint="default"/>
        </w:rPr>
        <w:t>IC</w:t>
      </w:r>
      <w:r>
        <w:rPr/>
        <w:t>卡产品和智能标签产品的委托生产销售</w:t>
      </w:r>
    </w:p>
    <w:p>
      <w:pPr>
        <w:pStyle w:val="BodyText"/>
        <w:spacing w:line="240" w:lineRule="auto" w:before="50"/>
        <w:ind w:left="513" w:right="1132"/>
        <w:jc w:val="left"/>
      </w:pPr>
      <w:r>
        <w:rPr/>
        <w:t>该公司报告期实现净利润</w:t>
      </w:r>
      <w:r>
        <w:rPr>
          <w:rFonts w:ascii="Times New Roman" w:hAnsi="Times New Roman" w:cs="Times New Roman" w:eastAsia="Times New Roman" w:hint="default"/>
        </w:rPr>
        <w:t>519.10</w:t>
      </w:r>
      <w:r>
        <w:rPr/>
        <w:t>万元，报告期末资产总额</w:t>
      </w:r>
      <w:r>
        <w:rPr>
          <w:rFonts w:ascii="Times New Roman" w:hAnsi="Times New Roman" w:cs="Times New Roman" w:eastAsia="Times New Roman" w:hint="default"/>
        </w:rPr>
        <w:t>8,368.36</w:t>
      </w:r>
      <w:r>
        <w:rPr/>
        <w:t>万元。</w:t>
      </w:r>
    </w:p>
    <w:p>
      <w:pPr>
        <w:pStyle w:val="BodyText"/>
        <w:spacing w:line="338" w:lineRule="auto" w:before="103"/>
        <w:ind w:left="514" w:right="1062"/>
        <w:jc w:val="left"/>
      </w:pPr>
      <w:r>
        <w:rPr/>
        <w:t>（</w:t>
      </w:r>
      <w:r>
        <w:rPr>
          <w:rFonts w:ascii="Times New Roman" w:hAnsi="Times New Roman" w:cs="Times New Roman" w:eastAsia="Times New Roman" w:hint="default"/>
        </w:rPr>
        <w:t>7</w:t>
      </w:r>
      <w:r>
        <w:rPr/>
        <w:t>）控股子公司－上海东港数据处理有限公司：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日设立，注册资本</w:t>
      </w:r>
      <w:r>
        <w:rPr>
          <w:rFonts w:ascii="Times New Roman" w:hAnsi="Times New Roman" w:cs="Times New Roman" w:eastAsia="Times New Roman" w:hint="default"/>
        </w:rPr>
        <w:t>15,000</w:t>
      </w:r>
      <w:r>
        <w:rPr/>
        <w:t>万元，本公司持股比例为</w:t>
      </w:r>
      <w:r>
        <w:rPr>
          <w:rFonts w:ascii="Times New Roman" w:hAnsi="Times New Roman" w:cs="Times New Roman" w:eastAsia="Times New Roman" w:hint="default"/>
        </w:rPr>
        <w:t>86.67%</w:t>
      </w:r>
      <w:r>
        <w:rPr/>
        <w:t>。公司法定代表人：史建中。注册地址：</w:t>
      </w:r>
    </w:p>
    <w:p>
      <w:pPr>
        <w:pStyle w:val="BodyText"/>
        <w:spacing w:line="230" w:lineRule="exact"/>
        <w:ind w:left="154" w:right="0"/>
        <w:jc w:val="left"/>
      </w:pPr>
      <w:r>
        <w:rPr/>
        <w:t>上海市闵行区华宁路</w:t>
      </w:r>
      <w:r>
        <w:rPr>
          <w:rFonts w:ascii="Times New Roman" w:hAnsi="Times New Roman" w:cs="Times New Roman" w:eastAsia="Times New Roman" w:hint="default"/>
        </w:rPr>
        <w:t>2888</w:t>
      </w:r>
      <w:r>
        <w:rPr/>
        <w:t>弄</w:t>
      </w:r>
      <w:r>
        <w:rPr>
          <w:rFonts w:ascii="Times New Roman" w:hAnsi="Times New Roman" w:cs="Times New Roman" w:eastAsia="Times New Roman" w:hint="default"/>
        </w:rPr>
        <w:t>385</w:t>
      </w:r>
      <w:r>
        <w:rPr/>
        <w:t>号第三幢厂房。经营范围：计算机软件开发、电脑数据处理，接受金融机构委托从事金融业</w:t>
      </w:r>
    </w:p>
    <w:p>
      <w:pPr>
        <w:pStyle w:val="BodyText"/>
        <w:spacing w:line="319" w:lineRule="auto" w:before="63"/>
        <w:ind w:left="154" w:right="1133"/>
        <w:jc w:val="both"/>
      </w:pPr>
      <w:r>
        <w:rPr>
          <w:spacing w:val="-2"/>
        </w:rPr>
        <w:t>务流程外包，从事电子元器件、计算机软件技术领域内的技术开发，纸制品、印刷器材、电子设备、办公自动化设备、电子</w:t>
      </w:r>
      <w:r>
        <w:rPr>
          <w:spacing w:val="-72"/>
        </w:rPr>
        <w:t> </w:t>
      </w:r>
      <w:r>
        <w:rPr>
          <w:spacing w:val="-72"/>
        </w:rPr>
      </w:r>
      <w:r>
        <w:rPr>
          <w:spacing w:val="-2"/>
        </w:rPr>
        <w:t>元器件、计算机软件及辅助设备（除计算机信息系统安全专用产品）的销售，物业服务，机械设备租赁（除专控）；包装印</w:t>
      </w:r>
      <w:r>
        <w:rPr>
          <w:spacing w:val="-68"/>
        </w:rPr>
        <w:t> </w:t>
      </w:r>
      <w:r>
        <w:rPr>
          <w:spacing w:val="-68"/>
        </w:rPr>
      </w:r>
      <w:r>
        <w:rPr/>
        <w:t>刷、其他印刷。</w:t>
      </w:r>
    </w:p>
    <w:p>
      <w:pPr>
        <w:pStyle w:val="BodyText"/>
        <w:spacing w:line="240" w:lineRule="auto" w:before="56"/>
        <w:ind w:left="513" w:right="1132"/>
        <w:jc w:val="left"/>
      </w:pPr>
      <w:r>
        <w:rPr/>
        <w:t>该公司报告期实现净利润</w:t>
      </w:r>
      <w:r>
        <w:rPr>
          <w:rFonts w:ascii="Times New Roman" w:hAnsi="Times New Roman" w:cs="Times New Roman" w:eastAsia="Times New Roman" w:hint="default"/>
        </w:rPr>
        <w:t>1,032.63</w:t>
      </w:r>
      <w:r>
        <w:rPr/>
        <w:t>万元，报告期末资产总额</w:t>
      </w:r>
      <w:r>
        <w:rPr>
          <w:rFonts w:ascii="Times New Roman" w:hAnsi="Times New Roman" w:cs="Times New Roman" w:eastAsia="Times New Roman" w:hint="default"/>
        </w:rPr>
        <w:t>24,832.87</w:t>
      </w:r>
      <w:r>
        <w:rPr/>
        <w:t>万元。</w:t>
      </w:r>
    </w:p>
    <w:p>
      <w:pPr>
        <w:spacing w:line="240" w:lineRule="auto" w:before="0"/>
        <w:rPr>
          <w:rFonts w:ascii="宋体" w:hAnsi="宋体" w:cs="宋体" w:eastAsia="宋体" w:hint="default"/>
          <w:sz w:val="24"/>
          <w:szCs w:val="24"/>
        </w:rPr>
      </w:pPr>
    </w:p>
    <w:p>
      <w:pPr>
        <w:pStyle w:val="Heading2"/>
        <w:spacing w:line="240" w:lineRule="auto"/>
        <w:ind w:right="1132"/>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2"/>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2"/>
        <w:jc w:val="left"/>
      </w:pPr>
      <w:r>
        <w:rPr>
          <w:rFonts w:ascii="Times New Roman" w:hAnsi="Times New Roman" w:cs="Times New Roman" w:eastAsia="Times New Roman" w:hint="default"/>
        </w:rPr>
        <w:t>1</w:t>
      </w:r>
      <w:r>
        <w:rPr/>
        <w:t>、公司所处行业的发展趋势及行业竞争格局</w:t>
      </w:r>
    </w:p>
    <w:p>
      <w:pPr>
        <w:pStyle w:val="BodyText"/>
        <w:spacing w:line="240" w:lineRule="auto" w:before="103"/>
        <w:ind w:left="514" w:right="1132"/>
        <w:jc w:val="left"/>
      </w:pPr>
      <w:r>
        <w:rPr/>
        <w:t>（</w:t>
      </w:r>
      <w:r>
        <w:rPr>
          <w:rFonts w:ascii="Times New Roman" w:hAnsi="Times New Roman" w:cs="Times New Roman" w:eastAsia="Times New Roman" w:hint="default"/>
        </w:rPr>
        <w:t>1</w:t>
      </w:r>
      <w:r>
        <w:rPr/>
        <w:t>）行业发展趋势</w:t>
      </w:r>
    </w:p>
    <w:p>
      <w:pPr>
        <w:pStyle w:val="BodyText"/>
        <w:spacing w:line="357" w:lineRule="auto" w:before="102"/>
        <w:ind w:left="514" w:right="1132"/>
        <w:jc w:val="left"/>
      </w:pPr>
      <w:r>
        <w:rPr/>
        <w:t>①</w:t>
      </w:r>
      <w:r>
        <w:rPr>
          <w:spacing w:val="-18"/>
        </w:rPr>
        <w:t> </w:t>
      </w:r>
      <w:r>
        <w:rPr/>
        <w:t>传统的纸质票证类业务受信息技术的冲击，增速放缓</w:t>
      </w:r>
      <w:r>
        <w:rPr/>
        <w:t> </w:t>
      </w:r>
      <w:r>
        <w:rPr>
          <w:spacing w:val="-2"/>
        </w:rPr>
        <w:t>随着信息技术的发展，票证电子化的趋势越来越明显，各行业的信息化发展都降低了对纸质票证的需求，使传统的纸质</w:t>
      </w:r>
    </w:p>
    <w:p>
      <w:pPr>
        <w:pStyle w:val="BodyText"/>
        <w:spacing w:line="224" w:lineRule="exact"/>
        <w:ind w:left="154" w:right="0"/>
        <w:jc w:val="left"/>
      </w:pPr>
      <w:r>
        <w:rPr/>
        <w:t>票证类业务市场受到冲击。虽然我国城镇化进程的推进，使票证类市场的总量仍保持了增长态势，但总体市场增速较前期相</w:t>
      </w:r>
    </w:p>
    <w:p>
      <w:pPr>
        <w:pStyle w:val="BodyText"/>
        <w:spacing w:line="240" w:lineRule="auto" w:before="77"/>
        <w:ind w:left="154" w:right="1132"/>
        <w:jc w:val="left"/>
      </w:pPr>
      <w:r>
        <w:rPr/>
        <w:t>比已有所放缓，迫使行业内的各生产厂家不断寻找新的业务增长点和新的业务领域。</w:t>
      </w:r>
    </w:p>
    <w:p>
      <w:pPr>
        <w:pStyle w:val="BodyText"/>
        <w:spacing w:line="357" w:lineRule="auto" w:before="117"/>
        <w:ind w:left="514" w:right="0"/>
        <w:jc w:val="left"/>
      </w:pPr>
      <w:r>
        <w:rPr/>
        <w:t>②</w:t>
      </w:r>
      <w:r>
        <w:rPr>
          <w:spacing w:val="-18"/>
        </w:rPr>
        <w:t> </w:t>
      </w:r>
      <w:r>
        <w:rPr/>
        <w:t>服务内容比重增加，传统印刷厂商不断探索新的发展方向</w:t>
      </w:r>
      <w:r>
        <w:rPr/>
        <w:t> </w:t>
      </w:r>
      <w:r>
        <w:rPr>
          <w:spacing w:val="-2"/>
        </w:rPr>
        <w:t>随着新产品、新技术的不断涌现，客户的需求更趋多样化和个性化，各行业客户越来越关注自身主营产品的发展，对于</w:t>
      </w:r>
    </w:p>
    <w:p>
      <w:pPr>
        <w:pStyle w:val="BodyText"/>
        <w:spacing w:line="224" w:lineRule="exact"/>
        <w:ind w:left="154" w:right="0"/>
        <w:jc w:val="left"/>
      </w:pPr>
      <w:r>
        <w:rPr/>
        <w:t>原来由客户自身负责的打印、产品设计、数据处理等业务，越来越多的采取服务外包的方式予以解决，这样，一方面能够降</w:t>
      </w:r>
    </w:p>
    <w:p>
      <w:pPr>
        <w:pStyle w:val="BodyText"/>
        <w:spacing w:line="316" w:lineRule="auto" w:before="76"/>
        <w:ind w:left="154" w:right="0"/>
        <w:jc w:val="left"/>
      </w:pPr>
      <w:r>
        <w:rPr>
          <w:spacing w:val="-2"/>
        </w:rPr>
        <w:t>低客户自身运营的成本，另一方面，由专业的服务供应商提供服务能够提高工作效率和服务质量。同时，随着互联网技术的</w:t>
      </w:r>
      <w:r>
        <w:rPr>
          <w:spacing w:val="-66"/>
        </w:rPr>
        <w:t> </w:t>
      </w:r>
      <w:r>
        <w:rPr>
          <w:spacing w:val="-66"/>
        </w:rPr>
      </w:r>
      <w:r>
        <w:rPr>
          <w:spacing w:val="-2"/>
        </w:rPr>
        <w:t>进步，通过远程在线服务、系统集成化服务的技术手段也在不断增加。在科技与需求的推动下，印刷企业所提供的服务内容</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49"/>
        <w:jc w:val="both"/>
      </w:pPr>
      <w:r>
        <w:rPr/>
        <w:t>日益丰富，印刷企业开始介入到物流、封装、数据库管理、创意设计各类辅助服务，这种产品的价值或附加值可大幅提高， 为印刷厂商探索新的发展模式提供了方向。</w:t>
      </w:r>
    </w:p>
    <w:p>
      <w:pPr>
        <w:pStyle w:val="BodyText"/>
        <w:spacing w:line="357" w:lineRule="auto" w:before="56"/>
        <w:ind w:left="513" w:right="1132"/>
        <w:jc w:val="left"/>
      </w:pPr>
      <w:r>
        <w:rPr/>
        <w:t>③</w:t>
      </w:r>
      <w:r>
        <w:rPr>
          <w:spacing w:val="-18"/>
        </w:rPr>
        <w:t> </w:t>
      </w:r>
      <w:r>
        <w:rPr/>
        <w:t>高端印刷与信息技术结合，综合服务正在成为主流</w:t>
      </w:r>
      <w:r>
        <w:rPr/>
        <w:t> </w:t>
      </w:r>
      <w:r>
        <w:rPr>
          <w:spacing w:val="-2"/>
        </w:rPr>
        <w:t>随着客户对印刷品的保密性、个性化、以及与信息系统集成服务的要求越来越高，印刷企业也在不断将印刷技术与高科</w:t>
      </w:r>
    </w:p>
    <w:p>
      <w:pPr>
        <w:pStyle w:val="BodyText"/>
        <w:spacing w:line="224" w:lineRule="exact"/>
        <w:ind w:right="0"/>
        <w:jc w:val="both"/>
      </w:pPr>
      <w:r>
        <w:rPr/>
        <w:t>技信息技术相结合，在印刷品防伪性能、技术含量不断提升的同时，随着网络的普及和办公自动化系统应用广泛，高端印刷</w:t>
      </w:r>
    </w:p>
    <w:p>
      <w:pPr>
        <w:pStyle w:val="BodyText"/>
        <w:spacing w:line="319" w:lineRule="auto" w:before="76"/>
        <w:ind w:right="1130"/>
        <w:jc w:val="both"/>
      </w:pPr>
      <w:r>
        <w:rPr>
          <w:spacing w:val="-2"/>
        </w:rPr>
        <w:t>技术与互联网信息技术的联系也越来越紧密，为适应客户多样性、个性化的服务需求，通过网络印刷、数字印刷与服务、流</w:t>
      </w:r>
      <w:r>
        <w:rPr>
          <w:spacing w:val="-66"/>
        </w:rPr>
        <w:t> </w:t>
      </w:r>
      <w:r>
        <w:rPr>
          <w:spacing w:val="-66"/>
        </w:rPr>
      </w:r>
      <w:r>
        <w:rPr>
          <w:spacing w:val="-2"/>
        </w:rPr>
        <w:t>程的自动化、个性化服务，电子商务等综合类服务模式正在逐步发展，使印刷服务与解决方案逐渐融合在一起，产生新的商</w:t>
      </w:r>
      <w:r>
        <w:rPr>
          <w:spacing w:val="-65"/>
        </w:rPr>
        <w:t> </w:t>
      </w:r>
      <w:r>
        <w:rPr>
          <w:spacing w:val="-65"/>
        </w:rPr>
      </w:r>
      <w:r>
        <w:rPr/>
        <w:t>业模式。</w:t>
      </w:r>
    </w:p>
    <w:p>
      <w:pPr>
        <w:pStyle w:val="BodyText"/>
        <w:spacing w:line="357" w:lineRule="auto" w:before="56"/>
        <w:ind w:left="513" w:right="0"/>
        <w:jc w:val="left"/>
      </w:pPr>
      <w:r>
        <w:rPr/>
        <w:t>④</w:t>
      </w:r>
      <w:r>
        <w:rPr>
          <w:spacing w:val="54"/>
        </w:rPr>
        <w:t> </w:t>
      </w:r>
      <w:r>
        <w:rPr/>
        <w:t>电子票证类产品迅速发展</w:t>
      </w:r>
      <w:r>
        <w:rPr/>
        <w:t> </w:t>
      </w:r>
      <w:r>
        <w:rPr>
          <w:spacing w:val="-2"/>
        </w:rPr>
        <w:t>近年来，移动互联网网络技术发展迅猛，电子商务和移动支付正在改变着传统的消费习惯，在此背景下，衍生出了对电</w:t>
      </w:r>
    </w:p>
    <w:p>
      <w:pPr>
        <w:pStyle w:val="BodyText"/>
        <w:spacing w:line="237" w:lineRule="exact"/>
        <w:ind w:right="0"/>
        <w:jc w:val="both"/>
      </w:pPr>
      <w:r>
        <w:rPr/>
        <w:t>子票证类产品的新兴需求，相对于传统票证而言，电子票证具有便于存储查询，绿色环保，防伪度较高的特点。</w:t>
      </w:r>
      <w:r>
        <w:rPr>
          <w:rFonts w:ascii="Times New Roman" w:hAnsi="Times New Roman" w:cs="Times New Roman" w:eastAsia="Times New Roman" w:hint="default"/>
        </w:rPr>
        <w:t>2016</w:t>
      </w:r>
      <w:r>
        <w:rPr/>
        <w:t>年初，</w:t>
      </w:r>
    </w:p>
    <w:p>
      <w:pPr>
        <w:pStyle w:val="BodyText"/>
        <w:spacing w:line="319" w:lineRule="auto" w:before="63"/>
        <w:ind w:right="1133"/>
        <w:jc w:val="both"/>
      </w:pPr>
      <w:r>
        <w:rPr>
          <w:spacing w:val="-2"/>
        </w:rPr>
        <w:t>财政部、国家档案局联合发布了新的《会计档案管理办法》，明确了电子档案的法律地位。今后包括电子发票在内的电子票</w:t>
      </w:r>
      <w:r>
        <w:rPr>
          <w:spacing w:val="-66"/>
        </w:rPr>
        <w:t> </w:t>
      </w:r>
      <w:r>
        <w:rPr>
          <w:spacing w:val="-66"/>
        </w:rPr>
      </w:r>
      <w:r>
        <w:rPr/>
        <w:t>证类业务将迅速发展。</w:t>
      </w:r>
    </w:p>
    <w:p>
      <w:pPr>
        <w:pStyle w:val="BodyText"/>
        <w:spacing w:line="240" w:lineRule="auto" w:before="58"/>
        <w:ind w:left="513" w:right="1132"/>
        <w:jc w:val="left"/>
      </w:pPr>
      <w:r>
        <w:rPr/>
        <w:t>⑤</w:t>
      </w:r>
      <w:r>
        <w:rPr>
          <w:spacing w:val="53"/>
        </w:rPr>
        <w:t> </w:t>
      </w:r>
      <w:r>
        <w:rPr/>
        <w:t>在严格的监管条件下，衍生出新的彩票销售渠道</w:t>
      </w:r>
    </w:p>
    <w:p>
      <w:pPr>
        <w:pStyle w:val="BodyText"/>
        <w:spacing w:line="309" w:lineRule="auto" w:before="115"/>
        <w:ind w:right="1131" w:firstLine="360"/>
        <w:jc w:val="both"/>
      </w:pPr>
      <w:r>
        <w:rPr>
          <w:rFonts w:ascii="Times New Roman" w:hAnsi="Times New Roman" w:cs="Times New Roman" w:eastAsia="Times New Roman" w:hint="default"/>
        </w:rPr>
        <w:t>2014</w:t>
      </w:r>
      <w:r>
        <w:rPr/>
        <w:t>年，全国彩票销量达到</w:t>
      </w:r>
      <w:r>
        <w:rPr>
          <w:rFonts w:ascii="Times New Roman" w:hAnsi="Times New Roman" w:cs="Times New Roman" w:eastAsia="Times New Roman" w:hint="default"/>
        </w:rPr>
        <w:t>3,678.84</w:t>
      </w:r>
      <w:r>
        <w:rPr/>
        <w:t>亿元。由于国家监管部门在</w:t>
      </w:r>
      <w:r>
        <w:rPr>
          <w:rFonts w:ascii="Times New Roman" w:hAnsi="Times New Roman" w:cs="Times New Roman" w:eastAsia="Times New Roman" w:hint="default"/>
        </w:rPr>
        <w:t>2015</w:t>
      </w:r>
      <w:r>
        <w:rPr/>
        <w:t>年叫停了互联网和手机端的彩票销售业务，因此， </w:t>
      </w:r>
      <w:r>
        <w:rPr>
          <w:spacing w:val="-2"/>
        </w:rPr>
        <w:t>自助终端的销售模式成为新的彩票销售渠道。与传统的销售模式相比，自助终端销售具有运行成本低，布局方便，能够自动</w:t>
      </w:r>
      <w:r>
        <w:rPr>
          <w:spacing w:val="-66"/>
        </w:rPr>
        <w:t> </w:t>
      </w:r>
      <w:r>
        <w:rPr>
          <w:spacing w:val="-66"/>
        </w:rPr>
      </w:r>
      <w:r>
        <w:rPr/>
        <w:t>兑奖等优势，将有效提高彩票销售的效率。</w:t>
      </w:r>
    </w:p>
    <w:p>
      <w:pPr>
        <w:pStyle w:val="BodyText"/>
        <w:spacing w:line="357" w:lineRule="auto" w:before="64"/>
        <w:ind w:left="513" w:right="0"/>
        <w:jc w:val="left"/>
      </w:pPr>
      <w:r>
        <w:rPr/>
        <w:t>⑥</w:t>
      </w:r>
      <w:r>
        <w:rPr>
          <w:spacing w:val="54"/>
        </w:rPr>
        <w:t> </w:t>
      </w:r>
      <w:r>
        <w:rPr/>
        <w:t>档案存储业务方兴未艾</w:t>
      </w:r>
      <w:r>
        <w:rPr/>
        <w:t> </w:t>
      </w:r>
      <w:r>
        <w:rPr>
          <w:spacing w:val="-2"/>
        </w:rPr>
        <w:t>近年来，随着经济活动的增加，各类组织机构业务的扩展和规模的扩大，各类档案的数量也随之增加，但传统的档案存</w:t>
      </w:r>
    </w:p>
    <w:p>
      <w:pPr>
        <w:pStyle w:val="BodyText"/>
        <w:spacing w:line="224" w:lineRule="exact"/>
        <w:ind w:right="0"/>
        <w:jc w:val="both"/>
      </w:pPr>
      <w:r>
        <w:rPr/>
        <w:t>储与管理模式，难以满足分级管理、长期保存，远程查阅等诸多需求。因此，建立规范化、标准化的档案存储基地，将档案</w:t>
      </w:r>
    </w:p>
    <w:p>
      <w:pPr>
        <w:pStyle w:val="BodyText"/>
        <w:spacing w:line="240" w:lineRule="auto" w:before="77"/>
        <w:ind w:right="0"/>
        <w:jc w:val="both"/>
      </w:pPr>
      <w:r>
        <w:rPr/>
        <w:t>实物存储与信息技术相结合，将档案电子化也将成为未来档案管理的发展方向。</w:t>
      </w:r>
    </w:p>
    <w:p>
      <w:pPr>
        <w:pStyle w:val="BodyText"/>
        <w:spacing w:line="240" w:lineRule="auto" w:before="116"/>
        <w:ind w:left="513" w:right="1132"/>
        <w:jc w:val="left"/>
      </w:pPr>
      <w:r>
        <w:rPr/>
        <w:t>（</w:t>
      </w:r>
      <w:r>
        <w:rPr>
          <w:rFonts w:ascii="Times New Roman" w:hAnsi="Times New Roman" w:cs="Times New Roman" w:eastAsia="Times New Roman" w:hint="default"/>
        </w:rPr>
        <w:t>2</w:t>
      </w:r>
      <w:r>
        <w:rPr/>
        <w:t>）行业竞争格局</w:t>
      </w:r>
    </w:p>
    <w:p>
      <w:pPr>
        <w:pStyle w:val="BodyText"/>
        <w:spacing w:line="319" w:lineRule="auto" w:before="101"/>
        <w:ind w:right="1158" w:firstLine="360"/>
        <w:jc w:val="both"/>
      </w:pPr>
      <w:r>
        <w:rPr/>
        <w:t>①</w:t>
      </w:r>
      <w:r>
        <w:rPr>
          <w:spacing w:val="-19"/>
        </w:rPr>
        <w:t> </w:t>
      </w:r>
      <w:r>
        <w:rPr/>
        <w:t>随着市场竞争的激烈和公开招标范围的增加，综合实力强的大型印刷厂商，在重大招标项目中更加具有优势，使市</w:t>
      </w:r>
      <w:r>
        <w:rPr/>
        <w:t> 场集中度提高。</w:t>
      </w:r>
    </w:p>
    <w:p>
      <w:pPr>
        <w:pStyle w:val="BodyText"/>
        <w:spacing w:line="319" w:lineRule="auto" w:before="56"/>
        <w:ind w:right="1033" w:firstLine="360"/>
        <w:jc w:val="left"/>
      </w:pPr>
      <w:r>
        <w:rPr/>
        <w:t>②</w:t>
      </w:r>
      <w:r>
        <w:rPr>
          <w:spacing w:val="12"/>
        </w:rPr>
        <w:t> </w:t>
      </w:r>
      <w:r>
        <w:rPr>
          <w:spacing w:val="-2"/>
        </w:rPr>
        <w:t>低技术含量的票证进入门槛低，对设备和技术的要求不高，许多地方性的小型印刷企业进入该领域，市场趋于饱和，</w:t>
      </w:r>
      <w:r>
        <w:rPr/>
        <w:t> 竞争激烈，出现供大于求的现象</w:t>
      </w:r>
      <w:r>
        <w:rPr>
          <w:rFonts w:ascii="Times New Roman" w:hAnsi="Times New Roman" w:cs="Times New Roman" w:eastAsia="Times New Roman" w:hint="default"/>
        </w:rPr>
        <w:t>,</w:t>
      </w:r>
      <w:r>
        <w:rPr/>
        <w:t>且容易受到无纸化的冲击。</w:t>
      </w:r>
    </w:p>
    <w:p>
      <w:pPr>
        <w:pStyle w:val="BodyText"/>
        <w:spacing w:line="319" w:lineRule="auto" w:before="35"/>
        <w:ind w:right="1158" w:firstLine="360"/>
        <w:jc w:val="both"/>
      </w:pPr>
      <w:r>
        <w:rPr/>
        <w:t>③</w:t>
      </w:r>
      <w:r>
        <w:rPr>
          <w:spacing w:val="-19"/>
        </w:rPr>
        <w:t> </w:t>
      </w:r>
      <w:r>
        <w:rPr/>
        <w:t>高端商业票证工艺较为复杂，防伪技术要求较高，由于受到技术、资金、设备、管理等条件的限制，小型企业很难</w:t>
      </w:r>
      <w:r>
        <w:rPr/>
        <w:t> 进入中高端票证市场，因此，行业供需基本稳定。</w:t>
      </w:r>
    </w:p>
    <w:p>
      <w:pPr>
        <w:pStyle w:val="BodyText"/>
        <w:spacing w:line="319" w:lineRule="auto" w:before="55"/>
        <w:ind w:right="1131" w:firstLine="360"/>
        <w:jc w:val="both"/>
      </w:pPr>
      <w:r>
        <w:rPr/>
        <w:t>④</w:t>
      </w:r>
      <w:r>
        <w:rPr>
          <w:spacing w:val="-19"/>
        </w:rPr>
        <w:t> </w:t>
      </w:r>
      <w:r>
        <w:rPr/>
        <w:t>随着信息技术的进步，以及客户需求逐渐向数字化、个性化、系统集成化方向发展，行业内主要企业近年来均采取</w:t>
      </w:r>
      <w:r>
        <w:rPr/>
        <w:t> </w:t>
      </w:r>
      <w:r>
        <w:rPr>
          <w:spacing w:val="-2"/>
        </w:rPr>
        <w:t>多种措施，发展多样性服务内容，这种需求还处于成长期，表现出需求拉动的特点，各商业票证生产厂商均积极地开发新产</w:t>
      </w:r>
      <w:r>
        <w:rPr>
          <w:spacing w:val="-66"/>
        </w:rPr>
        <w:t> </w:t>
      </w:r>
      <w:r>
        <w:rPr>
          <w:spacing w:val="-66"/>
        </w:rPr>
      </w:r>
      <w:r>
        <w:rPr/>
        <w:t>品、新业务，通过多元化发展来带动企业发展。</w:t>
      </w:r>
    </w:p>
    <w:p>
      <w:pPr>
        <w:pStyle w:val="BodyText"/>
        <w:spacing w:line="319" w:lineRule="auto" w:before="56"/>
        <w:ind w:right="1158" w:firstLine="360"/>
        <w:jc w:val="both"/>
      </w:pPr>
      <w:r>
        <w:rPr/>
        <w:t>⑤</w:t>
      </w:r>
      <w:r>
        <w:rPr>
          <w:spacing w:val="-19"/>
        </w:rPr>
        <w:t> </w:t>
      </w:r>
      <w:r>
        <w:rPr/>
        <w:t>以电子发票为代表的电子票证类业务开始进入市场，虽然该类业务尚处于初始起步阶段，相关技术标准和服务模式</w:t>
      </w:r>
      <w:r>
        <w:rPr/>
        <w:t> 还在逐步完善，但业内厂商均看好其未来的发展趋势，并通过各种模式提供相关服务，为未来的发展抢占空间。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38" w:lineRule="auto"/>
        <w:ind w:left="514" w:right="1132"/>
        <w:jc w:val="left"/>
      </w:pPr>
      <w:r>
        <w:rPr>
          <w:rFonts w:ascii="Times New Roman" w:hAnsi="Times New Roman" w:cs="Times New Roman" w:eastAsia="Times New Roman" w:hint="default"/>
        </w:rPr>
        <w:t>2</w:t>
      </w:r>
      <w:r>
        <w:rPr/>
        <w:t>、公司的发展战略 </w:t>
      </w:r>
      <w:r>
        <w:rPr>
          <w:spacing w:val="-2"/>
        </w:rPr>
        <w:t>本公司秉承</w:t>
      </w:r>
      <w:r>
        <w:rPr>
          <w:rFonts w:ascii="Times New Roman" w:hAnsi="Times New Roman" w:cs="Times New Roman" w:eastAsia="Times New Roman" w:hint="default"/>
          <w:spacing w:val="-2"/>
        </w:rPr>
        <w:t>“</w:t>
      </w:r>
      <w:r>
        <w:rPr>
          <w:spacing w:val="-2"/>
        </w:rPr>
        <w:t>市场唯先、用户至上</w:t>
      </w:r>
      <w:r>
        <w:rPr>
          <w:rFonts w:ascii="Times New Roman" w:hAnsi="Times New Roman" w:cs="Times New Roman" w:eastAsia="Times New Roman" w:hint="default"/>
          <w:spacing w:val="-2"/>
        </w:rPr>
        <w:t>”</w:t>
      </w:r>
      <w:r>
        <w:rPr>
          <w:spacing w:val="-2"/>
        </w:rPr>
        <w:t>经营思想，以市场为导向，以管理为后盾，依托电子信息产业发展，针对当前票证产</w:t>
      </w:r>
    </w:p>
    <w:p>
      <w:pPr>
        <w:pStyle w:val="BodyText"/>
        <w:spacing w:line="217" w:lineRule="exact"/>
        <w:ind w:right="0"/>
        <w:jc w:val="both"/>
      </w:pPr>
      <w:r>
        <w:rPr/>
        <w:t>品的发展趋势，不断加大科研创新力度，提高产品技术含量，在保持传统业务稳步增长的基础上，大力推进电子发票、新渠</w:t>
      </w:r>
    </w:p>
    <w:p>
      <w:pPr>
        <w:pStyle w:val="BodyText"/>
        <w:spacing w:line="357" w:lineRule="auto" w:before="77"/>
        <w:ind w:left="513" w:right="1132" w:hanging="360"/>
        <w:jc w:val="left"/>
      </w:pPr>
      <w:r>
        <w:rPr/>
        <w:t>道彩票销售和档案存储与电子化等新业务的发展，全面提升公司的竞争能力，保持公司长期可持续发展。 </w:t>
      </w:r>
      <w:r>
        <w:rPr>
          <w:spacing w:val="-2"/>
        </w:rPr>
        <w:t>公司的经营战略是进一步巩固公司在国内票证印刷行业内的领先地位，大力发展新产品，通过产品升级和产业转型，实</w:t>
      </w:r>
    </w:p>
    <w:p>
      <w:pPr>
        <w:pStyle w:val="BodyText"/>
        <w:spacing w:line="225" w:lineRule="exact"/>
        <w:ind w:right="0"/>
        <w:jc w:val="both"/>
      </w:pPr>
      <w:r>
        <w:rPr/>
        <w:t>现由传统的商业票证印刷商向基于信息服务业的综合服务供应商转型，保持经营业绩的稳步增长。</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513" w:right="113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年经营计划和主要目标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4" w:right="1122" w:firstLine="360"/>
        <w:jc w:val="left"/>
      </w:pPr>
      <w:r>
        <w:rPr/>
        <w:t>（</w:t>
      </w:r>
      <w:r>
        <w:rPr>
          <w:rFonts w:ascii="Times New Roman" w:hAnsi="Times New Roman" w:cs="Times New Roman" w:eastAsia="Times New Roman" w:hint="default"/>
        </w:rPr>
        <w:t>1</w:t>
      </w:r>
      <w:r>
        <w:rPr/>
        <w:t>）提高产品质量和服务效率，用产品和服务的提升，提高竞争优势，扩大市场份额，继续保持传统业务和次新业务 稳定增长，提高行业内的影响力。</w:t>
      </w:r>
    </w:p>
    <w:p>
      <w:pPr>
        <w:pStyle w:val="BodyText"/>
        <w:spacing w:line="302" w:lineRule="auto" w:before="68"/>
        <w:ind w:left="154" w:right="1122" w:firstLine="360"/>
        <w:jc w:val="left"/>
      </w:pPr>
      <w:r>
        <w:rPr/>
        <w:t>（</w:t>
      </w:r>
      <w:r>
        <w:rPr>
          <w:rFonts w:ascii="Times New Roman" w:hAnsi="Times New Roman" w:cs="Times New Roman" w:eastAsia="Times New Roman" w:hint="default"/>
        </w:rPr>
        <w:t>2</w:t>
      </w:r>
      <w:r>
        <w:rPr/>
        <w:t>）用互联网的思维大力推进企业转型，抓住市场机会，促进电子电子发票、彩票销售、档案存储与电子化等新业务 的大发展，力争在市场占有率、行业影响力等方面居于行业领先水平。</w:t>
      </w:r>
    </w:p>
    <w:p>
      <w:pPr>
        <w:pStyle w:val="BodyText"/>
        <w:spacing w:line="240" w:lineRule="auto" w:before="71"/>
        <w:ind w:left="513" w:right="1132"/>
        <w:jc w:val="left"/>
      </w:pPr>
      <w:r>
        <w:rPr/>
        <w:t>（</w:t>
      </w:r>
      <w:r>
        <w:rPr>
          <w:rFonts w:ascii="Times New Roman" w:hAnsi="Times New Roman" w:cs="Times New Roman" w:eastAsia="Times New Roman" w:hint="default"/>
        </w:rPr>
        <w:t>3</w:t>
      </w:r>
      <w:r>
        <w:rPr/>
        <w:t>）通过改革销售管理模式，激发员工的销售热情，提升市场竞争力，为新业务的开展提供动力。</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left="513" w:right="1132"/>
        <w:jc w:val="left"/>
      </w:pPr>
      <w:r>
        <w:rPr>
          <w:rFonts w:ascii="宋体" w:hAnsi="宋体" w:cs="宋体" w:eastAsia="宋体" w:hint="default"/>
        </w:rPr>
        <w:t>4</w:t>
      </w:r>
      <w:r>
        <w:rPr/>
        <w:t>、公司面临的风险及应对措施</w:t>
      </w:r>
    </w:p>
    <w:p>
      <w:pPr>
        <w:pStyle w:val="BodyText"/>
        <w:spacing w:line="338" w:lineRule="auto" w:before="117"/>
        <w:ind w:left="514" w:right="2472"/>
        <w:jc w:val="left"/>
      </w:pPr>
      <w:r>
        <w:rPr/>
        <w:t>（</w:t>
      </w:r>
      <w:r>
        <w:rPr>
          <w:rFonts w:ascii="Times New Roman" w:hAnsi="Times New Roman" w:cs="Times New Roman" w:eastAsia="Times New Roman" w:hint="default"/>
        </w:rPr>
        <w:t>1</w:t>
      </w:r>
      <w:r>
        <w:rPr/>
        <w:t>）</w:t>
      </w:r>
      <w:r>
        <w:rPr>
          <w:spacing w:val="-18"/>
        </w:rPr>
        <w:t> </w:t>
      </w:r>
      <w:r>
        <w:rPr/>
        <w:t>宏观经济增长趋缓，影响公司业绩的提升</w:t>
      </w:r>
      <w:r>
        <w:rPr/>
        <w:t> 应对措施：加强市场开拓力度，通过开发新客户、新产品，充分发挥公司竞争优势，提高销售业绩。</w:t>
      </w:r>
    </w:p>
    <w:p>
      <w:pPr>
        <w:pStyle w:val="BodyText"/>
        <w:spacing w:line="340" w:lineRule="auto" w:before="42"/>
        <w:ind w:left="513" w:right="3733"/>
        <w:jc w:val="left"/>
      </w:pPr>
      <w:r>
        <w:rPr/>
        <w:t>（</w:t>
      </w:r>
      <w:r>
        <w:rPr>
          <w:rFonts w:ascii="Times New Roman" w:hAnsi="Times New Roman" w:cs="Times New Roman" w:eastAsia="Times New Roman" w:hint="default"/>
        </w:rPr>
        <w:t>2</w:t>
      </w:r>
      <w:r>
        <w:rPr/>
        <w:t>）新业务发展迅速，专业的市场开发人员不足，影响发展需求 应对措施：着眼于市场变化，通过多种途径引进所需人才，满足新业务发展的要求。</w:t>
      </w:r>
    </w:p>
    <w:p>
      <w:pPr>
        <w:pStyle w:val="BodyText"/>
        <w:spacing w:line="338" w:lineRule="auto" w:before="40"/>
        <w:ind w:left="732" w:right="1354" w:hanging="219"/>
        <w:jc w:val="left"/>
      </w:pPr>
      <w:r>
        <w:rPr/>
        <w:t>（</w:t>
      </w:r>
      <w:r>
        <w:rPr>
          <w:rFonts w:ascii="Times New Roman" w:hAnsi="Times New Roman" w:cs="Times New Roman" w:eastAsia="Times New Roman" w:hint="default"/>
        </w:rPr>
        <w:t>3</w:t>
      </w:r>
      <w:r>
        <w:rPr/>
        <w:t>）</w:t>
      </w:r>
      <w:r>
        <w:rPr>
          <w:spacing w:val="-18"/>
        </w:rPr>
        <w:t> </w:t>
      </w:r>
      <w:r>
        <w:rPr/>
        <w:t>为开展新业务，资金投入巨大，给企业带来资金需求的压力</w:t>
      </w:r>
      <w:r>
        <w:rPr/>
        <w:t> 应对措施：审慎研究资金投放需求，在保证业务需求的条件下，合理规划投放规模，确保公司健康稳定的发展。</w:t>
      </w:r>
    </w:p>
    <w:p>
      <w:pPr>
        <w:spacing w:line="240" w:lineRule="auto" w:before="6"/>
        <w:rPr>
          <w:rFonts w:ascii="宋体" w:hAnsi="宋体" w:cs="宋体" w:eastAsia="宋体" w:hint="default"/>
          <w:sz w:val="19"/>
          <w:szCs w:val="19"/>
        </w:rPr>
      </w:pPr>
    </w:p>
    <w:p>
      <w:pPr>
        <w:pStyle w:val="Heading2"/>
        <w:spacing w:line="240" w:lineRule="auto"/>
        <w:ind w:left="154" w:right="1132"/>
        <w:jc w:val="left"/>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1419"/>
        <w:gridCol w:w="517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1419"/>
        <w:gridCol w:w="5174"/>
      </w:tblGrid>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3"/>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3"/>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报告期末至披露日期间接待调研、沟通、采访等活动登记表" w:id="58"/>
      <w:bookmarkEnd w:id="58"/>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1419"/>
        <w:gridCol w:w="517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请登录深交所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w:t>
            </w:r>
          </w:p>
          <w:p>
            <w:pPr>
              <w:pStyle w:val="TableParagraph"/>
              <w:spacing w:line="302" w:lineRule="auto" w:before="61"/>
              <w:ind w:left="22" w:right="47"/>
              <w:jc w:val="left"/>
              <w:rPr>
                <w:rFonts w:ascii="宋体" w:hAnsi="宋体" w:cs="宋体" w:eastAsia="宋体" w:hint="default"/>
                <w:sz w:val="18"/>
                <w:szCs w:val="18"/>
              </w:rPr>
            </w:pPr>
            <w:r>
              <w:rPr>
                <w:rFonts w:ascii="宋体" w:hAnsi="宋体" w:cs="宋体" w:eastAsia="宋体" w:hint="default"/>
                <w:spacing w:val="-1"/>
                <w:sz w:val="18"/>
                <w:szCs w:val="18"/>
              </w:rPr>
              <w:t>（</w:t>
            </w:r>
            <w:hyperlink r:id="rId14">
              <w:r>
                <w:rPr>
                  <w:rFonts w:ascii="Times New Roman" w:hAnsi="Times New Roman" w:cs="Times New Roman" w:eastAsia="Times New Roman" w:hint="default"/>
                  <w:spacing w:val="-1"/>
                  <w:sz w:val="18"/>
                  <w:szCs w:val="18"/>
                </w:rPr>
                <w:t>http://irm.cninfo.com.cn/ssessgs/S002117/index.html</w:t>
              </w:r>
            </w:hyperlink>
            <w:r>
              <w:rPr>
                <w:rFonts w:ascii="宋体" w:hAnsi="宋体" w:cs="宋体" w:eastAsia="宋体" w:hint="default"/>
                <w:spacing w:val="-1"/>
                <w:sz w:val="18"/>
                <w:szCs w:val="18"/>
              </w:rPr>
              <w:t>）查阅本公司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披露的《投资者关系活动记录表》</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486"/>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2"/>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t>报告期内普通股利润分配政策，特别是现金分红政策的制定、执行或调整情况</w:t>
      </w:r>
    </w:p>
    <w:p>
      <w:pPr>
        <w:pStyle w:val="BodyText"/>
        <w:spacing w:line="240" w:lineRule="auto" w:before="117"/>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626</w:t>
      </w:r>
      <w:r>
        <w:rPr/>
        <w:t>万元；按</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303,280,012</w:t>
      </w:r>
      <w:r>
        <w:rPr/>
        <w:t>股为基数， </w:t>
      </w:r>
      <w:r>
        <w:rPr>
          <w:spacing w:val="-2"/>
        </w:rPr>
        <w:t>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元（含税），合计派发现金股利</w:t>
      </w:r>
      <w:r>
        <w:rPr>
          <w:rFonts w:ascii="Times New Roman" w:hAnsi="Times New Roman" w:cs="Times New Roman" w:eastAsia="Times New Roman" w:hint="default"/>
          <w:spacing w:val="-2"/>
        </w:rPr>
        <w:t>6,065.60</w:t>
      </w:r>
      <w:r>
        <w:rPr>
          <w:spacing w:val="-2"/>
        </w:rPr>
        <w:t>万元，剩余未分配利润结转至下一年度。同时，进</w:t>
      </w:r>
    </w:p>
    <w:p>
      <w:pPr>
        <w:pStyle w:val="BodyText"/>
        <w:spacing w:line="319" w:lineRule="auto"/>
        <w:ind w:right="1033"/>
        <w:jc w:val="left"/>
      </w:pPr>
      <w:r>
        <w:rPr/>
        <w:t>行资本公积金转增股本，每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60,656,002</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726</w:t>
      </w:r>
      <w:r>
        <w:rPr/>
        <w:t>万元；按</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363,806,414</w:t>
      </w:r>
      <w:r>
        <w:rPr/>
        <w:t>股为基数， 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w:t>
      </w:r>
      <w:r>
        <w:rPr/>
        <w:t>元（含税），合计派发现金股利</w:t>
      </w:r>
      <w:r>
        <w:rPr>
          <w:rFonts w:ascii="Times New Roman" w:hAnsi="Times New Roman" w:cs="Times New Roman" w:eastAsia="Times New Roman" w:hint="default"/>
        </w:rPr>
        <w:t>10,914.19</w:t>
      </w:r>
      <w:r>
        <w:rPr/>
        <w:t>万元，剩余未分配利润结转至下一年度。</w:t>
      </w:r>
    </w:p>
    <w:p>
      <w:pPr>
        <w:pStyle w:val="BodyText"/>
        <w:spacing w:line="319" w:lineRule="auto" w:before="35"/>
        <w:ind w:right="1095"/>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年度利润分配预案：按净利润的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937.51</w:t>
      </w:r>
      <w:r>
        <w:rPr/>
        <w:t>万元；按</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363,777,614</w:t>
      </w:r>
      <w:r>
        <w:rPr/>
        <w:t>股为基</w:t>
      </w:r>
      <w:r>
        <w:rPr>
          <w:spacing w:val="-46"/>
        </w:rPr>
        <w:t> </w:t>
      </w:r>
      <w:r>
        <w:rPr/>
        <w:t>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w:t>
      </w:r>
      <w:r>
        <w:rPr/>
        <w:t>元（含税），合计派发现金股利</w:t>
      </w:r>
      <w:r>
        <w:rPr>
          <w:rFonts w:ascii="Times New Roman" w:hAnsi="Times New Roman" w:cs="Times New Roman" w:eastAsia="Times New Roman" w:hint="default"/>
        </w:rPr>
        <w:t>109,133,284.20</w:t>
      </w:r>
      <w:r>
        <w:rPr/>
        <w:t>元，剩余未分配利润结转至下一年度。 公司近三年（包括本报告期）普通股现金分红情况表</w:t>
      </w:r>
    </w:p>
    <w:p>
      <w:pPr>
        <w:pStyle w:val="BodyText"/>
        <w:spacing w:line="240" w:lineRule="auto" w:before="58"/>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216,223,017.20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109,141,924.20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168,826,144.61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60,656,002.40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130,042,243.68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2"/>
        <w:jc w:val="left"/>
      </w:pPr>
      <w:r>
        <w:rPr/>
        <w:t>公司报告期内盈利且母公司可供普通股股东分配利润为正但未提出普通股现金红利分配预案</w:t>
      </w:r>
    </w:p>
    <w:p>
      <w:pPr>
        <w:pStyle w:val="BodyText"/>
        <w:spacing w:line="240" w:lineRule="auto" w:before="117"/>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363,777,614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364,144,615.21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90.940002pt;margin-top:429.519989pt;width:55.4pt;height:78pt;mso-position-horizontal-relative:page;mso-position-vertical-relative:page;z-index:-776632" type="#_x0000_t202" filled="false" stroked="false">
            <v:textbox inset="0,0,0,0">
              <w:txbxContent>
                <w:p>
                  <w:pPr>
                    <w:pStyle w:val="BodyText"/>
                    <w:spacing w:line="207" w:lineRule="exact"/>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7"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％提取任意盈余公积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937.51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363,777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6"/>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合计派发</w:t>
            </w:r>
            <w:r>
              <w:rPr>
                <w:rFonts w:ascii="宋体" w:hAnsi="宋体" w:cs="宋体" w:eastAsia="宋体" w:hint="default"/>
                <w:spacing w:val="1"/>
                <w:sz w:val="18"/>
                <w:szCs w:val="18"/>
              </w:rPr>
              <w:t>现</w:t>
            </w:r>
            <w:r>
              <w:rPr>
                <w:rFonts w:ascii="宋体" w:hAnsi="宋体" w:cs="宋体" w:eastAsia="宋体" w:hint="default"/>
                <w:sz w:val="18"/>
                <w:szCs w:val="18"/>
              </w:rPr>
              <w:t>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109,133,284.20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元，剩余未分配利润结转至下一年度。</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2"/>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1132"/>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134"/>
        <w:gridCol w:w="3118"/>
        <w:gridCol w:w="994"/>
        <w:gridCol w:w="850"/>
        <w:gridCol w:w="92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公司实际控 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、本人及本人具有控制权的企业将不会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以任何方式直接或间接影响东港股份的 独立规范运作，也不会通过显失公平的 关联交易行为损害东港股份及其它股东 </w:t>
            </w:r>
            <w:r>
              <w:rPr>
                <w:rFonts w:ascii="宋体" w:hAnsi="宋体" w:cs="宋体" w:eastAsia="宋体" w:hint="default"/>
                <w:spacing w:val="-5"/>
                <w:sz w:val="18"/>
                <w:szCs w:val="18"/>
              </w:rPr>
              <w:t>的利益；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、本人目前未拥有从事与东港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股份可能产生同业竞争业务的企业的任 何股权、股份、或在任何与东港股份产 生同业竞争的企业有任何经济利益；</w:t>
            </w:r>
            <w:r>
              <w:rPr>
                <w:rFonts w:ascii="Times New Roman" w:hAnsi="Times New Roman" w:cs="Times New Roman" w:eastAsia="Times New Roman" w:hint="default"/>
                <w:sz w:val="18"/>
                <w:szCs w:val="18"/>
              </w:rPr>
              <w:t>3 </w:t>
            </w:r>
            <w:r>
              <w:rPr>
                <w:rFonts w:ascii="宋体" w:hAnsi="宋体" w:cs="宋体" w:eastAsia="宋体" w:hint="default"/>
                <w:sz w:val="18"/>
                <w:szCs w:val="18"/>
              </w:rPr>
              <w:t>本人将来不会以任何方式直接或间接从 事与东港股份相竞争的投资及业务，亦 不会以任何方式为竞争企业提供任何财 务及业务上的帮助。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1560" w:lineRule="exact"/>
              <w:ind w:right="-50"/>
              <w:jc w:val="left"/>
              <w:rPr>
                <w:rFonts w:ascii="宋体" w:hAnsi="宋体" w:cs="宋体" w:eastAsia="宋体" w:hint="default"/>
                <w:sz w:val="20"/>
                <w:szCs w:val="20"/>
              </w:rPr>
            </w:pPr>
            <w:r>
              <w:rPr>
                <w:rFonts w:ascii="宋体" w:hAnsi="宋体" w:cs="宋体" w:eastAsia="宋体" w:hint="default"/>
                <w:position w:val="-30"/>
                <w:sz w:val="20"/>
                <w:szCs w:val="20"/>
              </w:rPr>
              <w:pict>
                <v:group style="width:49.2pt;height:78pt;mso-position-horizontal-relative:char;mso-position-vertical-relative:line" coordorigin="0,0" coordsize="984,1560">
                  <v:group style="position:absolute;left:0;top:0;width:984;height:1560" coordorigin="0,0" coordsize="984,1560">
                    <v:shape style="position:absolute;left:0;top:0;width:984;height:1560" coordorigin="0,0" coordsize="984,1560" path="m0,1560l983,1560,983,0,0,0,0,1560xe" filled="true" fillcolor="#ffffff" stroked="false">
                      <v:path arrowok="t"/>
                      <v:fill type="solid"/>
                    </v:shape>
                  </v:group>
                </v:group>
              </w:pict>
            </w:r>
            <w:r>
              <w:rPr>
                <w:rFonts w:ascii="宋体" w:hAnsi="宋体" w:cs="宋体" w:eastAsia="宋体" w:hint="default"/>
                <w:position w:val="-30"/>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42"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 w:right="199"/>
              <w:jc w:val="left"/>
              <w:rPr>
                <w:rFonts w:ascii="宋体" w:hAnsi="宋体" w:cs="宋体" w:eastAsia="宋体" w:hint="default"/>
                <w:sz w:val="18"/>
                <w:szCs w:val="18"/>
              </w:rPr>
            </w:pPr>
            <w:r>
              <w:rPr>
                <w:rFonts w:ascii="宋体" w:hAnsi="宋体" w:cs="宋体" w:eastAsia="宋体" w:hint="default"/>
                <w:sz w:val="18"/>
                <w:szCs w:val="18"/>
              </w:rPr>
              <w:t>公司实际控 制人</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独立运作</w:t>
            </w:r>
          </w:p>
        </w:tc>
        <w:tc>
          <w:tcPr>
            <w:tcW w:w="31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本人将充分尊重东港股份的独立法人地 位，严格遵守东港股份的公司章程，保 证东港股份独立经营、自主决策，保证 东港股份的资产、人员、财务、机构和 业务独立。本人将严格按照公司法、证 券法、中国证监会的相关规定以及东港 股份的公司章程的规定，依法履行实际 控制人应尽的诚信和勤勉责任。</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16"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134"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311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1428"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2547"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公司实际控 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减少和规范 关联交易</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本人将善意履行作为东港股份实际控制 人的义务，不利用本人所处实际控制人 地位，就东港股份与本人或本人控制的 其他公司相关的任何关联交易采取任何 行动，故意促使东港股份的股东大会或 董事会作出侵犯东港股份和其他股东合 法权益的决议。如果东港股份必须与本 人或本人控制的其他公司发生任何关联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98.320007pt;margin-top:447.339996pt;width:46.9pt;height:17.6pt;mso-position-horizontal-relative:page;mso-position-vertical-relative:page;z-index:-776608" coordorigin="7966,8947" coordsize="938,352">
            <v:shape style="position:absolute;left:7966;top:8947;width:938;height:352" coordorigin="7966,8947" coordsize="938,352" path="m7966,9298l8904,9298,8904,8947,7966,8947,7966,929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18"/>
        <w:gridCol w:w="1135"/>
        <w:gridCol w:w="1134"/>
        <w:gridCol w:w="3118"/>
        <w:gridCol w:w="994"/>
        <w:gridCol w:w="850"/>
        <w:gridCol w:w="920"/>
      </w:tblGrid>
      <w:tr>
        <w:trPr>
          <w:trHeight w:val="223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交易，则本人承诺将促使上述交易的价 格以及其他协议条款和交易条件是在公 平合理且如同与独立第三者的正常商业 交易的基础上决定。本人将不会要求和 接受东港股份给予的与其在任何一项市 场公平交易中给予第三者的条件相比更 优惠的条件。</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0" w:lineRule="auto"/>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前的发起 人股东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、本公司目前并未以任何方式直接或间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接从事与东港安全印刷股份公司相竞争 </w:t>
            </w:r>
            <w:r>
              <w:rPr>
                <w:rFonts w:ascii="宋体" w:hAnsi="宋体" w:cs="宋体" w:eastAsia="宋体" w:hint="default"/>
                <w:spacing w:val="-5"/>
                <w:sz w:val="18"/>
                <w:szCs w:val="18"/>
              </w:rPr>
              <w:t>的业务；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、本公司目前并未拥有从事与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东港股份可能产生同业竞争企业（以下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竞争企业</w:t>
            </w:r>
            <w:r>
              <w:rPr>
                <w:rFonts w:ascii="Times New Roman" w:hAnsi="Times New Roman" w:cs="Times New Roman" w:eastAsia="Times New Roman" w:hint="default"/>
                <w:sz w:val="18"/>
                <w:szCs w:val="18"/>
              </w:rPr>
              <w:t>”</w:t>
            </w:r>
            <w:r>
              <w:rPr>
                <w:rFonts w:ascii="宋体" w:hAnsi="宋体" w:cs="宋体" w:eastAsia="宋体" w:hint="default"/>
                <w:sz w:val="18"/>
                <w:szCs w:val="18"/>
              </w:rPr>
              <w:t>）的任何股份、股权或 </w:t>
            </w:r>
            <w:r>
              <w:rPr>
                <w:rFonts w:ascii="宋体" w:hAnsi="宋体" w:cs="宋体" w:eastAsia="宋体" w:hint="default"/>
                <w:spacing w:val="-5"/>
                <w:sz w:val="18"/>
                <w:szCs w:val="18"/>
              </w:rPr>
              <w:t>在任何竞争企业有任何利益；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、本公司</w:t>
            </w:r>
            <w:r>
              <w:rPr>
                <w:rFonts w:ascii="宋体" w:hAnsi="宋体" w:cs="宋体" w:eastAsia="宋体" w:hint="default"/>
                <w:sz w:val="18"/>
                <w:szCs w:val="18"/>
              </w:rPr>
              <w:t> 将来不会以任何方式直接从事与东港股 份相竞争的业务；本公司将来不会直接 投资、收购竞争企业，亦不会以任何方 式为竞争企业提供任何业务上的帮助； </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、本公司确认上述承诺适用于本公司具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有控制权的关联公司。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以上股东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限售承诺</w:t>
            </w:r>
          </w:p>
        </w:tc>
        <w:tc>
          <w:tcPr>
            <w:tcW w:w="311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8"/>
                <w:sz w:val="18"/>
                <w:szCs w:val="18"/>
              </w:rPr>
              <w:t>个月内，</w:t>
            </w:r>
            <w:r>
              <w:rPr>
                <w:rFonts w:ascii="宋体" w:hAnsi="宋体" w:cs="宋体" w:eastAsia="宋体" w:hint="default"/>
                <w:spacing w:val="-32"/>
                <w:sz w:val="18"/>
                <w:szCs w:val="18"/>
              </w:rPr>
              <w:t> </w:t>
            </w:r>
            <w:r>
              <w:rPr>
                <w:rFonts w:ascii="宋体" w:hAnsi="宋体" w:cs="宋体" w:eastAsia="宋体" w:hint="default"/>
                <w:sz w:val="18"/>
                <w:szCs w:val="18"/>
              </w:rPr>
              <w:t>不通过二级市场减持公司股票</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细说明未完成履 行的具体原因及 下一步的工作计 划</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right="1132"/>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2"/>
        <w:jc w:val="left"/>
      </w:pPr>
      <w:r>
        <w:rPr/>
        <w:t>公司报告期不存在控股股东及其关联方对上市公司的非经营性占用资金。</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left="154" w:right="1132"/>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154" w:right="1132"/>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月，本公司收购北京瑞宏科技有限公司</w:t>
      </w:r>
      <w:r>
        <w:rPr>
          <w:rFonts w:ascii="Times New Roman" w:hAnsi="Times New Roman" w:cs="Times New Roman" w:eastAsia="Times New Roman" w:hint="default"/>
          <w:spacing w:val="-1"/>
        </w:rPr>
        <w:t>39%</w:t>
      </w:r>
      <w:r>
        <w:rPr>
          <w:spacing w:val="-1"/>
        </w:rPr>
        <w:t>股权，本次收购完成后，我公司控制北京瑞宏科技有限公司</w:t>
      </w:r>
      <w:r>
        <w:rPr>
          <w:rFonts w:ascii="Times New Roman" w:hAnsi="Times New Roman" w:cs="Times New Roman" w:eastAsia="Times New Roman" w:hint="default"/>
          <w:spacing w:val="-1"/>
        </w:rPr>
        <w:t>90%</w:t>
      </w:r>
      <w:r>
        <w:rPr>
          <w:spacing w:val="-1"/>
        </w:rPr>
        <w:t>的股</w:t>
      </w:r>
      <w:r>
        <w:rPr>
          <w:spacing w:val="-53"/>
        </w:rPr>
        <w:t> </w:t>
      </w:r>
      <w:r>
        <w:rPr/>
        <w:t>权，北京瑞宏科技纳入我公司合并范围。</w:t>
      </w:r>
    </w:p>
    <w:p>
      <w:pPr>
        <w:pStyle w:val="BodyText"/>
        <w:spacing w:line="240" w:lineRule="auto" w:before="17"/>
        <w:ind w:right="1132"/>
        <w:jc w:val="left"/>
      </w:pPr>
      <w:r>
        <w:rPr>
          <w:rFonts w:ascii="Times New Roman" w:hAnsi="Times New Roman" w:cs="Times New Roman" w:eastAsia="Times New Roman" w:hint="default"/>
        </w:rPr>
        <w:t>2014</w:t>
      </w:r>
      <w:r>
        <w:rPr/>
        <w:t>年北京瑞宏的财务数据如下：</w:t>
      </w:r>
    </w:p>
    <w:p>
      <w:pPr>
        <w:spacing w:line="240" w:lineRule="auto" w:before="13"/>
        <w:rPr>
          <w:rFonts w:ascii="宋体" w:hAnsi="宋体" w:cs="宋体" w:eastAsia="宋体" w:hint="default"/>
          <w:sz w:val="3"/>
          <w:szCs w:val="3"/>
        </w:rPr>
      </w:pPr>
    </w:p>
    <w:tbl>
      <w:tblPr>
        <w:tblW w:w="0" w:type="auto"/>
        <w:jc w:val="left"/>
        <w:tblInd w:w="1194" w:type="dxa"/>
        <w:tblLayout w:type="fixed"/>
        <w:tblCellMar>
          <w:top w:w="0" w:type="dxa"/>
          <w:left w:w="0" w:type="dxa"/>
          <w:bottom w:w="0" w:type="dxa"/>
          <w:right w:w="0" w:type="dxa"/>
        </w:tblCellMar>
        <w:tblLook w:val="01E0"/>
      </w:tblPr>
      <w:tblGrid>
        <w:gridCol w:w="4282"/>
        <w:gridCol w:w="3261"/>
      </w:tblGrid>
      <w:tr>
        <w:trPr>
          <w:trHeight w:val="435" w:hRule="exact"/>
        </w:trPr>
        <w:tc>
          <w:tcPr>
            <w:tcW w:w="4282" w:type="dxa"/>
            <w:vMerge w:val="restart"/>
            <w:tcBorders>
              <w:top w:val="single" w:sz="6" w:space="0" w:color="000000"/>
              <w:left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5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年发生额</w:t>
            </w:r>
          </w:p>
        </w:tc>
      </w:tr>
      <w:tr>
        <w:trPr>
          <w:trHeight w:val="432" w:hRule="exact"/>
        </w:trPr>
        <w:tc>
          <w:tcPr>
            <w:tcW w:w="4282" w:type="dxa"/>
            <w:vMerge/>
            <w:tcBorders>
              <w:left w:val="single" w:sz="6" w:space="0" w:color="000000"/>
              <w:bottom w:val="single" w:sz="12" w:space="0" w:color="000000"/>
              <w:right w:val="single" w:sz="6" w:space="0" w:color="000000"/>
            </w:tcBorders>
          </w:tcPr>
          <w:p>
            <w:pP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17,616,200.52</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5,406,551.02</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3,105,119.9</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20,721,320.49</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1,503,765.00</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6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1,503,765.00</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6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19,217,555.49</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9,800,666.42</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6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9,800,666.42</w:t>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326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1,224,999.98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94" w:type="dxa"/>
        <w:tblLayout w:type="fixed"/>
        <w:tblCellMar>
          <w:top w:w="0" w:type="dxa"/>
          <w:left w:w="0" w:type="dxa"/>
          <w:bottom w:w="0" w:type="dxa"/>
          <w:right w:w="0" w:type="dxa"/>
        </w:tblCellMar>
        <w:tblLook w:val="01E0"/>
      </w:tblPr>
      <w:tblGrid>
        <w:gridCol w:w="4282"/>
        <w:gridCol w:w="3261"/>
      </w:tblGrid>
      <w:tr>
        <w:trPr>
          <w:trHeight w:val="435" w:hRule="exact"/>
        </w:trPr>
        <w:tc>
          <w:tcPr>
            <w:tcW w:w="4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w w:val="95"/>
                <w:sz w:val="18"/>
              </w:rPr>
              <w:t>-60,639.47</w:t>
            </w:r>
            <w:r>
              <w:rPr>
                <w:rFonts w:ascii="Times New Roman"/>
                <w:sz w:val="18"/>
              </w:rPr>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-1,406.25</w:t>
            </w:r>
            <w:r>
              <w:rPr>
                <w:rFonts w:ascii="Times New Roman"/>
                <w:sz w:val="18"/>
              </w:rPr>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-782,444.51</w:t>
            </w:r>
            <w:r>
              <w:rPr>
                <w:rFonts w:ascii="Times New Roman"/>
                <w:sz w:val="18"/>
              </w:rPr>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6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-782,444.51</w:t>
            </w:r>
            <w:r>
              <w:rPr>
                <w:rFonts w:ascii="Times New Roman"/>
                <w:sz w:val="18"/>
              </w:rPr>
            </w:r>
          </w:p>
        </w:tc>
      </w:tr>
      <w:tr>
        <w:trPr>
          <w:trHeight w:val="432" w:hRule="exact"/>
        </w:trPr>
        <w:tc>
          <w:tcPr>
            <w:tcW w:w="42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3"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261"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10"/>
        <w:ind w:left="154" w:right="1132"/>
        <w:jc w:val="left"/>
      </w:pPr>
      <w:r>
        <w:rPr>
          <w:rFonts w:ascii="Times New Roman" w:hAnsi="Times New Roman" w:cs="Times New Roman" w:eastAsia="Times New Roman" w:hint="default"/>
        </w:rPr>
        <w:t>2</w:t>
      </w:r>
      <w:r>
        <w:rPr/>
        <w:t>、报告期内，公司合资设立了青岛瑞宏科技有限公司和天津征瑞科技有限公司两家控股子公司。</w:t>
      </w:r>
    </w:p>
    <w:p>
      <w:pPr>
        <w:spacing w:line="240" w:lineRule="auto" w:before="1"/>
        <w:rPr>
          <w:rFonts w:ascii="宋体" w:hAnsi="宋体" w:cs="宋体" w:eastAsia="宋体" w:hint="default"/>
          <w:sz w:val="24"/>
          <w:szCs w:val="24"/>
        </w:rPr>
      </w:pPr>
    </w:p>
    <w:p>
      <w:pPr>
        <w:pStyle w:val="Heading2"/>
        <w:spacing w:line="240" w:lineRule="auto"/>
        <w:ind w:right="1132"/>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黄简、罗军</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2"/>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132"/>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一、限制性股票激励计划实施情况</w:t>
      </w:r>
    </w:p>
    <w:p>
      <w:pPr>
        <w:pStyle w:val="BodyText"/>
        <w:spacing w:line="300" w:lineRule="auto" w:before="2"/>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日，经公司第五届董事会第三次会议审议，</w:t>
      </w:r>
      <w:r>
        <w:rPr>
          <w:rFonts w:ascii="Times New Roman" w:hAnsi="Times New Roman" w:cs="Times New Roman" w:eastAsia="Times New Roman" w:hint="default"/>
          <w:spacing w:val="-2"/>
        </w:rPr>
        <w:t>114</w:t>
      </w:r>
      <w:r>
        <w:rPr>
          <w:spacing w:val="-2"/>
        </w:rPr>
        <w:t>名激励对象所持限制性股票第四个解锁期的解锁条件已</w:t>
      </w:r>
      <w:r>
        <w:rPr/>
        <w:t> </w:t>
      </w:r>
      <w:r>
        <w:rPr>
          <w:spacing w:val="-1"/>
        </w:rPr>
        <w:t>经满足，解锁限制性股票</w:t>
      </w:r>
      <w:r>
        <w:rPr>
          <w:rFonts w:ascii="Times New Roman" w:hAnsi="Times New Roman" w:cs="Times New Roman" w:eastAsia="Times New Roman" w:hint="default"/>
          <w:spacing w:val="-1"/>
        </w:rPr>
        <w:t>1,519,200</w:t>
      </w:r>
      <w:r>
        <w:rPr>
          <w:spacing w:val="-1"/>
        </w:rPr>
        <w:t>股。两名激励对象因离职，公司回购注销其所持有的限制性股票</w:t>
      </w:r>
      <w:r>
        <w:rPr>
          <w:rFonts w:ascii="Times New Roman" w:hAnsi="Times New Roman" w:cs="Times New Roman" w:eastAsia="Times New Roman" w:hint="default"/>
          <w:spacing w:val="-1"/>
        </w:rPr>
        <w:t>28,800</w:t>
      </w:r>
      <w:r>
        <w:rPr>
          <w:spacing w:val="-1"/>
        </w:rPr>
        <w:t>股。具体情况详见</w:t>
      </w:r>
      <w:r>
        <w:rPr>
          <w:spacing w:val="-70"/>
        </w:rPr>
        <w:t> </w:t>
      </w:r>
      <w:r>
        <w:rPr>
          <w:spacing w:val="-70"/>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日在巨潮资讯网披露的《第五届董事会第三次会议公告》和《关于回购注销股权激励对象所持已获授但尚未解</w:t>
      </w:r>
      <w:r>
        <w:rPr>
          <w:spacing w:val="-58"/>
        </w:rPr>
        <w:t> </w:t>
      </w:r>
      <w:r>
        <w:rPr>
          <w:spacing w:val="-58"/>
        </w:rPr>
      </w:r>
      <w:r>
        <w:rPr/>
        <w:t>锁的限制性股票的公告》。</w:t>
      </w:r>
    </w:p>
    <w:p>
      <w:pPr>
        <w:pStyle w:val="BodyText"/>
        <w:spacing w:line="300" w:lineRule="auto" w:before="31"/>
        <w:ind w:right="1132"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15</w:t>
      </w:r>
      <w:r>
        <w:rPr>
          <w:spacing w:val="-1"/>
        </w:rPr>
        <w:t>日，公司完成了对以上不符合条件的限制性股票共</w:t>
      </w:r>
      <w:r>
        <w:rPr>
          <w:rFonts w:ascii="Times New Roman" w:hAnsi="Times New Roman" w:cs="Times New Roman" w:eastAsia="Times New Roman" w:hint="default"/>
          <w:spacing w:val="-1"/>
        </w:rPr>
        <w:t>28,800</w:t>
      </w:r>
      <w:r>
        <w:rPr>
          <w:spacing w:val="-1"/>
        </w:rPr>
        <w:t>股的回购注销。本次回购注销后，公司</w:t>
      </w:r>
      <w:r>
        <w:rPr>
          <w:rFonts w:ascii="Times New Roman" w:hAnsi="Times New Roman" w:cs="Times New Roman" w:eastAsia="Times New Roman" w:hint="default"/>
          <w:spacing w:val="-1"/>
        </w:rPr>
        <w:t>2011</w:t>
      </w:r>
      <w:r>
        <w:rPr>
          <w:spacing w:val="-1"/>
        </w:rPr>
        <w:t>年</w:t>
      </w:r>
      <w:r>
        <w:rPr/>
        <w:t> 实施的限制性股票激励计划已全部实施完毕。</w:t>
      </w:r>
    </w:p>
    <w:p>
      <w:pPr>
        <w:pStyle w:val="BodyText"/>
        <w:spacing w:line="240" w:lineRule="auto" w:before="31"/>
        <w:ind w:right="0"/>
        <w:jc w:val="both"/>
      </w:pPr>
      <w:r>
        <w:rPr/>
        <w:t>二、员工持股计划实施情况</w:t>
      </w:r>
    </w:p>
    <w:p>
      <w:pPr>
        <w:pStyle w:val="BodyText"/>
        <w:spacing w:line="240" w:lineRule="auto" w:before="76"/>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日经公司第四届董事会第二十七次会议审议通过了《东港股份有限公司</w:t>
      </w:r>
      <w:r>
        <w:rPr>
          <w:rFonts w:ascii="Times New Roman" w:hAnsi="Times New Roman" w:cs="Times New Roman" w:eastAsia="Times New Roman" w:hint="default"/>
        </w:rPr>
        <w:t>2015</w:t>
      </w:r>
      <w:r>
        <w:rPr/>
        <w:t>年度员工持股计划（草案）</w:t>
      </w:r>
    </w:p>
    <w:p>
      <w:pPr>
        <w:pStyle w:val="BodyText"/>
        <w:spacing w:line="300" w:lineRule="auto" w:before="63"/>
        <w:ind w:right="1130"/>
        <w:jc w:val="both"/>
      </w:pPr>
      <w:r>
        <w:rPr/>
        <w:t>（认购非公开发行股票方式）》，决定以非公开发行股票的方式实施员工持股计划。具体情况详见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日在巨潮资 </w:t>
      </w:r>
      <w:r>
        <w:rPr>
          <w:spacing w:val="-2"/>
        </w:rPr>
        <w:t>讯网披露的《第四届董事会第二十七次会议决议公告》和《东港股份有限公司</w:t>
      </w:r>
      <w:r>
        <w:rPr>
          <w:rFonts w:ascii="Times New Roman" w:hAnsi="Times New Roman" w:cs="Times New Roman" w:eastAsia="Times New Roman" w:hint="default"/>
          <w:spacing w:val="-2"/>
        </w:rPr>
        <w:t>2015</w:t>
      </w:r>
      <w:r>
        <w:rPr>
          <w:spacing w:val="-2"/>
        </w:rPr>
        <w:t>年度员工持股计划（草案）（认购非公开</w:t>
      </w:r>
      <w:r>
        <w:rPr>
          <w:spacing w:val="-63"/>
        </w:rPr>
        <w:t> </w:t>
      </w:r>
      <w:r>
        <w:rPr>
          <w:spacing w:val="-63"/>
        </w:rPr>
      </w:r>
      <w:r>
        <w:rPr/>
        <w:t>发行股票方式）》。</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3"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3509" w:right="3434"/>
        <w:jc w:val="center"/>
      </w:pPr>
      <w:r>
        <w:rPr/>
        <w:pict>
          <v:shape style="position:absolute;margin-left:56.459999pt;margin-top:-39.848282pt;width:479.2pt;height:134.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0"/>
                    <w:gridCol w:w="726"/>
                    <w:gridCol w:w="727"/>
                    <w:gridCol w:w="730"/>
                    <w:gridCol w:w="799"/>
                    <w:gridCol w:w="786"/>
                    <w:gridCol w:w="88"/>
                    <w:gridCol w:w="500"/>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0"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88" w:type="dxa"/>
                        <w:tcBorders>
                          <w:top w:val="single" w:sz="4" w:space="0" w:color="000000"/>
                          <w:left w:val="single" w:sz="4" w:space="0" w:color="000000"/>
                          <w:bottom w:val="single" w:sz="4" w:space="0" w:color="000000"/>
                          <w:right w:val="nil" w:sz="6" w:space="0" w:color="auto"/>
                        </w:tcBorders>
                        <w:shd w:val="clear" w:color="auto" w:fill="D2D2D2"/>
                      </w:tcPr>
                      <w:p>
                        <w:pPr/>
                      </w:p>
                    </w:tc>
                    <w:tc>
                      <w:tcPr>
                        <w:tcW w:w="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5"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25"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浪潮软件 集团有限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东的关 联公司</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1"/>
                          <w:jc w:val="left"/>
                          <w:rPr>
                            <w:rFonts w:ascii="宋体" w:hAnsi="宋体" w:cs="宋体" w:eastAsia="宋体" w:hint="default"/>
                            <w:sz w:val="18"/>
                            <w:szCs w:val="18"/>
                          </w:rPr>
                        </w:pPr>
                        <w:r>
                          <w:rPr>
                            <w:rFonts w:ascii="宋体" w:hAnsi="宋体" w:cs="宋体" w:eastAsia="宋体" w:hint="default"/>
                            <w:sz w:val="18"/>
                            <w:szCs w:val="18"/>
                          </w:rPr>
                          <w:t>收购股 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北京瑞 宏科技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5"/>
                          <w:jc w:val="left"/>
                          <w:rPr>
                            <w:rFonts w:ascii="宋体" w:hAnsi="宋体" w:cs="宋体" w:eastAsia="宋体" w:hint="default"/>
                            <w:sz w:val="18"/>
                            <w:szCs w:val="18"/>
                          </w:rPr>
                        </w:pPr>
                        <w:r>
                          <w:rPr>
                            <w:rFonts w:ascii="宋体" w:hAnsi="宋体" w:cs="宋体" w:eastAsia="宋体" w:hint="default"/>
                            <w:sz w:val="18"/>
                            <w:szCs w:val="18"/>
                          </w:rPr>
                          <w:t>交易双 方协商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655.48</w:t>
                        </w: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780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cente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16"/>
        <w:gridCol w:w="741"/>
        <w:gridCol w:w="799"/>
        <w:gridCol w:w="786"/>
        <w:gridCol w:w="588"/>
        <w:gridCol w:w="856"/>
        <w:gridCol w:w="921"/>
        <w:gridCol w:w="919"/>
        <w:gridCol w:w="911"/>
      </w:tblGrid>
      <w:tr>
        <w:trPr>
          <w:trHeight w:val="362" w:hRule="exact"/>
        </w:trPr>
        <w:tc>
          <w:tcPr>
            <w:tcW w:w="85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7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报告期内，电子发票业务尚处于试点和市场推广阶段，未能为公司贡献利润。</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left="153" w:right="1132"/>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32"/>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1132"/>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9"/>
        <w:gridCol w:w="1301"/>
        <w:gridCol w:w="1054"/>
        <w:gridCol w:w="1038"/>
        <w:gridCol w:w="1051"/>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北京东港安全印刷有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上海东港安全印刷有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广州东港安全印刷有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上海东港数据处理有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北京东港嘉华安全信 息技术有限公司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left="154"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right="1132"/>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649"/>
        <w:gridCol w:w="851"/>
        <w:gridCol w:w="984"/>
        <w:gridCol w:w="803"/>
        <w:gridCol w:w="804"/>
        <w:gridCol w:w="804"/>
        <w:gridCol w:w="802"/>
        <w:gridCol w:w="804"/>
        <w:gridCol w:w="599"/>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0" w:right="47"/>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958.70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360.00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359.01</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294.19</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180.00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91.48</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231.36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
              <w:jc w:val="center"/>
              <w:rPr>
                <w:rFonts w:ascii="Times New Roman" w:hAnsi="Times New Roman" w:cs="Times New Roman" w:eastAsia="Times New Roman" w:hint="default"/>
                <w:sz w:val="18"/>
                <w:szCs w:val="18"/>
              </w:rPr>
            </w:pPr>
            <w:r>
              <w:rPr>
                <w:rFonts w:ascii="Times New Roman"/>
                <w:sz w:val="18"/>
              </w:rPr>
              <w:t>231.36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649"/>
        <w:gridCol w:w="851"/>
        <w:gridCol w:w="984"/>
        <w:gridCol w:w="803"/>
        <w:gridCol w:w="804"/>
        <w:gridCol w:w="804"/>
        <w:gridCol w:w="802"/>
        <w:gridCol w:w="804"/>
        <w:gridCol w:w="599"/>
      </w:tblGrid>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15.97</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132.90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5.56</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106,000</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2,629.17</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0"/>
        <w:gridCol w:w="7100"/>
      </w:tblGrid>
      <w:tr>
        <w:trPr>
          <w:trHeight w:val="36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日期（如有</w:t>
            </w:r>
            <w:r>
              <w:rPr>
                <w:rFonts w:ascii="Times New Roman" w:hAnsi="Times New Roman" w:cs="Times New Roman" w:eastAsia="Times New Roman" w:hint="default"/>
                <w:sz w:val="18"/>
                <w:szCs w:val="18"/>
              </w:rPr>
              <w:t>)</w:t>
            </w:r>
          </w:p>
        </w:tc>
        <w:tc>
          <w:tcPr>
            <w:tcW w:w="7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日对外</w:t>
            </w:r>
            <w:r>
              <w:rPr>
                <w:rFonts w:ascii="宋体" w:hAnsi="宋体" w:cs="宋体" w:eastAsia="宋体" w:hint="default"/>
                <w:spacing w:val="1"/>
                <w:sz w:val="18"/>
                <w:szCs w:val="18"/>
              </w:rPr>
              <w:t>披</w:t>
            </w:r>
            <w:r>
              <w:rPr>
                <w:rFonts w:ascii="宋体" w:hAnsi="宋体" w:cs="宋体" w:eastAsia="宋体" w:hint="default"/>
                <w:sz w:val="18"/>
                <w:szCs w:val="18"/>
              </w:rPr>
              <w:t>露的《关于利用自有资金购买理财产品的公告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2"/>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1132"/>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132"/>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2"/>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2"/>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132"/>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2"/>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987"/>
        <w:gridCol w:w="636"/>
        <w:gridCol w:w="824"/>
        <w:gridCol w:w="690"/>
        <w:gridCol w:w="720"/>
        <w:gridCol w:w="1015"/>
        <w:gridCol w:w="899"/>
        <w:gridCol w:w="1021"/>
        <w:gridCol w:w="794"/>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5" w:right="8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4" w:space="0" w:color="000000"/>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015" w:type="dxa"/>
            <w:vMerge/>
            <w:tcBorders>
              <w:left w:val="single" w:sz="4" w:space="0" w:color="000000"/>
              <w:bottom w:val="nil" w:sz="6" w:space="0" w:color="auto"/>
              <w:right w:val="single" w:sz="4" w:space="0" w:color="000000"/>
            </w:tcBorders>
            <w:shd w:val="clear" w:color="auto" w:fill="D2D2D2"/>
          </w:tcPr>
          <w:p>
            <w:pPr/>
          </w:p>
        </w:tc>
        <w:tc>
          <w:tcPr>
            <w:tcW w:w="899"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1,651,500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-1,521,900</w:t>
            </w:r>
            <w:r>
              <w:rPr>
                <w:rFonts w:ascii="Times New Roman"/>
                <w:sz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-1,521,900</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1,651,500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-1,521,900</w:t>
            </w:r>
            <w:r>
              <w:rPr>
                <w:rFonts w:ascii="Times New Roman"/>
                <w:sz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-1,521,900</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1,651,500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-1,521,900</w:t>
            </w:r>
            <w:r>
              <w:rPr>
                <w:rFonts w:ascii="Times New Roman"/>
                <w:sz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-1,521,900</w:t>
            </w:r>
            <w:r>
              <w:rPr>
                <w:rFonts w:ascii="Times New Roman"/>
                <w:sz w:val="18"/>
              </w:rPr>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362,154,914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99.55%</w:t>
            </w:r>
          </w:p>
        </w:tc>
        <w:tc>
          <w:tcPr>
            <w:tcW w:w="824"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1,493,100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1,493,100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363,648,014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362,154,914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99.55%</w:t>
            </w:r>
          </w:p>
        </w:tc>
        <w:tc>
          <w:tcPr>
            <w:tcW w:w="824"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1,493,100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1,493,100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363,648,014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363,806,414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99.55%</w:t>
            </w:r>
          </w:p>
        </w:tc>
        <w:tc>
          <w:tcPr>
            <w:tcW w:w="824"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363,777,614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32"/>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变化说明：</w:t>
      </w:r>
    </w:p>
    <w:p>
      <w:pPr>
        <w:pStyle w:val="BodyText"/>
        <w:spacing w:line="240" w:lineRule="auto" w:before="2"/>
        <w:ind w:right="1132"/>
        <w:jc w:val="left"/>
      </w:pPr>
      <w:r>
        <w:rPr>
          <w:rFonts w:ascii="Times New Roman" w:hAnsi="Times New Roman" w:cs="Times New Roman" w:eastAsia="Times New Roman" w:hint="default"/>
        </w:rPr>
        <w:t>1</w:t>
      </w:r>
      <w:r>
        <w:rPr/>
        <w:t>、本年度解禁限制性股票</w:t>
      </w:r>
      <w:r>
        <w:rPr>
          <w:rFonts w:ascii="Times New Roman" w:hAnsi="Times New Roman" w:cs="Times New Roman" w:eastAsia="Times New Roman" w:hint="default"/>
        </w:rPr>
        <w:t>1519200</w:t>
      </w:r>
      <w:r>
        <w:rPr/>
        <w:t>股，因此限售股份减少</w:t>
      </w:r>
      <w:r>
        <w:rPr>
          <w:rFonts w:ascii="Times New Roman" w:hAnsi="Times New Roman" w:cs="Times New Roman" w:eastAsia="Times New Roman" w:hint="default"/>
        </w:rPr>
        <w:t>1519200</w:t>
      </w:r>
      <w:r>
        <w:rPr/>
        <w:t>股，无限售流通股增加</w:t>
      </w:r>
      <w:r>
        <w:rPr>
          <w:rFonts w:ascii="Times New Roman" w:hAnsi="Times New Roman" w:cs="Times New Roman" w:eastAsia="Times New Roman" w:hint="default"/>
        </w:rPr>
        <w:t>1519200</w:t>
      </w:r>
      <w:r>
        <w:rPr/>
        <w:t>股。</w:t>
      </w:r>
    </w:p>
    <w:p>
      <w:pPr>
        <w:pStyle w:val="BodyText"/>
        <w:spacing w:line="300" w:lineRule="auto" w:before="63"/>
        <w:ind w:right="1132"/>
        <w:jc w:val="left"/>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、本年度回购注销限制性股票</w:t>
      </w:r>
      <w:r>
        <w:rPr>
          <w:rFonts w:ascii="Times New Roman" w:hAnsi="Times New Roman" w:cs="Times New Roman" w:eastAsia="Times New Roman" w:hint="default"/>
          <w:spacing w:val="-2"/>
        </w:rPr>
        <w:t>28800</w:t>
      </w:r>
      <w:r>
        <w:rPr>
          <w:spacing w:val="-2"/>
        </w:rPr>
        <w:t>股，因此限售股份减少</w:t>
      </w:r>
      <w:r>
        <w:rPr>
          <w:rFonts w:ascii="Times New Roman" w:hAnsi="Times New Roman" w:cs="Times New Roman" w:eastAsia="Times New Roman" w:hint="default"/>
          <w:spacing w:val="-2"/>
        </w:rPr>
        <w:t>28800</w:t>
      </w:r>
      <w:r>
        <w:rPr>
          <w:spacing w:val="-2"/>
        </w:rPr>
        <w:t>股，但高管锁定股较</w:t>
      </w:r>
      <w:r>
        <w:rPr>
          <w:rFonts w:ascii="Times New Roman" w:hAnsi="Times New Roman" w:cs="Times New Roman" w:eastAsia="Times New Roman" w:hint="default"/>
          <w:spacing w:val="-2"/>
        </w:rPr>
        <w:t>2014</w:t>
      </w:r>
      <w:r>
        <w:rPr>
          <w:spacing w:val="-2"/>
        </w:rPr>
        <w:t>年度增加</w:t>
      </w:r>
      <w:r>
        <w:rPr>
          <w:rFonts w:ascii="Times New Roman" w:hAnsi="Times New Roman" w:cs="Times New Roman" w:eastAsia="Times New Roman" w:hint="default"/>
          <w:spacing w:val="-2"/>
        </w:rPr>
        <w:t>26100</w:t>
      </w:r>
      <w:r>
        <w:rPr>
          <w:spacing w:val="-2"/>
        </w:rPr>
        <w:t>股，因此限售股减</w:t>
      </w:r>
      <w:r>
        <w:rPr>
          <w:spacing w:val="-46"/>
        </w:rPr>
        <w:t> </w:t>
      </w:r>
      <w:r>
        <w:rPr>
          <w:spacing w:val="-46"/>
        </w:rPr>
      </w:r>
      <w:r>
        <w:rPr/>
        <w:t>少</w:t>
      </w:r>
      <w:r>
        <w:rPr>
          <w:rFonts w:ascii="Times New Roman" w:hAnsi="Times New Roman" w:cs="Times New Roman" w:eastAsia="Times New Roman" w:hint="default"/>
        </w:rPr>
        <w:t>2700</w:t>
      </w:r>
      <w:r>
        <w:rPr/>
        <w:t>股，无限售股份减少</w:t>
      </w:r>
      <w:r>
        <w:rPr>
          <w:rFonts w:ascii="Times New Roman" w:hAnsi="Times New Roman" w:cs="Times New Roman" w:eastAsia="Times New Roman" w:hint="default"/>
        </w:rPr>
        <w:t>26100</w:t>
      </w:r>
      <w:r>
        <w:rPr/>
        <w:t>股</w:t>
      </w:r>
      <w:r>
        <w:rPr>
          <w:rFonts w:ascii="Times New Roman" w:hAnsi="Times New Roman" w:cs="Times New Roman" w:eastAsia="Times New Roman" w:hint="default"/>
        </w:rPr>
        <w:t>.</w:t>
      </w:r>
    </w:p>
    <w:p>
      <w:pPr>
        <w:pStyle w:val="BodyText"/>
        <w:spacing w:line="340" w:lineRule="auto" w:before="13"/>
        <w:ind w:right="5083"/>
        <w:jc w:val="left"/>
      </w:pPr>
      <w:r>
        <w:rPr>
          <w:rFonts w:ascii="Times New Roman" w:hAnsi="Times New Roman" w:cs="Times New Roman" w:eastAsia="Times New Roman" w:hint="default"/>
        </w:rPr>
        <w:t>3</w:t>
      </w:r>
      <w:r>
        <w:rPr/>
        <w:t>、本年度回购注销限制性股票</w:t>
      </w:r>
      <w:r>
        <w:rPr>
          <w:rFonts w:ascii="Times New Roman" w:hAnsi="Times New Roman" w:cs="Times New Roman" w:eastAsia="Times New Roman" w:hint="default"/>
        </w:rPr>
        <w:t>28800</w:t>
      </w:r>
      <w:r>
        <w:rPr/>
        <w:t>股，因此公司总股本减少</w:t>
      </w:r>
      <w:r>
        <w:rPr>
          <w:rFonts w:ascii="Times New Roman" w:hAnsi="Times New Roman" w:cs="Times New Roman" w:eastAsia="Times New Roman" w:hint="default"/>
        </w:rPr>
        <w:t>28800</w:t>
      </w:r>
      <w:r>
        <w:rPr/>
        <w:t>股。 股份变动的批准情况</w:t>
      </w:r>
    </w:p>
    <w:p>
      <w:pPr>
        <w:pStyle w:val="BodyText"/>
        <w:spacing w:line="319"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、公司第五届董事会第三次会议，审议通过了《关于限制性股票激励计划第四个解锁期可解锁的议案》，同意</w:t>
      </w:r>
      <w:r>
        <w:rPr>
          <w:rFonts w:ascii="Times New Roman" w:hAnsi="Times New Roman" w:cs="Times New Roman" w:eastAsia="Times New Roman" w:hint="default"/>
          <w:spacing w:val="-2"/>
        </w:rPr>
        <w:t>114</w:t>
      </w:r>
      <w:r>
        <w:rPr>
          <w:spacing w:val="-2"/>
        </w:rPr>
        <w:t>名符合条</w:t>
      </w:r>
      <w:r>
        <w:rPr>
          <w:spacing w:val="-62"/>
        </w:rPr>
        <w:t> </w:t>
      </w:r>
      <w:r>
        <w:rPr/>
        <w:t>件的激励对象在第四个解锁期解锁，解锁数量为</w:t>
      </w:r>
      <w:r>
        <w:rPr>
          <w:rFonts w:ascii="Times New Roman" w:hAnsi="Times New Roman" w:cs="Times New Roman" w:eastAsia="Times New Roman" w:hint="default"/>
        </w:rPr>
        <w:t>1,519,200</w:t>
      </w:r>
      <w:r>
        <w:rPr/>
        <w:t>股，上市流通日为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w:t>
      </w:r>
    </w:p>
    <w:p>
      <w:pPr>
        <w:pStyle w:val="BodyText"/>
        <w:spacing w:line="300" w:lineRule="auto" w:before="38"/>
        <w:ind w:left="154" w:right="1122"/>
        <w:jc w:val="left"/>
      </w:pPr>
      <w:r>
        <w:rPr>
          <w:rFonts w:ascii="Times New Roman" w:hAnsi="Times New Roman" w:cs="Times New Roman" w:eastAsia="Times New Roman" w:hint="default"/>
        </w:rPr>
        <w:t>2</w:t>
      </w:r>
      <w:r>
        <w:rPr/>
        <w:t>、公司第五届董事会第三次会议审议通过了《关于回购注销股权激励对象所持已获授但尚未解锁的限制性股票的议案》，</w:t>
      </w:r>
      <w:r>
        <w:rPr>
          <w:spacing w:val="-83"/>
        </w:rPr>
        <w:t> </w:t>
      </w:r>
      <w:r>
        <w:rPr>
          <w:spacing w:val="-83"/>
        </w:rPr>
      </w:r>
      <w:r>
        <w:rPr/>
        <w:t>同意回购注销不符合激励条件的股权激励对象所持有的尚未解锁的限制性股票共计</w:t>
      </w:r>
      <w:r>
        <w:rPr>
          <w:rFonts w:ascii="Times New Roman" w:hAnsi="Times New Roman" w:cs="Times New Roman" w:eastAsia="Times New Roman" w:hint="default"/>
        </w:rPr>
        <w:t>28,800</w:t>
      </w:r>
      <w:r>
        <w:rPr/>
        <w:t>股。</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right="1132"/>
        <w:jc w:val="left"/>
      </w:pPr>
      <w:r>
        <w:rPr/>
        <w:t>股份变动的过户情况</w:t>
      </w:r>
    </w:p>
    <w:p>
      <w:pPr>
        <w:pStyle w:val="BodyText"/>
        <w:spacing w:line="240" w:lineRule="auto" w:before="116"/>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left="154" w:right="1392"/>
        <w:jc w:val="left"/>
      </w:pPr>
      <w:r>
        <w:rPr>
          <w:rFonts w:ascii="Times New Roman" w:hAnsi="Times New Roman" w:cs="Times New Roman" w:eastAsia="Times New Roman" w:hint="default"/>
        </w:rPr>
        <w:t>1</w:t>
      </w:r>
      <w:r>
        <w:rPr/>
        <w:t>、回购注销的限制性股票，已于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日回购注销完毕。 股份变动对最近一年和最近一期基本每股收益和稀释每股收益、归属于公司普通股股东的每股净资产等财务指标的影响</w:t>
      </w:r>
    </w:p>
    <w:p>
      <w:pPr>
        <w:pStyle w:val="BodyText"/>
        <w:spacing w:line="340" w:lineRule="auto" w:before="41"/>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firstLine="290"/>
        <w:jc w:val="both"/>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月实施了限制性股票回购事宜，向两名激励对象支付了股权回购款，进行了股本的会计调整，并由瑞华</w:t>
      </w:r>
      <w:r>
        <w:rPr/>
        <w:t> 会计师事务所出具了验资报告，但在报告期内尚未完成在中国证券登记结算有限公司的登记变更手续，该手续于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 </w:t>
      </w:r>
      <w:r>
        <w:rPr>
          <w:rFonts w:ascii="Times New Roman" w:hAnsi="Times New Roman" w:cs="Times New Roman" w:eastAsia="Times New Roman" w:hint="default"/>
        </w:rPr>
        <w:t>15</w:t>
      </w:r>
      <w:r>
        <w:rPr/>
        <w:t>日办理完毕。因此报告期末年度报告披露的的总股本与中国证券登记结算有限公司登记的总股本存在差异。</w:t>
      </w:r>
    </w:p>
    <w:p>
      <w:pPr>
        <w:spacing w:line="240" w:lineRule="auto" w:before="1"/>
        <w:rPr>
          <w:rFonts w:ascii="宋体" w:hAnsi="宋体" w:cs="宋体" w:eastAsia="宋体" w:hint="default"/>
          <w:sz w:val="22"/>
          <w:szCs w:val="22"/>
        </w:rPr>
      </w:pPr>
    </w:p>
    <w:p>
      <w:pPr>
        <w:pStyle w:val="Heading3"/>
        <w:spacing w:line="240" w:lineRule="auto"/>
        <w:ind w:left="153" w:right="1132"/>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040"/>
        <w:gridCol w:w="992"/>
        <w:gridCol w:w="1134"/>
        <w:gridCol w:w="1134"/>
        <w:gridCol w:w="2268"/>
        <w:gridCol w:w="1633"/>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4" w:right="65"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1"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高管锁定股、限制性股票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高管锁定股、限制性股票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高管锁定股、限制性股票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高管锁定股、限制性股票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中层干部、核心 技术（业务）人 </w:t>
            </w:r>
            <w:r>
              <w:rPr>
                <w:rFonts w:ascii="宋体" w:hAnsi="宋体" w:cs="宋体" w:eastAsia="宋体" w:hint="default"/>
                <w:spacing w:val="-8"/>
                <w:sz w:val="18"/>
                <w:szCs w:val="18"/>
              </w:rPr>
              <w:t>员（合计</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112</w:t>
            </w:r>
            <w:r>
              <w:rPr>
                <w:rFonts w:ascii="Times New Roman" w:hAnsi="Times New Roman" w:cs="Times New Roman" w:eastAsia="Times New Roman" w:hint="default"/>
                <w:sz w:val="18"/>
                <w:szCs w:val="18"/>
              </w:rPr>
              <w:t> </w:t>
            </w:r>
            <w:r>
              <w:rPr>
                <w:rFonts w:ascii="宋体" w:hAnsi="宋体" w:cs="宋体" w:eastAsia="宋体" w:hint="default"/>
                <w:sz w:val="18"/>
                <w:szCs w:val="18"/>
              </w:rPr>
              <w:t>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1,447,200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1,447,200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1,566,300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129,600</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2"/>
        <w:jc w:val="left"/>
        <w:rPr>
          <w:b w:val="0"/>
          <w:bCs w:val="0"/>
        </w:rPr>
      </w:pPr>
      <w:r>
        <w:rPr/>
        <w:pict>
          <v:shape style="position:absolute;margin-left:119.239998pt;margin-top:-48.064377pt;width:57.75pt;height:15.6pt;mso-position-horizontal-relative:page;mso-position-vertical-relative:paragraph;z-index:-776560" type="#_x0000_t202" filled="false" stroked="false">
            <v:textbox inset="0,0,0,0">
              <w:txbxContent>
                <w:p>
                  <w:pPr>
                    <w:pStyle w:val="BodyText"/>
                    <w:spacing w:line="207" w:lineRule="exact"/>
                    <w:ind w:left="0" w:right="0"/>
                    <w:jc w:val="left"/>
                  </w:pPr>
                  <w:r>
                    <w:rPr/>
                    <w:t>）</w:t>
                  </w:r>
                </w:p>
              </w:txbxContent>
            </v:textbox>
            <w10:wrap type="none"/>
          </v:shape>
        </w:pict>
      </w:r>
      <w:r>
        <w:rPr/>
        <w:pict>
          <v:group style="position:absolute;margin-left:125.419998pt;margin-top:-48.064377pt;width:51.55pt;height:15.6pt;mso-position-horizontal-relative:page;mso-position-vertical-relative:paragraph;z-index:-776536" coordorigin="2508,-961" coordsize="1031,312">
            <v:shape style="position:absolute;left:2508;top:-961;width:1031;height:312" coordorigin="2508,-961" coordsize="1031,312" path="m2508,-649l3539,-649,3539,-961,2508,-961,2508,-649xe" filled="true" fillcolor="#ffffff" stroked="false">
              <v:path arrowok="t"/>
              <v:fill type="solid"/>
            </v:shape>
            <w10:wrap type="none"/>
          </v:group>
        </w:pict>
      </w: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200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本年度回购注销限制性股票</w:t>
      </w:r>
      <w:r>
        <w:rPr>
          <w:rFonts w:ascii="Times New Roman" w:hAnsi="Times New Roman" w:cs="Times New Roman" w:eastAsia="Times New Roman" w:hint="default"/>
        </w:rPr>
        <w:t>28800</w:t>
      </w:r>
      <w:r>
        <w:rPr/>
        <w:t>股，因此公司总股本减少</w:t>
      </w:r>
      <w:r>
        <w:rPr>
          <w:rFonts w:ascii="Times New Roman" w:hAnsi="Times New Roman" w:cs="Times New Roman" w:eastAsia="Times New Roman" w:hint="default"/>
        </w:rPr>
        <w:t>28800</w:t>
      </w:r>
      <w:r>
        <w:rPr/>
        <w:t>股，但对公司资产和负债不构成重大影响。</w:t>
      </w:r>
    </w:p>
    <w:p>
      <w:pPr>
        <w:spacing w:line="240" w:lineRule="auto" w:before="8"/>
        <w:rPr>
          <w:rFonts w:ascii="宋体" w:hAnsi="宋体" w:cs="宋体" w:eastAsia="宋体" w:hint="default"/>
          <w:sz w:val="19"/>
          <w:szCs w:val="19"/>
        </w:rPr>
      </w:pPr>
    </w:p>
    <w:p>
      <w:pPr>
        <w:pStyle w:val="Heading3"/>
        <w:spacing w:line="240" w:lineRule="auto"/>
        <w:ind w:left="153" w:right="1132"/>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790"/>
        <w:gridCol w:w="418"/>
        <w:gridCol w:w="478"/>
        <w:gridCol w:w="695"/>
        <w:gridCol w:w="93"/>
        <w:gridCol w:w="884"/>
        <w:gridCol w:w="340"/>
        <w:gridCol w:w="637"/>
        <w:gridCol w:w="536"/>
        <w:gridCol w:w="314"/>
        <w:gridCol w:w="983"/>
        <w:gridCol w:w="152"/>
        <w:gridCol w:w="881"/>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13,071</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317"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70" w:right="0"/>
              <w:jc w:val="left"/>
              <w:rPr>
                <w:rFonts w:ascii="Times New Roman" w:hAnsi="Times New Roman" w:cs="Times New Roman" w:eastAsia="Times New Roman" w:hint="default"/>
                <w:sz w:val="18"/>
                <w:szCs w:val="18"/>
              </w:rPr>
            </w:pPr>
            <w:r>
              <w:rPr>
                <w:rFonts w:ascii="Times New Roman"/>
                <w:sz w:val="18"/>
              </w:rPr>
              <w:t>16,506</w:t>
            </w:r>
          </w:p>
        </w:tc>
        <w:tc>
          <w:tcPr>
            <w:tcW w:w="117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96"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17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9"/>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96"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17" w:type="dxa"/>
            <w:gridSpan w:val="3"/>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96"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0"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96"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96"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317" w:type="dxa"/>
            <w:gridSpan w:val="3"/>
            <w:vMerge/>
            <w:tcBorders>
              <w:left w:val="single" w:sz="9" w:space="0" w:color="D2D2D2"/>
              <w:right w:val="single" w:sz="9" w:space="0" w:color="D2D2D2"/>
            </w:tcBorders>
          </w:tcPr>
          <w:p>
            <w:pPr/>
          </w:p>
        </w:tc>
        <w:tc>
          <w:tcPr>
            <w:tcW w:w="1172" w:type="dxa"/>
            <w:gridSpan w:val="2"/>
            <w:vMerge/>
            <w:tcBorders>
              <w:left w:val="single" w:sz="4" w:space="0" w:color="000000"/>
              <w:bottom w:val="nil" w:sz="6" w:space="0" w:color="auto"/>
              <w:right w:val="single" w:sz="4" w:space="0" w:color="000000"/>
            </w:tcBorders>
            <w:shd w:val="clear" w:color="auto" w:fill="D2D2D2"/>
          </w:tcPr>
          <w:p>
            <w:pPr/>
          </w:p>
        </w:tc>
        <w:tc>
          <w:tcPr>
            <w:tcW w:w="1296" w:type="dxa"/>
            <w:gridSpan w:val="2"/>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vMerge/>
            <w:tcBorders>
              <w:left w:val="single" w:sz="10"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317" w:type="dxa"/>
            <w:gridSpan w:val="3"/>
            <w:vMerge/>
            <w:tcBorders>
              <w:left w:val="single" w:sz="9" w:space="0" w:color="D2D2D2"/>
              <w:bottom w:val="single" w:sz="4" w:space="0" w:color="000000"/>
              <w:right w:val="single" w:sz="9" w:space="0" w:color="D2D2D2"/>
            </w:tcBorders>
          </w:tcPr>
          <w:p>
            <w:pPr/>
          </w:p>
        </w:tc>
        <w:tc>
          <w:tcPr>
            <w:tcW w:w="11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gridSpan w:val="2"/>
            <w:vMerge/>
            <w:tcBorders>
              <w:left w:val="single" w:sz="9" w:space="0" w:color="D2D2D2"/>
              <w:bottom w:val="single" w:sz="4" w:space="0" w:color="000000"/>
              <w:right w:val="single" w:sz="13" w:space="0" w:color="D2D2D2"/>
            </w:tcBorders>
          </w:tcPr>
          <w:p>
            <w:pPr/>
          </w:p>
        </w:tc>
        <w:tc>
          <w:tcPr>
            <w:tcW w:w="1173" w:type="dxa"/>
            <w:gridSpan w:val="3"/>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0" w:space="0" w:color="D2D2D2"/>
              <w:bottom w:val="single" w:sz="4" w:space="0" w:color="000000"/>
              <w:right w:val="single" w:sz="4" w:space="0" w:color="000000"/>
            </w:tcBorders>
          </w:tcPr>
          <w:p>
            <w:pPr/>
          </w:p>
        </w:tc>
      </w:tr>
      <w:tr>
        <w:trPr>
          <w:trHeight w:val="391" w:hRule="exact"/>
        </w:trPr>
        <w:tc>
          <w:tcPr>
            <w:tcW w:w="9743"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4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985" w:type="dxa"/>
            <w:gridSpan w:val="2"/>
            <w:vMerge w:val="restart"/>
            <w:tcBorders>
              <w:top w:val="single" w:sz="4" w:space="0" w:color="000000"/>
              <w:left w:val="single" w:sz="4" w:space="0" w:color="000000"/>
              <w:right w:val="single" w:sz="4" w:space="0" w:color="000000"/>
            </w:tcBorders>
            <w:shd w:val="clear" w:color="auto" w:fill="D2D2D2"/>
          </w:tcPr>
          <w:p>
            <w:pPr/>
          </w:p>
        </w:tc>
        <w:tc>
          <w:tcPr>
            <w:tcW w:w="896"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7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985" w:type="dxa"/>
            <w:gridSpan w:val="2"/>
            <w:vMerge/>
            <w:tcBorders>
              <w:left w:val="single" w:sz="4" w:space="0" w:color="000000"/>
              <w:bottom w:val="nil" w:sz="6" w:space="0" w:color="auto"/>
              <w:right w:val="single" w:sz="4" w:space="0" w:color="000000"/>
            </w:tcBorders>
            <w:shd w:val="clear" w:color="auto" w:fill="D2D2D2"/>
          </w:tcPr>
          <w:p>
            <w:pPr/>
          </w:p>
        </w:tc>
        <w:tc>
          <w:tcPr>
            <w:tcW w:w="896"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2" w:right="32"/>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228" w:type="dxa"/>
            <w:gridSpan w:val="3"/>
            <w:vMerge/>
            <w:tcBorders>
              <w:left w:val="single" w:sz="4" w:space="0" w:color="000000"/>
              <w:right w:val="single" w:sz="4" w:space="0" w:color="000000"/>
            </w:tcBorders>
            <w:shd w:val="clear" w:color="auto" w:fill="D2D2D2"/>
          </w:tcPr>
          <w:p>
            <w:pPr/>
          </w:p>
        </w:tc>
      </w:tr>
      <w:tr>
        <w:trPr>
          <w:trHeight w:val="140" w:hRule="exact"/>
        </w:trPr>
        <w:tc>
          <w:tcPr>
            <w:tcW w:w="198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84" w:type="dxa"/>
            <w:vMerge/>
            <w:tcBorders>
              <w:left w:val="single" w:sz="4" w:space="0" w:color="000000"/>
              <w:right w:val="single" w:sz="4" w:space="0" w:color="000000"/>
            </w:tcBorders>
            <w:shd w:val="clear" w:color="auto" w:fill="D2D2D2"/>
          </w:tcPr>
          <w:p>
            <w:pPr/>
          </w:p>
        </w:tc>
        <w:tc>
          <w:tcPr>
            <w:tcW w:w="977"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222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985" w:type="dxa"/>
            <w:gridSpan w:val="2"/>
            <w:vMerge/>
            <w:tcBorders>
              <w:left w:val="single" w:sz="4" w:space="0" w:color="000000"/>
              <w:bottom w:val="nil" w:sz="6" w:space="0" w:color="auto"/>
              <w:right w:val="single" w:sz="4" w:space="0" w:color="000000"/>
            </w:tcBorders>
            <w:shd w:val="clear" w:color="auto" w:fill="D2D2D2"/>
          </w:tcPr>
          <w:p>
            <w:pPr/>
          </w:p>
        </w:tc>
        <w:tc>
          <w:tcPr>
            <w:tcW w:w="896"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977"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7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985" w:type="dxa"/>
            <w:gridSpan w:val="2"/>
            <w:vMerge w:val="restart"/>
            <w:tcBorders>
              <w:top w:val="nil" w:sz="6" w:space="0" w:color="auto"/>
              <w:left w:val="single" w:sz="4" w:space="0" w:color="000000"/>
              <w:right w:val="single" w:sz="4" w:space="0" w:color="000000"/>
            </w:tcBorders>
            <w:shd w:val="clear" w:color="auto" w:fill="D2D2D2"/>
          </w:tcPr>
          <w:p>
            <w:pPr/>
          </w:p>
        </w:tc>
        <w:tc>
          <w:tcPr>
            <w:tcW w:w="896"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977"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896"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香港喜多来集团有限公 司</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22.67%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82,466,767</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-9,061,702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82,466,767</w:t>
            </w:r>
          </w:p>
        </w:tc>
        <w:tc>
          <w:tcPr>
            <w:tcW w:w="881" w:type="dxa"/>
            <w:tcBorders>
              <w:top w:val="single" w:sz="48" w:space="0" w:color="D2D2D2"/>
              <w:left w:val="single" w:sz="4" w:space="0" w:color="000000"/>
              <w:bottom w:val="single" w:sz="4" w:space="0" w:color="000000"/>
              <w:right w:val="single" w:sz="4" w:space="0" w:color="000000"/>
            </w:tcBorders>
          </w:tcPr>
          <w:p>
            <w:pPr/>
          </w:p>
        </w:tc>
        <w:tc>
          <w:tcPr>
            <w:tcW w:w="1348" w:type="dxa"/>
            <w:gridSpan w:val="2"/>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北京中嘉华信息技术有 限公司</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11.04%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40,147,200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40,147,200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40,147,200</w:t>
            </w: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济南发展国有工业资产 经营有限公司</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9.09%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33,062,400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33,062,400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3,320,469</w:t>
            </w: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浪潮电子信息产业股份 有限公司</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6.18%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22,472,139</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-6,989,941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22,472,139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4,743,529</w:t>
            </w:r>
          </w:p>
        </w:tc>
      </w:tr>
      <w:tr>
        <w:trPr>
          <w:trHeight w:val="1026"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50"/>
              <w:jc w:val="both"/>
              <w:rPr>
                <w:rFonts w:ascii="宋体" w:hAnsi="宋体" w:cs="宋体" w:eastAsia="宋体" w:hint="default"/>
                <w:sz w:val="18"/>
                <w:szCs w:val="18"/>
              </w:rPr>
            </w:pPr>
            <w:r>
              <w:rPr>
                <w:rFonts w:ascii="宋体" w:hAnsi="宋体" w:cs="宋体" w:eastAsia="宋体" w:hint="default"/>
                <w:sz w:val="18"/>
                <w:szCs w:val="18"/>
              </w:rPr>
              <w:t>重庆国际信托股份有限 公司－渝信增利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18,493,900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18,493,900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18,493,900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全国社保基金四一五组 合</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8,265,852</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8,265,852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8,265,852</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6,863,800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6,863,800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6,863,800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both"/>
              <w:rPr>
                <w:rFonts w:ascii="宋体" w:hAnsi="宋体" w:cs="宋体" w:eastAsia="宋体" w:hint="default"/>
                <w:sz w:val="18"/>
                <w:szCs w:val="18"/>
              </w:rPr>
            </w:pPr>
            <w:r>
              <w:rPr>
                <w:rFonts w:ascii="宋体" w:hAnsi="宋体" w:cs="宋体" w:eastAsia="宋体" w:hint="default"/>
                <w:sz w:val="18"/>
                <w:szCs w:val="18"/>
              </w:rPr>
              <w:t>中国工商银行股份有限 公司－富国天惠精选成 长混合型证券投资基金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1.37%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5,000,000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p>
            <w:pPr>
              <w:pStyle w:val="TableParagraph"/>
              <w:spacing w:line="319" w:lineRule="auto" w:before="75"/>
              <w:ind w:left="22" w:right="150"/>
              <w:jc w:val="left"/>
              <w:rPr>
                <w:rFonts w:ascii="宋体" w:hAnsi="宋体" w:cs="宋体" w:eastAsia="宋体" w:hint="default"/>
                <w:sz w:val="18"/>
                <w:szCs w:val="18"/>
              </w:rPr>
            </w:pPr>
            <w:r>
              <w:rPr>
                <w:rFonts w:ascii="宋体" w:hAnsi="宋体" w:cs="宋体" w:eastAsia="宋体" w:hint="default"/>
                <w:sz w:val="18"/>
                <w:szCs w:val="18"/>
              </w:rPr>
              <w:t>－富国改革动力混合型 证券投资基金</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4,500,000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全国社保基金一一六组 合</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1.11%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4,029,762</w:t>
            </w:r>
          </w:p>
        </w:tc>
        <w:tc>
          <w:tcPr>
            <w:tcW w:w="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4,029,762</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4,029,762</w:t>
            </w:r>
          </w:p>
        </w:tc>
        <w:tc>
          <w:tcPr>
            <w:tcW w:w="88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61"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861" w:type="dxa"/>
            <w:gridSpan w:val="1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1"/>
              <w:ind w:left="15"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北京中嘉华信息技术有限公司基于对公司未来发展的信心以及对公司价值的认可，于</w:t>
            </w:r>
          </w:p>
          <w:p>
            <w:pPr>
              <w:pStyle w:val="TableParagraph"/>
              <w:spacing w:line="240" w:lineRule="auto" w:before="7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日设立了《重庆信托</w:t>
            </w:r>
            <w:r>
              <w:rPr>
                <w:rFonts w:ascii="Times New Roman" w:hAnsi="Times New Roman" w:cs="Times New Roman" w:eastAsia="Times New Roman" w:hint="default"/>
                <w:sz w:val="18"/>
                <w:szCs w:val="18"/>
              </w:rPr>
              <w:t>-</w:t>
            </w:r>
            <w:r>
              <w:rPr>
                <w:rFonts w:ascii="宋体" w:hAnsi="宋体" w:cs="宋体" w:eastAsia="宋体" w:hint="default"/>
                <w:sz w:val="18"/>
                <w:szCs w:val="18"/>
              </w:rPr>
              <w:t>渝信增利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w:t>
            </w:r>
            <w:r>
              <w:rPr>
                <w:rFonts w:ascii="宋体" w:hAnsi="宋体" w:cs="宋体" w:eastAsia="宋体" w:hint="default"/>
                <w:spacing w:val="1"/>
                <w:sz w:val="18"/>
                <w:szCs w:val="18"/>
              </w:rPr>
              <w:t>资</w:t>
            </w:r>
            <w:r>
              <w:rPr>
                <w:rFonts w:ascii="宋体" w:hAnsi="宋体" w:cs="宋体" w:eastAsia="宋体" w:hint="default"/>
                <w:sz w:val="18"/>
                <w:szCs w:val="18"/>
              </w:rPr>
              <w:t>金信托计划</w:t>
            </w:r>
            <w:r>
              <w:rPr>
                <w:rFonts w:ascii="宋体" w:hAnsi="宋体" w:cs="宋体" w:eastAsia="宋体" w:hint="default"/>
                <w:spacing w:val="-90"/>
                <w:sz w:val="18"/>
                <w:szCs w:val="18"/>
              </w:rPr>
              <w:t>》</w:t>
            </w:r>
            <w:r>
              <w:rPr>
                <w:rFonts w:ascii="宋体" w:hAnsi="宋体" w:cs="宋体" w:eastAsia="宋体" w:hint="default"/>
                <w:sz w:val="18"/>
                <w:szCs w:val="18"/>
              </w:rPr>
              <w:t>，通过该计划的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4165"/>
        <w:gridCol w:w="1349"/>
        <w:gridCol w:w="1348"/>
      </w:tblGrid>
      <w:tr>
        <w:trPr>
          <w:trHeight w:val="67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专用证券账户增持本公司股票，因此前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北京中嘉华信息技术有限公司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重庆国际信托有限公司－渝信增利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系一致行动人。</w:t>
            </w:r>
          </w:p>
        </w:tc>
      </w:tr>
      <w:tr>
        <w:trPr>
          <w:trHeight w:val="402" w:hRule="exact"/>
        </w:trPr>
        <w:tc>
          <w:tcPr>
            <w:tcW w:w="97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1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4165"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82,466,767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82,466,767</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40,147,200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 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33,062,400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33,062,400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22,472,139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22,472,139</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重庆国际信托股份有限公司－渝信 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18,493,900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18,493,900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全国社保基金四一五组合</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8,265,852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8,265,852</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6,863,800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天惠精选成长混合型证券投资基金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 动力混合型证券投资基金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4,029,762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4,029,762</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86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北京中嘉华信息技术有限公司基于对公司未来发展的信心以及对公司价值的认可，于</w:t>
            </w:r>
          </w:p>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日设立了《重庆信托</w:t>
            </w:r>
            <w:r>
              <w:rPr>
                <w:rFonts w:ascii="Times New Roman" w:hAnsi="Times New Roman" w:cs="Times New Roman" w:eastAsia="Times New Roman" w:hint="default"/>
                <w:sz w:val="18"/>
                <w:szCs w:val="18"/>
              </w:rPr>
              <w:t>-</w:t>
            </w:r>
            <w:r>
              <w:rPr>
                <w:rFonts w:ascii="宋体" w:hAnsi="宋体" w:cs="宋体" w:eastAsia="宋体" w:hint="default"/>
                <w:sz w:val="18"/>
                <w:szCs w:val="18"/>
              </w:rPr>
              <w:t>渝信增利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w:t>
            </w:r>
            <w:r>
              <w:rPr>
                <w:rFonts w:ascii="宋体" w:hAnsi="宋体" w:cs="宋体" w:eastAsia="宋体" w:hint="default"/>
                <w:spacing w:val="1"/>
                <w:sz w:val="18"/>
                <w:szCs w:val="18"/>
              </w:rPr>
              <w:t>资</w:t>
            </w:r>
            <w:r>
              <w:rPr>
                <w:rFonts w:ascii="宋体" w:hAnsi="宋体" w:cs="宋体" w:eastAsia="宋体" w:hint="default"/>
                <w:sz w:val="18"/>
                <w:szCs w:val="18"/>
              </w:rPr>
              <w:t>金信托计划</w:t>
            </w:r>
            <w:r>
              <w:rPr>
                <w:rFonts w:ascii="宋体" w:hAnsi="宋体" w:cs="宋体" w:eastAsia="宋体" w:hint="default"/>
                <w:spacing w:val="-90"/>
                <w:sz w:val="18"/>
                <w:szCs w:val="18"/>
              </w:rPr>
              <w:t>》</w:t>
            </w:r>
            <w:r>
              <w:rPr>
                <w:rFonts w:ascii="宋体" w:hAnsi="宋体" w:cs="宋体" w:eastAsia="宋体" w:hint="default"/>
                <w:sz w:val="18"/>
                <w:szCs w:val="18"/>
              </w:rPr>
              <w:t>，通过该计划的</w:t>
            </w:r>
          </w:p>
          <w:p>
            <w:pPr>
              <w:pStyle w:val="TableParagraph"/>
              <w:spacing w:line="240" w:lineRule="auto" w:before="63"/>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专用证券账户增持本公司股票，因此前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北京中嘉华信息技术有限公司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重庆国际信托有限公司－渝信增利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系一致行动人。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6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3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773"/>
        <w:jc w:val="left"/>
      </w:pPr>
      <w:r>
        <w:rPr/>
        <w:t>控股股东性质：外商控股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香港喜多来集团有限公 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国际原材料贸易和实业 投资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997"/>
        <w:gridCol w:w="7572"/>
      </w:tblGrid>
      <w:tr>
        <w:trPr>
          <w:trHeight w:val="332" w:hRule="exact"/>
        </w:trPr>
        <w:tc>
          <w:tcPr>
            <w:tcW w:w="1997" w:type="dxa"/>
            <w:tcBorders>
              <w:top w:val="nil" w:sz="6" w:space="0" w:color="auto"/>
              <w:left w:val="nil" w:sz="6" w:space="0" w:color="auto"/>
              <w:bottom w:val="single" w:sz="4" w:space="0" w:color="000000"/>
              <w:right w:val="nil" w:sz="6" w:space="0" w:color="auto"/>
            </w:tcBorders>
          </w:tcPr>
          <w:p>
            <w:pPr/>
          </w:p>
        </w:tc>
        <w:tc>
          <w:tcPr>
            <w:tcW w:w="7572" w:type="dxa"/>
            <w:tcBorders>
              <w:top w:val="nil" w:sz="6" w:space="0" w:color="auto"/>
              <w:left w:val="nil" w:sz="6" w:space="0" w:color="auto"/>
              <w:bottom w:val="single" w:sz="4" w:space="0" w:color="000000"/>
              <w:right w:val="nil" w:sz="6" w:space="0" w:color="auto"/>
            </w:tcBorders>
          </w:tcPr>
          <w:p>
            <w:pP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2"/>
        <w:jc w:val="left"/>
      </w:pPr>
      <w:r>
        <w:rPr/>
        <w:pict>
          <v:group style="position:absolute;margin-left:55.200001pt;margin-top:-68.178284pt;width:485pt;height:.1pt;mso-position-horizontal-relative:page;mso-position-vertical-relative:paragraph;z-index:-776512" coordorigin="1104,-1364" coordsize="9700,2">
            <v:shape style="position:absolute;left:1104;top:-1364;width:9700;height:2" coordorigin="1104,-1364" coordsize="9700,0" path="m1104,-1364l10804,-1364e" filled="false" stroked="true" strokeweight=".72pt" strokecolor="#000000">
              <v:path arrowok="t"/>
            </v:shape>
            <w10:wrap type="none"/>
          </v:group>
        </w:pict>
      </w: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实际控制人性质：境外自然人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年至今任香港喜多来集团有限公司 </w:t>
            </w:r>
            <w:r>
              <w:rPr>
                <w:rFonts w:ascii="宋体" w:hAnsi="宋体" w:cs="宋体" w:eastAsia="宋体" w:hint="default"/>
                <w:spacing w:val="-3"/>
                <w:sz w:val="18"/>
                <w:szCs w:val="18"/>
              </w:rPr>
              <w:t>董事、总裁；</w:t>
            </w:r>
            <w:r>
              <w:rPr>
                <w:rFonts w:ascii="Times New Roman" w:hAnsi="Times New Roman" w:cs="Times New Roman" w:eastAsia="Times New Roman" w:hint="default"/>
                <w:spacing w:val="-3"/>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日任东港股份有限公司董事、副董事长。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1132"/>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18"/>
          <w:szCs w:val="18"/>
        </w:rPr>
      </w:pPr>
    </w:p>
    <w:p>
      <w:pPr>
        <w:spacing w:line="4260" w:lineRule="exact"/>
        <w:ind w:left="2985"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2522940" cy="27051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2522940"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8"/>
        <w:rPr>
          <w:rFonts w:ascii="宋体" w:hAnsi="宋体" w:cs="宋体" w:eastAsia="宋体" w:hint="default"/>
          <w:sz w:val="16"/>
          <w:szCs w:val="16"/>
        </w:rPr>
      </w:pPr>
    </w:p>
    <w:p>
      <w:pPr>
        <w:spacing w:before="0"/>
        <w:ind w:left="153" w:right="1132"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98.968292pt;width:479.2pt;height:134.3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701"/>
                    <w:gridCol w:w="1559"/>
                    <w:gridCol w:w="1277"/>
                    <w:gridCol w:w="2904"/>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64" w:right="99"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96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北京中嘉华信息技术有限 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软件开发、数据处理服务，经济贸易</w:t>
                        </w:r>
                        <w:r>
                          <w:rPr>
                            <w:rFonts w:ascii="宋体" w:hAnsi="宋体" w:cs="宋体" w:eastAsia="宋体" w:hint="default"/>
                            <w:sz w:val="18"/>
                            <w:szCs w:val="18"/>
                          </w:rPr>
                          <w:t> </w:t>
                        </w:r>
                        <w:r>
                          <w:rPr>
                            <w:rFonts w:ascii="宋体" w:hAnsi="宋体" w:cs="宋体" w:eastAsia="宋体" w:hint="default"/>
                            <w:spacing w:val="-3"/>
                            <w:sz w:val="18"/>
                            <w:szCs w:val="18"/>
                          </w:rPr>
                          <w:t>咨询，投资咨询、企业管理咨询；销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售计算机、软件及辅助设备（计算机</w:t>
                        </w:r>
                        <w:r>
                          <w:rPr>
                            <w:rFonts w:ascii="宋体" w:hAnsi="宋体" w:cs="宋体" w:eastAsia="宋体" w:hint="default"/>
                            <w:sz w:val="18"/>
                            <w:szCs w:val="18"/>
                          </w:rPr>
                          <w:t> </w:t>
                        </w:r>
                        <w:r>
                          <w:rPr>
                            <w:rFonts w:ascii="宋体" w:hAnsi="宋体" w:cs="宋体" w:eastAsia="宋体" w:hint="default"/>
                            <w:spacing w:val="-6"/>
                            <w:sz w:val="18"/>
                            <w:szCs w:val="18"/>
                          </w:rPr>
                          <w:t>信息系统安全专用产品除外）、电子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产品、日用品、五金交电、机械设备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纸张。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1132"/>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32"/>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32"/>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2"/>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874"/>
        <w:gridCol w:w="797"/>
        <w:gridCol w:w="797"/>
        <w:gridCol w:w="798"/>
        <w:gridCol w:w="872"/>
        <w:gridCol w:w="893"/>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1" w:right="7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3"/>
                <w:sz w:val="18"/>
                <w:szCs w:val="18"/>
              </w:rPr>
              <w:t>、</w:t>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pacing w:val="-17"/>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874"/>
        <w:gridCol w:w="797"/>
        <w:gridCol w:w="797"/>
        <w:gridCol w:w="798"/>
        <w:gridCol w:w="872"/>
        <w:gridCol w:w="893"/>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7"/>
                <w:sz w:val="18"/>
                <w:szCs w:val="18"/>
              </w:rPr>
              <w:t>副总裁、财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7"/>
                <w:sz w:val="18"/>
                <w:szCs w:val="18"/>
              </w:rPr>
              <w:t>副总裁、董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155,800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2"/>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680"/>
        <w:gridCol w:w="389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2"/>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633" w:right="3733" w:hanging="480"/>
        <w:jc w:val="left"/>
      </w:pPr>
      <w:r>
        <w:rPr/>
        <w:t>公司现任董事、监事、高级管理人员专业背景、主要工作经历以及目前在公司的主要职责 一、现任董事</w:t>
      </w:r>
    </w:p>
    <w:p>
      <w:pPr>
        <w:pStyle w:val="BodyText"/>
        <w:spacing w:line="224" w:lineRule="exact"/>
        <w:ind w:right="0" w:firstLine="480"/>
        <w:jc w:val="left"/>
      </w:pPr>
      <w:r>
        <w:rPr/>
        <w:t>王爱先先生：大学学历，中共党员。曾任浪潮电子信息产业集团公司董事长、党委书记，中共十六大代表，现兼任北</w:t>
      </w:r>
    </w:p>
    <w:p>
      <w:pPr>
        <w:pStyle w:val="BodyText"/>
        <w:spacing w:line="316" w:lineRule="auto" w:before="76"/>
        <w:ind w:right="1132"/>
        <w:jc w:val="left"/>
      </w:pPr>
      <w:r>
        <w:rPr>
          <w:spacing w:val="-2"/>
        </w:rPr>
        <w:t>京东港嘉华安全信息技术有限公司董事长，山东东港数据处理有限公司董事长、新疆东港安全印刷有限公司董事长、成都东</w:t>
      </w:r>
      <w:r>
        <w:rPr>
          <w:spacing w:val="-66"/>
        </w:rPr>
        <w:t> </w:t>
      </w:r>
      <w:r>
        <w:rPr>
          <w:spacing w:val="-66"/>
        </w:rPr>
      </w:r>
      <w:r>
        <w:rPr/>
        <w:t>港安全印刷有限公司董事长。王爱先先生自</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月起任本公司副董事长，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月起任本公司董事长。</w:t>
      </w:r>
    </w:p>
    <w:p>
      <w:pPr>
        <w:pStyle w:val="BodyText"/>
        <w:spacing w:line="319" w:lineRule="auto"/>
        <w:ind w:right="0" w:firstLine="480"/>
        <w:jc w:val="left"/>
      </w:pPr>
      <w:r>
        <w:rPr/>
        <w:t>史建中先生：大学学历，曾任山东省交通厅印刷所业务员、济南东港安全印务有限公司副总经理、常务副总经理。现 </w:t>
      </w:r>
      <w:r>
        <w:rPr>
          <w:spacing w:val="-2"/>
        </w:rPr>
        <w:t>兼任北京东港安全印刷有限公司董事长，北京中嘉华信息技术有限公司董事，郑州东港安全印刷有限公司董事长，新疆东港</w:t>
      </w:r>
      <w:r>
        <w:rPr>
          <w:spacing w:val="-66"/>
        </w:rPr>
        <w:t> </w:t>
      </w:r>
      <w:r>
        <w:rPr>
          <w:spacing w:val="-66"/>
        </w:rPr>
      </w:r>
      <w:r>
        <w:rPr>
          <w:spacing w:val="-2"/>
        </w:rPr>
        <w:t>安全印刷有限公司董事，上海东港安全印刷有限公司董事长、青海东港安全印刷有限公司董事长，北京东港嘉华安全信息技</w:t>
      </w:r>
      <w:r>
        <w:rPr>
          <w:spacing w:val="-66"/>
        </w:rPr>
        <w:t> </w:t>
      </w:r>
      <w:r>
        <w:rPr>
          <w:spacing w:val="-66"/>
        </w:rPr>
      </w:r>
      <w:r>
        <w:rPr>
          <w:spacing w:val="-4"/>
        </w:rPr>
        <w:t>术有限公司董事，广州东港安全印刷有限公司董事长，上海东港数据处理有限公司董事长，山东东港数据处理有限公司董事、</w:t>
      </w:r>
      <w:r>
        <w:rPr>
          <w:spacing w:val="-44"/>
        </w:rPr>
        <w:t> </w:t>
      </w:r>
      <w:r>
        <w:rPr>
          <w:spacing w:val="-44"/>
        </w:rPr>
      </w:r>
      <w:r>
        <w:rPr/>
        <w:t>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月起任本公司董事、总经理、总裁。</w:t>
      </w:r>
    </w:p>
    <w:p>
      <w:pPr>
        <w:pStyle w:val="BodyText"/>
        <w:spacing w:line="300" w:lineRule="auto"/>
        <w:ind w:left="154" w:right="1132" w:firstLine="480"/>
        <w:jc w:val="left"/>
      </w:pPr>
      <w:r>
        <w:rPr/>
        <w:t>石枫先生：硕士，曾任上海申井钢材加工配送有限公司副总经理，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月至今，任长春一汽鞍井钢材加工配送有 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月起任本公司董事。</w:t>
      </w:r>
    </w:p>
    <w:p>
      <w:pPr>
        <w:pStyle w:val="BodyText"/>
        <w:spacing w:line="240" w:lineRule="auto" w:before="13"/>
        <w:ind w:left="633" w:right="0"/>
        <w:jc w:val="left"/>
      </w:pPr>
      <w:r>
        <w:rPr/>
        <w:t>夏文庆先生：大专学历，中共党员。曾任济南市历城区金属回收公司财务科科长，济南龙启鑫房屋租赁中心财务科科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33" w:right="1132" w:hanging="480"/>
        <w:jc w:val="left"/>
      </w:pPr>
      <w:r>
        <w:rPr/>
        <w:t>长，现任济南龙启鑫房屋租赁中心经理。夏文庆先生自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月起任本公司董事。 </w:t>
      </w:r>
      <w:r>
        <w:rPr>
          <w:spacing w:val="-1"/>
        </w:rPr>
        <w:t>刘宏先生：研究生学历、助理经济师。现兼任北京东港安全印刷有限公司董事，北京东港嘉华安全信息技术有限公司</w:t>
      </w:r>
    </w:p>
    <w:p>
      <w:pPr>
        <w:pStyle w:val="BodyText"/>
        <w:spacing w:line="316" w:lineRule="auto" w:before="31"/>
        <w:ind w:right="1132"/>
        <w:jc w:val="left"/>
      </w:pPr>
      <w:r>
        <w:rPr>
          <w:spacing w:val="-2"/>
        </w:rPr>
        <w:t>董事、总裁，北京瑞宏科技有限公司董事长、北京瑞云档案管理有限公司董事长，青岛瑞宏科技有限公司董事长，天津征瑞</w:t>
      </w:r>
      <w:r>
        <w:rPr>
          <w:spacing w:val="-66"/>
        </w:rPr>
        <w:t> </w:t>
      </w:r>
      <w:r>
        <w:rPr>
          <w:spacing w:val="-66"/>
        </w:rPr>
      </w:r>
      <w:r>
        <w:rPr/>
        <w:t>科技有限公司董事长等职。刘宏先生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月起担任本公司副总裁，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月起任为本公司董事。</w:t>
      </w:r>
    </w:p>
    <w:p>
      <w:pPr>
        <w:pStyle w:val="BodyText"/>
        <w:spacing w:line="316" w:lineRule="auto"/>
        <w:ind w:right="1093" w:firstLine="480"/>
        <w:jc w:val="left"/>
      </w:pPr>
      <w:r>
        <w:rPr/>
        <w:t>郝纪勇先生：大学本科学历，律师，中共党员。曾任山东大正泰和律师事务所律师、山东北方永丰律师事务所律师， 现任山东京鲁律师事务所主任，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月起担任本公司独立董事。</w:t>
      </w:r>
    </w:p>
    <w:p>
      <w:pPr>
        <w:pStyle w:val="BodyText"/>
        <w:spacing w:line="316" w:lineRule="auto"/>
        <w:ind w:left="154" w:right="1130" w:firstLine="360"/>
        <w:jc w:val="both"/>
      </w:pPr>
      <w:r>
        <w:rPr>
          <w:spacing w:val="-2"/>
        </w:rPr>
        <w:t>万刚先生：硕士，中级经济师，中共党员，曾任中国建设银行青岛市分行会计部副总经理、营运管理部副总经理，中信</w:t>
      </w:r>
      <w:r>
        <w:rPr/>
        <w:t> </w:t>
      </w:r>
      <w:r>
        <w:rPr>
          <w:spacing w:val="-2"/>
        </w:rPr>
        <w:t>银行青岛分行会计部总经理、会计部总经理兼营业部总经理、营业部总经理，现任长安国际信托股份有限公司总裁助理兼长</w:t>
      </w:r>
      <w:r>
        <w:rPr>
          <w:spacing w:val="-66"/>
        </w:rPr>
        <w:t> </w:t>
      </w:r>
      <w:r>
        <w:rPr>
          <w:spacing w:val="-66"/>
        </w:rPr>
      </w:r>
      <w:r>
        <w:rPr/>
        <w:t>安财富中心总经理。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月起担任本公司独立董事。</w:t>
      </w:r>
    </w:p>
    <w:p>
      <w:pPr>
        <w:pStyle w:val="BodyText"/>
        <w:spacing w:line="316" w:lineRule="auto"/>
        <w:ind w:left="154" w:right="1133" w:firstLine="360"/>
        <w:jc w:val="both"/>
      </w:pPr>
      <w:r>
        <w:rPr>
          <w:spacing w:val="-2"/>
        </w:rPr>
        <w:t>许斌先生：本科学历，注册会计师。曾任中友会计师事务所项目经理、华清基业投资管理有限公司财务总监，现任北京</w:t>
      </w:r>
      <w:r>
        <w:rPr/>
        <w:t> 巅峰智业旅游文化创意股份有限公司董事会秘书兼财务总监。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月起担任本公司独立董事。</w:t>
      </w:r>
    </w:p>
    <w:p>
      <w:pPr>
        <w:pStyle w:val="BodyText"/>
        <w:spacing w:line="316" w:lineRule="auto"/>
        <w:ind w:left="513" w:right="1132"/>
        <w:jc w:val="left"/>
      </w:pPr>
      <w:r>
        <w:rPr/>
        <w:t>二、现任监事 </w:t>
      </w:r>
      <w:r>
        <w:rPr>
          <w:spacing w:val="-2"/>
        </w:rPr>
        <w:t>李安龙先生：大学学历，中共党员。曾任济南益东纸制品有限公司总经理。现任济南益东纸制品有限公司董事长；北京</w:t>
      </w:r>
    </w:p>
    <w:p>
      <w:pPr>
        <w:pStyle w:val="BodyText"/>
        <w:spacing w:line="300" w:lineRule="auto" w:before="19"/>
        <w:ind w:left="453" w:right="1132" w:hanging="300"/>
        <w:jc w:val="left"/>
      </w:pPr>
      <w:r>
        <w:rPr/>
        <w:t>中嘉华信息技术有限公司董事长。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月起，担任本公司监事会主席。 </w:t>
      </w:r>
      <w:r>
        <w:rPr>
          <w:spacing w:val="-1"/>
        </w:rPr>
        <w:t>李保政先生：大学学历，高级会计师。曾任浪潮集团有限公司企业管理部副经理，财金中心副经理，现任浪潮集团有限</w:t>
      </w:r>
    </w:p>
    <w:p>
      <w:pPr>
        <w:pStyle w:val="BodyText"/>
        <w:spacing w:line="300" w:lineRule="auto" w:before="31"/>
        <w:ind w:left="514" w:right="0" w:hanging="360"/>
        <w:jc w:val="left"/>
      </w:pPr>
      <w:r>
        <w:rPr/>
        <w:t>公司财金中心经理。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月起任本公司监事。 </w:t>
      </w:r>
      <w:r>
        <w:rPr>
          <w:spacing w:val="-2"/>
        </w:rPr>
        <w:t>娄本美女士：大学学历，中共党员。曾任济南市历城区再生资源公司会计，济南市历城区盘龙山建材厂会计，现任济南</w:t>
      </w:r>
    </w:p>
    <w:p>
      <w:pPr>
        <w:pStyle w:val="BodyText"/>
        <w:spacing w:line="300" w:lineRule="auto" w:before="31"/>
        <w:ind w:left="454" w:right="0" w:hanging="300"/>
        <w:jc w:val="left"/>
      </w:pPr>
      <w:r>
        <w:rPr/>
        <w:t>发展国有工业资产经营有限公司会计。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月起任本公司监事。 </w:t>
      </w:r>
      <w:r>
        <w:rPr>
          <w:spacing w:val="-1"/>
        </w:rPr>
        <w:t>王晓延先生：硕士，经济师。</w:t>
      </w:r>
      <w:r>
        <w:rPr>
          <w:rFonts w:ascii="Times New Roman" w:hAnsi="Times New Roman" w:cs="Times New Roman" w:eastAsia="Times New Roman" w:hint="default"/>
          <w:spacing w:val="-1"/>
        </w:rPr>
        <w:t>1996</w:t>
      </w:r>
      <w:r>
        <w:rPr>
          <w:spacing w:val="-1"/>
        </w:rPr>
        <w:t>年进入本公司工作，曾任本公司销售业务员、证券事务代表，现任本公司销售管理总</w:t>
      </w:r>
    </w:p>
    <w:p>
      <w:pPr>
        <w:pStyle w:val="BodyText"/>
        <w:spacing w:line="300" w:lineRule="auto" w:before="13"/>
        <w:ind w:left="444" w:right="1132" w:hanging="291"/>
        <w:jc w:val="left"/>
      </w:pPr>
      <w:r>
        <w:rPr/>
        <w:t>部市场组经理。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月起，担任本公司职工代表监事。 </w:t>
      </w:r>
      <w:r>
        <w:rPr>
          <w:spacing w:val="-1"/>
        </w:rPr>
        <w:t>张力女士：本科学历，高级工程师。</w:t>
      </w:r>
      <w:r>
        <w:rPr>
          <w:rFonts w:ascii="Times New Roman" w:hAnsi="Times New Roman" w:cs="Times New Roman" w:eastAsia="Times New Roman" w:hint="default"/>
          <w:spacing w:val="-1"/>
        </w:rPr>
        <w:t>1996</w:t>
      </w:r>
      <w:r>
        <w:rPr>
          <w:spacing w:val="-1"/>
        </w:rPr>
        <w:t>年进入本公司工作，历任本公司技术处副处长、处长，质量管理部经理，现任</w:t>
      </w:r>
    </w:p>
    <w:p>
      <w:pPr>
        <w:pStyle w:val="BodyText"/>
        <w:spacing w:line="300" w:lineRule="auto" w:before="13"/>
        <w:ind w:right="5083"/>
        <w:jc w:val="left"/>
      </w:pPr>
      <w:r>
        <w:rPr/>
        <w:t>生产管理总部技术质量主管。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月起，担任本公司职工代表监事。 三、现任高级管理人员</w:t>
      </w:r>
    </w:p>
    <w:p>
      <w:pPr>
        <w:pStyle w:val="BodyText"/>
        <w:spacing w:line="300" w:lineRule="auto" w:before="31"/>
        <w:ind w:left="513" w:right="1132" w:hanging="70"/>
        <w:jc w:val="left"/>
      </w:pPr>
      <w:r>
        <w:rPr/>
        <w:t>总裁史建中先生：详见现任</w:t>
      </w:r>
      <w:r>
        <w:rPr>
          <w:rFonts w:ascii="Times New Roman" w:hAnsi="Times New Roman" w:cs="Times New Roman" w:eastAsia="Times New Roman" w:hint="default"/>
        </w:rPr>
        <w:t>“</w:t>
      </w:r>
      <w:r>
        <w:rPr/>
        <w:t>一、现任董事</w:t>
      </w:r>
      <w:r>
        <w:rPr>
          <w:rFonts w:ascii="Times New Roman" w:hAnsi="Times New Roman" w:cs="Times New Roman" w:eastAsia="Times New Roman" w:hint="default"/>
        </w:rPr>
        <w:t>”</w:t>
      </w:r>
      <w:r>
        <w:rPr/>
        <w:t>中史建中先生的介绍。 副总裁刘宏先生：详见现任</w:t>
      </w:r>
      <w:r>
        <w:rPr>
          <w:rFonts w:ascii="Times New Roman" w:hAnsi="Times New Roman" w:cs="Times New Roman" w:eastAsia="Times New Roman" w:hint="default"/>
        </w:rPr>
        <w:t>“</w:t>
      </w:r>
      <w:r>
        <w:rPr/>
        <w:t>一、现任董事</w:t>
      </w:r>
      <w:r>
        <w:rPr>
          <w:rFonts w:ascii="Times New Roman" w:hAnsi="Times New Roman" w:cs="Times New Roman" w:eastAsia="Times New Roman" w:hint="default"/>
        </w:rPr>
        <w:t>”</w:t>
      </w:r>
      <w:r>
        <w:rPr/>
        <w:t>中刘宏先生的介绍。 </w:t>
      </w:r>
      <w:r>
        <w:rPr>
          <w:spacing w:val="-2"/>
        </w:rPr>
        <w:t>常务副总裁唐国奇先生：硕士，经济师。现兼任郑州东港安全印刷有限公司董事，上海东港安全印刷有限公司董事，上</w:t>
      </w:r>
    </w:p>
    <w:p>
      <w:pPr>
        <w:pStyle w:val="BodyText"/>
        <w:spacing w:line="300" w:lineRule="auto" w:before="31"/>
        <w:ind w:left="513" w:right="1123" w:hanging="360"/>
        <w:jc w:val="left"/>
      </w:pPr>
      <w:r>
        <w:rPr/>
        <w:t>海东港数据处理有限公司董事。</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月起任本公司常务副总裁、技术负责人。 副总裁朱震先生：大学学历。现兼任郑州东港安全印刷有限公司董事、广州东港安全印刷有限公司董事。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w:t>
      </w:r>
    </w:p>
    <w:p>
      <w:pPr>
        <w:pStyle w:val="BodyText"/>
        <w:spacing w:line="316" w:lineRule="auto" w:before="13"/>
        <w:ind w:left="513" w:right="1132" w:hanging="360"/>
        <w:jc w:val="left"/>
      </w:pPr>
      <w:r>
        <w:rPr/>
        <w:t>任本公司副总裁兼销售管理总部经理， </w:t>
      </w:r>
      <w:r>
        <w:rPr>
          <w:spacing w:val="-2"/>
        </w:rPr>
        <w:t>副总裁、财务负责人郑理女士：硕士，高级会计师。现兼任上海东港安全印刷有限公司董事，上海东港数据处理有限公</w:t>
      </w:r>
    </w:p>
    <w:p>
      <w:pPr>
        <w:pStyle w:val="BodyText"/>
        <w:spacing w:line="300" w:lineRule="auto" w:before="19"/>
        <w:ind w:left="444" w:right="1132" w:hanging="291"/>
        <w:jc w:val="left"/>
      </w:pPr>
      <w:r>
        <w:rPr/>
        <w:t>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月起任副总裁兼财务负责人。 </w:t>
      </w:r>
      <w:r>
        <w:rPr>
          <w:spacing w:val="-1"/>
        </w:rPr>
        <w:t>副总裁、董事会秘书齐利国先生：硕士。现兼任山东东港彩意网络科技有限公司董事长，山东东悦网络科技有限公司董</w:t>
      </w:r>
    </w:p>
    <w:p>
      <w:pPr>
        <w:pStyle w:val="BodyText"/>
        <w:spacing w:line="309" w:lineRule="auto" w:before="31"/>
        <w:ind w:right="1129"/>
        <w:jc w:val="both"/>
      </w:pPr>
      <w:r>
        <w:rPr>
          <w:spacing w:val="-2"/>
        </w:rPr>
        <w:t>事长，北京瑞云档案管理有限公司董事，天津征瑞科技有限公司董事，青岛瑞宏科技有限公司董事，上海东港安全印刷有限</w:t>
      </w:r>
      <w:r>
        <w:rPr>
          <w:spacing w:val="-66"/>
        </w:rPr>
        <w:t> </w:t>
      </w:r>
      <w:r>
        <w:rPr>
          <w:spacing w:val="-66"/>
        </w:rPr>
      </w:r>
      <w:r>
        <w:rPr/>
        <w:t>公司监事，青海东港安全印刷有限公司监事，上海东港数据处理有限公司监事，成都东港安全印刷有限公司监事。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月起任本公司副总裁兼董事会秘书、办公室主任。</w:t>
      </w:r>
    </w:p>
    <w:p>
      <w:pPr>
        <w:pStyle w:val="BodyText"/>
        <w:spacing w:line="240" w:lineRule="auto" w:before="65"/>
        <w:ind w:right="1132"/>
        <w:jc w:val="left"/>
      </w:pPr>
      <w:r>
        <w:rPr/>
        <w:t>在股东单位任职情况</w:t>
      </w:r>
    </w:p>
    <w:p>
      <w:pPr>
        <w:pStyle w:val="BodyText"/>
        <w:spacing w:line="240" w:lineRule="auto" w:before="117"/>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612"/>
        <w:gridCol w:w="1078"/>
        <w:gridCol w:w="1564"/>
        <w:gridCol w:w="1245"/>
        <w:gridCol w:w="1486"/>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7"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79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2"/>
        <w:jc w:val="left"/>
      </w:pPr>
      <w:r>
        <w:rPr/>
        <w:t>在其他单位任职情况</w:t>
      </w:r>
    </w:p>
    <w:p>
      <w:pPr>
        <w:pStyle w:val="BodyText"/>
        <w:spacing w:line="240" w:lineRule="auto" w:before="116"/>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3119"/>
        <w:gridCol w:w="1211"/>
        <w:gridCol w:w="1695"/>
        <w:gridCol w:w="1140"/>
        <w:gridCol w:w="1417"/>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3" w:right="72"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长春汽鞍井钢材加工配送有限公司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北京瑞云档案管理有限公司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济南龙启鑫房屋租赁中心经理</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山东京鲁律师事务所</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长安国际信托股股份有限公司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北京巅峰智业旅游文化创意股份有限公 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董事会秘书兼 财务总监</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北京巅峰新赣南投资管理有限公司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北京巅峰嘉业旅游文化投资有限公司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四川川旅景区经营管理有限责任公司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浪潮集团有限公司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财金中心经理</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3119"/>
        <w:gridCol w:w="1211"/>
        <w:gridCol w:w="1695"/>
        <w:gridCol w:w="1140"/>
        <w:gridCol w:w="1417"/>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山东东悦网络科技有限公司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北京瑞云档案管理有限公司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58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2"/>
        <w:jc w:val="left"/>
      </w:pPr>
      <w:r>
        <w:rPr/>
        <w:t>公司现任及报告期内离任董事、监事和高级管理人员近三年证券监管机构处罚的情况</w:t>
      </w:r>
    </w:p>
    <w:p>
      <w:pPr>
        <w:pStyle w:val="BodyText"/>
        <w:spacing w:line="240" w:lineRule="auto" w:before="117"/>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1132" w:hanging="291"/>
        <w:jc w:val="left"/>
      </w:pPr>
      <w:r>
        <w:rPr/>
        <w:t>董事、监事、高级管理人员报酬的决策程序、确定依据、实际支付情况 </w:t>
      </w:r>
      <w:r>
        <w:rPr>
          <w:spacing w:val="-1"/>
        </w:rPr>
        <w:t>公司按照《公司章程》的规定确定董事、监事和高级管理人员的报酬。董事和监事实行津贴制，报酬和支付方法由股东</w:t>
      </w:r>
    </w:p>
    <w:p>
      <w:pPr>
        <w:pStyle w:val="BodyText"/>
        <w:spacing w:line="224" w:lineRule="exact"/>
        <w:ind w:right="0"/>
        <w:jc w:val="left"/>
      </w:pPr>
      <w:r>
        <w:rPr>
          <w:spacing w:val="-4"/>
        </w:rPr>
        <w:t>大会确定；高级管理人员实行年薪制，报酬和支付方法由董事会确定。公司以行业薪酬水平、经济发展状况、居民生活标准、</w:t>
      </w:r>
    </w:p>
    <w:p>
      <w:pPr>
        <w:pStyle w:val="BodyText"/>
        <w:spacing w:line="360" w:lineRule="auto" w:before="76"/>
        <w:ind w:right="2293"/>
        <w:jc w:val="left"/>
      </w:pPr>
      <w:r>
        <w:rPr/>
        <w:t>公司经营业绩、岗位职责要求等为依据，在充分协商的前提下确定董事、监事和高级管理人员的年度薪酬。 公司报告期内董事、监事和高级管理人员报酬情况</w:t>
      </w:r>
    </w:p>
    <w:p>
      <w:pPr>
        <w:pStyle w:val="BodyText"/>
        <w:spacing w:line="240" w:lineRule="auto" w:before="2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32"/>
              <w:jc w:val="left"/>
              <w:rPr>
                <w:rFonts w:ascii="宋体" w:hAnsi="宋体" w:cs="宋体" w:eastAsia="宋体" w:hint="default"/>
                <w:sz w:val="18"/>
                <w:szCs w:val="18"/>
              </w:rPr>
            </w:pPr>
            <w:r>
              <w:rPr>
                <w:rFonts w:ascii="宋体" w:hAnsi="宋体" w:cs="宋体" w:eastAsia="宋体" w:hint="default"/>
                <w:sz w:val="18"/>
                <w:szCs w:val="18"/>
              </w:rPr>
              <w:t>副总裁 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432"/>
              <w:jc w:val="left"/>
              <w:rPr>
                <w:rFonts w:ascii="宋体" w:hAnsi="宋体" w:cs="宋体" w:eastAsia="宋体" w:hint="default"/>
                <w:sz w:val="18"/>
                <w:szCs w:val="18"/>
              </w:rPr>
            </w:pPr>
            <w:r>
              <w:rPr>
                <w:rFonts w:ascii="宋体" w:hAnsi="宋体" w:cs="宋体" w:eastAsia="宋体" w:hint="default"/>
                <w:sz w:val="18"/>
                <w:szCs w:val="18"/>
              </w:rPr>
              <w:t>副总裁 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910.17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2"/>
        <w:jc w:val="left"/>
      </w:pPr>
      <w:r>
        <w:rPr/>
        <w:t>公司董事、监事、高级管理人员报告期内被授予的股权激励情况</w:t>
      </w:r>
    </w:p>
    <w:p>
      <w:pPr>
        <w:pStyle w:val="BodyText"/>
        <w:spacing w:line="240" w:lineRule="auto" w:before="117"/>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2"/>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日，本公司（含控股子公司）员工总数为</w:t>
      </w:r>
      <w:r>
        <w:rPr>
          <w:rFonts w:ascii="Times New Roman" w:hAnsi="Times New Roman" w:cs="Times New Roman" w:eastAsia="Times New Roman" w:hint="default"/>
        </w:rPr>
        <w:t>1899</w:t>
      </w:r>
      <w:r>
        <w:rPr/>
        <w:t>人。</w:t>
      </w:r>
    </w:p>
    <w:p>
      <w:pPr>
        <w:pStyle w:val="Heading4"/>
        <w:spacing w:line="240" w:lineRule="auto" w:before="61"/>
        <w:ind w:right="1132"/>
        <w:jc w:val="left"/>
      </w:pPr>
      <w:r>
        <w:rPr>
          <w:rFonts w:ascii="Times New Roman" w:hAnsi="Times New Roman" w:cs="Times New Roman" w:eastAsia="Times New Roman" w:hint="default"/>
        </w:rPr>
        <w:t>1</w:t>
      </w:r>
      <w:r>
        <w:rPr/>
        <w:t>、专业构成情况如下：</w:t>
      </w:r>
    </w:p>
    <w:p>
      <w:pPr>
        <w:spacing w:line="240" w:lineRule="auto" w:before="8"/>
        <w:rPr>
          <w:rFonts w:ascii="宋体" w:hAnsi="宋体" w:cs="宋体" w:eastAsia="宋体" w:hint="default"/>
          <w:sz w:val="11"/>
          <w:szCs w:val="11"/>
        </w:rPr>
      </w:pPr>
    </w:p>
    <w:tbl>
      <w:tblPr>
        <w:tblW w:w="0" w:type="auto"/>
        <w:jc w:val="left"/>
        <w:tblInd w:w="2872" w:type="dxa"/>
        <w:tblLayout w:type="fixed"/>
        <w:tblCellMar>
          <w:top w:w="0" w:type="dxa"/>
          <w:left w:w="0" w:type="dxa"/>
          <w:bottom w:w="0" w:type="dxa"/>
          <w:right w:w="0" w:type="dxa"/>
        </w:tblCellMar>
        <w:tblLook w:val="01E0"/>
      </w:tblPr>
      <w:tblGrid>
        <w:gridCol w:w="1100"/>
        <w:gridCol w:w="1115"/>
        <w:gridCol w:w="1916"/>
      </w:tblGrid>
      <w:tr>
        <w:trPr>
          <w:trHeight w:val="261"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180" w:lineRule="exact"/>
              <w:ind w:right="32"/>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1916" w:type="dxa"/>
            <w:tcBorders>
              <w:top w:val="nil" w:sz="6" w:space="0" w:color="auto"/>
              <w:left w:val="nil" w:sz="6" w:space="0" w:color="auto"/>
              <w:bottom w:val="nil" w:sz="6" w:space="0" w:color="auto"/>
              <w:right w:val="nil" w:sz="6" w:space="0" w:color="auto"/>
            </w:tcBorders>
          </w:tcPr>
          <w:p>
            <w:pPr>
              <w:pStyle w:val="TableParagraph"/>
              <w:spacing w:line="194" w:lineRule="exact"/>
              <w:ind w:left="13"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占总人数比例（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31"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center"/>
              <w:rPr>
                <w:rFonts w:ascii="Times New Roman" w:hAnsi="Times New Roman" w:cs="Times New Roman" w:eastAsia="Times New Roman" w:hint="default"/>
                <w:sz w:val="18"/>
                <w:szCs w:val="18"/>
              </w:rPr>
            </w:pPr>
            <w:r>
              <w:rPr>
                <w:rFonts w:ascii="Times New Roman"/>
                <w:sz w:val="18"/>
              </w:rPr>
              <w:t>779</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 w:right="0"/>
              <w:jc w:val="center"/>
              <w:rPr>
                <w:rFonts w:ascii="Times New Roman" w:hAnsi="Times New Roman" w:cs="Times New Roman" w:eastAsia="Times New Roman" w:hint="default"/>
                <w:sz w:val="18"/>
                <w:szCs w:val="18"/>
              </w:rPr>
            </w:pPr>
            <w:r>
              <w:rPr>
                <w:rFonts w:ascii="Times New Roman"/>
                <w:sz w:val="18"/>
              </w:rPr>
              <w:t>41.02%</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
              <w:jc w:val="center"/>
              <w:rPr>
                <w:rFonts w:ascii="Times New Roman" w:hAnsi="Times New Roman" w:cs="Times New Roman" w:eastAsia="Times New Roman" w:hint="default"/>
                <w:sz w:val="18"/>
                <w:szCs w:val="18"/>
              </w:rPr>
            </w:pPr>
            <w:r>
              <w:rPr>
                <w:rFonts w:ascii="Times New Roman"/>
                <w:sz w:val="18"/>
              </w:rPr>
              <w:t>242</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 w:right="0"/>
              <w:jc w:val="center"/>
              <w:rPr>
                <w:rFonts w:ascii="Times New Roman" w:hAnsi="Times New Roman" w:cs="Times New Roman" w:eastAsia="Times New Roman" w:hint="default"/>
                <w:sz w:val="18"/>
                <w:szCs w:val="18"/>
              </w:rPr>
            </w:pPr>
            <w:r>
              <w:rPr>
                <w:rFonts w:ascii="Times New Roman"/>
                <w:sz w:val="18"/>
              </w:rPr>
              <w:t>12.75%</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
              <w:jc w:val="center"/>
              <w:rPr>
                <w:rFonts w:ascii="Times New Roman" w:hAnsi="Times New Roman" w:cs="Times New Roman" w:eastAsia="Times New Roman" w:hint="default"/>
                <w:sz w:val="18"/>
                <w:szCs w:val="18"/>
              </w:rPr>
            </w:pPr>
            <w:r>
              <w:rPr>
                <w:rFonts w:ascii="Times New Roman"/>
                <w:sz w:val="18"/>
              </w:rPr>
              <w:t>652</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 w:right="0"/>
              <w:jc w:val="center"/>
              <w:rPr>
                <w:rFonts w:ascii="Times New Roman" w:hAnsi="Times New Roman" w:cs="Times New Roman" w:eastAsia="Times New Roman" w:hint="default"/>
                <w:sz w:val="18"/>
                <w:szCs w:val="18"/>
              </w:rPr>
            </w:pPr>
            <w:r>
              <w:rPr>
                <w:rFonts w:ascii="Times New Roman"/>
                <w:sz w:val="18"/>
              </w:rPr>
              <w:t>34.33%</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1"/>
              <w:jc w:val="center"/>
              <w:rPr>
                <w:rFonts w:ascii="Times New Roman" w:hAnsi="Times New Roman" w:cs="Times New Roman" w:eastAsia="Times New Roman" w:hint="default"/>
                <w:sz w:val="18"/>
                <w:szCs w:val="18"/>
              </w:rPr>
            </w:pPr>
            <w:r>
              <w:rPr>
                <w:rFonts w:ascii="Times New Roman"/>
                <w:sz w:val="18"/>
              </w:rPr>
              <w:t>64</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3.37%</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
              <w:jc w:val="center"/>
              <w:rPr>
                <w:rFonts w:ascii="Times New Roman" w:hAnsi="Times New Roman" w:cs="Times New Roman" w:eastAsia="Times New Roman" w:hint="default"/>
                <w:sz w:val="18"/>
                <w:szCs w:val="18"/>
              </w:rPr>
            </w:pPr>
            <w:r>
              <w:rPr>
                <w:rFonts w:ascii="Times New Roman"/>
                <w:sz w:val="18"/>
              </w:rPr>
              <w:t>162</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8.53%</w:t>
            </w:r>
          </w:p>
        </w:tc>
      </w:tr>
      <w:tr>
        <w:trPr>
          <w:trHeight w:val="260"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1"/>
              <w:jc w:val="center"/>
              <w:rPr>
                <w:rFonts w:ascii="Times New Roman" w:hAnsi="Times New Roman" w:cs="Times New Roman" w:eastAsia="Times New Roman" w:hint="default"/>
                <w:sz w:val="18"/>
                <w:szCs w:val="18"/>
              </w:rPr>
            </w:pPr>
            <w:r>
              <w:rPr>
                <w:rFonts w:ascii="Times New Roman"/>
                <w:sz w:val="18"/>
              </w:rPr>
              <w:t>1899</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100.00%</w:t>
            </w:r>
          </w:p>
        </w:tc>
      </w:tr>
    </w:tbl>
    <w:p>
      <w:pPr>
        <w:pStyle w:val="Heading4"/>
        <w:spacing w:line="240" w:lineRule="auto" w:before="53"/>
        <w:ind w:left="658" w:right="1132"/>
        <w:jc w:val="left"/>
      </w:pPr>
      <w:r>
        <w:rPr>
          <w:rFonts w:ascii="Times New Roman" w:hAnsi="Times New Roman" w:cs="Times New Roman" w:eastAsia="Times New Roman" w:hint="default"/>
        </w:rPr>
        <w:t>2</w:t>
      </w:r>
      <w:r>
        <w:rPr/>
        <w:t>、员工受教育程度构成如下：</w:t>
      </w:r>
    </w:p>
    <w:p>
      <w:pPr>
        <w:spacing w:line="240" w:lineRule="auto" w:before="7"/>
        <w:rPr>
          <w:rFonts w:ascii="宋体" w:hAnsi="宋体" w:cs="宋体" w:eastAsia="宋体" w:hint="default"/>
          <w:sz w:val="8"/>
          <w:szCs w:val="8"/>
        </w:rPr>
      </w:pPr>
    </w:p>
    <w:tbl>
      <w:tblPr>
        <w:tblW w:w="0" w:type="auto"/>
        <w:jc w:val="left"/>
        <w:tblInd w:w="2602" w:type="dxa"/>
        <w:tblLayout w:type="fixed"/>
        <w:tblCellMar>
          <w:top w:w="0" w:type="dxa"/>
          <w:left w:w="0" w:type="dxa"/>
          <w:bottom w:w="0" w:type="dxa"/>
          <w:right w:w="0" w:type="dxa"/>
        </w:tblCellMar>
        <w:tblLook w:val="01E0"/>
      </w:tblPr>
      <w:tblGrid>
        <w:gridCol w:w="1649"/>
        <w:gridCol w:w="1094"/>
        <w:gridCol w:w="2007"/>
      </w:tblGrid>
      <w:tr>
        <w:trPr>
          <w:trHeight w:val="261"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180"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094" w:type="dxa"/>
            <w:tcBorders>
              <w:top w:val="nil" w:sz="6" w:space="0" w:color="auto"/>
              <w:left w:val="nil" w:sz="6" w:space="0" w:color="auto"/>
              <w:bottom w:val="nil" w:sz="6" w:space="0" w:color="auto"/>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2007" w:type="dxa"/>
            <w:tcBorders>
              <w:top w:val="nil" w:sz="6" w:space="0" w:color="auto"/>
              <w:left w:val="nil" w:sz="6" w:space="0" w:color="auto"/>
              <w:bottom w:val="nil" w:sz="6" w:space="0" w:color="auto"/>
              <w:right w:val="nil" w:sz="6" w:space="0" w:color="auto"/>
            </w:tcBorders>
          </w:tcPr>
          <w:p>
            <w:pPr>
              <w:pStyle w:val="TableParagraph"/>
              <w:spacing w:line="194" w:lineRule="exact"/>
              <w:ind w:right="14"/>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1"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 w:right="0"/>
              <w:jc w:val="center"/>
              <w:rPr>
                <w:rFonts w:ascii="Times New Roman" w:hAnsi="Times New Roman" w:cs="Times New Roman" w:eastAsia="Times New Roman" w:hint="default"/>
                <w:sz w:val="18"/>
                <w:szCs w:val="18"/>
              </w:rPr>
            </w:pPr>
            <w:r>
              <w:rPr>
                <w:rFonts w:ascii="Times New Roman"/>
                <w:sz w:val="18"/>
              </w:rPr>
              <w:t>489</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
              <w:jc w:val="center"/>
              <w:rPr>
                <w:rFonts w:ascii="Times New Roman" w:hAnsi="Times New Roman" w:cs="Times New Roman" w:eastAsia="Times New Roman" w:hint="default"/>
                <w:sz w:val="18"/>
                <w:szCs w:val="18"/>
              </w:rPr>
            </w:pPr>
            <w:r>
              <w:rPr>
                <w:rFonts w:ascii="Times New Roman"/>
                <w:sz w:val="18"/>
              </w:rPr>
              <w:t>25.75%</w:t>
            </w:r>
          </w:p>
        </w:tc>
      </w:tr>
      <w:tr>
        <w:trPr>
          <w:trHeight w:val="332"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 w:right="0"/>
              <w:jc w:val="center"/>
              <w:rPr>
                <w:rFonts w:ascii="Times New Roman" w:hAnsi="Times New Roman" w:cs="Times New Roman" w:eastAsia="Times New Roman" w:hint="default"/>
                <w:sz w:val="18"/>
                <w:szCs w:val="18"/>
              </w:rPr>
            </w:pPr>
            <w:r>
              <w:rPr>
                <w:rFonts w:ascii="Times New Roman"/>
                <w:sz w:val="18"/>
              </w:rPr>
              <w:t>642</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
              <w:jc w:val="center"/>
              <w:rPr>
                <w:rFonts w:ascii="Times New Roman" w:hAnsi="Times New Roman" w:cs="Times New Roman" w:eastAsia="Times New Roman" w:hint="default"/>
                <w:sz w:val="18"/>
                <w:szCs w:val="18"/>
              </w:rPr>
            </w:pPr>
            <w:r>
              <w:rPr>
                <w:rFonts w:ascii="Times New Roman"/>
                <w:sz w:val="18"/>
              </w:rPr>
              <w:t>33.81%</w:t>
            </w:r>
          </w:p>
        </w:tc>
      </w:tr>
      <w:tr>
        <w:trPr>
          <w:trHeight w:val="332"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 w:right="0"/>
              <w:jc w:val="center"/>
              <w:rPr>
                <w:rFonts w:ascii="Times New Roman" w:hAnsi="Times New Roman" w:cs="Times New Roman" w:eastAsia="Times New Roman" w:hint="default"/>
                <w:sz w:val="18"/>
                <w:szCs w:val="18"/>
              </w:rPr>
            </w:pPr>
            <w:r>
              <w:rPr>
                <w:rFonts w:ascii="Times New Roman"/>
                <w:sz w:val="18"/>
              </w:rPr>
              <w:t>768</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
              <w:jc w:val="center"/>
              <w:rPr>
                <w:rFonts w:ascii="Times New Roman" w:hAnsi="Times New Roman" w:cs="Times New Roman" w:eastAsia="Times New Roman" w:hint="default"/>
                <w:sz w:val="18"/>
                <w:szCs w:val="18"/>
              </w:rPr>
            </w:pPr>
            <w:r>
              <w:rPr>
                <w:rFonts w:ascii="Times New Roman"/>
                <w:sz w:val="18"/>
              </w:rPr>
              <w:t>40.44%</w:t>
            </w:r>
          </w:p>
        </w:tc>
      </w:tr>
      <w:tr>
        <w:trPr>
          <w:trHeight w:val="260"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 w:right="0"/>
              <w:jc w:val="center"/>
              <w:rPr>
                <w:rFonts w:ascii="Times New Roman" w:hAnsi="Times New Roman" w:cs="Times New Roman" w:eastAsia="Times New Roman" w:hint="default"/>
                <w:sz w:val="18"/>
                <w:szCs w:val="18"/>
              </w:rPr>
            </w:pPr>
            <w:r>
              <w:rPr>
                <w:rFonts w:ascii="Times New Roman"/>
                <w:sz w:val="18"/>
              </w:rPr>
              <w:t>1899</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312" w:lineRule="auto" w:before="35"/>
        <w:ind w:left="153" w:right="6562" w:firstLine="336"/>
        <w:jc w:val="left"/>
        <w:rPr>
          <w:rFonts w:ascii="宋体" w:hAnsi="宋体" w:cs="宋体" w:eastAsia="宋体" w:hint="default"/>
          <w:sz w:val="18"/>
          <w:szCs w:val="18"/>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、本公司没有需承担费用的离退休员工</w:t>
      </w:r>
      <w:r>
        <w:rPr>
          <w:rFonts w:ascii="宋体" w:hAnsi="宋体" w:cs="宋体" w:eastAsia="宋体" w:hint="default"/>
          <w:sz w:val="18"/>
          <w:szCs w:val="18"/>
        </w:rPr>
        <w:t>。</w:t>
      </w:r>
      <w:r>
        <w:rPr>
          <w:rFonts w:ascii="宋体" w:hAnsi="宋体" w:cs="宋体" w:eastAsia="宋体" w:hint="default"/>
          <w:sz w:val="18"/>
          <w:szCs w:val="18"/>
        </w:rPr>
        <w:t> 企业薪酬成本情况</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486"/>
        <w:jc w:val="center"/>
        <w:rPr>
          <w:b w:val="0"/>
          <w:bCs w:val="0"/>
        </w:rPr>
      </w:pPr>
      <w:bookmarkStart w:name="第九节 公司治理" w:id="124"/>
      <w:bookmarkEnd w:id="124"/>
      <w:r>
        <w:rPr>
          <w:b w:val="0"/>
          <w:bCs w:val="0"/>
        </w:rPr>
      </w:r>
      <w:bookmarkStart w:name="_bookmark8" w:id="125"/>
      <w:bookmarkEnd w:id="12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2"/>
        <w:jc w:val="left"/>
        <w:rPr>
          <w:b w:val="0"/>
          <w:bCs w:val="0"/>
        </w:rPr>
      </w:pPr>
      <w:bookmarkStart w:name="一、公司治理的基本状况" w:id="126"/>
      <w:bookmarkEnd w:id="12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44" w:right="0"/>
        <w:jc w:val="left"/>
      </w:pPr>
      <w:r>
        <w:rPr/>
        <w:t>公司根据中国证监会关于规范公司治理结构的相关文件，建立健全了包括《股东大会议事规则》、《董事会议事规则》、</w:t>
      </w:r>
    </w:p>
    <w:p>
      <w:pPr>
        <w:pStyle w:val="BodyText"/>
        <w:spacing w:line="316" w:lineRule="auto" w:before="76"/>
        <w:ind w:right="1033"/>
        <w:jc w:val="left"/>
      </w:pPr>
      <w:r>
        <w:rPr/>
        <w:t>《监事会议事规则》、《独立董事制度》、《募集资金管理制度》等在内的内部控制制度，并在上市公司治理专项活动中， </w:t>
      </w:r>
      <w:r>
        <w:rPr>
          <w:spacing w:val="-2"/>
        </w:rPr>
        <w:t>进行了修订和完善，达到了证券监管部门的要求。董事会及其下设的专业委员会发挥职能，负责审议公司的经营战略和重大</w:t>
      </w:r>
      <w:r>
        <w:rPr>
          <w:spacing w:val="-66"/>
        </w:rPr>
        <w:t> </w:t>
      </w:r>
      <w:r>
        <w:rPr>
          <w:spacing w:val="-66"/>
        </w:rPr>
      </w:r>
      <w:r>
        <w:rPr>
          <w:spacing w:val="-2"/>
        </w:rPr>
        <w:t>决策，公司管理层在董事会的授权范围内，负责公司的日常生产经营活动，管理层和董事会之间责权关系明确。公司的各项</w:t>
      </w:r>
      <w:r>
        <w:rPr>
          <w:spacing w:val="-66"/>
        </w:rPr>
        <w:t> </w:t>
      </w:r>
      <w:r>
        <w:rPr>
          <w:spacing w:val="-66"/>
        </w:rPr>
      </w:r>
      <w:r>
        <w:rPr>
          <w:spacing w:val="-2"/>
        </w:rPr>
        <w:t>内部控制制度健全，并将内控制度的检查融入了日常工作中，不断完善，以适应公司管理和发展的需要，有效保证了公司正</w:t>
      </w:r>
      <w:r>
        <w:rPr>
          <w:spacing w:val="-66"/>
        </w:rPr>
        <w:t> </w:t>
      </w:r>
      <w:r>
        <w:rPr>
          <w:spacing w:val="-66"/>
        </w:rPr>
      </w:r>
      <w:r>
        <w:rPr>
          <w:spacing w:val="-2"/>
        </w:rPr>
        <w:t>常的生产经营和规范化运作。董事会下属的审计委员会和审计部认真履行职责，通过内部审计发现问题，预防风险，通过对</w:t>
      </w:r>
      <w:r>
        <w:rPr>
          <w:spacing w:val="-66"/>
        </w:rPr>
        <w:t> </w:t>
      </w:r>
      <w:r>
        <w:rPr>
          <w:spacing w:val="-66"/>
        </w:rPr>
      </w:r>
      <w:r>
        <w:rPr>
          <w:spacing w:val="-2"/>
        </w:rPr>
        <w:t>内部财务数据和工作流程的审计，规范内部运作，提高财务信息披露质量，保证了公司日常生产经营的合法性和规范化。公</w:t>
      </w:r>
      <w:r>
        <w:rPr>
          <w:spacing w:val="-66"/>
        </w:rPr>
        <w:t> </w:t>
      </w:r>
      <w:r>
        <w:rPr>
          <w:spacing w:val="-66"/>
        </w:rPr>
      </w:r>
      <w:r>
        <w:rPr/>
        <w:t>司将在今后的工作中进一步完善内部控制制度，规范运作，为公司健康稳定的发展奠定基础。</w:t>
      </w:r>
    </w:p>
    <w:p>
      <w:pPr>
        <w:pStyle w:val="BodyText"/>
        <w:spacing w:line="240" w:lineRule="auto" w:before="59"/>
        <w:ind w:right="1132"/>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2"/>
        <w:jc w:val="left"/>
        <w:rPr>
          <w:b w:val="0"/>
          <w:bCs w:val="0"/>
        </w:rPr>
      </w:pPr>
      <w:bookmarkStart w:name="二、公司相对于控股股东在业务、人员、资产、机构、财务等方面的独立情况" w:id="127"/>
      <w:bookmarkEnd w:id="12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9" w:firstLine="434"/>
        <w:jc w:val="left"/>
      </w:pPr>
      <w:r>
        <w:rPr/>
        <w:t>公司具备完整、规范的产、供、销生产经营管理体制和运行机制，公司与控股股东在业务、人员、资产、机构、财务 等方面完全分开，具有独立完整的业务及自主经营能力。</w:t>
      </w:r>
    </w:p>
    <w:p>
      <w:pPr>
        <w:pStyle w:val="BodyText"/>
        <w:spacing w:line="319" w:lineRule="auto" w:before="56"/>
        <w:ind w:left="154" w:right="1176" w:firstLine="506"/>
        <w:jc w:val="left"/>
      </w:pPr>
      <w:r>
        <w:rPr/>
        <w:t>（一）业务独立：公司具有完整的采购供应体系、完整的生产管理体系和独立的销售运作体系，</w:t>
      </w:r>
      <w:r>
        <w:rPr>
          <w:spacing w:val="-20"/>
        </w:rPr>
        <w:t> </w:t>
      </w:r>
      <w:r>
        <w:rPr/>
        <w:t>独立开展业务，不</w:t>
      </w:r>
      <w:r>
        <w:rPr/>
        <w:t> 依赖于任何股东及关联方。</w:t>
      </w:r>
    </w:p>
    <w:p>
      <w:pPr>
        <w:pStyle w:val="BodyText"/>
        <w:spacing w:line="319" w:lineRule="auto" w:before="55"/>
        <w:ind w:left="154" w:right="1132" w:firstLine="362"/>
        <w:jc w:val="left"/>
      </w:pPr>
      <w:r>
        <w:rPr>
          <w:spacing w:val="-2"/>
        </w:rPr>
        <w:t>（二）人员独立：本公司董事、监事及高级管理人员严格按照《公司法》《公司章程》的有关规定产生；公司建有独立</w:t>
      </w:r>
      <w:r>
        <w:rPr/>
        <w:t> 的人事及工资管理系统；公司还制订了严格的《人事管理制度》，人员管理做到了制度化。</w:t>
      </w:r>
    </w:p>
    <w:p>
      <w:pPr>
        <w:pStyle w:val="BodyText"/>
        <w:spacing w:line="319" w:lineRule="auto" w:before="55"/>
        <w:ind w:left="154" w:right="1132" w:firstLine="506"/>
        <w:jc w:val="left"/>
      </w:pPr>
      <w:r>
        <w:rPr>
          <w:spacing w:val="-2"/>
        </w:rPr>
        <w:t>（三）资产独立：本公司的主要资产包括主营业务所需的完整的生产设备、土地、厂房、办公用房、仓储用房、交通</w:t>
      </w:r>
      <w:r>
        <w:rPr/>
        <w:t> 工具和知识产权，具有完整的配套设施。上述资产产权清晰，完全独立于股东单位。</w:t>
      </w:r>
    </w:p>
    <w:p>
      <w:pPr>
        <w:pStyle w:val="BodyText"/>
        <w:spacing w:line="319" w:lineRule="auto" w:before="56"/>
        <w:ind w:left="154" w:right="1117" w:firstLine="506"/>
        <w:jc w:val="left"/>
      </w:pPr>
      <w:r>
        <w:rPr>
          <w:spacing w:val="-1"/>
        </w:rPr>
        <w:t>（四）机构独立：本公司设股东大会、董事会、监事会，按照《公司章程》的规定履行相关权利和义务。公司拥有独</w:t>
      </w:r>
      <w:r>
        <w:rPr/>
        <w:t> 立的组织机构，拥有独立的运作、管理和考核机制。公司总裁、副总裁等高级管理人员均在公司领取报酬。</w:t>
      </w:r>
    </w:p>
    <w:p>
      <w:pPr>
        <w:pStyle w:val="BodyText"/>
        <w:spacing w:line="319" w:lineRule="auto" w:before="55"/>
        <w:ind w:left="154" w:right="1138" w:firstLine="434"/>
        <w:jc w:val="left"/>
      </w:pPr>
      <w:r>
        <w:rPr/>
        <w:t>（五）财务独立：公司设有独立的财务部门，建立独立的财务会计核算体系和财务管理制度，财务人员与股东单位完 全独立，不存在交叉任职情况。公司独立开设银行帐户，作为独立的纳税人依法独立纳税。</w:t>
      </w:r>
    </w:p>
    <w:p>
      <w:pPr>
        <w:spacing w:line="240" w:lineRule="auto" w:before="6"/>
        <w:rPr>
          <w:rFonts w:ascii="宋体" w:hAnsi="宋体" w:cs="宋体" w:eastAsia="宋体" w:hint="default"/>
          <w:sz w:val="20"/>
          <w:szCs w:val="20"/>
        </w:rPr>
      </w:pPr>
    </w:p>
    <w:p>
      <w:pPr>
        <w:pStyle w:val="Heading2"/>
        <w:spacing w:line="240" w:lineRule="auto"/>
        <w:ind w:left="154" w:right="1132"/>
        <w:jc w:val="left"/>
        <w:rPr>
          <w:b w:val="0"/>
          <w:bCs w:val="0"/>
        </w:rPr>
      </w:pPr>
      <w:bookmarkStart w:name="三、同业竞争情况" w:id="128"/>
      <w:bookmarkEnd w:id="128"/>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2"/>
        <w:jc w:val="left"/>
        <w:rPr>
          <w:b w:val="0"/>
          <w:bCs w:val="0"/>
        </w:rPr>
      </w:pPr>
      <w:bookmarkStart w:name="四、报告期内召开的年度股东大会和临时股东大会的有关情况" w:id="129"/>
      <w:bookmarkEnd w:id="129"/>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本报告期股东大会情况" w:id="130"/>
      <w:bookmarkEnd w:id="130"/>
      <w:r>
        <w:rPr>
          <w:b w:val="0"/>
          <w:bCs w:val="0"/>
        </w:rPr>
      </w:r>
      <w:r>
        <w:rPr>
          <w:rFonts w:ascii="Times New Roman" w:hAnsi="Times New Roman" w:cs="Times New Roman" w:eastAsia="Times New Roman" w:hint="default"/>
        </w:rPr>
        <w:t>1</w:t>
      </w:r>
      <w:r>
        <w:rPr/>
        <w:t>、本报告期股东大会情况</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141"/>
        <w:jc w:val="right"/>
      </w:pPr>
      <w:r>
        <w:rPr/>
        <w:pict>
          <v:shape style="position:absolute;margin-left:56.459999pt;margin-top:-150.26828pt;width:479.1pt;height:268.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1276"/>
                    <w:gridCol w:w="1559"/>
                    <w:gridCol w:w="1702"/>
                    <w:gridCol w:w="21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42" w:right="93" w:hanging="450"/>
                          <w:jc w:val="left"/>
                          <w:rPr>
                            <w:rFonts w:ascii="宋体" w:hAnsi="宋体" w:cs="宋体" w:eastAsia="宋体" w:hint="default"/>
                            <w:sz w:val="18"/>
                            <w:szCs w:val="18"/>
                          </w:rPr>
                        </w:pPr>
                        <w:r>
                          <w:rPr>
                            <w:rFonts w:ascii="宋体" w:hAnsi="宋体" w:cs="宋体" w:eastAsia="宋体" w:hint="default"/>
                            <w:sz w:val="18"/>
                            <w:szCs w:val="18"/>
                          </w:rPr>
                          <w:t>投资者参与比 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p>
                      <w:p>
                        <w:pPr>
                          <w:pStyle w:val="TableParagraph"/>
                          <w:spacing w:line="302" w:lineRule="auto" w:before="63"/>
                          <w:ind w:left="22" w:right="23"/>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 公告</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公告编号</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2015-018</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p>
                      <w:p>
                        <w:pPr>
                          <w:pStyle w:val="TableParagraph"/>
                          <w:spacing w:line="300" w:lineRule="auto" w:before="63"/>
                          <w:ind w:left="22" w:right="47"/>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大会决议公告</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公告编号</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2015-049</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p>
                      <w:p>
                        <w:pPr>
                          <w:pStyle w:val="TableParagraph"/>
                          <w:spacing w:line="300" w:lineRule="auto" w:before="63"/>
                          <w:ind w:left="22" w:right="47"/>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大会决议公告</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公告编号</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2015-061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1132"/>
        <w:jc w:val="left"/>
        <w:rPr>
          <w:b w:val="0"/>
          <w:bCs w:val="0"/>
        </w:rPr>
      </w:pPr>
      <w:bookmarkStart w:name="2、表决权恢复的优先股股东请求召开临时股东大会" w:id="131"/>
      <w:bookmarkEnd w:id="13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2"/>
        <w:jc w:val="left"/>
        <w:rPr>
          <w:b w:val="0"/>
          <w:bCs w:val="0"/>
        </w:rPr>
      </w:pPr>
      <w:bookmarkStart w:name="五、报告期内独立董事履行职责的情况" w:id="132"/>
      <w:bookmarkEnd w:id="13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独立董事出席董事会及股东大会的情况" w:id="133"/>
      <w:bookmarkEnd w:id="13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right="6073"/>
        <w:jc w:val="left"/>
      </w:pPr>
      <w:r>
        <w:rPr/>
        <w:t>连续两次未亲自出席董事会的说明： 报告期内，未发生独立董事连续两次未出席董事会的情形。</w:t>
      </w:r>
    </w:p>
    <w:p>
      <w:pPr>
        <w:spacing w:line="240" w:lineRule="auto" w:before="11"/>
        <w:rPr>
          <w:rFonts w:ascii="宋体" w:hAnsi="宋体" w:cs="宋体" w:eastAsia="宋体" w:hint="default"/>
          <w:sz w:val="19"/>
          <w:szCs w:val="19"/>
        </w:rPr>
      </w:pPr>
    </w:p>
    <w:p>
      <w:pPr>
        <w:pStyle w:val="Heading3"/>
        <w:spacing w:line="240" w:lineRule="auto"/>
        <w:ind w:right="1132"/>
        <w:jc w:val="left"/>
        <w:rPr>
          <w:b w:val="0"/>
          <w:bCs w:val="0"/>
        </w:rPr>
      </w:pPr>
      <w:bookmarkStart w:name="2、独立董事对公司有关事项提出异议的情况" w:id="134"/>
      <w:bookmarkEnd w:id="13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2"/>
        <w:jc w:val="left"/>
      </w:pPr>
      <w:r>
        <w:rPr/>
        <w:t>独立董事对公司有关事项是否提出异议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1132"/>
        <w:jc w:val="left"/>
        <w:rPr>
          <w:b w:val="0"/>
          <w:bCs w:val="0"/>
        </w:rPr>
      </w:pPr>
      <w:bookmarkStart w:name="3、独立董事履行职责的其他说明" w:id="135"/>
      <w:bookmarkEnd w:id="13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0" w:firstLine="362"/>
        <w:jc w:val="left"/>
      </w:pPr>
      <w:r>
        <w:rPr>
          <w:spacing w:val="-2"/>
        </w:rPr>
        <w:t>报告期内，公司尊重独立董事提出的各项建议和意见，在信息披露、财务审计、利润分配、重大投资决策等方面，提请</w:t>
      </w:r>
      <w:r>
        <w:rPr/>
        <w:t> 独立董事审议，确保独立董事能够全面和深入了解具体内容，为公司规范化治理的提高，起到了积极地推动作用。</w:t>
      </w:r>
    </w:p>
    <w:p>
      <w:pPr>
        <w:spacing w:line="240" w:lineRule="auto" w:before="10"/>
        <w:rPr>
          <w:rFonts w:ascii="宋体" w:hAnsi="宋体" w:cs="宋体" w:eastAsia="宋体" w:hint="default"/>
          <w:sz w:val="20"/>
          <w:szCs w:val="20"/>
        </w:rPr>
      </w:pPr>
    </w:p>
    <w:p>
      <w:pPr>
        <w:pStyle w:val="Heading2"/>
        <w:spacing w:line="240" w:lineRule="auto"/>
        <w:ind w:right="1132"/>
        <w:jc w:val="left"/>
        <w:rPr>
          <w:b w:val="0"/>
          <w:bCs w:val="0"/>
        </w:rPr>
      </w:pPr>
      <w:bookmarkStart w:name="六、董事会下设专门委员会在报告期内履行职责情况" w:id="136"/>
      <w:bookmarkEnd w:id="13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1132"/>
        <w:jc w:val="left"/>
        <w:rPr>
          <w:b w:val="0"/>
          <w:bCs w:val="0"/>
        </w:rPr>
      </w:pPr>
      <w:r>
        <w:rPr/>
        <w:t>（一）董事会审计委员会履职情况</w:t>
      </w:r>
      <w:r>
        <w:rPr>
          <w:b w:val="0"/>
          <w:bCs w:val="0"/>
        </w:rPr>
      </w:r>
    </w:p>
    <w:p>
      <w:pPr>
        <w:pStyle w:val="BodyText"/>
        <w:spacing w:line="300" w:lineRule="auto" w:before="62"/>
        <w:ind w:right="1123" w:firstLine="360"/>
        <w:jc w:val="left"/>
      </w:pPr>
      <w:r>
        <w:rPr>
          <w:rFonts w:ascii="Times New Roman" w:hAnsi="Times New Roman" w:cs="Times New Roman" w:eastAsia="Times New Roman" w:hint="default"/>
        </w:rPr>
        <w:t>1</w:t>
      </w:r>
      <w:r>
        <w:rPr/>
        <w:t>、审计委员会认真审议了公司编制的</w:t>
      </w:r>
      <w:r>
        <w:rPr>
          <w:rFonts w:ascii="Times New Roman" w:hAnsi="Times New Roman" w:cs="Times New Roman" w:eastAsia="Times New Roman" w:hint="default"/>
        </w:rPr>
        <w:t>2015</w:t>
      </w:r>
      <w:r>
        <w:rPr/>
        <w:t>年各期的财务报表，审议认为公司的财务报表符合会计准则和《企业会计制 度》的相关规定，能够如实反映企业的生产经营状况，财务数据准确无误，不存在重大遗漏或篡改财务数据的情况。</w:t>
      </w:r>
    </w:p>
    <w:p>
      <w:pPr>
        <w:pStyle w:val="BodyText"/>
        <w:spacing w:line="300" w:lineRule="auto" w:before="31"/>
        <w:ind w:right="1141" w:firstLine="360"/>
        <w:jc w:val="both"/>
      </w:pPr>
      <w:r>
        <w:rPr>
          <w:rFonts w:ascii="Times New Roman" w:hAnsi="Times New Roman" w:cs="Times New Roman" w:eastAsia="Times New Roman" w:hint="default"/>
        </w:rPr>
        <w:t>2</w:t>
      </w:r>
      <w:r>
        <w:rPr/>
        <w:t>、在瑞华会计师事务所对公司</w:t>
      </w:r>
      <w:r>
        <w:rPr>
          <w:rFonts w:ascii="Times New Roman" w:hAnsi="Times New Roman" w:cs="Times New Roman" w:eastAsia="Times New Roman" w:hint="default"/>
        </w:rPr>
        <w:t>2015</w:t>
      </w:r>
      <w:r>
        <w:rPr/>
        <w:t>年度财务状况的审计过程中，审计委员会按照《审计委员会年度财务报告审议工作 规则》的要求，在审计前审阅了公司编制的财务报表，并出具了</w:t>
      </w:r>
      <w:r>
        <w:rPr>
          <w:rFonts w:ascii="Times New Roman" w:hAnsi="Times New Roman" w:cs="Times New Roman" w:eastAsia="Times New Roman" w:hint="default"/>
        </w:rPr>
        <w:t>“</w:t>
      </w:r>
      <w:r>
        <w:rPr/>
        <w:t>公司编制的财务报表，符合会计准则的相关规定，反映了 公司的财务状况，不存在重大偏差或重大遗漏</w:t>
      </w:r>
      <w:r>
        <w:rPr>
          <w:rFonts w:ascii="Times New Roman" w:hAnsi="Times New Roman" w:cs="Times New Roman" w:eastAsia="Times New Roman" w:hint="default"/>
        </w:rPr>
        <w:t>”</w:t>
      </w:r>
      <w:r>
        <w:rPr/>
        <w:t>的审阅意见。</w:t>
      </w:r>
    </w:p>
    <w:p>
      <w:pPr>
        <w:pStyle w:val="BodyText"/>
        <w:spacing w:line="314" w:lineRule="auto" w:before="13"/>
        <w:ind w:left="154" w:right="1122" w:firstLine="360"/>
        <w:jc w:val="left"/>
      </w:pPr>
      <w:r>
        <w:rPr>
          <w:rFonts w:ascii="Times New Roman" w:hAnsi="Times New Roman" w:cs="Times New Roman" w:eastAsia="Times New Roman" w:hint="default"/>
        </w:rPr>
        <w:t>3</w:t>
      </w:r>
      <w:r>
        <w:rPr/>
        <w:t>、审计委员与会计师事务所的审计人员就审计计划和工作安排进行了沟通，确定了审计报告的出具日期。在审计过程 </w:t>
      </w:r>
      <w:r>
        <w:rPr>
          <w:spacing w:val="-2"/>
        </w:rPr>
        <w:t>中，审计委员会根据审计计划，督促会计师事务所在约定的时间内提交审计报告，并在审计会计师出具初步审计意见后和董</w:t>
      </w:r>
      <w:r>
        <w:rPr>
          <w:spacing w:val="-66"/>
        </w:rPr>
        <w:t> </w:t>
      </w:r>
      <w:r>
        <w:rPr>
          <w:spacing w:val="-66"/>
        </w:rPr>
      </w:r>
      <w:r>
        <w:rPr>
          <w:spacing w:val="-2"/>
        </w:rPr>
        <w:t>事会审议年报前，与注册会计师沟通，了解到在审计过程中未发现重大问题。通过审阅经会计师审计的公司财务报表，审计</w:t>
      </w:r>
      <w:r>
        <w:rPr>
          <w:spacing w:val="-66"/>
        </w:rPr>
        <w:t> </w:t>
      </w:r>
      <w:r>
        <w:rPr>
          <w:spacing w:val="-66"/>
        </w:rPr>
      </w:r>
      <w:r>
        <w:rPr/>
        <w:t>委员会认为公司在审计前编制的财务报表与审计后的财务报表没有重大出入，经审计的财务报表如实反映了公司的财务状 况。</w:t>
      </w:r>
    </w:p>
    <w:p>
      <w:pPr>
        <w:pStyle w:val="BodyText"/>
        <w:spacing w:line="307" w:lineRule="auto" w:before="20"/>
        <w:ind w:right="1130" w:firstLine="360"/>
        <w:jc w:val="both"/>
      </w:pPr>
      <w:r>
        <w:rPr>
          <w:rFonts w:ascii="Times New Roman" w:hAnsi="Times New Roman" w:cs="Times New Roman" w:eastAsia="Times New Roman" w:hint="default"/>
        </w:rPr>
        <w:t>4</w:t>
      </w:r>
      <w:r>
        <w:rPr/>
        <w:t>、审计委员会认为，经审计的</w:t>
      </w:r>
      <w:r>
        <w:rPr>
          <w:rFonts w:ascii="Times New Roman" w:hAnsi="Times New Roman" w:cs="Times New Roman" w:eastAsia="Times New Roman" w:hint="default"/>
        </w:rPr>
        <w:t>2015</w:t>
      </w:r>
      <w:r>
        <w:rPr/>
        <w:t>年度财务报表和公司财务报告符合会计准则和《企业会计制度》的相关规定，能够 </w:t>
      </w:r>
      <w:r>
        <w:rPr>
          <w:spacing w:val="-2"/>
        </w:rPr>
        <w:t>如实反映企业的生产经营状况，财务数据准确无误，不存在重大遗漏，同意提交董事会审议。审计委员会就会计师事务所的</w:t>
      </w:r>
      <w:r>
        <w:rPr>
          <w:spacing w:val="-66"/>
        </w:rPr>
        <w:t> </w:t>
      </w:r>
      <w:r>
        <w:rPr>
          <w:spacing w:val="-66"/>
        </w:rPr>
      </w:r>
      <w:r>
        <w:rPr>
          <w:spacing w:val="-2"/>
        </w:rPr>
        <w:t>审计工作出具了总结报告，认为审计人员认真、尽责的完成了年度审计工作，并向董事会提议，在</w:t>
      </w:r>
      <w:r>
        <w:rPr>
          <w:rFonts w:ascii="Times New Roman" w:hAnsi="Times New Roman" w:cs="Times New Roman" w:eastAsia="Times New Roman" w:hint="default"/>
          <w:spacing w:val="-2"/>
        </w:rPr>
        <w:t>2016</w:t>
      </w:r>
      <w:r>
        <w:rPr>
          <w:spacing w:val="-2"/>
        </w:rPr>
        <w:t>年度续聘瑞华会计师</w:t>
      </w:r>
      <w:r>
        <w:rPr>
          <w:spacing w:val="-62"/>
        </w:rPr>
        <w:t> </w:t>
      </w:r>
      <w:r>
        <w:rPr/>
        <w:t>事务所作为我公司的审计机构。</w:t>
      </w:r>
    </w:p>
    <w:p>
      <w:pPr>
        <w:pStyle w:val="BodyText"/>
        <w:spacing w:line="307" w:lineRule="auto"/>
        <w:ind w:left="513" w:right="0" w:hanging="360"/>
        <w:jc w:val="left"/>
      </w:pPr>
      <w:r>
        <w:rPr>
          <w:rFonts w:ascii="宋体" w:hAnsi="宋体" w:cs="宋体" w:eastAsia="宋体" w:hint="default"/>
          <w:b/>
          <w:bCs/>
          <w:sz w:val="21"/>
          <w:szCs w:val="21"/>
        </w:rPr>
        <w:t>（二）董事会薪酬与考核委员会履职情况</w:t>
      </w:r>
      <w:r>
        <w:rPr>
          <w:rFonts w:ascii="宋体" w:hAnsi="宋体" w:cs="宋体" w:eastAsia="宋体" w:hint="default"/>
          <w:b/>
          <w:bCs/>
          <w:w w:val="99"/>
          <w:sz w:val="21"/>
          <w:szCs w:val="21"/>
        </w:rPr>
        <w:t> </w:t>
      </w:r>
      <w:r>
        <w:rPr/>
        <w:t>本年度薪酬与考核委员会对公司高级管理人员的工作情况进行了考核，并提出了奖励方案。 </w:t>
      </w:r>
      <w:r>
        <w:rPr>
          <w:spacing w:val="-2"/>
        </w:rPr>
        <w:t>报告期内，薪酬与考核委员会根据公司《限制性股票激励计划》的规定，对公司和激励对象在第四个解锁期的业绩完成</w:t>
      </w:r>
    </w:p>
    <w:p>
      <w:pPr>
        <w:pStyle w:val="BodyText"/>
        <w:spacing w:line="240" w:lineRule="auto" w:before="26"/>
        <w:ind w:right="0"/>
        <w:jc w:val="left"/>
      </w:pPr>
      <w:r>
        <w:rPr/>
        <w:t>情况进行了考核评价，除两名激励对象因离职或职务变更不符合解锁条件以外，其余</w:t>
      </w:r>
      <w:r>
        <w:rPr>
          <w:rFonts w:ascii="Times New Roman" w:hAnsi="Times New Roman" w:cs="Times New Roman" w:eastAsia="Times New Roman" w:hint="default"/>
        </w:rPr>
        <w:t>114</w:t>
      </w:r>
      <w:r>
        <w:rPr/>
        <w:t>名激励满足解锁条件，可以解锁。</w:t>
      </w:r>
    </w:p>
    <w:p>
      <w:pPr>
        <w:pStyle w:val="Heading3"/>
        <w:spacing w:line="240" w:lineRule="auto" w:before="37"/>
        <w:ind w:left="153" w:right="1132"/>
        <w:jc w:val="left"/>
        <w:rPr>
          <w:b w:val="0"/>
          <w:bCs w:val="0"/>
        </w:rPr>
      </w:pPr>
      <w:r>
        <w:rPr/>
        <w:t>（三）董事会提名委员会履职情况</w:t>
      </w:r>
      <w:r>
        <w:rPr>
          <w:b w:val="0"/>
          <w:bCs w:val="0"/>
        </w:rPr>
      </w:r>
    </w:p>
    <w:p>
      <w:pPr>
        <w:pStyle w:val="BodyText"/>
        <w:spacing w:line="316" w:lineRule="auto" w:before="62"/>
        <w:ind w:right="1033" w:firstLine="360"/>
        <w:jc w:val="left"/>
      </w:pPr>
      <w:r>
        <w:rPr/>
        <w:t>报告期内，公司第四届董事会任期届满，董事会提名委员会对提名的第五届董事会董事候选人的任职资格进行了核查， </w:t>
      </w:r>
      <w:r>
        <w:rPr>
          <w:spacing w:val="-2"/>
        </w:rPr>
        <w:t>经核查，提名委员会认为董事候选人符合《公司法》和《公司章程》规定的董事的任职资格，且未受到过证券监管机关的处</w:t>
      </w:r>
      <w:r>
        <w:rPr>
          <w:spacing w:val="-68"/>
        </w:rPr>
        <w:t> </w:t>
      </w:r>
      <w:r>
        <w:rPr>
          <w:spacing w:val="-68"/>
        </w:rPr>
      </w:r>
      <w:r>
        <w:rPr>
          <w:spacing w:val="-2"/>
        </w:rPr>
        <w:t>罚，因此同意提名王爱先先生、石林先生、史建中先生、石枫先生、夏文庆先生、郝纪勇先生、万刚先生、许斌先生为第五</w:t>
      </w:r>
      <w:r>
        <w:rPr>
          <w:spacing w:val="-67"/>
        </w:rPr>
        <w:t> </w:t>
      </w:r>
      <w:r>
        <w:rPr>
          <w:spacing w:val="-67"/>
        </w:rPr>
      </w:r>
      <w:r>
        <w:rPr/>
        <w:t>届董事会董事候选人，并提交董事会和股东大会审议。</w:t>
      </w:r>
    </w:p>
    <w:p>
      <w:pPr>
        <w:spacing w:line="240" w:lineRule="auto" w:before="10"/>
        <w:rPr>
          <w:rFonts w:ascii="宋体" w:hAnsi="宋体" w:cs="宋体" w:eastAsia="宋体" w:hint="default"/>
          <w:sz w:val="20"/>
          <w:szCs w:val="20"/>
        </w:rPr>
      </w:pPr>
    </w:p>
    <w:p>
      <w:pPr>
        <w:pStyle w:val="Heading2"/>
        <w:spacing w:line="240" w:lineRule="auto"/>
        <w:ind w:left="154" w:right="1132"/>
        <w:jc w:val="left"/>
        <w:rPr>
          <w:b w:val="0"/>
          <w:bCs w:val="0"/>
        </w:rPr>
      </w:pPr>
      <w:bookmarkStart w:name="七、监事会工作情况" w:id="137"/>
      <w:bookmarkEnd w:id="137"/>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t>监事会在报告期内的监督活动中发现公司是否存在风险</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2"/>
        <w:jc w:val="left"/>
        <w:rPr>
          <w:b w:val="0"/>
          <w:bCs w:val="0"/>
        </w:rPr>
      </w:pPr>
      <w:bookmarkStart w:name="八、高级管理人员的考评及激励情况" w:id="138"/>
      <w:bookmarkEnd w:id="13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137" w:firstLine="345"/>
        <w:jc w:val="left"/>
      </w:pPr>
      <w:r>
        <w:rPr>
          <w:rFonts w:ascii="Times New Roman" w:hAnsi="Times New Roman" w:cs="Times New Roman" w:eastAsia="Times New Roman" w:hint="default"/>
        </w:rPr>
        <w:t>1</w:t>
      </w:r>
      <w:r>
        <w:rPr/>
        <w:t>、考评机制：由公司董事会按年度对公司高级管理人员的业绩和履职情况进行考评，并根据工作业绩决定年度薪酬， 以考核结果作为下一年度的岗位安排、年薪档次、是否续聘及职位升降和下一届任免的依据。</w:t>
      </w:r>
    </w:p>
    <w:p>
      <w:pPr>
        <w:pStyle w:val="BodyText"/>
        <w:spacing w:line="302" w:lineRule="auto" w:before="68"/>
        <w:ind w:right="1033" w:firstLine="362"/>
        <w:jc w:val="left"/>
      </w:pPr>
      <w:r>
        <w:rPr>
          <w:rFonts w:ascii="Times New Roman" w:hAnsi="Times New Roman" w:cs="Times New Roman" w:eastAsia="Times New Roman" w:hint="default"/>
        </w:rPr>
        <w:t>2</w:t>
      </w:r>
      <w:r>
        <w:rPr/>
        <w:t>、激励机制：公司对高级管理人员实行年薪制，分为工资和奖金两部分。董事会根据公司近几年的经营状况和个人的 岗位职责，确定年度工资额；每年年终董事会根据高级管理人员本年度的工作业绩进行考评后确定对高管人员的奖金总额。</w:t>
      </w:r>
    </w:p>
    <w:p>
      <w:pPr>
        <w:spacing w:line="240" w:lineRule="auto" w:before="6"/>
        <w:rPr>
          <w:rFonts w:ascii="宋体" w:hAnsi="宋体" w:cs="宋体" w:eastAsia="宋体" w:hint="default"/>
          <w:sz w:val="21"/>
          <w:szCs w:val="21"/>
        </w:rPr>
      </w:pPr>
    </w:p>
    <w:p>
      <w:pPr>
        <w:pStyle w:val="Heading2"/>
        <w:spacing w:line="240" w:lineRule="auto"/>
        <w:ind w:left="154" w:right="1132"/>
        <w:jc w:val="left"/>
        <w:rPr>
          <w:b w:val="0"/>
          <w:bCs w:val="0"/>
        </w:rPr>
      </w:pPr>
      <w:bookmarkStart w:name="九、内部控制评价报告" w:id="139"/>
      <w:bookmarkEnd w:id="13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报告期内发现的内部控制重大缺陷的具体情况" w:id="140"/>
      <w:bookmarkEnd w:id="14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2、内控自我评价报告" w:id="141"/>
      <w:bookmarkEnd w:id="14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BodyText"/>
        <w:spacing w:line="240" w:lineRule="auto" w:before="45"/>
        <w:ind w:left="0" w:right="1140"/>
        <w:jc w:val="right"/>
      </w:pPr>
      <w:r>
        <w:rPr/>
        <w:pict>
          <v:shape style="position:absolute;margin-left:57.029999pt;margin-top:-183.818268pt;width:478.6pt;height:455.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1"/>
                          <w:ind w:left="22" w:right="48"/>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5"/>
                            <w:sz w:val="18"/>
                            <w:szCs w:val="18"/>
                          </w:rPr>
                          <w:t> </w:t>
                        </w:r>
                        <w:r>
                          <w:rPr>
                            <w:rFonts w:ascii="宋体" w:hAnsi="宋体" w:cs="宋体" w:eastAsia="宋体" w:hint="default"/>
                            <w:sz w:val="18"/>
                            <w:szCs w:val="18"/>
                          </w:rPr>
                          <w:t>董事、监事和高级管理人员的舞弊行为；</w:t>
                        </w:r>
                      </w:p>
                      <w:p>
                        <w:pPr>
                          <w:pStyle w:val="TableParagraph"/>
                          <w:spacing w:line="309" w:lineRule="auto" w:before="31"/>
                          <w:ind w:left="22" w:right="20"/>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册会计师发现的却未被公司内部控制识别</w:t>
                        </w:r>
                        <w:r>
                          <w:rPr>
                            <w:rFonts w:ascii="宋体" w:hAnsi="宋体" w:cs="宋体" w:eastAsia="宋体" w:hint="default"/>
                            <w:sz w:val="18"/>
                            <w:szCs w:val="18"/>
                          </w:rPr>
                          <w:t>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5"/>
                            <w:sz w:val="18"/>
                            <w:szCs w:val="18"/>
                          </w:rPr>
                          <w:t> </w:t>
                        </w:r>
                        <w:r>
                          <w:rPr>
                            <w:rFonts w:ascii="宋体" w:hAnsi="宋体" w:cs="宋体" w:eastAsia="宋体" w:hint="default"/>
                            <w:sz w:val="18"/>
                            <w:szCs w:val="18"/>
                          </w:rPr>
                          <w:t>委员会和审计部门对公司的对外财务报告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5"/>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w:t>
                        </w:r>
                        <w:r>
                          <w:rPr>
                            <w:rFonts w:ascii="宋体" w:hAnsi="宋体" w:cs="宋体" w:eastAsia="宋体" w:hint="default"/>
                            <w:spacing w:val="-3"/>
                            <w:sz w:val="18"/>
                            <w:szCs w:val="18"/>
                          </w:rPr>
                          <w:t>财务报表达到真实、完整的目标。</w:t>
                        </w:r>
                        <w:r>
                          <w:rPr>
                            <w:rFonts w:ascii="宋体" w:hAnsi="宋体" w:cs="宋体" w:eastAsia="宋体" w:hint="default"/>
                            <w:spacing w:val="-22"/>
                            <w:sz w:val="18"/>
                            <w:szCs w:val="18"/>
                          </w:rPr>
                          <w:t> </w:t>
                        </w:r>
                        <w:r>
                          <w:rPr>
                            <w:rFonts w:ascii="宋体" w:hAnsi="宋体" w:cs="宋体" w:eastAsia="宋体" w:hint="default"/>
                            <w:sz w:val="18"/>
                            <w:szCs w:val="18"/>
                          </w:rPr>
                          <w:t>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陷是指除上述重大缺陷、重要缺陷之外的 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22" w:right="113"/>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违反国家法律、法规或规范性文件；</w:t>
                        </w:r>
                      </w:p>
                      <w:p>
                        <w:pPr>
                          <w:pStyle w:val="TableParagraph"/>
                          <w:spacing w:line="304" w:lineRule="auto" w:before="3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）决策程序不科学导致重大决策失 误；</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）重要业务制度性缺失或系统 性失效；</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）重大或重要缺陷不能得 到有效整改；</w:t>
                        </w:r>
                        <w:r>
                          <w:rPr>
                            <w:rFonts w:ascii="宋体" w:hAnsi="宋体" w:cs="宋体" w:eastAsia="宋体" w:hint="default"/>
                            <w:spacing w:val="-3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）安全、环保事故对</w:t>
                        </w:r>
                        <w:r>
                          <w:rPr>
                            <w:rFonts w:ascii="宋体" w:hAnsi="宋体" w:cs="宋体" w:eastAsia="宋体" w:hint="default"/>
                            <w:sz w:val="18"/>
                            <w:szCs w:val="18"/>
                          </w:rPr>
                          <w:t> 公司造成重大负面影响的情形。 非财 </w:t>
                        </w:r>
                        <w:r>
                          <w:rPr>
                            <w:rFonts w:ascii="宋体" w:hAnsi="宋体" w:cs="宋体" w:eastAsia="宋体" w:hint="default"/>
                            <w:spacing w:val="-11"/>
                            <w:sz w:val="18"/>
                            <w:szCs w:val="18"/>
                          </w:rPr>
                          <w:t>务报告内部控制重要缺陷包括：（</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）重</w:t>
                        </w:r>
                        <w:r>
                          <w:rPr>
                            <w:rFonts w:ascii="宋体" w:hAnsi="宋体" w:cs="宋体" w:eastAsia="宋体" w:hint="default"/>
                            <w:spacing w:val="-81"/>
                            <w:sz w:val="18"/>
                            <w:szCs w:val="18"/>
                          </w:rPr>
                          <w:t> </w:t>
                        </w:r>
                        <w:r>
                          <w:rPr>
                            <w:rFonts w:ascii="宋体" w:hAnsi="宋体" w:cs="宋体" w:eastAsia="宋体" w:hint="default"/>
                            <w:spacing w:val="-11"/>
                            <w:sz w:val="18"/>
                            <w:szCs w:val="18"/>
                          </w:rPr>
                          <w:t>要业务制度或系统存在的缺陷；（</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）内</w:t>
                        </w:r>
                        <w:r>
                          <w:rPr>
                            <w:rFonts w:ascii="宋体" w:hAnsi="宋体" w:cs="宋体" w:eastAsia="宋体" w:hint="default"/>
                            <w:spacing w:val="-81"/>
                            <w:sz w:val="18"/>
                            <w:szCs w:val="18"/>
                          </w:rPr>
                          <w:t> </w:t>
                        </w:r>
                        <w:r>
                          <w:rPr>
                            <w:rFonts w:ascii="宋体" w:hAnsi="宋体" w:cs="宋体" w:eastAsia="宋体" w:hint="default"/>
                            <w:sz w:val="18"/>
                            <w:szCs w:val="18"/>
                          </w:rPr>
                          <w:t>部控制内部监督发现的重要缺陷未及</w:t>
                        </w:r>
                        <w:r>
                          <w:rPr>
                            <w:rFonts w:ascii="宋体" w:hAnsi="宋体" w:cs="宋体" w:eastAsia="宋体" w:hint="default"/>
                            <w:sz w:val="18"/>
                            <w:szCs w:val="18"/>
                          </w:rPr>
                          <w:t> </w:t>
                        </w:r>
                        <w:r>
                          <w:rPr>
                            <w:rFonts w:ascii="宋体" w:hAnsi="宋体" w:cs="宋体" w:eastAsia="宋体" w:hint="default"/>
                            <w:spacing w:val="-9"/>
                            <w:sz w:val="18"/>
                            <w:szCs w:val="18"/>
                          </w:rPr>
                          <w:t>时整改；（</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）重要业务系统运转效率低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下。非财务报告内部控制一般缺陷：一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般业务制度或系统存在缺陷。</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4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316" w:lineRule="auto" w:before="51"/>
                          <w:ind w:left="16" w:right="48"/>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w:t>
                        </w:r>
                        <w:r>
                          <w:rPr>
                            <w:rFonts w:ascii="宋体" w:hAnsi="宋体" w:cs="宋体" w:eastAsia="宋体" w:hint="default"/>
                            <w:spacing w:val="-4"/>
                            <w:sz w:val="18"/>
                            <w:szCs w:val="18"/>
                          </w:rPr>
                          <w:t>与利润报表相关的，以营业收入指标衡</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该缺陷单独或连同其他缺陷可能导致的财 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，则</w:t>
            </w:r>
            <w:r>
              <w:rPr>
                <w:rFonts w:ascii="宋体" w:hAnsi="宋体" w:cs="宋体" w:eastAsia="宋体" w:hint="default"/>
                <w:spacing w:val="-33"/>
                <w:sz w:val="18"/>
                <w:szCs w:val="18"/>
              </w:rPr>
              <w:t> </w:t>
            </w:r>
            <w:r>
              <w:rPr>
                <w:rFonts w:ascii="宋体" w:hAnsi="宋体" w:cs="宋体" w:eastAsia="宋体" w:hint="default"/>
                <w:sz w:val="18"/>
                <w:szCs w:val="18"/>
              </w:rPr>
              <w:t>认定为一般缺陷；如果超过营业收入的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，则为重要缺陷；如果超 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，则认定为重大缺陷。内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部控制缺陷可能导致或导致的损失与资产 管理相关的，以资产总额指标衡量。如果 该缺陷单独或连同其他缺陷可能导致的财 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，则</w:t>
            </w:r>
            <w:r>
              <w:rPr>
                <w:rFonts w:ascii="宋体" w:hAnsi="宋体" w:cs="宋体" w:eastAsia="宋体" w:hint="default"/>
                <w:spacing w:val="-33"/>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3"/>
              <w:jc w:val="left"/>
              <w:rPr>
                <w:rFonts w:ascii="宋体" w:hAnsi="宋体" w:cs="宋体" w:eastAsia="宋体" w:hint="default"/>
                <w:sz w:val="18"/>
                <w:szCs w:val="18"/>
              </w:rPr>
            </w:pP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能导致的财务报告错报金额小于营业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 </w:t>
            </w:r>
            <w:r>
              <w:rPr>
                <w:rFonts w:ascii="宋体" w:hAnsi="宋体" w:cs="宋体" w:eastAsia="宋体" w:hint="default"/>
                <w:spacing w:val="-4"/>
                <w:sz w:val="18"/>
                <w:szCs w:val="18"/>
              </w:rPr>
              <w:t>定为重要缺陷；如果超过税前利润营业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 控制缺陷可能导致或导致的损失与资 产管理相关的，以资产总额指标衡量。 如果该缺陷单独或连同其他缺陷可能 导致的财务报告错报金额小于资产总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 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为重要缺陷；如果超过资产总额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2"/>
        <w:jc w:val="left"/>
        <w:rPr>
          <w:b w:val="0"/>
          <w:bCs w:val="0"/>
        </w:rPr>
      </w:pPr>
      <w:bookmarkStart w:name="十、内部控制审计报告或鉴证报告" w:id="142"/>
      <w:bookmarkEnd w:id="142"/>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我们认为，东港股份有限公司于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日在所有重大方面保持了按照财政部颁布的《内部会计控制规范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基本规范（试行</w:t>
            </w:r>
            <w:r>
              <w:rPr>
                <w:rFonts w:ascii="宋体" w:hAnsi="宋体" w:cs="宋体" w:eastAsia="宋体" w:hint="default"/>
                <w:spacing w:val="-90"/>
                <w:w w:val="99"/>
                <w:sz w:val="18"/>
                <w:szCs w:val="18"/>
              </w:rPr>
              <w:t>）</w:t>
            </w:r>
            <w:r>
              <w:rPr>
                <w:rFonts w:ascii="宋体" w:hAnsi="宋体" w:cs="宋体" w:eastAsia="宋体" w:hint="default"/>
                <w:w w:val="99"/>
                <w:sz w:val="18"/>
                <w:szCs w:val="18"/>
              </w:rPr>
              <w:t>》的有关规范标准中与财务报表相关的有效的内部控制。</w:t>
            </w:r>
            <w:r>
              <w:rPr>
                <w:rFonts w:ascii="宋体" w:hAnsi="宋体" w:cs="宋体" w:eastAsia="宋体" w:hint="default"/>
                <w:sz w:val="18"/>
                <w:szCs w:val="18"/>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32"/>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486"/>
        <w:jc w:val="center"/>
        <w:rPr>
          <w:b w:val="0"/>
          <w:bCs w:val="0"/>
        </w:rPr>
      </w:pPr>
      <w:bookmarkStart w:name="第十节 财务报告" w:id="143"/>
      <w:bookmarkEnd w:id="143"/>
      <w:r>
        <w:rPr>
          <w:b w:val="0"/>
          <w:bCs w:val="0"/>
        </w:rPr>
      </w:r>
      <w:bookmarkStart w:name="_bookmark9" w:id="144"/>
      <w:bookmarkEnd w:id="144"/>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2"/>
        <w:jc w:val="left"/>
        <w:rPr>
          <w:b w:val="0"/>
          <w:bCs w:val="0"/>
        </w:rPr>
      </w:pPr>
      <w:bookmarkStart w:name="一、审计报告" w:id="145"/>
      <w:bookmarkEnd w:id="14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[2016]01280015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黄简 罗军</w:t>
            </w:r>
          </w:p>
        </w:tc>
      </w:tr>
    </w:tbl>
    <w:p>
      <w:pPr>
        <w:pStyle w:val="BodyText"/>
        <w:spacing w:line="240" w:lineRule="auto" w:before="51"/>
        <w:ind w:left="3509" w:right="4485"/>
        <w:jc w:val="center"/>
      </w:pPr>
      <w:r>
        <w:rPr/>
        <w:t>审计报告正文</w:t>
      </w:r>
    </w:p>
    <w:p>
      <w:pPr>
        <w:spacing w:before="115"/>
        <w:ind w:left="153" w:right="1132" w:firstLine="0"/>
        <w:jc w:val="left"/>
        <w:rPr>
          <w:rFonts w:ascii="宋体" w:hAnsi="宋体" w:cs="宋体" w:eastAsia="宋体" w:hint="default"/>
          <w:sz w:val="18"/>
          <w:szCs w:val="18"/>
        </w:rPr>
      </w:pPr>
      <w:r>
        <w:rPr>
          <w:rFonts w:ascii="宋体" w:hAnsi="宋体" w:cs="宋体" w:eastAsia="宋体" w:hint="default"/>
          <w:b/>
          <w:bCs/>
          <w:sz w:val="18"/>
          <w:szCs w:val="18"/>
        </w:rPr>
        <w:t>东港股份有限公司全体股东：</w:t>
      </w:r>
      <w:r>
        <w:rPr>
          <w:rFonts w:ascii="宋体" w:hAnsi="宋体" w:cs="宋体" w:eastAsia="宋体" w:hint="default"/>
          <w:sz w:val="18"/>
          <w:szCs w:val="18"/>
        </w:rPr>
      </w:r>
    </w:p>
    <w:p>
      <w:pPr>
        <w:spacing w:line="240" w:lineRule="auto" w:before="4"/>
        <w:rPr>
          <w:rFonts w:ascii="宋体" w:hAnsi="宋体" w:cs="宋体" w:eastAsia="宋体" w:hint="default"/>
          <w:b/>
          <w:bCs/>
          <w:sz w:val="26"/>
          <w:szCs w:val="26"/>
        </w:rPr>
      </w:pPr>
    </w:p>
    <w:p>
      <w:pPr>
        <w:pStyle w:val="BodyText"/>
        <w:spacing w:line="300" w:lineRule="auto" w:before="44"/>
        <w:ind w:right="1113" w:firstLine="480"/>
        <w:jc w:val="left"/>
      </w:pPr>
      <w:r>
        <w:rPr/>
        <w:t>我们审计了后附的东港股份有限公司（以下简称</w:t>
      </w:r>
      <w:r>
        <w:rPr>
          <w:rFonts w:ascii="Times New Roman" w:hAnsi="Times New Roman" w:cs="Times New Roman" w:eastAsia="Times New Roman" w:hint="default"/>
        </w:rPr>
        <w:t>“</w:t>
      </w:r>
      <w:r>
        <w:rPr/>
        <w:t>东港股份公司</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 产负债表，</w:t>
      </w:r>
      <w:r>
        <w:rPr>
          <w:rFonts w:ascii="Times New Roman" w:hAnsi="Times New Roman" w:cs="Times New Roman" w:eastAsia="Times New Roman" w:hint="default"/>
        </w:rPr>
        <w:t>2015</w:t>
      </w:r>
      <w:r>
        <w:rPr/>
        <w:t>年度合并及公司的利润表、合并及公司的现金流量表和合并及公司的股东权益变动表以及财务报表附注。</w:t>
      </w:r>
    </w:p>
    <w:p>
      <w:pPr>
        <w:spacing w:line="240" w:lineRule="auto" w:before="11"/>
        <w:rPr>
          <w:rFonts w:ascii="宋体" w:hAnsi="宋体" w:cs="宋体" w:eastAsia="宋体" w:hint="default"/>
          <w:sz w:val="24"/>
          <w:szCs w:val="24"/>
        </w:rPr>
      </w:pPr>
    </w:p>
    <w:p>
      <w:pPr>
        <w:spacing w:line="316" w:lineRule="auto" w:before="0"/>
        <w:ind w:left="633" w:right="1132"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编制和公允列报财务报表是东港股份公司管理层的责任。这种责任包括：（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pStyle w:val="BodyText"/>
        <w:spacing w:line="248" w:lineRule="exact"/>
        <w:ind w:right="0"/>
        <w:jc w:val="left"/>
      </w:pPr>
      <w:r>
        <w:rPr/>
        <w:t>表，并使其实现公允反映；（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634" w:right="1132"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9"/>
        <w:ind w:left="154" w:right="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left="154"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634" w:right="1132"/>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09" w:lineRule="auto" w:before="153"/>
        <w:ind w:right="0" w:firstLine="48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我们认为，上述财务报表在所有重大方面按照企业会计准则的规定编制，公允反映了东港股份有限公司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spacing w:val="-55"/>
        </w:rPr>
        <w:t> </w:t>
      </w:r>
      <w:r>
        <w:rPr/>
        <w:t>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9"/>
        <w:rPr>
          <w:rFonts w:ascii="宋体" w:hAnsi="宋体" w:cs="宋体" w:eastAsia="宋体" w:hint="default"/>
          <w:sz w:val="19"/>
          <w:szCs w:val="19"/>
        </w:rPr>
      </w:pPr>
    </w:p>
    <w:p>
      <w:pPr>
        <w:pStyle w:val="Heading2"/>
        <w:spacing w:line="240" w:lineRule="auto"/>
        <w:ind w:right="1132"/>
        <w:jc w:val="left"/>
        <w:rPr>
          <w:b w:val="0"/>
          <w:bCs w:val="0"/>
        </w:rPr>
      </w:pPr>
      <w:bookmarkStart w:name="二、财务报表" w:id="146"/>
      <w:bookmarkEnd w:id="14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left="153" w:right="1132"/>
        <w:jc w:val="left"/>
        <w:rPr>
          <w:b w:val="0"/>
          <w:bCs w:val="0"/>
        </w:rPr>
      </w:pPr>
      <w:bookmarkStart w:name="1、合并资产负债表" w:id="147"/>
      <w:bookmarkEnd w:id="14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t>编制单位：东港股份有限公司</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383,596,462.05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279,032,612.77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497,496.00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1,991,020.11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182,828,441.96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110,559,791.32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5,311,039.55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6,909,329.96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24,015,264.13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14,563,652.95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122,614,486.18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136,133,535.25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193,875.77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457,641,539.80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470,947,392.05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1,176,698,605.44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1,020,137,334.41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9,800,666.42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8,250,945.06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5,252,958.14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624,346,358.01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642,821,241.81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106,422,058.04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45,790,382.26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91,589,685.44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91,790,247.82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10,570,051.87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978,997.57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2,485,097.93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1,239,938.65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1,804,920.59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590,489.57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6,652,213.39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5,494,653.61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852,121,330.33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803,759,575.85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2,028,819,935.77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1,823,896,910.26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140,646,132.41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116,859,667.04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158,875,817.76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150,788,621.93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111,999,630.22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70,067,086.86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45,908,818.72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42,459,999.05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32,442,360.68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19,729,129.05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29,317,660.56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36,345,977.30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3,225,333.46</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522,415,753.81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436,250,481.23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4,892,329.53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10,629,193.85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11,288,620.02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16,180,949.55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22,578,793.85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538,596,703.36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458,829,275.08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363,777,614.00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363,806,414.00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379,181,058.58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375,517,136.70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154,457,633.46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126,332,259.63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515,747,532.40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436,791,808.40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1,413,163,838.44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1,297,217,743.73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77,059,393.97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67,849,891.45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1,490,223,232.41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1,365,067,635.18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2,028,819,935.77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1,823,896,910.26</w:t>
            </w:r>
          </w:p>
        </w:tc>
      </w:tr>
    </w:tbl>
    <w:p>
      <w:pPr>
        <w:spacing w:line="240" w:lineRule="auto" w:before="3"/>
        <w:rPr>
          <w:rFonts w:ascii="Times New Roman" w:hAnsi="Times New Roman" w:cs="Times New Roman" w:eastAsia="Times New Roman" w:hint="default"/>
          <w:sz w:val="23"/>
          <w:szCs w:val="23"/>
        </w:rPr>
      </w:pPr>
    </w:p>
    <w:p>
      <w:pPr>
        <w:pStyle w:val="BodyText"/>
        <w:tabs>
          <w:tab w:pos="3664" w:val="left" w:leader="none"/>
          <w:tab w:pos="7895" w:val="left" w:leader="none"/>
        </w:tabs>
        <w:spacing w:line="240" w:lineRule="auto" w:before="44"/>
        <w:ind w:left="154" w:right="1132"/>
        <w:jc w:val="left"/>
      </w:pPr>
      <w:r>
        <w:rPr/>
        <w:t>法定代表人：王爱先</w:t>
        <w:tab/>
        <w:t>主管会计工作负责人：史建中</w:t>
        <w:tab/>
        <w:t>会计机构负责人：郑理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2、母公司资产负债表" w:id="148"/>
      <w:bookmarkEnd w:id="14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258,092,537.32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136,215,900.80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497,496.00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402,452.00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118,574,069.58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69,575,638.50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2,444,520.52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5,062,297.32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10,188,995.57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9,261,691.42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48,095,651.28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78,640,809.04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193,875.77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441,434,076.63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470,792,831.32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879,521,222.67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769,951,620.40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335,408,380.39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328,858,380.39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351,841,388.04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420,531,185.38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130,784.40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301,724.57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50,342,947.95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49,905,574.14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6,781,978.55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580,253.16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1,388,300.07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588,614.57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4,176,914.23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3,497,417.52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750,070,693.63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804,263,149.73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1,629,591,916.30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1,574,214,770.13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140,986,132.41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116,859,667.04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71,961,559.47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92,073,492.80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48,249,414.50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52,229,782.33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27,118,932.97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23,921,938.68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21,638,924.66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11,084,414.29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67,473,408.18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102,417,326.77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377,428,372.19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398,586,621.91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10,629,193.85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1,158,620.02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1,158,620.02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11,848,793.85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378,586,992.21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410,435,415.76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363,777,614.00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363,806,414.00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378,000,186.04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374,336,264.16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5,229,875.00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154,457,633.46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126,332,259.63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354,769,490.59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304,534,291.58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1,251,004,924.09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1,163,779,354.37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1,629,591,916.30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1,574,214,770.13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32"/>
        <w:jc w:val="left"/>
        <w:rPr>
          <w:b w:val="0"/>
          <w:bCs w:val="0"/>
        </w:rPr>
      </w:pPr>
      <w:bookmarkStart w:name="3、合并利润表" w:id="149"/>
      <w:bookmarkEnd w:id="14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1,256,248,131.57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1,110,878,833.02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1,256,248,131.57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1,110,878,833.02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1,021,999,446.52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911,912,307.06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754,732,200.65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658,794,590.62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12,859,606.54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10,758,459.50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776392"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80.599976pt;width:157.7pt;height:19.650pt;mso-position-horizontal-relative:page;mso-position-vertical-relative:page;z-index:-776368"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89,092,363.11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88,052,730.86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162,012,681.57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154,565,808.34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-1,022,060.54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-2,184,396.92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4,324,655.19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1,925,114.66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25,259,322.30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9,744,300.92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-1,228,951.63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-399,333.58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259,508,007.35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208,710,826.88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14,827,974.16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9,573,986.26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4,908,226.78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300,261.85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2,361,995.34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273,367.72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594,428.98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140,981.57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271,973,986.17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218,011,445.42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39,763,834.74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32,064,900.69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232,210,151.43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185,946,544.73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216,223,017.20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168,826,144.61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15,987,134.23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17,120,400.12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232,210,151.43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185,946,544.73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216,223,017.20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168,826,144.61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15,987,134.23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17,120,400.12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法定代表人：王爱先</w:t>
        <w:tab/>
        <w:t>主管会计工作负责人：史建中</w:t>
        <w:tab/>
        <w:t>会计机构负责人：郑理</w:t>
      </w:r>
    </w:p>
    <w:p>
      <w:pPr>
        <w:spacing w:line="240" w:lineRule="auto" w:before="10"/>
        <w:rPr>
          <w:rFonts w:ascii="宋体" w:hAnsi="宋体" w:cs="宋体" w:eastAsia="宋体" w:hint="default"/>
          <w:sz w:val="26"/>
          <w:szCs w:val="26"/>
        </w:rPr>
      </w:pPr>
    </w:p>
    <w:p>
      <w:pPr>
        <w:pStyle w:val="Heading3"/>
        <w:spacing w:line="240" w:lineRule="auto"/>
        <w:ind w:left="153" w:right="1132"/>
        <w:jc w:val="left"/>
        <w:rPr>
          <w:b w:val="0"/>
          <w:bCs w:val="0"/>
        </w:rPr>
      </w:pPr>
      <w:bookmarkStart w:name="4、母公司利润表" w:id="150"/>
      <w:bookmarkEnd w:id="15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814,649,553.68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729,578,045.39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582,617,348.01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508,688,862.04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7,090,143.83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6,039,251.84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41,399,219.86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49,432,193.82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69,351,585.79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78,252,022.20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-1,110,647.30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-1,861,108.41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2,253,238.67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1,715,135.80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92,750,924.18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69,071,769.25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205,799,589.00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156,383,457.35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5,581,270.57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3,744,573.80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4,899,457.69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2,086,273.58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169,488.02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405,333.58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111,977.20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209,294,585.99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159,958,543.13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21,792,093.78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14,785,640.27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187,502,492.21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145,172,902.86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187,502,492.21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145,172,902.86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bl>
    <w:p>
      <w:pPr>
        <w:spacing w:line="240" w:lineRule="auto" w:before="3"/>
        <w:rPr>
          <w:rFonts w:ascii="宋体" w:hAnsi="宋体" w:cs="宋体" w:eastAsia="宋体" w:hint="default"/>
          <w:sz w:val="19"/>
          <w:szCs w:val="19"/>
        </w:rPr>
      </w:pPr>
    </w:p>
    <w:p>
      <w:pPr>
        <w:pStyle w:val="Heading3"/>
        <w:spacing w:line="240" w:lineRule="auto" w:before="35"/>
        <w:ind w:right="1132"/>
        <w:jc w:val="left"/>
        <w:rPr>
          <w:b w:val="0"/>
          <w:bCs w:val="0"/>
        </w:rPr>
      </w:pPr>
      <w:bookmarkStart w:name="5、合并现金流量表" w:id="151"/>
      <w:bookmarkEnd w:id="15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1,320,373,390.67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1,272,161,935.19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969,210.75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280,712,836.11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115,075,044.19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1,601,089,406.73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1,388,206,190.13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806,250,687.89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686,308,498.22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151,567,005.90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109,548,936.94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156,636,070.78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142,958,072.26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189,753,969.62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141,770,652.04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1,304,207,734.19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1,080,586,159.46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296,881,672.54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307,620,030.67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26,715,422.70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10,188,196.15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6,170,518.36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58,009.00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690,685,941.06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543,246,205.15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133,577,068.15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89,109,524.12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5,467,694.74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10,305,063.49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763,844,762.89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1,012,414,587.61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-73,158,821.83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-469,168,382.46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124,163,011.94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74,373,466.71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15,408,360.10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13,717,464.31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437,850.00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127,615,336.94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74,811,316.71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-120,665,336.94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-62,861,716.71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-455.17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-1,151.28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103,057,058.60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-224,411,219.78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249,408,952.32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352,466,010.92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1132"/>
        <w:jc w:val="left"/>
        <w:rPr>
          <w:b w:val="0"/>
          <w:bCs w:val="0"/>
        </w:rPr>
      </w:pPr>
      <w:bookmarkStart w:name="6、母公司现金流量表" w:id="152"/>
      <w:bookmarkEnd w:id="15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889,017,088.37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807,453,863.23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3,179.95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647,137,037.45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310,460,700.75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1,536,157,305.77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1,117,914,563.98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694,640,841.27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648,087,102.67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75,239,449.55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57,203,840.88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78,391,613.42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75,905,739.55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596,141,615.12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169,768,413.92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1,444,413,519.36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950,965,097.02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91,743,786.41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166,949,466.96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92,978,072.95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69,091,330.89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50,482,011.32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3,274,928.55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788,460,084.27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492,366,259.44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26,814,592.83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30,102,250.34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648,364,592.83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830,102,250.34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140,095,491.44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-337,735,990.90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108,754,651.84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60,656,002.40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437,850.00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111,468,976.84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61,093,852.40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-111,468,976.84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-59,874,252.40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-455.17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-1,212.73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120,369,845.84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-230,661,989.07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106,592,240.35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337,254,229.42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226,962,086.19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106,592,240.35</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7、合并所有者权益变动表" w:id="153"/>
      <w:bookmarkEnd w:id="15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363,80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6,414.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375,517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,136.70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126,332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,259.63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436,791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,808.40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67,849,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67,635.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363,80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6,414.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375,517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,136.70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126,332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,259.63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436,791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,808.40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67,849,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67,635.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3,663,9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373.83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78,955,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9,209,5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125,155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,597.23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216,223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15,987,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134.23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232,210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,151.43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8,630,7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13,763,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303.39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6,950,0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6,950,0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1,680,7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28.39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1,583,4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28.39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373.83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7,293.2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-15,408,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360.10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28,125,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373.83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-28,125,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373.83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-15,408,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360.10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3,732,4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3,732,4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21.88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154,457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,633.46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515,747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,532.40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77,059,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393.97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pStyle w:val="BodyText"/>
        <w:spacing w:line="240" w:lineRule="auto" w:before="51"/>
        <w:ind w:left="154" w:right="11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303,28</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0,012.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431,982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,007.45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104,556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350,397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,601.62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56,724,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295.52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303,28</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0,012.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431,982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,007.45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10,897,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104,556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350,397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,601.62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56,724,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295.52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60,526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-56,464,</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870.75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-5,667,7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935.43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86,394,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206.78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11,125,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595.93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129,024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,994.39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168,826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,144.61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17,120,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400.12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185,946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,544.73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-308,25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-5,667,7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7,722,6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12,952,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535.12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7,722,6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7,722,6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60.12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-5,667,7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5,667,7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4"/>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25.00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-308,25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-437,85</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935.43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-82,431,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937.83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-13,717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,464.31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-74,373,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466.71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935.43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935.43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002.40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-13,717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,464.31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-74,373,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466.71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4,499,3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4,499,3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6,414.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375,517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,136.70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5,229,8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126,332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,259.63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436,791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,808.40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67,849,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891.45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67,635.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8、母公司所有者权益变动表" w:id="154"/>
      <w:bookmarkEnd w:id="15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363,806,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374,336,2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64.16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5,229,875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126,332,2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304,534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,291.58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1,163,779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,354.37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363,806,</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374,336,2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64.16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5,229,875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126,332,2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304,534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,291.58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1,163,779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,354.37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3,663,921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-5,229,87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28,125,37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50,235,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199.01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87,225,56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9.72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187,502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,492.21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187,502,4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92.21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-68,500.0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-5,229,87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5,132,575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-5,229,87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5,229,875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-68,500.0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-97,300.0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28,125,37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7,293.2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-109,141,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919.37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28,125,37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-28,125,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373.83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1,919.3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-109,141,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919.37</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3,732,421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3,732,421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154,457,6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33.46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354,769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,490.59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1,251,004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,924.09</w:t>
            </w:r>
          </w:p>
        </w:tc>
      </w:tr>
    </w:tbl>
    <w:p>
      <w:pPr>
        <w:pStyle w:val="BodyText"/>
        <w:spacing w:line="240" w:lineRule="auto" w:before="51"/>
        <w:ind w:left="154" w:right="113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303,280,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430,801,1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34.91</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10,897,60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104,556,3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24.20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241,793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,326.55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1,069,533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,197.66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303,280,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430,801,1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34.91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10,897,60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104,556,3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241,793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,326.55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1,069,533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,197.66</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60,526,4</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-56,464,8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-5,667,72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21,775,93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62,740,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965.03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94,246,15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145,172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145,172,9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96" w:right="0"/>
              <w:jc w:val="left"/>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-308,250.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-5,667,72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5,229,875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-5,667,72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5,667,725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-308,250.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-437,850.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21,775,93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-82,431,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937.83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02.40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21,775,93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935.43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002.40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02.40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4,499,381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4,499,381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363,806,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374,336,2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5,229,875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126,332,2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304,534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,291.58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1,163,779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,354.37</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2"/>
        <w:jc w:val="left"/>
        <w:rPr>
          <w:b w:val="0"/>
          <w:bCs w:val="0"/>
        </w:rPr>
      </w:pPr>
      <w:bookmarkStart w:name="三、公司基本情况" w:id="155"/>
      <w:bookmarkEnd w:id="15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2" w:firstLine="360"/>
        <w:jc w:val="both"/>
      </w:pPr>
      <w:r>
        <w:rPr>
          <w:spacing w:val="-1"/>
        </w:rPr>
        <w:t>东港股份有限公司（以下简称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）是由香港喜多来集团有限公司、浪潮电子信息产业股份有限公司、北</w:t>
      </w:r>
      <w:r>
        <w:rPr/>
        <w:t> </w:t>
      </w:r>
      <w:r>
        <w:rPr>
          <w:spacing w:val="-2"/>
        </w:rPr>
        <w:t>京中嘉华信息技术有限公司、济南发展国有工业资产经营有限公司等公司共同发起设立的股份有限公司，注册地为中华人民</w:t>
      </w:r>
      <w:r>
        <w:rPr>
          <w:spacing w:val="-64"/>
        </w:rPr>
        <w:t> </w:t>
      </w:r>
      <w:r>
        <w:rPr>
          <w:spacing w:val="-64"/>
        </w:rPr>
      </w:r>
      <w:r>
        <w:rPr/>
        <w:t>共和国山东省济南市。公司于</w:t>
      </w:r>
      <w:r>
        <w:rPr>
          <w:rFonts w:ascii="Times New Roman" w:hAnsi="Times New Roman" w:cs="Times New Roman" w:eastAsia="Times New Roman" w:hint="default"/>
        </w:rPr>
        <w:t>1996</w:t>
      </w:r>
      <w:r>
        <w:rPr/>
        <w:t>年经山东省工商行政管理局核准登记，统一社会信用代码为：</w:t>
      </w:r>
      <w:r>
        <w:rPr>
          <w:rFonts w:ascii="Times New Roman" w:hAnsi="Times New Roman" w:cs="Times New Roman" w:eastAsia="Times New Roman" w:hint="default"/>
        </w:rPr>
        <w:t>91370000613207311A</w:t>
      </w:r>
      <w:r>
        <w:rPr/>
        <w:t>。</w:t>
      </w:r>
    </w:p>
    <w:p>
      <w:pPr>
        <w:pStyle w:val="BodyText"/>
        <w:spacing w:line="300" w:lineRule="auto" w:before="5"/>
        <w:ind w:right="1033" w:firstLine="360"/>
        <w:jc w:val="left"/>
      </w:pPr>
      <w:r>
        <w:rPr/>
        <w:t>本公司前身为济南东港安全印务有限公司，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日在该公司基础上改制为股份有限公司。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 </w:t>
      </w:r>
      <w:r>
        <w:rPr>
          <w:spacing w:val="-2"/>
        </w:rPr>
        <w:t>国证券监督管理委员会证监发行字</w:t>
      </w:r>
      <w:r>
        <w:rPr>
          <w:rFonts w:ascii="Times New Roman" w:hAnsi="Times New Roman" w:cs="Times New Roman" w:eastAsia="Times New Roman" w:hint="default"/>
          <w:spacing w:val="-2"/>
        </w:rPr>
        <w:t>[2007]24</w:t>
      </w:r>
      <w:r>
        <w:rPr>
          <w:spacing w:val="-2"/>
        </w:rPr>
        <w:t>号文核准，本公司于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日向社会发行人民币普通股股票</w:t>
      </w:r>
      <w:r>
        <w:rPr>
          <w:rFonts w:ascii="Times New Roman" w:hAnsi="Times New Roman" w:cs="Times New Roman" w:eastAsia="Times New Roman" w:hint="default"/>
          <w:spacing w:val="-2"/>
        </w:rPr>
        <w:t>2,800</w:t>
      </w:r>
      <w:r>
        <w:rPr>
          <w:spacing w:val="-2"/>
        </w:rPr>
        <w:t>万股，发行</w:t>
      </w:r>
      <w:r>
        <w:rPr>
          <w:spacing w:val="-33"/>
        </w:rPr>
        <w:t> </w:t>
      </w:r>
      <w:r>
        <w:rPr>
          <w:spacing w:val="-33"/>
        </w:rPr>
      </w:r>
      <w:r>
        <w:rPr>
          <w:spacing w:val="-3"/>
        </w:rPr>
        <w:t>后累计注册资本金额为人民币</w:t>
      </w:r>
      <w:r>
        <w:rPr>
          <w:rFonts w:ascii="Times New Roman" w:hAnsi="Times New Roman" w:cs="Times New Roman" w:eastAsia="Times New Roman" w:hint="default"/>
          <w:spacing w:val="-3"/>
        </w:rPr>
        <w:t>110,000,000.00</w:t>
      </w:r>
      <w:r>
        <w:rPr>
          <w:spacing w:val="-3"/>
        </w:rPr>
        <w:t>元，股本为人民币</w:t>
      </w:r>
      <w:r>
        <w:rPr>
          <w:rFonts w:ascii="Times New Roman" w:hAnsi="Times New Roman" w:cs="Times New Roman" w:eastAsia="Times New Roman" w:hint="default"/>
          <w:spacing w:val="-3"/>
        </w:rPr>
        <w:t>110,000,000.00</w:t>
      </w:r>
      <w:r>
        <w:rPr>
          <w:spacing w:val="-3"/>
        </w:rPr>
        <w:t>元，股票面值为每股人民币</w:t>
      </w:r>
      <w:r>
        <w:rPr>
          <w:rFonts w:ascii="Times New Roman" w:hAnsi="Times New Roman" w:cs="Times New Roman" w:eastAsia="Times New Roman" w:hint="default"/>
          <w:spacing w:val="-3"/>
        </w:rPr>
        <w:t>1</w:t>
      </w:r>
      <w:r>
        <w:rPr>
          <w:spacing w:val="-3"/>
        </w:rPr>
        <w:t>元。公司注册地址：</w:t>
      </w:r>
      <w:r>
        <w:rPr>
          <w:spacing w:val="-57"/>
        </w:rPr>
        <w:t> </w:t>
      </w:r>
      <w:r>
        <w:rPr>
          <w:spacing w:val="-57"/>
        </w:rPr>
      </w:r>
      <w:r>
        <w:rPr/>
        <w:t>山东省济南市山大北路</w:t>
      </w:r>
      <w:r>
        <w:rPr>
          <w:rFonts w:ascii="Times New Roman" w:hAnsi="Times New Roman" w:cs="Times New Roman" w:eastAsia="Times New Roman" w:hint="default"/>
        </w:rPr>
        <w:t>23</w:t>
      </w:r>
      <w:r>
        <w:rPr/>
        <w:t>号。法定代表人：王爱先。注册资本：</w:t>
      </w:r>
      <w:r>
        <w:rPr>
          <w:rFonts w:ascii="Times New Roman" w:hAnsi="Times New Roman" w:cs="Times New Roman" w:eastAsia="Times New Roman" w:hint="default"/>
        </w:rPr>
        <w:t>363,777,614.00</w:t>
      </w:r>
      <w:r>
        <w:rPr/>
        <w:t>元人民币。经营范围：出版物、包装装潢印</w:t>
      </w:r>
      <w:r>
        <w:rPr>
          <w:spacing w:val="-48"/>
        </w:rPr>
        <w:t> </w:t>
      </w:r>
      <w:r>
        <w:rPr>
          <w:spacing w:val="-48"/>
        </w:rPr>
      </w:r>
      <w:r>
        <w:rPr>
          <w:spacing w:val="-2"/>
        </w:rPr>
        <w:t>刷品及其他印刷品印刷；办公用纸、纸制品的生产；高档纸张的防伪处理，磁卡、</w:t>
      </w:r>
      <w:r>
        <w:rPr>
          <w:rFonts w:ascii="Times New Roman" w:hAnsi="Times New Roman" w:cs="Times New Roman" w:eastAsia="Times New Roman" w:hint="default"/>
          <w:spacing w:val="-2"/>
        </w:rPr>
        <w:t>IC</w:t>
      </w:r>
      <w:r>
        <w:rPr>
          <w:spacing w:val="-2"/>
        </w:rPr>
        <w:t>卡、智能卡、识别卡和智能标签、印刷</w:t>
      </w:r>
      <w:r>
        <w:rPr>
          <w:spacing w:val="-66"/>
        </w:rPr>
        <w:t> </w:t>
      </w:r>
      <w:r>
        <w:rPr>
          <w:spacing w:val="-66"/>
        </w:rPr>
      </w:r>
      <w:r>
        <w:rPr/>
        <w:t>器材、电子设备及相关产品、办公自动化设备及相关产品、电子元器件、软件产品的开发、生产，销售本公司生产的产品；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信息系统集成工程及技术服务，数据及信息处理服务，科技信息咨询服务；印刷品设计服务；从事上述产品的批发；图书期</w:t>
      </w:r>
      <w:r>
        <w:rPr>
          <w:spacing w:val="-66"/>
        </w:rPr>
        <w:t> </w:t>
      </w:r>
      <w:r>
        <w:rPr>
          <w:spacing w:val="-66"/>
        </w:rPr>
      </w:r>
      <w:r>
        <w:rPr>
          <w:spacing w:val="-2"/>
        </w:rPr>
        <w:t>刊、音像制品、电子出版物的批发及网络销售；档案存储及数字化加工服务，档案管理、咨询服务；技术进出口，自有房屋</w:t>
      </w:r>
      <w:r>
        <w:rPr>
          <w:spacing w:val="-72"/>
        </w:rPr>
        <w:t> </w:t>
      </w:r>
      <w:r>
        <w:rPr>
          <w:spacing w:val="-72"/>
        </w:rPr>
      </w:r>
      <w:r>
        <w:rPr/>
        <w:t>租赁（依法须经批准的项目，经相关部门批准后方可开展经营活动）。</w:t>
      </w:r>
    </w:p>
    <w:p>
      <w:pPr>
        <w:pStyle w:val="BodyText"/>
        <w:spacing w:line="300" w:lineRule="auto" w:before="19"/>
        <w:ind w:right="3933" w:firstLine="506"/>
        <w:jc w:val="left"/>
      </w:pPr>
      <w:r>
        <w:rPr/>
        <w:t>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日决议批准报出。 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10</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56"/>
      <w:bookmarkEnd w:id="15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编制基础" w:id="157"/>
      <w:bookmarkEnd w:id="15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1" w:firstLine="360"/>
        <w:jc w:val="both"/>
      </w:pPr>
      <w:r>
        <w:rPr>
          <w:spacing w:val="-2"/>
        </w:rPr>
        <w:t>根据企业会计准则的相关规定，本公司会计核算以权责发生制为基础。除某些金融工具外，本财务报表均以历史成本为</w:t>
      </w:r>
      <w:r>
        <w:rPr/>
        <w:t> </w:t>
      </w:r>
      <w:r>
        <w:rPr>
          <w:spacing w:val="-2"/>
        </w:rPr>
        <w:t>计量基础。持有待售的非流动资产，按公允价值减去预计费用后的金额，以及符合持有待售条件时的原账面价值，取两者孰</w:t>
      </w:r>
      <w:r>
        <w:rPr>
          <w:spacing w:val="-66"/>
        </w:rPr>
        <w:t> </w:t>
      </w:r>
      <w:r>
        <w:rPr>
          <w:spacing w:val="-66"/>
        </w:rPr>
      </w:r>
      <w:r>
        <w:rPr/>
        <w:t>低计价。资产如果发生减值，则按照相关规定计提相应的减值准备。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2、持续经营" w:id="158"/>
      <w:bookmarkEnd w:id="15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132"/>
        <w:jc w:val="left"/>
      </w:pPr>
      <w:r>
        <w:rPr/>
        <w:t>本公司自报告期末起后的</w:t>
      </w:r>
      <w:r>
        <w:rPr>
          <w:rFonts w:ascii="Times New Roman" w:hAnsi="Times New Roman" w:cs="Times New Roman" w:eastAsia="Times New Roman" w:hint="default"/>
        </w:rPr>
        <w:t>12</w:t>
      </w:r>
      <w:r>
        <w:rPr/>
        <w:t>个月具有持续经营能力，无影响持续经营能力的重大事项。</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59"/>
      <w:bookmarkEnd w:id="15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732" w:right="1132" w:hanging="579"/>
        <w:jc w:val="left"/>
      </w:pPr>
      <w:r>
        <w:rPr/>
        <w:t>具体会计政策和会计估计提示： 本公司及各子公司从事票证印刷、智能卡生产、数据外包服务等经营活动。本公司及各子公司根据实际生产经营特</w:t>
      </w:r>
    </w:p>
    <w:p>
      <w:pPr>
        <w:pStyle w:val="BodyText"/>
        <w:spacing w:line="224" w:lineRule="exact"/>
        <w:ind w:right="0"/>
        <w:jc w:val="both"/>
      </w:pPr>
      <w:r>
        <w:rPr/>
        <w:t>点，依据相关企业会计准则的规定，对收入确认、研究和开发支出等交易和事项制定了若干项具体会计政策和会计估计，详</w:t>
      </w:r>
    </w:p>
    <w:p>
      <w:pPr>
        <w:pStyle w:val="BodyText"/>
        <w:spacing w:line="302" w:lineRule="auto" w:before="76"/>
        <w:ind w:left="154" w:right="1040"/>
        <w:jc w:val="both"/>
      </w:pPr>
      <w:r>
        <w:rPr>
          <w:spacing w:val="-2"/>
        </w:rPr>
        <w:t>见本附注四、</w:t>
      </w:r>
      <w:r>
        <w:rPr>
          <w:rFonts w:ascii="Times New Roman" w:hAnsi="Times New Roman" w:cs="Times New Roman" w:eastAsia="Times New Roman" w:hint="default"/>
          <w:spacing w:val="-2"/>
        </w:rPr>
        <w:t>25“</w:t>
      </w:r>
      <w:r>
        <w:rPr>
          <w:spacing w:val="-2"/>
        </w:rPr>
        <w:t>收入</w:t>
      </w:r>
      <w:r>
        <w:rPr>
          <w:rFonts w:ascii="Times New Roman" w:hAnsi="Times New Roman" w:cs="Times New Roman" w:eastAsia="Times New Roman" w:hint="default"/>
          <w:spacing w:val="-2"/>
        </w:rPr>
        <w:t>”</w:t>
      </w:r>
      <w:r>
        <w:rPr>
          <w:spacing w:val="-2"/>
        </w:rPr>
        <w:t>、附注四、</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2</w:t>
      </w:r>
      <w:r>
        <w:rPr>
          <w:spacing w:val="-2"/>
        </w:rPr>
        <w:t>）等各项描述。关于管理层所作出的重大会计判断和估计的说明，请参阅附注四、</w:t>
      </w:r>
      <w:r>
        <w:rPr>
          <w:spacing w:val="-40"/>
        </w:rPr>
        <w:t> </w:t>
      </w:r>
      <w:r>
        <w:rPr>
          <w:spacing w:val="-40"/>
        </w:rPr>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1"/>
          <w:szCs w:val="21"/>
        </w:rPr>
      </w:pPr>
    </w:p>
    <w:p>
      <w:pPr>
        <w:pStyle w:val="Heading3"/>
        <w:spacing w:line="240" w:lineRule="auto"/>
        <w:ind w:left="153" w:right="0"/>
        <w:jc w:val="both"/>
        <w:rPr>
          <w:b w:val="0"/>
          <w:bCs w:val="0"/>
        </w:rPr>
      </w:pPr>
      <w:bookmarkStart w:name="1、遵循企业会计准则的声明" w:id="160"/>
      <w:bookmarkEnd w:id="16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2" w:firstLine="434"/>
        <w:jc w:val="both"/>
      </w:pPr>
      <w:r>
        <w:rPr/>
        <w:t>本公司编制的财务报表符合企业会计准则的要求，真实、完整地反映了本公司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2015</w:t>
      </w:r>
      <w:r>
        <w:rPr/>
        <w:t>年度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9"/>
        </w:rPr>
        <w:t> </w:t>
      </w:r>
      <w:r>
        <w:rPr>
          <w:spacing w:val="-69"/>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2、会计期间" w:id="161"/>
      <w:bookmarkEnd w:id="16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02" w:firstLine="29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left="153" w:right="0"/>
        <w:jc w:val="both"/>
        <w:rPr>
          <w:b w:val="0"/>
          <w:bCs w:val="0"/>
        </w:rPr>
      </w:pPr>
      <w:bookmarkStart w:name="3、营业周期" w:id="162"/>
      <w:bookmarkEnd w:id="16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29"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4、记账本位币" w:id="163"/>
      <w:bookmarkEnd w:id="16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5、同一控制下和非同一控制下企业合并的会计处理方法" w:id="164"/>
      <w:bookmarkEnd w:id="16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1132"/>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1042"/>
        <w:jc w:val="both"/>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1132"/>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1131"/>
        <w:jc w:val="both"/>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13"/>
        <w:ind w:right="113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58"/>
        <w:ind w:right="1132"/>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p>
    <w:p>
      <w:pPr>
        <w:spacing w:after="0" w:line="316"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2"/>
        <w:jc w:val="left"/>
      </w:pPr>
      <w:r>
        <w:rPr/>
        <w:t>益计划净负债或净资产导致的变动中的相应份额以外，其余转为购买日所属当期投资收益）。</w:t>
      </w:r>
    </w:p>
    <w:p>
      <w:pPr>
        <w:spacing w:line="240" w:lineRule="auto" w:before="10"/>
        <w:rPr>
          <w:rFonts w:ascii="宋体" w:hAnsi="宋体" w:cs="宋体" w:eastAsia="宋体" w:hint="default"/>
          <w:sz w:val="26"/>
          <w:szCs w:val="26"/>
        </w:rPr>
      </w:pPr>
    </w:p>
    <w:p>
      <w:pPr>
        <w:pStyle w:val="Heading3"/>
        <w:spacing w:line="240" w:lineRule="auto"/>
        <w:ind w:left="153" w:right="1132"/>
        <w:jc w:val="left"/>
        <w:rPr>
          <w:b w:val="0"/>
          <w:bCs w:val="0"/>
        </w:rPr>
      </w:pPr>
      <w:bookmarkStart w:name="6、合并财务报表的编制方法" w:id="165"/>
      <w:bookmarkEnd w:id="16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1132"/>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113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7"/>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44"/>
        <w:ind w:right="1033"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5"/>
        </w:rPr>
        <w:t> </w:t>
      </w:r>
      <w:r>
        <w:rPr>
          <w:spacing w:val="-65"/>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after="0" w:line="312"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7、合营安排分类及共同经营会计处理方法" w:id="166"/>
      <w:bookmarkEnd w:id="16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00" w:lineRule="auto" w:before="17"/>
        <w:ind w:right="1158"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59"/>
        <w:ind w:right="1131" w:firstLine="290"/>
        <w:jc w:val="both"/>
      </w:pPr>
      <w:r>
        <w:rPr>
          <w:spacing w:val="-1"/>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3"/>
        <w:spacing w:line="240" w:lineRule="auto"/>
        <w:ind w:left="153" w:right="0"/>
        <w:jc w:val="both"/>
        <w:rPr>
          <w:b w:val="0"/>
          <w:bCs w:val="0"/>
        </w:rPr>
      </w:pPr>
      <w:bookmarkStart w:name="8、现金及现金等价物的确定标准" w:id="167"/>
      <w:bookmarkEnd w:id="16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9、外币业务和外币报表折算" w:id="168"/>
      <w:bookmarkEnd w:id="16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left="154" w:right="1132"/>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1131"/>
        <w:jc w:val="both"/>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13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20"/>
        <w:ind w:left="154" w:right="1133" w:firstLine="360"/>
        <w:jc w:val="both"/>
      </w:pPr>
      <w:r>
        <w:rPr>
          <w:spacing w:val="-2"/>
        </w:rPr>
        <w:t>外币现金流量，采用现金流量发生日的即期汇率折算。汇率变动对现金的影响额作为调节项目，在现金流量表中单独列</w:t>
      </w:r>
      <w:r>
        <w:rPr/>
        <w:t> 报。</w:t>
      </w:r>
    </w:p>
    <w:p>
      <w:pPr>
        <w:spacing w:after="0" w:line="316"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444" w:right="1132"/>
        <w:jc w:val="left"/>
      </w:pPr>
      <w:r>
        <w:rPr/>
        <w:t>年初数和上年实际数按照上年财务报表折算后的数额列示。</w:t>
      </w:r>
    </w:p>
    <w:p>
      <w:pPr>
        <w:spacing w:line="240" w:lineRule="auto" w:before="10"/>
        <w:rPr>
          <w:rFonts w:ascii="宋体" w:hAnsi="宋体" w:cs="宋体" w:eastAsia="宋体" w:hint="default"/>
          <w:sz w:val="26"/>
          <w:szCs w:val="26"/>
        </w:rPr>
      </w:pPr>
    </w:p>
    <w:p>
      <w:pPr>
        <w:pStyle w:val="Heading3"/>
        <w:spacing w:line="240" w:lineRule="auto"/>
        <w:ind w:left="153" w:right="1132"/>
        <w:jc w:val="left"/>
        <w:rPr>
          <w:b w:val="0"/>
          <w:bCs w:val="0"/>
        </w:rPr>
      </w:pPr>
      <w:bookmarkStart w:name="10、金融工具" w:id="169"/>
      <w:bookmarkEnd w:id="16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129"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1132"/>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w:t>
      </w:r>
      <w:r>
        <w:rPr/>
        <w:t>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1132"/>
        <w:jc w:val="left"/>
      </w:pPr>
      <w:r>
        <w:rPr/>
        <w:t>计入当期损益的金融资产、持有至到期投资、贷款和应收款项以及可供出售金融资产。</w:t>
      </w:r>
    </w:p>
    <w:p>
      <w:pPr>
        <w:pStyle w:val="BodyText"/>
        <w:spacing w:line="316" w:lineRule="auto" w:before="76"/>
        <w:ind w:left="513" w:right="1132"/>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1132"/>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3"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3"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1132"/>
        <w:jc w:val="left"/>
      </w:pPr>
      <w:r>
        <w:rPr/>
        <w:t>当期损益。</w:t>
      </w:r>
    </w:p>
    <w:p>
      <w:pPr>
        <w:pStyle w:val="BodyText"/>
        <w:spacing w:line="240" w:lineRule="auto" w:before="76"/>
        <w:ind w:left="513" w:right="1132"/>
        <w:jc w:val="left"/>
      </w:pPr>
      <w:r>
        <w:rPr/>
        <w:t>④可供出售金融资产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9" w:firstLine="360"/>
        <w:jc w:val="both"/>
      </w:pPr>
      <w:r>
        <w:rPr/>
        <w:t>包括初始确认时即被指定为可供出售的非衍生金融资产，以及除了以公允价值计量且其变动计入当期损益的金融资产、 贷款和应收款项、持有至到期投资以外的金融资产。</w:t>
      </w:r>
    </w:p>
    <w:p>
      <w:pPr>
        <w:pStyle w:val="BodyText"/>
        <w:spacing w:line="319" w:lineRule="auto" w:before="19"/>
        <w:ind w:right="1132" w:firstLine="360"/>
        <w:jc w:val="both"/>
      </w:pPr>
      <w:r>
        <w:rPr>
          <w:spacing w:val="-2"/>
        </w:rPr>
        <w:t>可供出售债务工具投资的期末成本按照其摊余成本法确定，即初始确认金额扣除已偿还的本金，加上或减去采用实际利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7"/>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6"/>
        </w:rPr>
        <w:t> </w:t>
      </w:r>
      <w:r>
        <w:rPr>
          <w:spacing w:val="-66"/>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1132"/>
        <w:jc w:val="left"/>
      </w:pPr>
      <w:r>
        <w:rPr/>
        <w:t>可供出售金融资产持有期间取得的利息及被投资单位宣告发放的现金股利，计入投资收益。</w:t>
      </w:r>
    </w:p>
    <w:p>
      <w:pPr>
        <w:pStyle w:val="BodyText"/>
        <w:spacing w:line="300" w:lineRule="auto" w:before="76"/>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left="154" w:right="1130"/>
        <w:jc w:val="both"/>
      </w:pPr>
      <w:r>
        <w:rPr>
          <w:spacing w:val="-2"/>
        </w:rPr>
        <w:t>益。金融资产在确认减值损失后，如有客观证据表明该金融资产价值已恢复，且客观上与确认该损失后发生的事项有关，原</w:t>
      </w:r>
      <w:r>
        <w:rPr>
          <w:spacing w:val="-65"/>
        </w:rPr>
        <w:t> </w:t>
      </w:r>
      <w:r>
        <w:rPr>
          <w:spacing w:val="-65"/>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9"/>
        <w:ind w:right="1130"/>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6"/>
        </w:rPr>
        <w:t> </w:t>
      </w:r>
      <w:r>
        <w:rPr>
          <w:spacing w:val="-46"/>
        </w:rPr>
      </w:r>
      <w:r>
        <w:rPr/>
        <w:t>下跌期间的确定依据为该资产市价。</w:t>
      </w:r>
    </w:p>
    <w:p>
      <w:pPr>
        <w:pStyle w:val="BodyText"/>
        <w:spacing w:line="316" w:lineRule="auto" w:before="31"/>
        <w:ind w:left="154"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54"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13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4" w:right="1131" w:firstLine="360"/>
        <w:jc w:val="both"/>
      </w:pPr>
      <w:r>
        <w:rPr/>
        <w:t>金融资产部分转移满足终止确认条件的</w:t>
      </w:r>
      <w:r>
        <w:rPr>
          <w:spacing w:val="-82"/>
        </w:rPr>
        <w:t>，</w:t>
      </w:r>
      <w:r>
        <w:rPr/>
        <w:t>将所转移金融资产的账面价值在终止确认及未终止确认部分之间按其相对的公</w:t>
      </w:r>
      <w:r>
        <w:rPr/>
        <w:t> 允价值进行分摊</w:t>
      </w:r>
      <w:r>
        <w:rPr>
          <w:spacing w:val="-82"/>
        </w:rPr>
        <w:t>，</w:t>
      </w:r>
      <w:r>
        <w:rPr/>
        <w:t>并将因转移而收到的对价与应分摊至终止确认部分的原计入其他综合收益的公允价值变动累计额之和与分</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摊的前述账面金额之差额计入当期损益。 </w:t>
      </w:r>
      <w:r>
        <w:rPr>
          <w:spacing w:val="-2"/>
        </w:rPr>
        <w:t>本公司对采用附追索权方式出售的金融资产，或将持有的金融资产背书转让，需确定该金融资产所有权上几乎所有的风</w:t>
      </w:r>
    </w:p>
    <w:p>
      <w:pPr>
        <w:pStyle w:val="BodyText"/>
        <w:spacing w:line="319" w:lineRule="auto" w:before="19"/>
        <w:ind w:left="154" w:right="1132"/>
        <w:jc w:val="both"/>
      </w:pP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7"/>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1132"/>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3"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1132"/>
        <w:jc w:val="left"/>
      </w:pPr>
      <w:r>
        <w:rPr/>
        <w:t>与该等金融负债相关的股利和利息支出计入当期损益。</w:t>
      </w:r>
    </w:p>
    <w:p>
      <w:pPr>
        <w:pStyle w:val="BodyText"/>
        <w:spacing w:line="316" w:lineRule="auto" w:before="76"/>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left="154" w:right="1133"/>
        <w:jc w:val="both"/>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0"/>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300" w:lineRule="auto" w:before="19"/>
        <w:ind w:right="1130"/>
        <w:jc w:val="both"/>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2"/>
        </w:rPr>
        <w:t> </w:t>
      </w:r>
      <w:r>
        <w:rPr>
          <w:spacing w:val="-62"/>
        </w:rPr>
      </w:r>
      <w:r>
        <w:rPr/>
        <w:t>定的累计摊销额后的余额之中的较高者进行后续计量。</w:t>
      </w:r>
    </w:p>
    <w:p>
      <w:pPr>
        <w:pStyle w:val="BodyText"/>
        <w:spacing w:line="300" w:lineRule="auto" w:before="32"/>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1133"/>
        <w:jc w:val="both"/>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40" w:lineRule="auto" w:before="31"/>
        <w:ind w:left="154" w:right="1132"/>
        <w:jc w:val="left"/>
      </w:pPr>
      <w:r>
        <w:rPr/>
        <w:t>损益。</w:t>
      </w:r>
    </w:p>
    <w:p>
      <w:pPr>
        <w:pStyle w:val="BodyText"/>
        <w:spacing w:line="316" w:lineRule="auto" w:before="76"/>
        <w:ind w:left="15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3"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1133"/>
        <w:jc w:val="both"/>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1132"/>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444" w:right="0" w:hanging="29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11、应收款项" w:id="170"/>
      <w:bookmarkEnd w:id="17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firstLine="27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 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firstLine="360"/>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 单独测试未发生减值的金融资产，包括在具有类似信用风险 特征的金融资产组合中进行减值测试。单项测试已确认减值 损失的应收款项，不再包括在具有类似信用风险特征的应收 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132"/>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1132"/>
        <w:jc w:val="left"/>
      </w:pPr>
      <w:r>
        <w:rPr/>
        <w:t>组合中，采用账龄分析法计提坏账准备的：</w:t>
      </w:r>
    </w:p>
    <w:p>
      <w:pPr>
        <w:pStyle w:val="BodyText"/>
        <w:spacing w:line="240" w:lineRule="auto" w:before="117"/>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1132"/>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3）单项金额不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ind w:left="0" w:right="1140"/>
        <w:jc w:val="right"/>
      </w:pPr>
      <w:r>
        <w:rPr/>
        <w:pict>
          <v:shape style="position:absolute;margin-left:56.459999pt;margin-top:-18.588276pt;width:479.2pt;height:8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7300"/>
                  </w:tblGrid>
                  <w:tr>
                    <w:trPr>
                      <w:trHeight w:val="133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firstLine="360"/>
                          <w:jc w:val="both"/>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本集团对于单项金额虽不重大但具备以下特征的应收款项，单独进行减值测试，有客观 </w:t>
                        </w:r>
                        <w:r>
                          <w:rPr>
                            <w:rFonts w:ascii="宋体" w:hAnsi="宋体" w:cs="宋体" w:eastAsia="宋体" w:hint="default"/>
                            <w:spacing w:val="-2"/>
                            <w:sz w:val="18"/>
                            <w:szCs w:val="18"/>
                          </w:rPr>
                          <w:t>证据表明其发生了减值的，根据其未来现金流量现值低于其账面价值的差额，确认减值损失</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计提坏账准备；与对方存在争议或涉及诉讼、仲裁的应收款项；已有明显迹象表明债务人很 可能无法履行还款义务的应收款项等。</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35"/>
        <w:ind w:right="1132"/>
        <w:jc w:val="left"/>
        <w:rPr>
          <w:b w:val="0"/>
          <w:bCs w:val="0"/>
        </w:rPr>
      </w:pPr>
      <w:bookmarkStart w:name="12、存货" w:id="174"/>
      <w:bookmarkEnd w:id="174"/>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4632"/>
        <w:jc w:val="left"/>
      </w:pPr>
      <w:r>
        <w:rPr/>
        <w:t>（</w:t>
      </w:r>
      <w:r>
        <w:rPr>
          <w:rFonts w:ascii="Times New Roman" w:hAnsi="Times New Roman" w:cs="Times New Roman" w:eastAsia="Times New Roman" w:hint="default"/>
        </w:rPr>
        <w:t>1</w:t>
      </w:r>
      <w:r>
        <w:rPr/>
        <w:t>）存货的分类 存货主要包括原材料、辅助材料、在产品、库存商品、委托加工物资等。</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存货在取得时按实际成本计价，原材料成本包括采购成本、加工成本和其他成本。原材料以计划成本核算，对原材料的</w:t>
      </w:r>
    </w:p>
    <w:p>
      <w:pPr>
        <w:pStyle w:val="BodyText"/>
        <w:spacing w:line="316" w:lineRule="auto" w:before="31"/>
        <w:ind w:right="1133"/>
        <w:jc w:val="both"/>
      </w:pPr>
      <w:r>
        <w:rPr>
          <w:spacing w:val="-2"/>
        </w:rPr>
        <w:t>计划成本和实际成本之间的差异，通过成本差异科目核算，并按期结转发出存货应负担的成本差异，将计划成本调整为实际</w:t>
      </w:r>
      <w:r>
        <w:rPr>
          <w:spacing w:val="-66"/>
        </w:rPr>
        <w:t> </w:t>
      </w:r>
      <w:r>
        <w:rPr>
          <w:spacing w:val="-66"/>
        </w:rPr>
      </w:r>
      <w:r>
        <w:rPr/>
        <w:t>成本。</w:t>
      </w:r>
    </w:p>
    <w:p>
      <w:pPr>
        <w:pStyle w:val="BodyText"/>
        <w:spacing w:line="300" w:lineRule="auto" w:before="19"/>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1132"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left="154" w:right="1132"/>
        <w:jc w:val="left"/>
      </w:pPr>
      <w:r>
        <w:rPr/>
        <w:t>计提的存货跌价准备金额内予以转回，转回的金额计入当期损益。</w:t>
      </w:r>
    </w:p>
    <w:p>
      <w:pPr>
        <w:pStyle w:val="BodyText"/>
        <w:spacing w:line="240" w:lineRule="auto" w:before="76"/>
        <w:ind w:left="514" w:right="1132"/>
        <w:jc w:val="left"/>
      </w:pPr>
      <w:r>
        <w:rPr/>
        <w:t>（</w:t>
      </w:r>
      <w:r>
        <w:rPr>
          <w:rFonts w:ascii="Times New Roman" w:hAnsi="Times New Roman" w:cs="Times New Roman" w:eastAsia="Times New Roman" w:hint="default"/>
        </w:rPr>
        <w:t>4</w:t>
      </w:r>
      <w:r>
        <w:rPr/>
        <w:t>）存货的盘存制度为永续盘存制。</w:t>
      </w:r>
    </w:p>
    <w:p>
      <w:pPr>
        <w:pStyle w:val="BodyText"/>
        <w:spacing w:line="340" w:lineRule="auto" w:before="63"/>
        <w:ind w:left="732" w:right="4054" w:hanging="219"/>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
        <w:rPr>
          <w:rFonts w:ascii="宋体" w:hAnsi="宋体" w:cs="宋体" w:eastAsia="宋体" w:hint="default"/>
          <w:sz w:val="21"/>
          <w:szCs w:val="21"/>
        </w:rPr>
      </w:pPr>
    </w:p>
    <w:p>
      <w:pPr>
        <w:pStyle w:val="Heading3"/>
        <w:spacing w:line="240" w:lineRule="auto"/>
        <w:ind w:left="153" w:right="1132"/>
        <w:jc w:val="left"/>
        <w:rPr>
          <w:b w:val="0"/>
          <w:bCs w:val="0"/>
        </w:rPr>
      </w:pPr>
      <w:bookmarkStart w:name="13、划分为持有待售资产" w:id="175"/>
      <w:bookmarkEnd w:id="17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 </w:t>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6" w:lineRule="auto" w:before="20"/>
        <w:ind w:right="113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19" w:lineRule="auto" w:before="59"/>
        <w:ind w:right="1132" w:firstLine="290"/>
        <w:jc w:val="both"/>
      </w:pPr>
      <w:r>
        <w:rPr>
          <w:spacing w:val="-1"/>
        </w:rPr>
        <w:t>某项资产或处置组被划归为持有待售，但后来不再满足持有待售的非流动资产的确认条件，本公司停止将其划归为持有</w:t>
      </w:r>
      <w:r>
        <w:rPr/>
        <w:t> 待售，并按照下列两项金额中较低者进行计量：</w:t>
      </w:r>
    </w:p>
    <w:p>
      <w:pPr>
        <w:pStyle w:val="BodyText"/>
        <w:spacing w:line="302" w:lineRule="auto" w:before="55"/>
        <w:ind w:right="1132" w:firstLine="290"/>
        <w:jc w:val="both"/>
      </w:pPr>
      <w:r>
        <w:rPr/>
        <w:t>（</w:t>
      </w:r>
      <w:r>
        <w:rPr>
          <w:rFonts w:ascii="Times New Roman" w:hAnsi="Times New Roman" w:cs="Times New Roman" w:eastAsia="Times New Roman" w:hint="default"/>
        </w:rPr>
        <w:t>1</w:t>
      </w:r>
      <w:r>
        <w:rPr/>
        <w:t>）该资产或处置组被划归为持有待售之前的账面价值，按照其假定在没有被划归为持有待售的情况下原应确认的折</w:t>
      </w:r>
      <w:r>
        <w:rPr>
          <w:spacing w:val="1"/>
        </w:rPr>
        <w:t> </w:t>
      </w:r>
      <w:r>
        <w:rPr/>
        <w:t>旧、摊销或减值进行调整后的金额；</w:t>
      </w:r>
    </w:p>
    <w:p>
      <w:pPr>
        <w:pStyle w:val="BodyText"/>
        <w:spacing w:line="240" w:lineRule="auto" w:before="69"/>
        <w:ind w:left="444" w:right="1132"/>
        <w:jc w:val="left"/>
      </w:pPr>
      <w:r>
        <w:rPr/>
        <w:t>（</w:t>
      </w:r>
      <w:r>
        <w:rPr>
          <w:rFonts w:ascii="Times New Roman" w:hAnsi="Times New Roman" w:cs="Times New Roman" w:eastAsia="Times New Roman" w:hint="default"/>
        </w:rPr>
        <w:t>2</w:t>
      </w:r>
      <w:r>
        <w:rPr/>
        <w:t>）决定不再出售之日的可收回金额。</w:t>
      </w:r>
    </w:p>
    <w:p>
      <w:pPr>
        <w:spacing w:line="240" w:lineRule="auto" w:before="10"/>
        <w:rPr>
          <w:rFonts w:ascii="宋体" w:hAnsi="宋体" w:cs="宋体" w:eastAsia="宋体" w:hint="default"/>
          <w:sz w:val="25"/>
          <w:szCs w:val="25"/>
        </w:rPr>
      </w:pPr>
    </w:p>
    <w:p>
      <w:pPr>
        <w:pStyle w:val="Heading3"/>
        <w:spacing w:line="240" w:lineRule="auto"/>
        <w:ind w:right="1132"/>
        <w:jc w:val="left"/>
        <w:rPr>
          <w:b w:val="0"/>
          <w:bCs w:val="0"/>
        </w:rPr>
      </w:pPr>
      <w:bookmarkStart w:name="14、长期股权投资" w:id="176"/>
      <w:bookmarkEnd w:id="17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left="15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6" w:lineRule="auto" w:before="31"/>
        <w:ind w:left="154" w:right="1131"/>
        <w:jc w:val="both"/>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2" w:lineRule="auto" w:before="22"/>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left="154"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1"/>
        <w:ind w:left="514" w:right="1132"/>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1132"/>
        <w:jc w:val="left"/>
      </w:pPr>
      <w:r>
        <w:rPr/>
        <w:t>表采用成本法核算能够对被投资单位实施控制的长期股权投资。</w:t>
      </w:r>
    </w:p>
    <w:p>
      <w:pPr>
        <w:pStyle w:val="BodyText"/>
        <w:spacing w:line="316" w:lineRule="auto" w:before="76"/>
        <w:ind w:left="514" w:right="1132"/>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left="154"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left="154" w:right="1032"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9" w:lineRule="auto" w:before="31"/>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7"/>
        <w:ind w:right="1131" w:firstLine="360"/>
        <w:jc w:val="both"/>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316" w:lineRule="auto" w:before="19"/>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1132"/>
        <w:jc w:val="left"/>
      </w:pPr>
      <w:r>
        <w:rPr/>
        <w:t>日）开始持续计算的净资产份额之间的差额，调整资本公积，资本公积不足冲减的，调整留存收益。</w:t>
      </w:r>
    </w:p>
    <w:p>
      <w:pPr>
        <w:pStyle w:val="BodyText"/>
        <w:spacing w:line="316" w:lineRule="auto" w:before="76"/>
        <w:ind w:left="51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left="154"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left="15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3"/>
        </w:rPr>
        <w:t> </w:t>
      </w:r>
      <w:r>
        <w:rPr>
          <w:spacing w:val="-63"/>
        </w:rPr>
      </w:r>
      <w:r>
        <w:rPr/>
        <w:t>转入当期投资收益。</w:t>
      </w:r>
    </w:p>
    <w:p>
      <w:pPr>
        <w:pStyle w:val="BodyText"/>
        <w:spacing w:line="316" w:lineRule="auto" w:before="59"/>
        <w:ind w:left="154" w:right="1131"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6"/>
        <w:rPr>
          <w:rFonts w:ascii="宋体" w:hAnsi="宋体" w:cs="宋体" w:eastAsia="宋体" w:hint="default"/>
          <w:sz w:val="22"/>
          <w:szCs w:val="22"/>
        </w:rPr>
      </w:pPr>
    </w:p>
    <w:p>
      <w:pPr>
        <w:pStyle w:val="Heading3"/>
        <w:spacing w:line="240" w:lineRule="auto"/>
        <w:ind w:right="1132"/>
        <w:jc w:val="left"/>
        <w:rPr>
          <w:b w:val="0"/>
          <w:bCs w:val="0"/>
        </w:rPr>
      </w:pPr>
      <w:bookmarkStart w:name="15、投资性房地产" w:id="177"/>
      <w:bookmarkEnd w:id="17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1118" w:hanging="360"/>
        <w:jc w:val="left"/>
      </w:pPr>
      <w:r>
        <w:rPr/>
        <w:t>折旧或摊销方法 </w:t>
      </w:r>
      <w:r>
        <w:rPr>
          <w:spacing w:val="-2"/>
        </w:rPr>
        <w:t>投资性房地产按成本进行初始计量。与投资性房地产有关的后续支出，如果与该资产有关的经济利益很可能流入且其成</w:t>
      </w:r>
    </w:p>
    <w:p>
      <w:pPr>
        <w:pStyle w:val="BodyText"/>
        <w:spacing w:line="224" w:lineRule="exact"/>
        <w:ind w:right="1132"/>
        <w:jc w:val="left"/>
      </w:pPr>
      <w:r>
        <w:rPr/>
        <w:t>本能可靠地计量，则计入投资性房地产成本。其他后续支出，在发生时计入当期损益。</w:t>
      </w:r>
    </w:p>
    <w:p>
      <w:pPr>
        <w:pStyle w:val="BodyText"/>
        <w:spacing w:line="309" w:lineRule="auto" w:before="76"/>
        <w:ind w:left="513" w:right="0"/>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1132"/>
        <w:jc w:val="left"/>
      </w:pPr>
      <w:r>
        <w:rPr/>
        <w:t>值。</w:t>
      </w:r>
    </w:p>
    <w:p>
      <w:pPr>
        <w:pStyle w:val="BodyText"/>
        <w:spacing w:line="316" w:lineRule="auto" w:before="76"/>
        <w:ind w:left="154"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w:t>
      </w:r>
    </w:p>
    <w:p>
      <w:pPr>
        <w:pStyle w:val="BodyText"/>
        <w:spacing w:line="319" w:lineRule="auto" w:before="59"/>
        <w:ind w:left="154" w:right="1132" w:firstLine="290"/>
        <w:jc w:val="left"/>
      </w:pPr>
      <w:r>
        <w:rPr>
          <w:spacing w:val="-1"/>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3"/>
        <w:rPr>
          <w:rFonts w:ascii="宋体" w:hAnsi="宋体" w:cs="宋体" w:eastAsia="宋体" w:hint="default"/>
          <w:sz w:val="22"/>
          <w:szCs w:val="22"/>
        </w:rPr>
      </w:pPr>
    </w:p>
    <w:p>
      <w:pPr>
        <w:pStyle w:val="Heading3"/>
        <w:spacing w:line="240" w:lineRule="auto"/>
        <w:ind w:left="153" w:right="1132"/>
        <w:jc w:val="left"/>
        <w:rPr>
          <w:b w:val="0"/>
          <w:bCs w:val="0"/>
        </w:rPr>
      </w:pPr>
      <w:bookmarkStart w:name="16、固定资产" w:id="178"/>
      <w:bookmarkEnd w:id="17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2"/>
        <w:jc w:val="left"/>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630"/>
        <w:jc w:val="both"/>
      </w:pPr>
      <w:r>
        <w:rPr/>
        <w:t>固定资产是指为生产商品、提供劳务、出租或经营管理而持有的，使用寿命超过一个会计年度的有形资产。固定资 </w:t>
      </w:r>
      <w:r>
        <w:rPr>
          <w:spacing w:val="-2"/>
        </w:rPr>
        <w:t>产仅在与其有关的经济利益很可能流入本公司，且其成本能够可靠地计量时才予以确认。固定资产按成本并考虑预计弃置费</w:t>
      </w:r>
      <w:r>
        <w:rPr>
          <w:spacing w:val="-64"/>
        </w:rPr>
        <w:t> </w:t>
      </w:r>
      <w:r>
        <w:rPr>
          <w:spacing w:val="-64"/>
        </w:rPr>
      </w:r>
      <w:r>
        <w:rPr/>
        <w:t>用因素的影响进行初始计量。</w:t>
      </w:r>
    </w:p>
    <w:p>
      <w:pPr>
        <w:spacing w:line="240" w:lineRule="auto" w:before="3"/>
        <w:rPr>
          <w:rFonts w:ascii="宋体" w:hAnsi="宋体" w:cs="宋体" w:eastAsia="宋体" w:hint="default"/>
          <w:sz w:val="22"/>
          <w:szCs w:val="22"/>
        </w:rPr>
      </w:pPr>
    </w:p>
    <w:p>
      <w:pPr>
        <w:pStyle w:val="Heading3"/>
        <w:spacing w:line="240" w:lineRule="auto"/>
        <w:ind w:right="1132"/>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bl>
    <w:p>
      <w:pPr>
        <w:spacing w:line="240" w:lineRule="auto" w:before="2"/>
        <w:rPr>
          <w:rFonts w:ascii="宋体" w:hAnsi="宋体" w:cs="宋体" w:eastAsia="宋体" w:hint="default"/>
          <w:b/>
          <w:bCs/>
          <w:sz w:val="19"/>
          <w:szCs w:val="19"/>
        </w:rPr>
      </w:pPr>
    </w:p>
    <w:p>
      <w:pPr>
        <w:pStyle w:val="Heading3"/>
        <w:spacing w:line="240" w:lineRule="auto" w:before="35"/>
        <w:ind w:right="1132"/>
        <w:jc w:val="left"/>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4"/>
        <w:rPr>
          <w:rFonts w:ascii="宋体" w:hAnsi="宋体" w:cs="宋体" w:eastAsia="宋体" w:hint="default"/>
          <w:sz w:val="22"/>
          <w:szCs w:val="22"/>
        </w:rPr>
      </w:pPr>
    </w:p>
    <w:p>
      <w:pPr>
        <w:pStyle w:val="Heading3"/>
        <w:spacing w:line="240" w:lineRule="auto"/>
        <w:ind w:right="1132"/>
        <w:jc w:val="left"/>
        <w:rPr>
          <w:b w:val="0"/>
          <w:bCs w:val="0"/>
        </w:rPr>
      </w:pPr>
      <w:bookmarkStart w:name="17、在建工程" w:id="182"/>
      <w:bookmarkEnd w:id="18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240" w:lineRule="auto" w:before="59"/>
        <w:ind w:left="444" w:right="1132"/>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18、借款费用" w:id="183"/>
      <w:bookmarkEnd w:id="18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left="15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516" w:right="1120" w:hanging="363"/>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1132"/>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left="153" w:right="1132"/>
        <w:jc w:val="left"/>
        <w:rPr>
          <w:b w:val="0"/>
          <w:bCs w:val="0"/>
        </w:rPr>
      </w:pPr>
      <w:bookmarkStart w:name="19、无形资产" w:id="184"/>
      <w:bookmarkEnd w:id="18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9" w:lineRule="auto" w:before="19"/>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7"/>
        <w:ind w:right="1132"/>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2"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6" w:lineRule="auto" w:before="19"/>
        <w:ind w:left="154" w:right="1131" w:firstLine="290"/>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9"/>
        <w:ind w:left="444" w:right="1132"/>
        <w:jc w:val="left"/>
      </w:pPr>
      <w:r>
        <w:rPr/>
        <w:t>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1132"/>
        <w:jc w:val="left"/>
      </w:pPr>
      <w:r>
        <w:rPr/>
        <w:t>①完成该无形资产以使其能够使用或出售在技术上具有可行性；</w:t>
      </w:r>
    </w:p>
    <w:p>
      <w:pPr>
        <w:pStyle w:val="BodyText"/>
        <w:spacing w:line="240" w:lineRule="auto" w:before="76"/>
        <w:ind w:left="514" w:right="1132"/>
        <w:jc w:val="left"/>
      </w:pPr>
      <w:r>
        <w:rPr/>
        <w:t>②具有完成该无形资产并使用或出售的意图；</w:t>
      </w:r>
    </w:p>
    <w:p>
      <w:pPr>
        <w:pStyle w:val="BodyText"/>
        <w:spacing w:line="319" w:lineRule="auto" w:before="76"/>
        <w:ind w:left="154" w:right="1131"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7"/>
        <w:ind w:left="514" w:right="1132"/>
        <w:jc w:val="left"/>
      </w:pPr>
      <w:r>
        <w:rPr/>
        <w:t>④有足够的技术、财务资源和其他资源支持，以完成该无形资产的开发，并有能力使用或出售该无形资产；</w:t>
      </w:r>
    </w:p>
    <w:p>
      <w:pPr>
        <w:pStyle w:val="BodyText"/>
        <w:spacing w:line="360" w:lineRule="auto" w:before="76"/>
        <w:ind w:left="660" w:right="3766" w:hanging="147"/>
        <w:jc w:val="left"/>
      </w:pPr>
      <w:r>
        <w:rPr/>
        <w:t>⑤归属于该无形资产开发阶段的支出能够可靠地计量。 无法区分研究阶段支出和开发阶段支出的，将发生的研发支出全部计入当期损益。</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20、长期资产减值" w:id="187"/>
      <w:bookmarkEnd w:id="18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7"/>
        <w:ind w:left="15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left="154"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59"/>
        <w:ind w:left="660" w:right="1132"/>
        <w:jc w:val="left"/>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Heading3"/>
        <w:spacing w:line="240" w:lineRule="auto"/>
        <w:ind w:left="153" w:right="1132"/>
        <w:jc w:val="left"/>
        <w:rPr>
          <w:b w:val="0"/>
          <w:bCs w:val="0"/>
        </w:rPr>
      </w:pPr>
      <w:bookmarkStart w:name="21、长期待摊费用" w:id="188"/>
      <w:bookmarkEnd w:id="188"/>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290"/>
        <w:jc w:val="left"/>
      </w:pPr>
      <w:r>
        <w:rPr>
          <w:spacing w:val="-1"/>
        </w:rPr>
        <w:t>长期待摊费用为已经发生但应由报告期和以后各期负担的分摊期限在一年以上的各项费用。长期待摊费用在预计受益期</w:t>
      </w:r>
      <w:r>
        <w:rPr/>
        <w:t> 间按直线法摊销。</w:t>
      </w:r>
    </w:p>
    <w:p>
      <w:pPr>
        <w:spacing w:line="240" w:lineRule="auto" w:before="7"/>
        <w:rPr>
          <w:rFonts w:ascii="宋体" w:hAnsi="宋体" w:cs="宋体" w:eastAsia="宋体" w:hint="default"/>
          <w:sz w:val="22"/>
          <w:szCs w:val="22"/>
        </w:rPr>
      </w:pPr>
    </w:p>
    <w:p>
      <w:pPr>
        <w:pStyle w:val="Heading3"/>
        <w:spacing w:line="240" w:lineRule="auto"/>
        <w:ind w:right="1132"/>
        <w:jc w:val="left"/>
        <w:rPr>
          <w:b w:val="0"/>
          <w:bCs w:val="0"/>
        </w:rPr>
      </w:pPr>
      <w:bookmarkStart w:name="22、职工薪酬" w:id="189"/>
      <w:bookmarkEnd w:id="189"/>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2"/>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2"/>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left="153" w:right="1132"/>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left"/>
      </w:pPr>
      <w:r>
        <w:rPr>
          <w:spacing w:val="-1"/>
        </w:rPr>
        <w:t>离职后福利主要为设定提存计划。设定提存计划主要包括基本养老保险、失业保险等，相应的应缴存金额于发生时计入</w:t>
      </w:r>
      <w:r>
        <w:rPr/>
        <w:t> 相关资产成本或当期损益。</w:t>
      </w:r>
    </w:p>
    <w:p>
      <w:pPr>
        <w:spacing w:line="240" w:lineRule="auto" w:before="7"/>
        <w:rPr>
          <w:rFonts w:ascii="宋体" w:hAnsi="宋体" w:cs="宋体" w:eastAsia="宋体" w:hint="default"/>
          <w:sz w:val="22"/>
          <w:szCs w:val="22"/>
        </w:rPr>
      </w:pPr>
    </w:p>
    <w:p>
      <w:pPr>
        <w:pStyle w:val="Heading3"/>
        <w:spacing w:line="240" w:lineRule="auto"/>
        <w:ind w:left="153" w:right="1132"/>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80"/>
        <w:jc w:val="left"/>
      </w:pPr>
      <w:r>
        <w:rPr/>
        <w:t>职工劳动合同到期之前解除与职工的劳动关系，或为鼓励职工自愿接受裁减而提出给予补偿的建议，在本公司不能单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6" w:lineRule="auto" w:before="44"/>
        <w:ind w:right="1132" w:firstLine="290"/>
        <w:jc w:val="left"/>
      </w:pPr>
      <w:r>
        <w:rPr>
          <w:spacing w:val="-1"/>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4"/>
        <w:rPr>
          <w:rFonts w:ascii="宋体" w:hAnsi="宋体" w:cs="宋体" w:eastAsia="宋体" w:hint="default"/>
          <w:sz w:val="22"/>
          <w:szCs w:val="22"/>
        </w:rPr>
      </w:pPr>
    </w:p>
    <w:p>
      <w:pPr>
        <w:pStyle w:val="Heading3"/>
        <w:spacing w:line="240" w:lineRule="auto"/>
        <w:ind w:left="153" w:right="0"/>
        <w:jc w:val="both"/>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2" w:firstLine="290"/>
        <w:jc w:val="left"/>
      </w:pPr>
      <w:r>
        <w:rPr>
          <w:spacing w:val="-1"/>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23、预计负债" w:id="194"/>
      <w:bookmarkEnd w:id="194"/>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32"/>
        <w:jc w:val="left"/>
      </w:pPr>
      <w:r>
        <w:rPr/>
        <w:t>当与或有事项相关的义务同时符合以下条件，确认为预计负债：</w:t>
      </w:r>
    </w:p>
    <w:p>
      <w:pPr>
        <w:pStyle w:val="BodyText"/>
        <w:spacing w:line="240" w:lineRule="auto" w:before="76"/>
        <w:ind w:left="514" w:right="1132"/>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513" w:right="1132"/>
        <w:jc w:val="left"/>
      </w:pPr>
      <w:r>
        <w:rPr/>
        <w:t>（</w:t>
      </w:r>
      <w:r>
        <w:rPr>
          <w:rFonts w:ascii="Times New Roman" w:hAnsi="Times New Roman" w:cs="Times New Roman" w:eastAsia="Times New Roman" w:hint="default"/>
        </w:rPr>
        <w:t>2</w:t>
      </w:r>
      <w:r>
        <w:rPr/>
        <w:t>）履行该义务很可能导致经济利益流出；</w:t>
      </w:r>
    </w:p>
    <w:p>
      <w:pPr>
        <w:pStyle w:val="BodyText"/>
        <w:spacing w:line="300" w:lineRule="auto" w:before="63"/>
        <w:ind w:left="513" w:right="0"/>
        <w:jc w:val="left"/>
      </w:pPr>
      <w:r>
        <w:rPr/>
        <w:t>（</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w:t>
      </w:r>
    </w:p>
    <w:p>
      <w:pPr>
        <w:pStyle w:val="BodyText"/>
        <w:spacing w:line="316" w:lineRule="auto" w:before="31"/>
        <w:ind w:left="444" w:right="1132" w:hanging="291"/>
        <w:jc w:val="left"/>
      </w:pPr>
      <w:r>
        <w:rPr/>
        <w:t>佳估计数对预计负债进行计量。 </w:t>
      </w:r>
      <w:r>
        <w:rPr>
          <w:spacing w:val="-1"/>
        </w:rPr>
        <w:t>如果清偿预计负债所需支出全部或部分预期由第三方补偿的，补偿金额在基本确定能够收到时，作为资产单独确认，且</w:t>
      </w:r>
    </w:p>
    <w:p>
      <w:pPr>
        <w:pStyle w:val="BodyText"/>
        <w:spacing w:line="240" w:lineRule="auto" w:before="19"/>
        <w:ind w:right="0"/>
        <w:jc w:val="both"/>
      </w:pPr>
      <w:r>
        <w:rPr/>
        <w:t>确认的补偿金额不超过预计负债的账面价值。</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24、股份支付" w:id="195"/>
      <w:bookmarkEnd w:id="195"/>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4" w:right="0"/>
        <w:jc w:val="both"/>
      </w:pPr>
      <w:r>
        <w:rPr/>
        <w:t>为以权益结算的股份支付和以现金结算的股份支付。</w:t>
      </w:r>
    </w:p>
    <w:p>
      <w:pPr>
        <w:pStyle w:val="BodyText"/>
        <w:spacing w:line="316" w:lineRule="auto" w:before="76"/>
        <w:ind w:left="514"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6" w:lineRule="auto" w:before="19"/>
        <w:ind w:left="154"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316" w:lineRule="auto" w:before="19"/>
        <w:ind w:left="154" w:right="0"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514" w:right="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316" w:lineRule="auto" w:before="19"/>
        <w:ind w:left="15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1132"/>
        <w:jc w:val="left"/>
      </w:pPr>
      <w:r>
        <w:rPr/>
        <w:t>在相关负债结算前的每个资产负债表日以及结算日，对负债的公允价值重新计量，其变动计入当期损益。</w:t>
      </w:r>
    </w:p>
    <w:p>
      <w:pPr>
        <w:pStyle w:val="BodyText"/>
        <w:spacing w:line="300" w:lineRule="auto" w:before="76"/>
        <w:ind w:left="513" w:right="1393"/>
        <w:jc w:val="left"/>
      </w:pPr>
      <w:r>
        <w:rPr/>
        <w:t>（</w:t>
      </w:r>
      <w:r>
        <w:rPr>
          <w:rFonts w:ascii="Times New Roman" w:hAnsi="Times New Roman" w:cs="Times New Roman" w:eastAsia="Times New Roman" w:hint="default"/>
        </w:rPr>
        <w:t>2</w:t>
      </w:r>
      <w:r>
        <w:rPr/>
        <w:t>）权益工具公允价值的确定方法 本公司授予的股份期权采用授予日发行在外无限售普通股授予日公允价值与授予价格的差做为权益工具公允价值。</w:t>
      </w:r>
    </w:p>
    <w:p>
      <w:pPr>
        <w:pStyle w:val="BodyText"/>
        <w:spacing w:line="300" w:lineRule="auto" w:before="31"/>
        <w:ind w:left="513" w:right="0"/>
        <w:jc w:val="left"/>
      </w:pPr>
      <w:r>
        <w:rPr/>
        <w:t>（</w:t>
      </w:r>
      <w:r>
        <w:rPr>
          <w:rFonts w:ascii="Times New Roman" w:hAnsi="Times New Roman" w:cs="Times New Roman" w:eastAsia="Times New Roman" w:hint="default"/>
        </w:rPr>
        <w:t>3</w:t>
      </w:r>
      <w:r>
        <w:rPr/>
        <w:t>）确认可行权权益工具最佳估计的依据 </w:t>
      </w:r>
      <w:r>
        <w:rPr>
          <w:spacing w:val="-2"/>
        </w:rPr>
        <w:t>在等待期内的每个资产负债表日，根据最新取得的可行权职工人数变动等后续信息做出最佳估计，修正预计可行权的权</w:t>
      </w:r>
    </w:p>
    <w:p>
      <w:pPr>
        <w:pStyle w:val="BodyText"/>
        <w:spacing w:line="240" w:lineRule="auto" w:before="31"/>
        <w:ind w:right="0"/>
        <w:jc w:val="both"/>
      </w:pPr>
      <w:r>
        <w:rPr/>
        <w:t>益工具数量。</w:t>
      </w:r>
    </w:p>
    <w:p>
      <w:pPr>
        <w:pStyle w:val="BodyText"/>
        <w:spacing w:line="240" w:lineRule="auto" w:before="76"/>
        <w:ind w:left="513" w:right="1132"/>
        <w:jc w:val="left"/>
      </w:pPr>
      <w:r>
        <w:rPr/>
        <w:t>（</w:t>
      </w:r>
      <w:r>
        <w:rPr>
          <w:rFonts w:ascii="Times New Roman" w:hAnsi="Times New Roman" w:cs="Times New Roman" w:eastAsia="Times New Roman" w:hint="default"/>
        </w:rPr>
        <w:t>4</w:t>
      </w:r>
      <w:r>
        <w:rPr/>
        <w:t>）修改、终止股份支付计划的相关会计处理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本公司对股份支付计划进行修改时，若修改增加了所授予权益工具的公允价值，按照权益工具公允价值的增加相应确认</w:t>
      </w:r>
      <w:r>
        <w:rPr/>
        <w:t> </w:t>
      </w: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9"/>
        <w:ind w:left="513" w:right="0"/>
        <w:jc w:val="left"/>
      </w:pPr>
      <w:r>
        <w:rPr/>
        <w:t>（</w:t>
      </w:r>
      <w:r>
        <w:rPr>
          <w:rFonts w:ascii="Times New Roman" w:hAnsi="Times New Roman" w:cs="Times New Roman" w:eastAsia="Times New Roman" w:hint="default"/>
        </w:rPr>
        <w:t>5</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1132"/>
        <w:jc w:val="left"/>
      </w:pPr>
      <w:r>
        <w:rPr/>
        <w:t>的，在本公司合并财务报表中按照以下规定进行会计处理：</w:t>
      </w:r>
    </w:p>
    <w:p>
      <w:pPr>
        <w:pStyle w:val="BodyText"/>
        <w:spacing w:line="316" w:lineRule="auto" w:before="76"/>
        <w:ind w:left="154" w:right="1133"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6" w:lineRule="auto" w:before="19"/>
        <w:ind w:left="15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left="154"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19"/>
        <w:ind w:left="154" w:right="1136" w:firstLine="434"/>
        <w:jc w:val="both"/>
      </w:pPr>
      <w:r>
        <w:rPr/>
        <w:t>本公司内各企业之间发生的股份支付交易，接受服务企业和结算企业不是同一企业的，在接受服务企业和结算企业各 自的个别财务报表中对该股份支付交易的确认和计量，比照上述原则处理。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left="153" w:right="1132"/>
        <w:jc w:val="left"/>
        <w:rPr>
          <w:b w:val="0"/>
          <w:bCs w:val="0"/>
        </w:rPr>
      </w:pPr>
      <w:bookmarkStart w:name="25、优先股、永续债等其他金融工具" w:id="196"/>
      <w:bookmarkEnd w:id="196"/>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391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131"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13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513"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left="154" w:right="1132"/>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5"/>
        </w:rPr>
        <w:t> </w:t>
      </w:r>
      <w:r>
        <w:rPr>
          <w:spacing w:val="-45"/>
        </w:rPr>
      </w:r>
      <w:r>
        <w:rPr/>
        <w:t>总发行价款的比例进行分摊。</w:t>
      </w:r>
    </w:p>
    <w:p>
      <w:pPr>
        <w:pStyle w:val="BodyText"/>
        <w:spacing w:line="300" w:lineRule="auto" w:before="31"/>
        <w:ind w:left="513" w:right="0"/>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00" w:lineRule="auto" w:before="31"/>
        <w:ind w:left="513" w:right="0" w:hanging="360"/>
        <w:jc w:val="left"/>
      </w:pPr>
      <w:r>
        <w:rPr/>
        <w:t>利得或损失等，除符合资本化条件的借款费用（参见本附注四、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归类为权益工具的永续债和优先股等金融工具，其发行（含再融资）、回购、出售或注销时，本公司作为权益的变动处</w:t>
      </w:r>
    </w:p>
    <w:p>
      <w:pPr>
        <w:pStyle w:val="BodyText"/>
        <w:spacing w:line="360" w:lineRule="auto" w:before="31"/>
        <w:ind w:left="516" w:right="3733" w:hanging="363"/>
        <w:jc w:val="left"/>
      </w:pPr>
      <w:r>
        <w:rPr/>
        <w:t>理，相关交易费用亦从权益中扣减。本公司对权益工具持有方的分配作为利润分配处理。 本公司不确认权益工具的公允价值变动。</w:t>
      </w:r>
    </w:p>
    <w:p>
      <w:pPr>
        <w:spacing w:line="240" w:lineRule="auto" w:before="13"/>
        <w:rPr>
          <w:rFonts w:ascii="宋体" w:hAnsi="宋体" w:cs="宋体" w:eastAsia="宋体" w:hint="default"/>
          <w:sz w:val="19"/>
          <w:szCs w:val="19"/>
        </w:rPr>
      </w:pPr>
    </w:p>
    <w:p>
      <w:pPr>
        <w:pStyle w:val="Heading3"/>
        <w:spacing w:line="240" w:lineRule="auto"/>
        <w:ind w:left="153" w:right="1132"/>
        <w:jc w:val="left"/>
        <w:rPr>
          <w:b w:val="0"/>
          <w:bCs w:val="0"/>
        </w:rPr>
      </w:pPr>
      <w:bookmarkStart w:name="26、收入" w:id="197"/>
      <w:bookmarkEnd w:id="197"/>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00" w:lineRule="auto" w:before="19"/>
        <w:ind w:left="51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2"/>
        <w:ind w:left="514" w:right="1032" w:hanging="360"/>
        <w:jc w:val="left"/>
      </w:pPr>
      <w:r>
        <w:rPr/>
        <w:t>工进度按已完工作的测量确定。 提供劳务交易的结果能够可靠估计是指同时满足：①收入的金额能够可靠地计量；②相关的经济利益很可能流入企业；</w:t>
      </w:r>
    </w:p>
    <w:p>
      <w:pPr>
        <w:pStyle w:val="BodyText"/>
        <w:spacing w:line="316" w:lineRule="auto" w:before="19"/>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1132"/>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514" w:right="661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660" w:right="5566" w:hanging="147"/>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left="153" w:right="1132"/>
        <w:jc w:val="left"/>
        <w:rPr>
          <w:b w:val="0"/>
          <w:bCs w:val="0"/>
        </w:rPr>
      </w:pPr>
      <w:bookmarkStart w:name="27、政府补助" w:id="198"/>
      <w:bookmarkEnd w:id="198"/>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与资产相关的政府补助判断依据及会计处理方法" w:id="199"/>
      <w:bookmarkEnd w:id="19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290"/>
        <w:jc w:val="both"/>
      </w:pPr>
      <w:r>
        <w:rPr>
          <w:spacing w:val="-1"/>
        </w:rPr>
        <w:t>本公司将所取得的用于购建或以其他方式形成长期资产的政府补助界定为与资产相关的政府补助。若政府文件未明确规</w:t>
      </w:r>
      <w:r>
        <w:rPr/>
        <w:t> </w:t>
      </w:r>
      <w:r>
        <w:rPr>
          <w:spacing w:val="-2"/>
        </w:rPr>
        <w:t>定补助对象，则采用以下方式将补助款划分为与收益相关的政府补助和与资产相关的政府补助：政府文件明确了补助所针对</w:t>
      </w:r>
      <w:r>
        <w:rPr>
          <w:spacing w:val="-64"/>
        </w:rPr>
        <w:t> </w:t>
      </w:r>
      <w:r>
        <w:rPr>
          <w:spacing w:val="-64"/>
        </w:rPr>
      </w:r>
      <w:r>
        <w:rPr>
          <w:spacing w:val="-2"/>
        </w:rPr>
        <w:t>的特定项目的，根据该特定项目的预算中将形成资产的支出金额和计入费用的支出金额的相对比例进行划分，对该划分比例</w:t>
      </w:r>
      <w:r>
        <w:rPr>
          <w:spacing w:val="-64"/>
        </w:rPr>
        <w:t> </w:t>
      </w:r>
      <w:r>
        <w:rPr>
          <w:spacing w:val="-64"/>
        </w:rPr>
      </w:r>
      <w:r>
        <w:rPr>
          <w:spacing w:val="-2"/>
        </w:rPr>
        <w:t>需在每个资产负债表日进行复核，必要时进行变更；与资产相关的政府补助，确认为递延收益，并在相关资产的使用寿命内</w:t>
      </w:r>
      <w:r>
        <w:rPr>
          <w:spacing w:val="-66"/>
        </w:rPr>
        <w:t> </w:t>
      </w:r>
      <w:r>
        <w:rPr>
          <w:spacing w:val="-66"/>
        </w:rPr>
      </w:r>
      <w:r>
        <w:rPr/>
        <w:t>平均分配计入当期损益。</w:t>
      </w:r>
    </w:p>
    <w:p>
      <w:pPr>
        <w:spacing w:line="240" w:lineRule="auto" w:before="5"/>
        <w:rPr>
          <w:rFonts w:ascii="宋体" w:hAnsi="宋体" w:cs="宋体" w:eastAsia="宋体" w:hint="default"/>
          <w:sz w:val="22"/>
          <w:szCs w:val="22"/>
        </w:rPr>
      </w:pPr>
    </w:p>
    <w:p>
      <w:pPr>
        <w:pStyle w:val="Heading3"/>
        <w:spacing w:line="240" w:lineRule="auto"/>
        <w:ind w:right="1132"/>
        <w:jc w:val="left"/>
        <w:rPr>
          <w:b w:val="0"/>
          <w:bCs w:val="0"/>
        </w:rPr>
      </w:pPr>
      <w:bookmarkStart w:name="（2）与收益相关的政府补助判断依据及会计处理方法" w:id="200"/>
      <w:bookmarkEnd w:id="20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290"/>
        <w:jc w:val="both"/>
      </w:pPr>
      <w:r>
        <w:rPr>
          <w:spacing w:val="-1"/>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spacing w:val="-2"/>
        </w:rPr>
        <w:t>相关的政府补助：政府文件中对用途仅作一般性表述，没有指明特定项目的，作为与收益相关的政府补助。与收益相关的政</w:t>
      </w:r>
      <w:r>
        <w:rPr>
          <w:spacing w:val="-66"/>
        </w:rPr>
        <w:t> </w:t>
      </w:r>
      <w:r>
        <w:rPr>
          <w:spacing w:val="-66"/>
        </w:rPr>
      </w:r>
      <w:r>
        <w:rPr>
          <w:spacing w:val="-2"/>
        </w:rPr>
        <w:t>府补助，用于补偿以后期间的相关费用和损失的，确认为递延收益，并在确认相关费用的期间计入当期损益；用于补偿已经</w:t>
      </w:r>
      <w:r>
        <w:rPr>
          <w:spacing w:val="-66"/>
        </w:rPr>
        <w:t> </w:t>
      </w:r>
      <w:r>
        <w:rPr>
          <w:spacing w:val="-66"/>
        </w:rPr>
      </w:r>
      <w:r>
        <w:rPr/>
        <w:t>发生的相关费用和损失的，直接计入当期损益。</w:t>
      </w:r>
    </w:p>
    <w:p>
      <w:pPr>
        <w:spacing w:line="240" w:lineRule="auto" w:before="7"/>
        <w:rPr>
          <w:rFonts w:ascii="宋体" w:hAnsi="宋体" w:cs="宋体" w:eastAsia="宋体" w:hint="default"/>
          <w:sz w:val="22"/>
          <w:szCs w:val="22"/>
        </w:rPr>
      </w:pPr>
    </w:p>
    <w:p>
      <w:pPr>
        <w:pStyle w:val="Heading3"/>
        <w:spacing w:line="240" w:lineRule="auto"/>
        <w:ind w:right="1132"/>
        <w:jc w:val="left"/>
        <w:rPr>
          <w:b w:val="0"/>
          <w:bCs w:val="0"/>
        </w:rPr>
      </w:pPr>
      <w:bookmarkStart w:name="28、递延所得税资产/递延所得税负债" w:id="201"/>
      <w:bookmarkEnd w:id="201"/>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9" w:lineRule="auto" w:before="31"/>
        <w:ind w:left="154"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7"/>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18"/>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7"/>
        <w:ind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1131"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30"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1132"/>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38" w:lineRule="auto" w:before="32"/>
        <w:ind w:left="154" w:right="0"/>
        <w:jc w:val="left"/>
      </w:pPr>
      <w:r>
        <w:rPr/>
        <w:t>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p>
    <w:p>
      <w:pPr>
        <w:pStyle w:val="BodyText"/>
        <w:tabs>
          <w:tab w:pos="8354" w:val="left" w:leader="none"/>
        </w:tabs>
        <w:spacing w:line="319" w:lineRule="auto" w:before="2"/>
        <w:ind w:right="1130"/>
        <w:jc w:val="left"/>
      </w:pPr>
      <w:r>
        <w:rPr>
          <w:spacing w:val="-1"/>
        </w:rPr>
        <w:t>的期间内，涉及的纳税主体意图以净额结算当期所得税资产和负债或是同时取得资产、清偿负债时，</w:t>
        <w:tab/>
        <w:t>本公司递延所得税</w:t>
      </w:r>
      <w:r>
        <w:rPr>
          <w:spacing w:val="-84"/>
        </w:rPr>
        <w:t> </w:t>
      </w:r>
      <w:r>
        <w:rPr>
          <w:spacing w:val="-84"/>
        </w:rPr>
      </w:r>
      <w:r>
        <w:rPr/>
        <w:t>资产及递延所得税负债以抵销后的净额列报。</w:t>
      </w:r>
    </w:p>
    <w:p>
      <w:pPr>
        <w:spacing w:line="240" w:lineRule="auto" w:before="4"/>
        <w:rPr>
          <w:rFonts w:ascii="宋体" w:hAnsi="宋体" w:cs="宋体" w:eastAsia="宋体" w:hint="default"/>
          <w:sz w:val="22"/>
          <w:szCs w:val="22"/>
        </w:rPr>
      </w:pPr>
    </w:p>
    <w:p>
      <w:pPr>
        <w:pStyle w:val="Heading3"/>
        <w:spacing w:line="240" w:lineRule="auto"/>
        <w:ind w:left="153" w:right="1132"/>
        <w:jc w:val="left"/>
        <w:rPr>
          <w:b w:val="0"/>
          <w:bCs w:val="0"/>
        </w:rPr>
      </w:pPr>
      <w:bookmarkStart w:name="29、租赁" w:id="202"/>
      <w:bookmarkEnd w:id="202"/>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经营租赁的会计处理方法" w:id="203"/>
      <w:bookmarkEnd w:id="20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1132"/>
        <w:jc w:val="left"/>
      </w:pPr>
      <w:r>
        <w:rPr/>
        <w:t>租金于实际发生时计入当期损益。</w:t>
      </w:r>
    </w:p>
    <w:p>
      <w:pPr>
        <w:pStyle w:val="BodyText"/>
        <w:spacing w:line="340" w:lineRule="auto" w:before="76"/>
        <w:ind w:left="443" w:right="1132" w:firstLine="70"/>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w:t>
      </w:r>
    </w:p>
    <w:p>
      <w:pPr>
        <w:pStyle w:val="BodyText"/>
        <w:spacing w:line="319" w:lineRule="auto" w:before="1"/>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3"/>
        <w:rPr>
          <w:rFonts w:ascii="宋体" w:hAnsi="宋体" w:cs="宋体" w:eastAsia="宋体" w:hint="default"/>
          <w:sz w:val="22"/>
          <w:szCs w:val="22"/>
        </w:rPr>
      </w:pPr>
    </w:p>
    <w:p>
      <w:pPr>
        <w:pStyle w:val="Heading3"/>
        <w:spacing w:line="240" w:lineRule="auto"/>
        <w:ind w:left="153" w:right="1132"/>
        <w:jc w:val="left"/>
        <w:rPr>
          <w:b w:val="0"/>
          <w:bCs w:val="0"/>
        </w:rPr>
      </w:pPr>
      <w:bookmarkStart w:name="（2）融资租赁的会计处理方法" w:id="204"/>
      <w:bookmarkEnd w:id="20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1132"/>
        <w:jc w:val="left"/>
      </w:pPr>
      <w:r>
        <w:rPr/>
        <w:t>未确认融资费用在租赁期内采用实际利率法计算确认当期的融资费用。或有租金于实际发生时计入当期损益。</w:t>
      </w:r>
    </w:p>
    <w:p>
      <w:pPr>
        <w:pStyle w:val="BodyText"/>
        <w:spacing w:line="300" w:lineRule="auto" w:before="77"/>
        <w:ind w:left="514" w:right="0"/>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left="154" w:right="1132"/>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444" w:right="1132"/>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3" w:right="1132"/>
        <w:jc w:val="left"/>
        <w:rPr>
          <w:b w:val="0"/>
          <w:bCs w:val="0"/>
        </w:rPr>
      </w:pPr>
      <w:bookmarkStart w:name="30、其他重要的会计政策和会计估计" w:id="205"/>
      <w:bookmarkEnd w:id="205"/>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8"/>
        <w:jc w:val="left"/>
      </w:pPr>
      <w:r>
        <w:rPr/>
        <w:t>（</w:t>
      </w:r>
      <w:r>
        <w:rPr>
          <w:rFonts w:ascii="Times New Roman" w:hAnsi="Times New Roman" w:cs="Times New Roman" w:eastAsia="Times New Roman" w:hint="default"/>
        </w:rPr>
        <w:t>1</w:t>
      </w:r>
      <w:r>
        <w:rPr/>
        <w:t>）终止经营 </w:t>
      </w:r>
      <w:r>
        <w:rPr>
          <w:spacing w:val="-2"/>
        </w:rPr>
        <w:t>终止经营，是指满足下列条件之一的已被本公司处置或划归为持有待售的、在经营和编制财务报表时能够单独区分的组</w:t>
      </w:r>
    </w:p>
    <w:p>
      <w:pPr>
        <w:pStyle w:val="BodyText"/>
        <w:spacing w:line="316" w:lineRule="auto" w:before="31"/>
        <w:ind w:right="0"/>
        <w:jc w:val="left"/>
      </w:pP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w:t>
      </w:r>
    </w:p>
    <w:p>
      <w:pPr>
        <w:pStyle w:val="BodyText"/>
        <w:spacing w:line="240" w:lineRule="auto" w:before="19"/>
        <w:ind w:left="513" w:right="1132"/>
        <w:jc w:val="left"/>
      </w:pPr>
      <w:r>
        <w:rPr/>
        <w:t>终止经营的会计处理方法参见本附注四、</w:t>
      </w:r>
      <w:r>
        <w:rPr>
          <w:rFonts w:ascii="Times New Roman" w:hAnsi="Times New Roman" w:cs="Times New Roman" w:eastAsia="Times New Roman" w:hint="default"/>
        </w:rPr>
        <w:t>12“</w:t>
      </w:r>
      <w:r>
        <w:rPr/>
        <w:t>划分为持有待售资产</w:t>
      </w:r>
      <w:r>
        <w:rPr>
          <w:rFonts w:ascii="Times New Roman" w:hAnsi="Times New Roman" w:cs="Times New Roman" w:eastAsia="Times New Roman" w:hint="default"/>
        </w:rPr>
        <w:t>”</w:t>
      </w:r>
      <w:r>
        <w:rPr/>
        <w:t>相关描述。</w:t>
      </w:r>
    </w:p>
    <w:p>
      <w:pPr>
        <w:pStyle w:val="BodyText"/>
        <w:spacing w:line="300" w:lineRule="auto" w:before="63"/>
        <w:ind w:left="444" w:right="0" w:firstLine="69"/>
        <w:jc w:val="left"/>
      </w:pPr>
      <w:r>
        <w:rPr/>
        <w:t>（</w:t>
      </w:r>
      <w:r>
        <w:rPr>
          <w:rFonts w:ascii="Times New Roman" w:hAnsi="Times New Roman" w:cs="Times New Roman" w:eastAsia="Times New Roman" w:hint="default"/>
        </w:rPr>
        <w:t>2</w:t>
      </w:r>
      <w:r>
        <w:rPr/>
        <w:t>）回购股份 </w:t>
      </w:r>
      <w:r>
        <w:rPr>
          <w:spacing w:val="-3"/>
        </w:rPr>
        <w:t>股份回购中支付的对价和交易费用减少所有者权益，回购、转让或注销本公司股份时，不确认利得或损失。转让库存股，</w:t>
      </w:r>
    </w:p>
    <w:p>
      <w:pPr>
        <w:pStyle w:val="BodyText"/>
        <w:spacing w:line="319" w:lineRule="auto" w:before="31"/>
        <w:ind w:left="154" w:right="1131"/>
        <w:jc w:val="both"/>
      </w:pPr>
      <w:r>
        <w:rPr>
          <w:spacing w:val="-2"/>
        </w:rPr>
        <w:t>按实际收到的金额与库存股账面金额的差额，计入资本公积，资本公积不足冲减的，冲减盈余公积和未分配利润。注销库存</w:t>
      </w:r>
      <w:r>
        <w:rPr>
          <w:spacing w:val="-66"/>
        </w:rPr>
        <w:t> </w:t>
      </w:r>
      <w:r>
        <w:rPr>
          <w:spacing w:val="-66"/>
        </w:rPr>
      </w:r>
      <w:r>
        <w:rPr>
          <w:spacing w:val="-2"/>
        </w:rPr>
        <w:t>股，按股票面值和注销股数减少股本，按注销库存股的账面余额与面值的差额，冲减资本公积，资本公积不足冲减的，冲减</w:t>
      </w:r>
      <w:r>
        <w:rPr>
          <w:spacing w:val="-66"/>
        </w:rPr>
        <w:t> </w:t>
      </w:r>
      <w:r>
        <w:rPr>
          <w:spacing w:val="-66"/>
        </w:rPr>
      </w:r>
      <w:r>
        <w:rPr/>
        <w:t>盈余公积和未分配利润。</w:t>
      </w:r>
    </w:p>
    <w:p>
      <w:pPr>
        <w:spacing w:line="240" w:lineRule="auto" w:before="5"/>
        <w:rPr>
          <w:rFonts w:ascii="宋体" w:hAnsi="宋体" w:cs="宋体" w:eastAsia="宋体" w:hint="default"/>
          <w:sz w:val="22"/>
          <w:szCs w:val="22"/>
        </w:rPr>
      </w:pPr>
    </w:p>
    <w:p>
      <w:pPr>
        <w:pStyle w:val="Heading3"/>
        <w:spacing w:line="240" w:lineRule="auto"/>
        <w:ind w:right="1132"/>
        <w:jc w:val="left"/>
        <w:rPr>
          <w:b w:val="0"/>
          <w:bCs w:val="0"/>
        </w:rPr>
      </w:pPr>
      <w:bookmarkStart w:name="31、重要会计政策和会计估计变更" w:id="206"/>
      <w:bookmarkEnd w:id="206"/>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32、其他" w:id="209"/>
      <w:bookmarkEnd w:id="209"/>
      <w:r>
        <w:rPr>
          <w:b w:val="0"/>
          <w:bCs w:val="0"/>
        </w:rPr>
      </w:r>
      <w:r>
        <w:rPr>
          <w:rFonts w:ascii="Times New Roman" w:hAnsi="Times New Roman" w:cs="Times New Roman" w:eastAsia="Times New Roman" w:hint="default"/>
        </w:rPr>
        <w:t>32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left"/>
      </w:pPr>
      <w:r>
        <w:rPr/>
        <w:t>财政部于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 </w:t>
      </w:r>
      <w:r>
        <w:rPr/>
        <w:t>日发布了《企业会计准则解释第</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号》。本公司根据企业会计准则解释第</w:t>
      </w:r>
      <w:r>
        <w:rPr>
          <w:rFonts w:ascii="Times New Roman" w:hAnsi="Times New Roman" w:cs="Times New Roman" w:eastAsia="Times New Roman" w:hint="default"/>
        </w:rPr>
        <w:t>7</w:t>
      </w:r>
      <w:r>
        <w:rPr/>
        <w:t>号规定重新厘定了相 关会计政策，并采用追溯调整法，对</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年度比较财务报表进行重述。</w:t>
      </w:r>
    </w:p>
    <w:p>
      <w:pPr>
        <w:pStyle w:val="BodyText"/>
        <w:spacing w:line="300" w:lineRule="auto" w:before="13"/>
        <w:ind w:right="1132" w:firstLine="360"/>
        <w:jc w:val="left"/>
      </w:pPr>
      <w:r>
        <w:rPr>
          <w:spacing w:val="-2"/>
        </w:rPr>
        <w:t>根据《会计准则解释第</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7"/>
        </w:rPr>
        <w:t> </w:t>
      </w:r>
      <w:r>
        <w:rPr>
          <w:spacing w:val="-2"/>
        </w:rPr>
        <w:t>号》规定，对于授予限制性股票的股权激励计划，限制性股票未解锁部分因回购义务应确认其</w:t>
      </w:r>
      <w:r>
        <w:rPr/>
        <w:t> 他应付款并增加库存股，并追溯调整。上述会计政策变更，影响比较财务报表相关项目如下表：</w:t>
      </w:r>
    </w:p>
    <w:tbl>
      <w:tblPr>
        <w:tblW w:w="0" w:type="auto"/>
        <w:jc w:val="left"/>
        <w:tblInd w:w="438" w:type="dxa"/>
        <w:tblLayout w:type="fixed"/>
        <w:tblCellMar>
          <w:top w:w="0" w:type="dxa"/>
          <w:left w:w="0" w:type="dxa"/>
          <w:bottom w:w="0" w:type="dxa"/>
          <w:right w:w="0" w:type="dxa"/>
        </w:tblCellMar>
        <w:tblLook w:val="01E0"/>
      </w:tblPr>
      <w:tblGrid>
        <w:gridCol w:w="2472"/>
        <w:gridCol w:w="1646"/>
        <w:gridCol w:w="1646"/>
        <w:gridCol w:w="1647"/>
        <w:gridCol w:w="1644"/>
      </w:tblGrid>
      <w:tr>
        <w:trPr>
          <w:trHeight w:val="356" w:hRule="exact"/>
        </w:trPr>
        <w:tc>
          <w:tcPr>
            <w:tcW w:w="2472" w:type="dxa"/>
            <w:vMerge w:val="restart"/>
            <w:tcBorders>
              <w:top w:val="single" w:sz="6" w:space="0" w:color="000000"/>
              <w:left w:val="single" w:sz="6" w:space="0" w:color="000000"/>
              <w:right w:val="single" w:sz="6" w:space="0" w:color="000000"/>
            </w:tcBorders>
          </w:tcPr>
          <w:p>
            <w:pPr>
              <w:pStyle w:val="TableParagraph"/>
              <w:spacing w:line="240" w:lineRule="auto" w:before="21"/>
              <w:ind w:left="689" w:right="0"/>
              <w:jc w:val="left"/>
              <w:rPr>
                <w:rFonts w:ascii="宋体" w:hAnsi="宋体" w:cs="宋体" w:eastAsia="宋体" w:hint="default"/>
                <w:sz w:val="18"/>
                <w:szCs w:val="18"/>
              </w:rPr>
            </w:pPr>
            <w:r>
              <w:rPr>
                <w:rFonts w:ascii="宋体" w:hAnsi="宋体" w:cs="宋体" w:eastAsia="宋体" w:hint="default"/>
                <w:sz w:val="18"/>
                <w:szCs w:val="18"/>
              </w:rPr>
              <w:t>财务报表项目</w:t>
            </w:r>
          </w:p>
        </w:tc>
        <w:tc>
          <w:tcPr>
            <w:tcW w:w="6583"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2472" w:type="dxa"/>
            <w:vMerge/>
            <w:tcBorders>
              <w:left w:val="single" w:sz="6" w:space="0" w:color="000000"/>
              <w:bottom w:val="single" w:sz="12" w:space="0" w:color="000000"/>
              <w:right w:val="single" w:sz="6" w:space="0" w:color="000000"/>
            </w:tcBorders>
          </w:tcPr>
          <w:p>
            <w:pP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变更前</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调整增加</w:t>
            </w:r>
          </w:p>
        </w:tc>
        <w:tc>
          <w:tcPr>
            <w:tcW w:w="16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hAnsi="宋体" w:cs="宋体" w:eastAsia="宋体" w:hint="default"/>
                <w:sz w:val="18"/>
                <w:szCs w:val="18"/>
              </w:rPr>
              <w:t>调整减少</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43"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352"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31,116,102.30</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7" w:type="dxa"/>
            <w:tcBorders>
              <w:top w:val="single" w:sz="12" w:space="0" w:color="000000"/>
              <w:left w:val="single" w:sz="6" w:space="0" w:color="000000"/>
              <w:bottom w:val="single" w:sz="12" w:space="0" w:color="000000"/>
              <w:right w:val="single" w:sz="6" w:space="0" w:color="000000"/>
            </w:tcBorders>
          </w:tcPr>
          <w:p>
            <w:pP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91" w:right="0"/>
              <w:jc w:val="left"/>
              <w:rPr>
                <w:rFonts w:ascii="Times New Roman" w:hAnsi="Times New Roman" w:cs="Times New Roman" w:eastAsia="Times New Roman" w:hint="default"/>
                <w:sz w:val="18"/>
                <w:szCs w:val="18"/>
              </w:rPr>
            </w:pPr>
            <w:r>
              <w:rPr>
                <w:rFonts w:ascii="Times New Roman"/>
                <w:sz w:val="18"/>
              </w:rPr>
              <w:t>36,345,977.30</w:t>
            </w:r>
          </w:p>
        </w:tc>
      </w:tr>
      <w:tr>
        <w:trPr>
          <w:trHeight w:val="353"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431,020,606.23</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7" w:type="dxa"/>
            <w:tcBorders>
              <w:top w:val="single" w:sz="12" w:space="0" w:color="000000"/>
              <w:left w:val="single" w:sz="6" w:space="0" w:color="000000"/>
              <w:bottom w:val="single" w:sz="12" w:space="0" w:color="000000"/>
              <w:right w:val="single" w:sz="6" w:space="0" w:color="000000"/>
            </w:tcBorders>
          </w:tcPr>
          <w:p>
            <w:pP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436,250,481.23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438" w:type="dxa"/>
        <w:tblLayout w:type="fixed"/>
        <w:tblCellMar>
          <w:top w:w="0" w:type="dxa"/>
          <w:left w:w="0" w:type="dxa"/>
          <w:bottom w:w="0" w:type="dxa"/>
          <w:right w:w="0" w:type="dxa"/>
        </w:tblCellMar>
        <w:tblLook w:val="01E0"/>
      </w:tblPr>
      <w:tblGrid>
        <w:gridCol w:w="2472"/>
        <w:gridCol w:w="1646"/>
        <w:gridCol w:w="1646"/>
        <w:gridCol w:w="1647"/>
        <w:gridCol w:w="1644"/>
      </w:tblGrid>
      <w:tr>
        <w:trPr>
          <w:trHeight w:val="355" w:hRule="exact"/>
        </w:trPr>
        <w:tc>
          <w:tcPr>
            <w:tcW w:w="2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22,578,793.85</w:t>
            </w:r>
          </w:p>
        </w:tc>
        <w:tc>
          <w:tcPr>
            <w:tcW w:w="1646" w:type="dxa"/>
            <w:tcBorders>
              <w:top w:val="single" w:sz="6" w:space="0" w:color="000000"/>
              <w:left w:val="single" w:sz="6" w:space="0" w:color="000000"/>
              <w:bottom w:val="single" w:sz="12" w:space="0" w:color="000000"/>
              <w:right w:val="single" w:sz="6" w:space="0" w:color="000000"/>
            </w:tcBorders>
          </w:tcPr>
          <w:p>
            <w:pPr/>
          </w:p>
        </w:tc>
        <w:tc>
          <w:tcPr>
            <w:tcW w:w="1647" w:type="dxa"/>
            <w:tcBorders>
              <w:top w:val="single" w:sz="6" w:space="0" w:color="000000"/>
              <w:left w:val="single" w:sz="6" w:space="0" w:color="000000"/>
              <w:bottom w:val="single" w:sz="12" w:space="0" w:color="000000"/>
              <w:right w:val="single" w:sz="6" w:space="0" w:color="000000"/>
            </w:tcBorders>
          </w:tcPr>
          <w:p>
            <w:pPr/>
          </w:p>
        </w:tc>
        <w:tc>
          <w:tcPr>
            <w:tcW w:w="16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22,578,793.85</w:t>
            </w:r>
          </w:p>
        </w:tc>
      </w:tr>
      <w:tr>
        <w:trPr>
          <w:trHeight w:val="353"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453,599,400.08</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7" w:type="dxa"/>
            <w:tcBorders>
              <w:top w:val="single" w:sz="12" w:space="0" w:color="000000"/>
              <w:left w:val="single" w:sz="6" w:space="0" w:color="000000"/>
              <w:bottom w:val="single" w:sz="12" w:space="0" w:color="000000"/>
              <w:right w:val="single" w:sz="6" w:space="0" w:color="000000"/>
            </w:tcBorders>
          </w:tcPr>
          <w:p>
            <w:pP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458,829,275.08</w:t>
            </w:r>
          </w:p>
        </w:tc>
      </w:tr>
      <w:tr>
        <w:trPr>
          <w:trHeight w:val="352"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375,517,136.70</w:t>
            </w:r>
          </w:p>
        </w:tc>
        <w:tc>
          <w:tcPr>
            <w:tcW w:w="1646" w:type="dxa"/>
            <w:tcBorders>
              <w:top w:val="single" w:sz="12" w:space="0" w:color="000000"/>
              <w:left w:val="single" w:sz="6" w:space="0" w:color="000000"/>
              <w:bottom w:val="single" w:sz="12" w:space="0" w:color="000000"/>
              <w:right w:val="single" w:sz="6" w:space="0" w:color="000000"/>
            </w:tcBorders>
          </w:tcPr>
          <w:p>
            <w:pPr/>
          </w:p>
        </w:tc>
        <w:tc>
          <w:tcPr>
            <w:tcW w:w="1647" w:type="dxa"/>
            <w:tcBorders>
              <w:top w:val="single" w:sz="12" w:space="0" w:color="000000"/>
              <w:left w:val="single" w:sz="6" w:space="0" w:color="000000"/>
              <w:bottom w:val="single" w:sz="12" w:space="0" w:color="000000"/>
              <w:right w:val="single" w:sz="6" w:space="0" w:color="000000"/>
            </w:tcBorders>
          </w:tcPr>
          <w:p>
            <w:pP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375,517,136.70</w:t>
            </w:r>
          </w:p>
        </w:tc>
      </w:tr>
      <w:tr>
        <w:trPr>
          <w:trHeight w:val="352"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646" w:type="dxa"/>
            <w:tcBorders>
              <w:top w:val="single" w:sz="12" w:space="0" w:color="000000"/>
              <w:left w:val="single" w:sz="6" w:space="0" w:color="000000"/>
              <w:bottom w:val="single" w:sz="12" w:space="0" w:color="000000"/>
              <w:right w:val="single" w:sz="6" w:space="0" w:color="000000"/>
            </w:tcBorders>
          </w:tcPr>
          <w:p>
            <w:pP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7" w:type="dxa"/>
            <w:tcBorders>
              <w:top w:val="single" w:sz="12" w:space="0" w:color="000000"/>
              <w:left w:val="single" w:sz="6" w:space="0" w:color="000000"/>
              <w:bottom w:val="single" w:sz="12" w:space="0" w:color="000000"/>
              <w:right w:val="single" w:sz="6" w:space="0" w:color="000000"/>
            </w:tcBorders>
          </w:tcPr>
          <w:p>
            <w:pP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5,229,875.00</w:t>
            </w:r>
          </w:p>
        </w:tc>
      </w:tr>
      <w:tr>
        <w:trPr>
          <w:trHeight w:val="353"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1,370,297,510.18</w:t>
            </w:r>
          </w:p>
        </w:tc>
        <w:tc>
          <w:tcPr>
            <w:tcW w:w="1646" w:type="dxa"/>
            <w:tcBorders>
              <w:top w:val="single" w:sz="12" w:space="0" w:color="000000"/>
              <w:left w:val="single" w:sz="6" w:space="0" w:color="000000"/>
              <w:bottom w:val="single" w:sz="12" w:space="0" w:color="000000"/>
              <w:right w:val="single" w:sz="6" w:space="0" w:color="000000"/>
            </w:tcBorders>
          </w:tcPr>
          <w:p>
            <w:pPr/>
          </w:p>
        </w:tc>
        <w:tc>
          <w:tcPr>
            <w:tcW w:w="16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1,365,067,635.18</w:t>
            </w:r>
          </w:p>
        </w:tc>
      </w:tr>
      <w:tr>
        <w:trPr>
          <w:trHeight w:val="352" w:hRule="exact"/>
        </w:trPr>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负债及股东权益总计</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1,823,896,910.26</w:t>
            </w:r>
          </w:p>
        </w:tc>
        <w:tc>
          <w:tcPr>
            <w:tcW w:w="16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5,229,875.00</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1,823,896,910.26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left="154" w:right="1132"/>
        <w:jc w:val="left"/>
        <w:rPr>
          <w:b w:val="0"/>
          <w:bCs w:val="0"/>
        </w:rPr>
      </w:pPr>
      <w:bookmarkStart w:name="六、税项" w:id="210"/>
      <w:bookmarkEnd w:id="210"/>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line="240" w:lineRule="auto" w:before="3"/>
        <w:rPr>
          <w:rFonts w:ascii="宋体" w:hAnsi="宋体" w:cs="宋体" w:eastAsia="宋体" w:hint="default"/>
          <w:b/>
          <w:bCs/>
          <w:sz w:val="19"/>
          <w:szCs w:val="19"/>
        </w:rPr>
      </w:pPr>
    </w:p>
    <w:p>
      <w:pPr>
        <w:pStyle w:val="Heading3"/>
        <w:spacing w:line="240" w:lineRule="auto" w:before="35"/>
        <w:ind w:right="1132"/>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123"/>
        <w:jc w:val="left"/>
      </w:pPr>
      <w:r>
        <w:rPr/>
        <w:t>本公司取得了编号为</w:t>
      </w:r>
      <w:r>
        <w:rPr>
          <w:rFonts w:ascii="宋体" w:hAnsi="宋体" w:cs="宋体" w:eastAsia="宋体" w:hint="default"/>
        </w:rPr>
        <w:t>GR201437000039</w:t>
      </w:r>
      <w:r>
        <w:rPr/>
        <w:t>的高新技术企业证书，</w:t>
      </w:r>
      <w:r>
        <w:rPr>
          <w:rFonts w:ascii="宋体" w:hAnsi="宋体" w:cs="宋体" w:eastAsia="宋体" w:hint="default"/>
        </w:rPr>
        <w:t>2015</w:t>
      </w:r>
      <w:r>
        <w:rPr/>
        <w:t>年度减按</w:t>
      </w:r>
      <w:r>
        <w:rPr>
          <w:rFonts w:ascii="宋体" w:hAnsi="宋体" w:cs="宋体" w:eastAsia="宋体" w:hint="default"/>
        </w:rPr>
        <w:t>15%</w:t>
      </w:r>
      <w:r>
        <w:rPr/>
        <w:t>的税率缴纳企业所得税。 </w:t>
      </w:r>
      <w:r>
        <w:rPr>
          <w:spacing w:val="6"/>
        </w:rPr>
        <w:t>本公司之控股子公司广州东港安全印刷有限公司依据粤科高字</w:t>
      </w:r>
      <w:r>
        <w:rPr>
          <w:rFonts w:ascii="Times New Roman" w:hAnsi="Times New Roman" w:cs="Times New Roman" w:eastAsia="Times New Roman" w:hint="default"/>
          <w:spacing w:val="6"/>
        </w:rPr>
        <w:t>[2013]1721</w:t>
      </w:r>
      <w:r>
        <w:rPr>
          <w:spacing w:val="6"/>
        </w:rPr>
        <w:t>号被认定为高新技术企业，取得了编号为</w:t>
      </w:r>
    </w:p>
    <w:p>
      <w:pPr>
        <w:pStyle w:val="BodyText"/>
        <w:spacing w:line="300" w:lineRule="auto"/>
        <w:ind w:left="514" w:right="1132" w:hanging="360"/>
        <w:jc w:val="left"/>
      </w:pPr>
      <w:r>
        <w:rPr>
          <w:rFonts w:ascii="Times New Roman" w:hAnsi="Times New Roman" w:cs="Times New Roman" w:eastAsia="Times New Roman" w:hint="default"/>
        </w:rPr>
        <w:t>GR201344000167</w:t>
      </w:r>
      <w:r>
        <w:rPr/>
        <w:t>的高新技术企业证书，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r>
        <w:rPr>
          <w:w w:val="99"/>
        </w:rPr>
        <w:t> </w:t>
      </w:r>
      <w:r>
        <w:rPr>
          <w:spacing w:val="3"/>
        </w:rPr>
        <w:t>本公司之控股子公司上海东港安全印刷有限公司依据沪高企认指</w:t>
      </w:r>
      <w:r>
        <w:rPr>
          <w:rFonts w:ascii="Times New Roman" w:hAnsi="Times New Roman" w:cs="Times New Roman" w:eastAsia="Times New Roman" w:hint="default"/>
          <w:spacing w:val="3"/>
        </w:rPr>
        <w:t>[2014]008</w:t>
      </w:r>
      <w:r>
        <w:rPr>
          <w:spacing w:val="3"/>
        </w:rPr>
        <w:t>号被认定为高新技术企业，取得了编号为</w:t>
      </w:r>
    </w:p>
    <w:p>
      <w:pPr>
        <w:pStyle w:val="BodyText"/>
        <w:spacing w:line="300" w:lineRule="auto" w:before="13"/>
        <w:ind w:left="514" w:right="1132" w:hanging="360"/>
        <w:jc w:val="left"/>
      </w:pPr>
      <w:r>
        <w:rPr>
          <w:rFonts w:ascii="Times New Roman" w:hAnsi="Times New Roman" w:cs="Times New Roman" w:eastAsia="Times New Roman" w:hint="default"/>
        </w:rPr>
        <w:t>GR201431000109</w:t>
      </w:r>
      <w:r>
        <w:rPr/>
        <w:t>的高新技术企业证书，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r>
        <w:rPr>
          <w:w w:val="99"/>
        </w:rPr>
        <w:t> </w:t>
      </w:r>
      <w:r>
        <w:rPr>
          <w:spacing w:val="7"/>
        </w:rPr>
        <w:t>本公司之控股子公司上海东港数据处理有限公司依据国科火字</w:t>
      </w:r>
      <w:r>
        <w:rPr>
          <w:rFonts w:ascii="Times New Roman" w:hAnsi="Times New Roman" w:cs="Times New Roman" w:eastAsia="Times New Roman" w:hint="default"/>
          <w:spacing w:val="7"/>
        </w:rPr>
        <w:t>[2015]188</w:t>
      </w:r>
      <w:r>
        <w:rPr>
          <w:spacing w:val="7"/>
        </w:rPr>
        <w:t>号被认定为高新技术企业，取得了编号为</w:t>
      </w:r>
    </w:p>
    <w:p>
      <w:pPr>
        <w:pStyle w:val="BodyText"/>
        <w:spacing w:line="300" w:lineRule="auto" w:before="13"/>
        <w:ind w:left="514" w:right="1132" w:hanging="360"/>
        <w:jc w:val="left"/>
      </w:pPr>
      <w:r>
        <w:rPr>
          <w:rFonts w:ascii="Times New Roman" w:hAnsi="Times New Roman" w:cs="Times New Roman" w:eastAsia="Times New Roman" w:hint="default"/>
        </w:rPr>
        <w:t>GR201531000094</w:t>
      </w:r>
      <w:r>
        <w:rPr/>
        <w:t>的高新技术企业证书，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r>
        <w:rPr>
          <w:w w:val="99"/>
        </w:rPr>
        <w:t> </w:t>
      </w:r>
      <w:r>
        <w:rPr>
          <w:spacing w:val="9"/>
        </w:rPr>
        <w:t>本公司之控股子公司郑州东港安全印刷有限公司依据豫科</w:t>
      </w:r>
      <w:r>
        <w:rPr>
          <w:rFonts w:ascii="Times New Roman" w:hAnsi="Times New Roman" w:cs="Times New Roman" w:eastAsia="Times New Roman" w:hint="default"/>
          <w:spacing w:val="9"/>
        </w:rPr>
        <w:t>[2014]17</w:t>
      </w:r>
      <w:r>
        <w:rPr>
          <w:spacing w:val="9"/>
        </w:rPr>
        <w:t>号文件被认定为高新技术企业，取得了编号为</w:t>
      </w:r>
    </w:p>
    <w:p>
      <w:pPr>
        <w:pStyle w:val="BodyText"/>
        <w:spacing w:line="300" w:lineRule="auto" w:before="13"/>
        <w:ind w:left="514" w:right="1132" w:hanging="360"/>
        <w:jc w:val="left"/>
      </w:pPr>
      <w:r>
        <w:rPr>
          <w:rFonts w:ascii="Times New Roman" w:hAnsi="Times New Roman" w:cs="Times New Roman" w:eastAsia="Times New Roman" w:hint="default"/>
        </w:rPr>
        <w:t>GR201341000081</w:t>
      </w:r>
      <w:r>
        <w:rPr/>
        <w:t>的高新技术企业证书，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r>
        <w:rPr>
          <w:w w:val="99"/>
        </w:rPr>
        <w:t> </w:t>
      </w:r>
      <w:r>
        <w:rPr>
          <w:spacing w:val="-2"/>
        </w:rPr>
        <w:t>本公司之控股子公司北京东港安全印刷有限公司被北京市科学技术委员会、北京市财政局、北京市国家税务局、北京市</w:t>
      </w:r>
    </w:p>
    <w:p>
      <w:pPr>
        <w:pStyle w:val="BodyText"/>
        <w:spacing w:line="300" w:lineRule="auto" w:before="31"/>
        <w:ind w:left="154" w:right="1132"/>
        <w:jc w:val="left"/>
      </w:pPr>
      <w:r>
        <w:rPr/>
        <w:t>地方税务局批准认定为高新技术企业，取得了编号为</w:t>
      </w:r>
      <w:r>
        <w:rPr>
          <w:rFonts w:ascii="Times New Roman" w:hAnsi="Times New Roman" w:cs="Times New Roman" w:eastAsia="Times New Roman" w:hint="default"/>
        </w:rPr>
        <w:t>GF201311000498</w:t>
      </w:r>
      <w:r>
        <w:rPr/>
        <w:t>的高新技术企业证书，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w:t>
      </w:r>
      <w:r>
        <w:rPr>
          <w:spacing w:val="-21"/>
        </w:rPr>
        <w:t> </w:t>
      </w:r>
      <w:r>
        <w:rPr>
          <w:spacing w:val="-21"/>
        </w:rPr>
      </w:r>
      <w:r>
        <w:rPr/>
        <w:t>企业所得税。</w:t>
      </w:r>
    </w:p>
    <w:p>
      <w:pPr>
        <w:pStyle w:val="BodyText"/>
        <w:spacing w:line="309" w:lineRule="auto" w:before="31"/>
        <w:ind w:left="154" w:right="0" w:firstLine="360"/>
        <w:jc w:val="left"/>
      </w:pPr>
      <w:r>
        <w:rPr>
          <w:spacing w:val="-4"/>
        </w:rPr>
        <w:t>本公司之控股子公司北京东港嘉华安全信息技术有限公司被北京市科学技术委员会、北京市财政局、北京市国家税务局、</w:t>
      </w:r>
      <w:r>
        <w:rPr/>
        <w:t> 北京市地方税务局批准认定为高新技术企业，取得了编号为</w:t>
      </w:r>
      <w:r>
        <w:rPr>
          <w:rFonts w:ascii="Times New Roman" w:hAnsi="Times New Roman" w:cs="Times New Roman" w:eastAsia="Times New Roman" w:hint="default"/>
        </w:rPr>
        <w:t>GF201311000445</w:t>
      </w:r>
      <w:r>
        <w:rPr/>
        <w:t>的高新技术企业证书，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w:t>
      </w:r>
      <w:r>
        <w:rPr>
          <w:spacing w:val="-20"/>
        </w:rPr>
        <w:t> </w:t>
      </w:r>
      <w:r>
        <w:rPr/>
        <w:t>率缴纳企业所得税。</w:t>
      </w:r>
    </w:p>
    <w:p>
      <w:pPr>
        <w:pStyle w:val="BodyText"/>
        <w:spacing w:line="300" w:lineRule="auto" w:before="24"/>
        <w:ind w:right="0" w:firstLine="360"/>
        <w:jc w:val="left"/>
      </w:pPr>
      <w:r>
        <w:rPr/>
        <w:t>本公司之子公司新疆东港安全印刷有限公司于</w:t>
      </w:r>
      <w:r>
        <w:rPr>
          <w:rFonts w:ascii="Times New Roman" w:hAnsi="Times New Roman" w:cs="Times New Roman" w:eastAsia="Times New Roman" w:hint="default"/>
        </w:rPr>
        <w:t>2015</w:t>
      </w:r>
      <w:r>
        <w:rPr/>
        <w:t>年被认定为高新技术企业，取得了编号为</w:t>
      </w:r>
      <w:r>
        <w:rPr>
          <w:rFonts w:ascii="Times New Roman" w:hAnsi="Times New Roman" w:cs="Times New Roman" w:eastAsia="Times New Roman" w:hint="default"/>
        </w:rPr>
        <w:t>GR201565000015</w:t>
      </w:r>
      <w:r>
        <w:rPr/>
        <w:t>的高新技</w:t>
      </w:r>
      <w:r>
        <w:rPr>
          <w:spacing w:val="1"/>
        </w:rPr>
        <w:t> </w:t>
      </w:r>
      <w:r>
        <w:rPr/>
        <w:t>术企业证书，</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的税率缴纳企业所得税。</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2"/>
        <w:jc w:val="left"/>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货币资金" w:id="214"/>
      <w:bookmarkEnd w:id="21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644,053.91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251,582.88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351,585,772.46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248,928,323.95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31,366,635.68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29,852,705.94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383,596,462.05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279,032,612.77</w:t>
            </w:r>
          </w:p>
        </w:tc>
      </w:tr>
    </w:tbl>
    <w:p>
      <w:pPr>
        <w:pStyle w:val="BodyText"/>
        <w:spacing w:line="240" w:lineRule="auto" w:before="51"/>
        <w:ind w:left="154" w:right="1132"/>
        <w:jc w:val="left"/>
      </w:pPr>
      <w:r>
        <w:rPr/>
        <w:t>其他说明</w:t>
      </w:r>
    </w:p>
    <w:p>
      <w:pPr>
        <w:pStyle w:val="BodyText"/>
        <w:spacing w:line="300" w:lineRule="auto" w:before="115"/>
        <w:ind w:right="1132" w:firstLine="290"/>
        <w:jc w:val="left"/>
      </w:pPr>
      <w:r>
        <w:rPr>
          <w:spacing w:val="-1"/>
        </w:rPr>
        <w:t>注：在其他货币资金中，年初受限货币资金为</w:t>
      </w:r>
      <w:r>
        <w:rPr>
          <w:rFonts w:ascii="Times New Roman" w:hAnsi="Times New Roman" w:cs="Times New Roman" w:eastAsia="Times New Roman" w:hint="default"/>
          <w:spacing w:val="-1"/>
        </w:rPr>
        <w:t>29,623,660.45</w:t>
      </w:r>
      <w:r>
        <w:rPr>
          <w:spacing w:val="-1"/>
        </w:rPr>
        <w:t>元，期末受限货币资金为</w:t>
      </w:r>
      <w:r>
        <w:rPr>
          <w:rFonts w:ascii="Times New Roman" w:hAnsi="Times New Roman" w:cs="Times New Roman" w:eastAsia="Times New Roman" w:hint="default"/>
          <w:spacing w:val="-1"/>
        </w:rPr>
        <w:t>31130451.13</w:t>
      </w:r>
      <w:r>
        <w:rPr>
          <w:spacing w:val="-1"/>
        </w:rPr>
        <w:t>元，详见本附注</w:t>
      </w:r>
      <w:r>
        <w:rPr>
          <w:rFonts w:ascii="Times New Roman" w:hAnsi="Times New Roman" w:cs="Times New Roman" w:eastAsia="Times New Roman" w:hint="default"/>
          <w:spacing w:val="-1"/>
        </w:rPr>
        <w:t>44</w:t>
      </w:r>
      <w:r>
        <w:rPr>
          <w:spacing w:val="-1"/>
        </w:rPr>
        <w:t>、所</w:t>
      </w:r>
      <w:r>
        <w:rPr>
          <w:spacing w:val="-3"/>
        </w:rPr>
        <w:t> </w:t>
      </w:r>
      <w:r>
        <w:rPr/>
        <w:t>有权或使用权受限制的资产。</w:t>
      </w:r>
    </w:p>
    <w:p>
      <w:pPr>
        <w:spacing w:line="240" w:lineRule="auto" w:before="6"/>
        <w:rPr>
          <w:rFonts w:ascii="宋体" w:hAnsi="宋体" w:cs="宋体" w:eastAsia="宋体" w:hint="default"/>
          <w:sz w:val="23"/>
          <w:szCs w:val="23"/>
        </w:rPr>
      </w:pPr>
    </w:p>
    <w:p>
      <w:pPr>
        <w:pStyle w:val="Heading3"/>
        <w:spacing w:line="240" w:lineRule="auto"/>
        <w:ind w:left="153" w:right="1132"/>
        <w:jc w:val="left"/>
        <w:rPr>
          <w:b w:val="0"/>
          <w:bCs w:val="0"/>
        </w:rPr>
      </w:pPr>
      <w:bookmarkStart w:name="2、应收票据" w:id="215"/>
      <w:bookmarkEnd w:id="215"/>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1,991,020.11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497,496.00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1,991,020.11</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期末公司已背书或贴现且在资产负债表日尚未到期的应收票据" w:id="217"/>
      <w:bookmarkEnd w:id="217"/>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27,073,781.15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27,073,781.15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3、应收账款" w:id="218"/>
      <w:bookmarkEnd w:id="21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应收账款分类披露" w:id="219"/>
      <w:bookmarkEnd w:id="21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193,416,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047.54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10,587,6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182,828,4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41.96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116,966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,509.51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6,406,718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110,559,79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1.32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193,416,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047.54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10,587,6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182,828,4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41.96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116,966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,509.51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6,406,718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110,559,79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185,262,208.51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9,263,110.44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185,262,208.51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9,263,110.44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5,886,462.07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588,646.20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1,326,131.82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265,226.36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941,245.14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470,622.58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622,664.44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311,332.22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142,659.23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71,329.62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175,921.47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87,960.74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193,416,047.54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10,587,605.58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4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1132"/>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t>本期计提坏账准备金额</w:t>
      </w:r>
      <w:r>
        <w:rPr>
          <w:spacing w:val="-47"/>
        </w:rPr>
        <w:t> </w:t>
      </w:r>
      <w:r>
        <w:rPr>
          <w:rFonts w:ascii="Times New Roman" w:hAnsi="Times New Roman" w:cs="Times New Roman" w:eastAsia="Times New Roman" w:hint="default"/>
        </w:rPr>
        <w:t>4,197,552.39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3）本期实际核销的应收账款情况" w:id="221"/>
      <w:bookmarkEnd w:id="22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4）按欠款方归集的期末余额前五名的应收账款情况" w:id="222"/>
      <w:bookmarkEnd w:id="22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67"/>
        <w:jc w:val="right"/>
      </w:pPr>
      <w:r>
        <w:rPr>
          <w:spacing w:val="-1"/>
        </w:rPr>
        <w:t>本公司本年按欠款方归集的年末余额前五名应收账款汇总金额为</w:t>
      </w:r>
      <w:r>
        <w:rPr>
          <w:rFonts w:ascii="Times New Roman" w:hAnsi="Times New Roman" w:cs="Times New Roman" w:eastAsia="Times New Roman" w:hint="default"/>
          <w:spacing w:val="-1"/>
        </w:rPr>
        <w:t>60,542,639.32</w:t>
      </w:r>
      <w:r>
        <w:rPr>
          <w:spacing w:val="-1"/>
        </w:rPr>
        <w:t>元，占应收账款年末余额合计数的比例为</w:t>
      </w:r>
    </w:p>
    <w:p>
      <w:pPr>
        <w:pStyle w:val="BodyText"/>
        <w:spacing w:line="240" w:lineRule="auto" w:before="63"/>
        <w:ind w:right="1132"/>
        <w:jc w:val="left"/>
      </w:pPr>
      <w:r>
        <w:rPr>
          <w:rFonts w:ascii="Times New Roman" w:hAnsi="Times New Roman" w:cs="Times New Roman" w:eastAsia="Times New Roman" w:hint="default"/>
        </w:rPr>
        <w:t>31.30%</w:t>
      </w:r>
      <w:r>
        <w:rPr/>
        <w:t>，相应计提的坏账准备年末余额汇总金额为</w:t>
      </w:r>
      <w:r>
        <w:rPr>
          <w:rFonts w:ascii="Times New Roman" w:hAnsi="Times New Roman" w:cs="Times New Roman" w:eastAsia="Times New Roman" w:hint="default"/>
        </w:rPr>
        <w:t>3,027,131.97</w:t>
      </w:r>
      <w:r>
        <w:rPr/>
        <w:t>元。</w:t>
      </w:r>
    </w:p>
    <w:p>
      <w:pPr>
        <w:spacing w:line="240" w:lineRule="auto" w:before="12"/>
        <w:rPr>
          <w:rFonts w:ascii="宋体" w:hAnsi="宋体" w:cs="宋体" w:eastAsia="宋体" w:hint="default"/>
          <w:sz w:val="25"/>
          <w:szCs w:val="25"/>
        </w:rPr>
      </w:pPr>
    </w:p>
    <w:p>
      <w:pPr>
        <w:pStyle w:val="Heading3"/>
        <w:spacing w:line="240" w:lineRule="auto"/>
        <w:ind w:left="153" w:right="1132"/>
        <w:jc w:val="left"/>
        <w:rPr>
          <w:b w:val="0"/>
          <w:bCs w:val="0"/>
        </w:rPr>
      </w:pPr>
      <w:bookmarkStart w:name="4、预付款项" w:id="223"/>
      <w:bookmarkEnd w:id="22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5,226,874.24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6,158,165.50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15,908.00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51,164.46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35,256.46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5,311,039.55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6,909,329.96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1132"/>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1132"/>
        <w:jc w:val="left"/>
      </w:pPr>
      <w:r>
        <w:rPr/>
        <w:t>本公司按预付对象归集的年末余额前五名预付账款汇总金额为</w:t>
      </w:r>
      <w:r>
        <w:rPr>
          <w:rFonts w:ascii="Times New Roman" w:hAnsi="Times New Roman" w:cs="Times New Roman" w:eastAsia="Times New Roman" w:hint="default"/>
        </w:rPr>
        <w:t>2,972,506.43</w:t>
      </w:r>
      <w:r>
        <w:rPr/>
        <w:t>元，占预付账款年末余额合计数的比例为</w:t>
      </w:r>
    </w:p>
    <w:p>
      <w:pPr>
        <w:pStyle w:val="BodyText"/>
        <w:spacing w:line="240" w:lineRule="auto" w:before="63"/>
        <w:ind w:left="154" w:right="1132"/>
        <w:jc w:val="left"/>
      </w:pPr>
      <w:r>
        <w:rPr>
          <w:rFonts w:ascii="Times New Roman" w:hAnsi="Times New Roman" w:cs="Times New Roman" w:eastAsia="Times New Roman" w:hint="default"/>
        </w:rPr>
        <w:t>55.97%</w:t>
      </w:r>
      <w:r>
        <w:rPr/>
        <w:t>。</w:t>
      </w:r>
    </w:p>
    <w:p>
      <w:pPr>
        <w:spacing w:line="240" w:lineRule="auto" w:before="11"/>
        <w:rPr>
          <w:rFonts w:ascii="宋体" w:hAnsi="宋体" w:cs="宋体" w:eastAsia="宋体" w:hint="default"/>
          <w:sz w:val="25"/>
          <w:szCs w:val="25"/>
        </w:rPr>
      </w:pPr>
    </w:p>
    <w:p>
      <w:pPr>
        <w:pStyle w:val="Heading3"/>
        <w:spacing w:line="240" w:lineRule="auto"/>
        <w:ind w:right="1132"/>
        <w:jc w:val="left"/>
        <w:rPr>
          <w:b w:val="0"/>
          <w:bCs w:val="0"/>
        </w:rPr>
      </w:pPr>
      <w:bookmarkStart w:name="5、其他应收款" w:id="226"/>
      <w:bookmarkEnd w:id="226"/>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其他应收款分类披露" w:id="227"/>
      <w:bookmarkEnd w:id="22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26,658,6</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24.27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2,643,36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24,015,26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16,519,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042.01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1,955,389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14,563,652.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26,658,6</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24.27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2,643,36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9.92%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24,015,26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16,519,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042.01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1,955,389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11.84%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14,563,652.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132"/>
        <w:jc w:val="left"/>
      </w:pPr>
      <w:r>
        <w:rPr/>
        <w:t>期末单项金额重大并单项计提坏账准备的其他应收款：</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20,176,158.56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1,008,807.93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20,176,158.56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1,008,807.93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3,156,471.47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315,647.15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1,146,973.57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229,394.72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2,179,020.67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1,089,510.34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1,009,599.17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504,799.59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430,219.00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215,109.50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739,202.50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369,601.25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26,658,624.27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2,643,360.14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51"/>
        <w:ind w:left="154" w:right="8772"/>
        <w:jc w:val="left"/>
      </w:pPr>
      <w:r>
        <w:rPr/>
        <w:t>确定该组合依据的说明： 无</w:t>
      </w:r>
    </w:p>
    <w:p>
      <w:pPr>
        <w:pStyle w:val="BodyText"/>
        <w:spacing w:line="240" w:lineRule="auto" w:before="29"/>
        <w:ind w:left="154" w:right="1132"/>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2"/>
        <w:jc w:val="left"/>
      </w:pPr>
      <w:r>
        <w:rPr/>
        <w:t>本期计提坏账准备金额</w:t>
      </w:r>
      <w:r>
        <w:rPr>
          <w:spacing w:val="-46"/>
        </w:rPr>
        <w:t> </w:t>
      </w:r>
      <w:r>
        <w:rPr>
          <w:rFonts w:ascii="Times New Roman" w:hAnsi="Times New Roman" w:cs="Times New Roman" w:eastAsia="Times New Roman" w:hint="default"/>
        </w:rPr>
        <w:t>682,346.08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3）其他应收款按款项性质分类情况" w:id="229"/>
      <w:bookmarkEnd w:id="22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13,029,593.75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9,519,605.47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3,272,241.52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3,033,990.22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10,356,789.00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3,965,446.32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26,658,624.27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16,519,042.01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4）按欠款方归集的期末余额前五名的其他应收款情况" w:id="230"/>
      <w:bookmarkEnd w:id="23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北京中彩世纪文化 传播有限公司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佛山市千一家具有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1,044,065.00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52,203.25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北京多维智汇信息 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上海市群众艺术馆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8,702,065.00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485,103.25</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6、存货" w:id="231"/>
      <w:bookmarkEnd w:id="231"/>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存货分类" w:id="232"/>
      <w:bookmarkEnd w:id="23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55,116,824.76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55,116,824.76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45,975,690.77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45,975,690.77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10,707,920.45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10,707,920.45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12,804,029.96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12,804,029.96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55,024,818.62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55,024,818.62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76,484,258.88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75,929,015.60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1,147,796.59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1,147,796.59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1,424,798.92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1,424,798.92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档案维护成本</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617,125.76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617,125.76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122,614,486.18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122,614,486.18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136,688,778.53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136,133,535.25</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存货跌价准备" w:id="233"/>
      <w:bookmarkEnd w:id="23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1132"/>
        <w:jc w:val="left"/>
      </w:pPr>
      <w:r>
        <w:rPr/>
        <w:t>因库存商品在报告期内售出，因此本年转回。</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7、一年内到期的非流动资产" w:id="234"/>
      <w:bookmarkEnd w:id="234"/>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193,875.77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193,875.77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8、其他流动资产" w:id="235"/>
      <w:bookmarkEnd w:id="235"/>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待抵及预缴税金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6,871,048.37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707,569.67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947,392.05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一年内未到期将摊销的长期待摊费用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1,062,921.76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457,641,539.80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470,947,392.05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9、长期股权投资" w:id="236"/>
      <w:bookmarkEnd w:id="236"/>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北京瑞宏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-1,228,95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-16,371,7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9,800,666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-1,228,95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-16,371,7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14.79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9,800,666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-1,228,95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-16,371,7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14.79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2"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after="0" w:line="357" w:lineRule="auto"/>
        <w:jc w:val="left"/>
        <w:sectPr>
          <w:footerReference w:type="default" r:id="rId16"/>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10、投资性房地产" w:id="237"/>
      <w:bookmarkEnd w:id="237"/>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采用成本计量模式的投资性房地产" w:id="238"/>
      <w:bookmarkEnd w:id="23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7,560,174.04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7,560,174.04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3,376,684.99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3,376,684.99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3,376,684.99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3,376,684.99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10,936,859.03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10,936,859.03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2,307,215.90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2,307,215.90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378,698.07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378,698.07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378,698.07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378,698.07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2,685,913.97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2,685,913.97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8,250,945.06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8,250,945.06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5,252,958.14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5,252,958.14</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11、固定资产" w:id="239"/>
      <w:bookmarkEnd w:id="239"/>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2"/>
        <w:jc w:val="left"/>
        <w:rPr>
          <w:b w:val="0"/>
          <w:bCs w:val="0"/>
        </w:rPr>
      </w:pPr>
      <w:bookmarkStart w:name="（1）固定资产情况" w:id="240"/>
      <w:bookmarkEnd w:id="24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418,080,251.22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634,846,116.08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25,729,401.67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57,970,923.24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1,136,626,692.21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5,149,318.19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22,513,077.02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1,717,763.67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26,424,037.86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55,804,196.74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361,820.74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22,513,077.02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1,584,263.67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22,882,456.78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47,341,618.21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4,787,497.45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194,779.86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5,115,777.31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3,346,801.22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3,346,801.22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5,828,501.99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971,906.29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2,756,653.49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2,408,352.23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11,965,414.00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2,451,817.00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937,718.23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2,756,653.49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2,408,352.23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8,554,540.95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3,376,684.99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34,188.06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3,410,873.05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417,401,067.42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656,387,286.81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24,690,511.85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81,986,608.87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1,180,465,474.95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87,269,077.21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350,860,046.59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19,727,973.45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35,897,128.09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493,754,225.34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15,371,733.14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43,993,289.09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1,521,314.18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6,434,861.71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67,321,198.12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15,371,733.14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43,993,289.09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1,521,314.18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6,143,937.68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67,030,274.09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290,924.03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290,924.03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1,249,595.87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975,644.64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2,436,731.77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345,559.30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5,007,531.58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1,249,595.87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974,619.00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2,436,731.77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345,559.30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5,006,505.94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101,391,214.48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393,877,691.04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18,812,555.86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41,986,430.50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556,067,891.88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51,225.06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51,225.06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316,009,852.94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262,466,495.61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5,877,955.99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39,992,053.47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624,346,358.01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330,811,174.01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283,942,969.33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6,001,428.22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22,065,670.25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642,821,241.81</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通过融资租赁租入的固定资产情况" w:id="241"/>
      <w:bookmarkEnd w:id="241"/>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10,836,555.10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1,706,757.39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9,129,797.71</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12、在建工程" w:id="242"/>
      <w:bookmarkEnd w:id="242"/>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在建工程情况" w:id="243"/>
      <w:bookmarkEnd w:id="24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安装监控设备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上海数据厂房基 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106,262,273.64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106,262,273.64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42,515,092.26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42,515,092.26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济南临港生产基 地（二期）基建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130,784.40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130,784.40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机房改造项目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2,930,428.68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2,930,428.68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废气净化设备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173,076.92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173,076.92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档案存储项目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106,422,058.04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106,422,058.04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45,790,382.26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45,790,382.26</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重要在建工程项目本期变动情况" w:id="244"/>
      <w:bookmarkEnd w:id="24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上海数 据厂房 基建工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110,540,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42,515,0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63,747,1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106,262,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273.64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110,540,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42,515,0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63,747,1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81.38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106,262,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273.64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13、无形资产" w:id="245"/>
      <w:bookmarkEnd w:id="245"/>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无形资产情况" w:id="246"/>
      <w:bookmarkEnd w:id="24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13,291,954.27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6,844,741.07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113,621,073.71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398,744.41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3,080,341.88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3,479,086.29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3,080,341.88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3,080,341.88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398,744.41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398,744.41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13,690,698.68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9,925,082.95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117,100,160.00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13,651,834.52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2,452,830.74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4,926,160.23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21,830,825.89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1,369,069.86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464,150.07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3,679,648.67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1,369,069.86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464,150.07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3,679,648.67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15,498,263.26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3,821,900.60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5,390,310.70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25,510,474.56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77,186,115.11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9,868,798.08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4,534,772.25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91,589,685.44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79,032,543.85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10,839,123.53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1,918,580.44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91,790,247.82</w:t>
            </w:r>
          </w:p>
        </w:tc>
      </w:tr>
    </w:tbl>
    <w:p>
      <w:pPr>
        <w:pStyle w:val="BodyText"/>
        <w:spacing w:line="240" w:lineRule="auto" w:before="51"/>
        <w:ind w:left="154" w:right="1132"/>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11.81%</w:t>
      </w:r>
      <w:r>
        <w:rPr/>
        <w:t>。</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14、开发支出" w:id="247"/>
      <w:bookmarkEnd w:id="247"/>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拟申请专利 技术的研发 支出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978,997.57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9,989,798.71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398,744.41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10,570,051.8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其他研发支 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64,384,689.5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64,384,689.5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978,997.57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74,374,488.2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398,744.41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64,384,689.5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10,570,051.8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357" w:lineRule="auto" w:before="51"/>
        <w:ind w:right="989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15、商誉" w:id="248"/>
      <w:bookmarkEnd w:id="248"/>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商誉账面原值" w:id="249"/>
      <w:bookmarkEnd w:id="24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1,239,938.65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1,239,938.65</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北京瑞宏科技有 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1,245,159.28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1,245,159.28</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1,239,938.65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1,245,159.28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2,485,097.93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16、长期待摊费用" w:id="250"/>
      <w:bookmarkEnd w:id="250"/>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198,466.08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85,770.24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91,155.36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96,540.48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477,555.05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490,566.03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441,430.84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380,856.89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145,833.35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静电切纸机维修服 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36,059.52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10,605.84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南开大学研发费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88,888.22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133,332.00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177,779.78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智能卡安防升级费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244,679.79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27,186.64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81,559.92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135,933.23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1,235,773.98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115,421.14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328,540.88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791,811.96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改造费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641,031.66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53,746.87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213,677.28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373,607.51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紫洪基工程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61,597.54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8,148.36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51,614.44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短信平台信息服务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1,875.00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投注机租金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21,194.00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590,489.57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3,306,115.08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834,886.53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1,256,797.53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1,804,920.59</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17、递延所得税资产/递延所得税负债" w:id="251"/>
      <w:bookmarkEnd w:id="251"/>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未经抵销的递延所得税资产" w:id="252"/>
      <w:bookmarkEnd w:id="25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13,282,190.79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2,064,642.61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8,968,575.60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1,371,920.80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2,010,846.69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304,943.25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28,435,584.57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4,282,627.53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27,399,591.28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4,122,732.81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43,728,622.05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6,652,213.39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36,368,166.88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5,494,653.61</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未确认递延所得税资产明细" w:id="253"/>
      <w:bookmarkEnd w:id="253"/>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3,414,417.81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3,414,417.81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3）未确认递延所得税资产的可抵扣亏损将于以下年度到期" w:id="254"/>
      <w:bookmarkEnd w:id="254"/>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3,414,417.81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3,414,417.81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3,414,417.81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3,414,417.81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18、应付票据" w:id="255"/>
      <w:bookmarkEnd w:id="255"/>
      <w:r>
        <w:rPr>
          <w:b w:val="0"/>
          <w:bCs w:val="0"/>
        </w:rPr>
      </w:r>
      <w:r>
        <w:rPr>
          <w:rFonts w:ascii="Times New Roman" w:hAnsi="Times New Roman" w:cs="Times New Roman" w:eastAsia="Times New Roman" w:hint="default"/>
        </w:rPr>
        <w:t>18</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140,646,132.41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116,859,667.04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140,646,132.41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116,859,667.04</w:t>
            </w:r>
          </w:p>
        </w:tc>
      </w:tr>
    </w:tbl>
    <w:p>
      <w:pPr>
        <w:pStyle w:val="BodyText"/>
        <w:spacing w:line="240" w:lineRule="auto" w:before="51"/>
        <w:ind w:left="154" w:right="113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132"/>
        <w:jc w:val="left"/>
        <w:rPr>
          <w:b w:val="0"/>
          <w:bCs w:val="0"/>
        </w:rPr>
      </w:pPr>
      <w:bookmarkStart w:name="19、应付账款" w:id="256"/>
      <w:bookmarkEnd w:id="256"/>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2"/>
        <w:jc w:val="left"/>
        <w:rPr>
          <w:b w:val="0"/>
          <w:bCs w:val="0"/>
        </w:rPr>
      </w:pPr>
      <w:bookmarkStart w:name="（1）应付账款列示" w:id="257"/>
      <w:bookmarkEnd w:id="25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158,875,817.76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150,788,621.93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158,875,817.76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150,788,621.93</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0、预收款项" w:id="258"/>
      <w:bookmarkEnd w:id="258"/>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预收款项列示" w:id="259"/>
      <w:bookmarkEnd w:id="25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111,999,630.22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70,067,086.86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111,999,630.22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70,067,086.86</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1、应付职工薪酬" w:id="260"/>
      <w:bookmarkEnd w:id="260"/>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2"/>
        <w:jc w:val="left"/>
        <w:rPr>
          <w:b w:val="0"/>
          <w:bCs w:val="0"/>
        </w:rPr>
      </w:pPr>
      <w:bookmarkStart w:name="（1）应付职工薪酬列示" w:id="261"/>
      <w:bookmarkEnd w:id="26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42,459,999.05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150,770,571.21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147,321,751.54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45,908,818.72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14,780,899.37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14,780,899.37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42,459,999.05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165,551,470.58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162,102,650.91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45,908,818.72</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短期薪酬列示" w:id="262"/>
      <w:bookmarkEnd w:id="26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30,555,414.47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124,410,040.96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123,591,683.96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31,373,771.47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9,021,878.06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9,021,878.06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8,330,268.18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8,329,642.98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6,842,084.55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6,842,084.55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800,889.80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800,264.60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687,293.83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687,293.83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5,560,811.77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5,560,811.77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11,904,584.58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3,447,572.24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817,734.77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14,534,422.05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42,459,999.05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150,770,571.21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147,321,751.54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45,908,818.72</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3）设定提存计划列示" w:id="263"/>
      <w:bookmarkEnd w:id="26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14,023,092.30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14,023,092.30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757,807.07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757,807.07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14,780,899.37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14,780,899.37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2、应交税费" w:id="264"/>
      <w:bookmarkEnd w:id="264"/>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15,903,084.25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9,888,920.67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48,764.29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13,284,885.26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7,210,853.59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93,123.18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1,063,531.64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756,514.72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557,337.91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451,346.40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477,175.91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365,377.37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318,117.29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243,584.92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114,511.31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80,767.14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583,881.10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567,129.40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18,904.06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22,747.37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32,442,360.68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19,729,129.05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3、其他应付款" w:id="265"/>
      <w:bookmarkEnd w:id="265"/>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按款项性质列示其他应付款" w:id="266"/>
      <w:bookmarkEnd w:id="26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7,664,719.03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5,600,547.82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21,652,941.53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25,515,554.48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5,229,875.00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29,317,660.56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36,345,977.30</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账龄超过1年的重要其他应付款"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964,138.30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478,960.38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454,348.14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2,677,446.82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24、一年内到期的非流动负债" w:id="268"/>
      <w:bookmarkEnd w:id="268"/>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3,225,333.46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3,225,333.46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5、长期应付款" w:id="269"/>
      <w:bookmarkEnd w:id="269"/>
      <w:r>
        <w:rPr>
          <w:b w:val="0"/>
          <w:bCs w:val="0"/>
        </w:rPr>
      </w:r>
      <w:r>
        <w:rPr>
          <w:rFonts w:ascii="Times New Roman" w:hAnsi="Times New Roman" w:cs="Times New Roman" w:eastAsia="Times New Roman" w:hint="default"/>
        </w:rPr>
        <w:t>25</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按款项性质列示长期应付款" w:id="270"/>
      <w:bookmarkEnd w:id="27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8,117,662.99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10,629,193.85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3,225,333.46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4,892,329.53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10,629,193.85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6、递延收益" w:id="271"/>
      <w:bookmarkEnd w:id="271"/>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660,979.98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11,288,620.02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660,979.98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11,288,620.02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2"/>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山东省自主创新 及成果转化专项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60,979.98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1,158,620.02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上海市闵行区财 政局重点技改项 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北京市科技计划 课题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11,949,600.00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660,979.98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11,288,620.02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2"/>
        <w:jc w:val="left"/>
        <w:rPr>
          <w:b w:val="0"/>
          <w:bCs w:val="0"/>
        </w:rPr>
      </w:pPr>
      <w:bookmarkStart w:name="27、股本" w:id="272"/>
      <w:bookmarkEnd w:id="272"/>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363,806,414.00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-28,800.00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-28,800.00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363,777,614.00</w:t>
            </w:r>
          </w:p>
        </w:tc>
      </w:tr>
    </w:tbl>
    <w:p>
      <w:pPr>
        <w:pStyle w:val="BodyText"/>
        <w:spacing w:line="240" w:lineRule="auto" w:before="51"/>
        <w:ind w:left="154" w:right="1132"/>
        <w:jc w:val="left"/>
      </w:pPr>
      <w:r>
        <w:rPr/>
        <w:t>其他说明：</w:t>
      </w:r>
    </w:p>
    <w:p>
      <w:pPr>
        <w:pStyle w:val="BodyText"/>
        <w:spacing w:line="300" w:lineRule="auto" w:before="115"/>
        <w:ind w:left="154" w:right="1132" w:firstLine="290"/>
        <w:jc w:val="left"/>
      </w:pPr>
      <w:r>
        <w:rPr>
          <w:spacing w:val="-1"/>
        </w:rPr>
        <w:t>根据本公司第五届董事会第三次会议决议和</w:t>
      </w:r>
      <w:r>
        <w:rPr>
          <w:rFonts w:ascii="Times New Roman" w:hAnsi="Times New Roman" w:cs="Times New Roman" w:eastAsia="Times New Roman" w:hint="default"/>
          <w:spacing w:val="-1"/>
        </w:rPr>
        <w:t>2015</w:t>
      </w:r>
      <w:r>
        <w:rPr>
          <w:spacing w:val="-1"/>
        </w:rPr>
        <w:t>年第二次临时股东大会决议，本公司回购两名激励对象持有的已获授权</w:t>
      </w:r>
      <w:r>
        <w:rPr/>
        <w:t> 但尚未解锁的</w:t>
      </w:r>
      <w:r>
        <w:rPr>
          <w:rFonts w:ascii="Times New Roman" w:hAnsi="Times New Roman" w:cs="Times New Roman" w:eastAsia="Times New Roman" w:hint="default"/>
        </w:rPr>
        <w:t>28,800</w:t>
      </w:r>
      <w:r>
        <w:rPr/>
        <w:t>股限制性股票。本次回购完成后，本公司总股本变更为</w:t>
      </w:r>
      <w:r>
        <w:rPr>
          <w:rFonts w:ascii="Times New Roman" w:hAnsi="Times New Roman" w:cs="Times New Roman" w:eastAsia="Times New Roman" w:hint="default"/>
        </w:rPr>
        <w:t>363,777,614.00</w:t>
      </w:r>
      <w:r>
        <w:rPr/>
        <w:t>元</w:t>
      </w:r>
    </w:p>
    <w:p>
      <w:pPr>
        <w:spacing w:line="240" w:lineRule="auto" w:before="1"/>
        <w:rPr>
          <w:rFonts w:ascii="宋体" w:hAnsi="宋体" w:cs="宋体" w:eastAsia="宋体" w:hint="default"/>
          <w:sz w:val="22"/>
          <w:szCs w:val="22"/>
        </w:rPr>
      </w:pPr>
    </w:p>
    <w:p>
      <w:pPr>
        <w:pStyle w:val="Heading3"/>
        <w:spacing w:line="240" w:lineRule="auto"/>
        <w:ind w:right="1132"/>
        <w:jc w:val="left"/>
        <w:rPr>
          <w:b w:val="0"/>
          <w:bCs w:val="0"/>
        </w:rPr>
      </w:pPr>
      <w:bookmarkStart w:name="28、资本公积" w:id="273"/>
      <w:bookmarkEnd w:id="273"/>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359,164,731.08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359,096,231.08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16,352,405.62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3,732,421.88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20,084,827.50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375,517,136.70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3,732,421.88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379,181,058.58</w:t>
            </w:r>
          </w:p>
        </w:tc>
      </w:tr>
    </w:tbl>
    <w:p>
      <w:pPr>
        <w:pStyle w:val="BodyText"/>
        <w:spacing w:line="240" w:lineRule="auto" w:before="51"/>
        <w:ind w:left="154" w:right="1132"/>
        <w:jc w:val="left"/>
      </w:pPr>
      <w:r>
        <w:rPr/>
        <w:t>其他说明，包括本期增减变动情况、变动原因说明：</w:t>
      </w:r>
    </w:p>
    <w:p>
      <w:pPr>
        <w:pStyle w:val="BodyText"/>
        <w:spacing w:line="240" w:lineRule="auto" w:before="116"/>
        <w:ind w:left="514" w:right="1132"/>
        <w:jc w:val="left"/>
      </w:pPr>
      <w:r>
        <w:rPr/>
        <w:t>（</w:t>
      </w:r>
      <w:r>
        <w:rPr>
          <w:rFonts w:ascii="Times New Roman" w:hAnsi="Times New Roman" w:cs="Times New Roman" w:eastAsia="Times New Roman" w:hint="default"/>
        </w:rPr>
        <w:t>1</w:t>
      </w:r>
      <w:r>
        <w:rPr/>
        <w:t>）资本溢价本年减少为退回职工股票</w:t>
      </w:r>
      <w:r>
        <w:rPr>
          <w:rFonts w:ascii="Times New Roman" w:hAnsi="Times New Roman" w:cs="Times New Roman" w:eastAsia="Times New Roman" w:hint="default"/>
        </w:rPr>
        <w:t>68,500.00</w:t>
      </w:r>
      <w:r>
        <w:rPr/>
        <w:t>元。</w:t>
      </w:r>
    </w:p>
    <w:p>
      <w:pPr>
        <w:pStyle w:val="BodyText"/>
        <w:spacing w:line="240" w:lineRule="auto" w:before="63"/>
        <w:ind w:left="514" w:right="1132"/>
        <w:jc w:val="left"/>
      </w:pPr>
      <w:r>
        <w:rPr/>
        <w:t>（</w:t>
      </w:r>
      <w:r>
        <w:rPr>
          <w:rFonts w:ascii="Times New Roman" w:hAnsi="Times New Roman" w:cs="Times New Roman" w:eastAsia="Times New Roman" w:hint="default"/>
        </w:rPr>
        <w:t>2</w:t>
      </w:r>
      <w:r>
        <w:rPr/>
        <w:t>）其他资本公积增加为本年计提的股权激励费。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32"/>
        <w:jc w:val="left"/>
        <w:rPr>
          <w:b w:val="0"/>
          <w:bCs w:val="0"/>
        </w:rPr>
      </w:pPr>
      <w:bookmarkStart w:name="29、库存股" w:id="274"/>
      <w:bookmarkEnd w:id="274"/>
      <w:r>
        <w:rPr>
          <w:b w:val="0"/>
          <w:bCs w:val="0"/>
        </w:rPr>
      </w:r>
      <w:r>
        <w:rPr>
          <w:rFonts w:ascii="Times New Roman" w:hAnsi="Times New Roman" w:cs="Times New Roman" w:eastAsia="Times New Roman" w:hint="default"/>
        </w:rPr>
        <w:t>29</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因职工未达到限制性股 票解锁条件而回购的股 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因本年度解禁限制性股 票而减少的库存股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5,132,575.00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5,132,575.00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5,229,875.00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5,229,875.00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2"/>
        <w:jc w:val="left"/>
      </w:pPr>
      <w:r>
        <w:rPr/>
        <w:t>其他说明，包括本期增减变动情况、变动原因说明：</w:t>
      </w:r>
    </w:p>
    <w:p>
      <w:pPr>
        <w:pStyle w:val="BodyText"/>
        <w:spacing w:line="300" w:lineRule="auto" w:before="115"/>
        <w:ind w:left="154" w:right="1132" w:firstLine="290"/>
        <w:jc w:val="both"/>
      </w:pPr>
      <w:r>
        <w:rPr>
          <w:spacing w:val="-2"/>
        </w:rPr>
        <w:t>（</w:t>
      </w:r>
      <w:r>
        <w:rPr>
          <w:rFonts w:ascii="Times New Roman" w:hAnsi="Times New Roman" w:cs="Times New Roman" w:eastAsia="Times New Roman" w:hint="default"/>
          <w:spacing w:val="-2"/>
        </w:rPr>
        <w:t>1</w:t>
      </w:r>
      <w:r>
        <w:rPr>
          <w:spacing w:val="-2"/>
        </w:rPr>
        <w:t>）因本公司员工李德才、王风洋离职，本公司回购其持有的已获授权但尚未解锁的</w:t>
      </w:r>
      <w:r>
        <w:rPr>
          <w:rFonts w:ascii="Times New Roman" w:hAnsi="Times New Roman" w:cs="Times New Roman" w:eastAsia="Times New Roman" w:hint="default"/>
          <w:spacing w:val="-2"/>
        </w:rPr>
        <w:t>28,800</w:t>
      </w:r>
      <w:r>
        <w:rPr>
          <w:spacing w:val="-2"/>
        </w:rPr>
        <w:t>股限制性股票，本年度解禁</w:t>
      </w:r>
      <w:r>
        <w:rPr/>
        <w:t> 限制性股票</w:t>
      </w:r>
      <w:r>
        <w:rPr>
          <w:rFonts w:ascii="Times New Roman" w:hAnsi="Times New Roman" w:cs="Times New Roman" w:eastAsia="Times New Roman" w:hint="default"/>
        </w:rPr>
        <w:t>1,519,200</w:t>
      </w:r>
      <w:r>
        <w:rPr/>
        <w:t>股，本年度合计减少</w:t>
      </w:r>
      <w:r>
        <w:rPr>
          <w:rFonts w:ascii="Times New Roman" w:hAnsi="Times New Roman" w:cs="Times New Roman" w:eastAsia="Times New Roman" w:hint="default"/>
        </w:rPr>
        <w:t>1,548,000.00</w:t>
      </w:r>
      <w:r>
        <w:rPr/>
        <w:t>股，该部分股数对应的初始发行股数为</w:t>
      </w:r>
      <w:r>
        <w:rPr>
          <w:rFonts w:ascii="Times New Roman" w:hAnsi="Times New Roman" w:cs="Times New Roman" w:eastAsia="Times New Roman" w:hint="default"/>
        </w:rPr>
        <w:t>537,500</w:t>
      </w:r>
      <w:r>
        <w:rPr/>
        <w:t>股，按约定的回购价格 </w:t>
      </w:r>
      <w:r>
        <w:rPr>
          <w:rFonts w:ascii="Times New Roman" w:hAnsi="Times New Roman" w:cs="Times New Roman" w:eastAsia="Times New Roman" w:hint="default"/>
        </w:rPr>
        <w:t>9.73</w:t>
      </w:r>
      <w:r>
        <w:rPr/>
        <w:t>元每股确认的年初库存股金额为</w:t>
      </w:r>
      <w:r>
        <w:rPr>
          <w:rFonts w:ascii="Times New Roman" w:hAnsi="Times New Roman" w:cs="Times New Roman" w:eastAsia="Times New Roman" w:hint="default"/>
        </w:rPr>
        <w:t>5,229,875.00</w:t>
      </w:r>
      <w:r>
        <w:rPr/>
        <w:t>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1132"/>
        <w:jc w:val="left"/>
      </w:pPr>
      <w:r>
        <w:rPr/>
        <w:t>（</w:t>
      </w:r>
      <w:r>
        <w:rPr>
          <w:rFonts w:ascii="Times New Roman" w:hAnsi="Times New Roman" w:cs="Times New Roman" w:eastAsia="Times New Roman" w:hint="default"/>
        </w:rPr>
        <w:t>2</w:t>
      </w:r>
      <w:r>
        <w:rPr/>
        <w:t>）因库存股注销而减少的股本</w:t>
      </w:r>
      <w:r>
        <w:rPr>
          <w:rFonts w:ascii="Times New Roman" w:hAnsi="Times New Roman" w:cs="Times New Roman" w:eastAsia="Times New Roman" w:hint="default"/>
        </w:rPr>
        <w:t>28,800.00</w:t>
      </w:r>
      <w:r>
        <w:rPr/>
        <w:t>元。</w:t>
      </w:r>
    </w:p>
    <w:p>
      <w:pPr>
        <w:spacing w:line="240" w:lineRule="auto" w:before="11"/>
        <w:rPr>
          <w:rFonts w:ascii="宋体" w:hAnsi="宋体" w:cs="宋体" w:eastAsia="宋体" w:hint="default"/>
          <w:sz w:val="25"/>
          <w:szCs w:val="25"/>
        </w:rPr>
      </w:pPr>
    </w:p>
    <w:p>
      <w:pPr>
        <w:pStyle w:val="Heading3"/>
        <w:spacing w:line="240" w:lineRule="auto"/>
        <w:ind w:right="1132"/>
        <w:jc w:val="left"/>
        <w:rPr>
          <w:b w:val="0"/>
          <w:bCs w:val="0"/>
        </w:rPr>
      </w:pPr>
      <w:bookmarkStart w:name="30、盈余公积" w:id="275"/>
      <w:bookmarkEnd w:id="275"/>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84,221,506.43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18,750,249.22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102,971,755.65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42,110,753.20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9,375,124.61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51,485,877.81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126,332,259.63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28,125,373.83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154,457,633.46</w:t>
            </w:r>
          </w:p>
        </w:tc>
      </w:tr>
    </w:tbl>
    <w:p>
      <w:pPr>
        <w:pStyle w:val="BodyText"/>
        <w:spacing w:line="357" w:lineRule="auto" w:before="51"/>
        <w:ind w:left="514" w:right="0" w:hanging="360"/>
        <w:jc w:val="left"/>
      </w:pPr>
      <w:r>
        <w:rPr/>
        <w:t>盈余公积说明，包括本期增减变动情况、变动原因说明： </w:t>
      </w:r>
      <w:r>
        <w:rPr>
          <w:spacing w:val="-1"/>
        </w:rPr>
        <w:t>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w:t>
      </w:r>
    </w:p>
    <w:p>
      <w:pPr>
        <w:pStyle w:val="BodyText"/>
        <w:spacing w:line="201" w:lineRule="exact"/>
        <w:ind w:left="154" w:right="1132"/>
        <w:jc w:val="left"/>
      </w:pPr>
      <w:r>
        <w:rPr/>
        <w:t>上的，可不再提取。</w:t>
      </w:r>
    </w:p>
    <w:p>
      <w:pPr>
        <w:pStyle w:val="BodyText"/>
        <w:spacing w:line="316" w:lineRule="auto" w:before="76"/>
        <w:ind w:left="154" w:right="1132" w:firstLine="290"/>
        <w:jc w:val="left"/>
      </w:pPr>
      <w:r>
        <w:rPr>
          <w:spacing w:val="-1"/>
        </w:rPr>
        <w:t>本公司在提取法定盈余公积金后，可提取任意盈余公积金。经批准，任意盈余公积金可用于弥补以前年度亏损或增加股</w:t>
      </w:r>
      <w:r>
        <w:rPr/>
        <w:t> 本。</w:t>
      </w:r>
    </w:p>
    <w:p>
      <w:pPr>
        <w:spacing w:line="240" w:lineRule="auto" w:before="7"/>
        <w:rPr>
          <w:rFonts w:ascii="宋体" w:hAnsi="宋体" w:cs="宋体" w:eastAsia="宋体" w:hint="default"/>
          <w:sz w:val="22"/>
          <w:szCs w:val="22"/>
        </w:rPr>
      </w:pPr>
    </w:p>
    <w:p>
      <w:pPr>
        <w:pStyle w:val="Heading3"/>
        <w:spacing w:line="240" w:lineRule="auto"/>
        <w:ind w:right="1132"/>
        <w:jc w:val="left"/>
        <w:rPr>
          <w:b w:val="0"/>
          <w:bCs w:val="0"/>
        </w:rPr>
      </w:pPr>
      <w:bookmarkStart w:name="31、未分配利润" w:id="276"/>
      <w:bookmarkEnd w:id="276"/>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436,791,808.40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350,397,601.62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436,791,808.40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350,397,601.62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216,223,017.20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168,826,144.61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18,750,249.22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14,517,290.29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9,375,124.61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7,258,645.14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109,141,919.37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60,656,002.40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515,747,532.40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436,791,808.40</w:t>
            </w:r>
          </w:p>
        </w:tc>
      </w:tr>
    </w:tbl>
    <w:p>
      <w:pPr>
        <w:pStyle w:val="BodyText"/>
        <w:spacing w:line="240" w:lineRule="auto" w:before="51"/>
        <w:ind w:left="154" w:right="1132"/>
        <w:jc w:val="left"/>
      </w:pPr>
      <w:r>
        <w:rPr/>
        <w:t>调整期初未分配利润明细：</w:t>
      </w:r>
    </w:p>
    <w:p>
      <w:pPr>
        <w:pStyle w:val="BodyText"/>
        <w:spacing w:line="240" w:lineRule="auto" w:before="117"/>
        <w:ind w:left="154" w:right="113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3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3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32"/>
        <w:jc w:val="left"/>
        <w:rPr>
          <w:b w:val="0"/>
          <w:bCs w:val="0"/>
        </w:rPr>
      </w:pPr>
      <w:bookmarkStart w:name="32、营业收入和营业成本" w:id="277"/>
      <w:bookmarkEnd w:id="277"/>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1,248,540,793.71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751,661,059.79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1,104,774,074.64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657,178,257.37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7,707,337.86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3,071,140.86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6,104,758.38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1,616,333.25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1,256,248,131.57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754,732,200.65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1,110,878,833.02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658,794,590.62</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33、营业税金及附加" w:id="278"/>
      <w:bookmarkEnd w:id="278"/>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350,248.01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408,393.36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7,252,564.43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5,930,955.67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3,147,135.65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2,568,176.67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2,098,090.45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1,712,117.80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12,859,606.54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10,758,459.50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4、销售费用" w:id="279"/>
      <w:bookmarkEnd w:id="279"/>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27,427,154.13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30,810,707.16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7,361,792.19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6,863,419.67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18,676,598.61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14,407,699.41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16,009,770.42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18,898,317.47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11,184,383.42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7,256,960.93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362,369.58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908,811.37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660,394.35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684,882.01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电话邮政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459,223.69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1,465,159.50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1,954,156.63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1,494,040.90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4,996,520.09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5,262,732.44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89,092,363.11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88,052,730.86</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2"/>
        <w:jc w:val="left"/>
        <w:rPr>
          <w:b w:val="0"/>
          <w:bCs w:val="0"/>
        </w:rPr>
      </w:pPr>
      <w:bookmarkStart w:name="35、管理费用" w:id="280"/>
      <w:bookmarkEnd w:id="280"/>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66,078,811.80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60,422,531.45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27,515,118.56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24,910,619.69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9,672,798.72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10,887,802.61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9,470,702.17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9,924,369.70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10,837,037.89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9,649,468.16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8,411,184.76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7,866,934.20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2,307,315.26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7,458,575.73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8,873,788.28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7,182,464.16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3,515,941.41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4,235,445.70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5,361,136.70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3,557,699.88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3,520,313.07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2,847,944.17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557,360.72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870,916.23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5,891,172.23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4,751,036.66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162,012,681.57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154,565,808.34</w:t>
            </w:r>
          </w:p>
        </w:tc>
      </w:tr>
    </w:tbl>
    <w:p>
      <w:pPr>
        <w:pStyle w:val="BodyText"/>
        <w:spacing w:line="240" w:lineRule="auto" w:before="51"/>
        <w:ind w:left="154" w:right="113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1132"/>
        <w:jc w:val="left"/>
        <w:rPr>
          <w:b w:val="0"/>
          <w:bCs w:val="0"/>
        </w:rPr>
      </w:pPr>
      <w:bookmarkStart w:name="36、财务费用" w:id="281"/>
      <w:bookmarkEnd w:id="281"/>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523,390.21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2,027,998.86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2,991,021.92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806,335.09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-1,022,060.54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-2,184,396.92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7、资产减值损失" w:id="282"/>
      <w:bookmarkEnd w:id="282"/>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4,879,898.47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1,369,871.38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-555,243.28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555,243.28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4,324,655.19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1,925,114.66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8、投资收益" w:id="283"/>
      <w:bookmarkEnd w:id="283"/>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-1,228,951.63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-399,333.58</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26,488,273.93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10,143,634.50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25,259,322.30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9,744,300.92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9、营业外收入" w:id="284"/>
      <w:bookmarkEnd w:id="284"/>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4,908,226.78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300,261.85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4,908,226.78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4,908,226.78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300,261.85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4,908,226.78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9,298,430.98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8,076,507.00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9,298,430.98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134,069.85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239,556.98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134,069.85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487,246.55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957,660.43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487,246.55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14,827,974.16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9,573,986.26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14,827,974.16</w:t>
            </w:r>
          </w:p>
        </w:tc>
      </w:tr>
    </w:tbl>
    <w:p>
      <w:pPr>
        <w:pStyle w:val="BodyText"/>
        <w:spacing w:line="240" w:lineRule="auto" w:before="51"/>
        <w:ind w:left="154" w:right="1132"/>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778"/>
        <w:gridCol w:w="709"/>
        <w:gridCol w:w="1984"/>
        <w:gridCol w:w="994"/>
        <w:gridCol w:w="851"/>
        <w:gridCol w:w="1064"/>
        <w:gridCol w:w="1062"/>
        <w:gridCol w:w="1063"/>
      </w:tblGrid>
      <w:tr>
        <w:trPr>
          <w:trHeight w:val="63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59" w:right="78"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9"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4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7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补助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因从事国家鼓励和扶持</w:t>
            </w:r>
          </w:p>
          <w:p>
            <w:pPr>
              <w:pStyle w:val="TableParagraph"/>
              <w:spacing w:line="237" w:lineRule="auto" w:before="1"/>
              <w:ind w:left="22" w:right="21"/>
              <w:jc w:val="both"/>
              <w:rPr>
                <w:rFonts w:ascii="宋体" w:hAnsi="宋体" w:cs="宋体" w:eastAsia="宋体" w:hint="default"/>
                <w:sz w:val="18"/>
                <w:szCs w:val="18"/>
              </w:rPr>
            </w:pPr>
            <w:r>
              <w:rPr>
                <w:rFonts w:ascii="宋体" w:hAnsi="宋体" w:cs="宋体" w:eastAsia="宋体" w:hint="default"/>
                <w:spacing w:val="-5"/>
                <w:sz w:val="18"/>
                <w:szCs w:val="18"/>
              </w:rPr>
              <w:t>特定行业、产业而获得的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补助（按国家级政策规定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依法取得）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7,782,451.00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8,040,107.00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7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补助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因从事国家鼓励和扶持</w:t>
            </w:r>
          </w:p>
          <w:p>
            <w:pPr>
              <w:pStyle w:val="TableParagraph"/>
              <w:spacing w:line="237" w:lineRule="auto"/>
              <w:ind w:left="22" w:right="21"/>
              <w:jc w:val="both"/>
              <w:rPr>
                <w:rFonts w:ascii="宋体" w:hAnsi="宋体" w:cs="宋体" w:eastAsia="宋体" w:hint="default"/>
                <w:sz w:val="18"/>
                <w:szCs w:val="18"/>
              </w:rPr>
            </w:pPr>
            <w:r>
              <w:rPr>
                <w:rFonts w:ascii="宋体" w:hAnsi="宋体" w:cs="宋体" w:eastAsia="宋体" w:hint="default"/>
                <w:spacing w:val="-5"/>
                <w:sz w:val="18"/>
                <w:szCs w:val="18"/>
              </w:rPr>
              <w:t>特定行业、产业而获得的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补助（按国家级政策规定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依法取得）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660,979.98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77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14"/>
              <w:jc w:val="right"/>
              <w:rPr>
                <w:rFonts w:ascii="宋体" w:hAnsi="宋体" w:cs="宋体" w:eastAsia="宋体" w:hint="default"/>
                <w:sz w:val="18"/>
                <w:szCs w:val="18"/>
              </w:rPr>
            </w:pPr>
            <w:r>
              <w:rPr>
                <w:rFonts w:ascii="宋体" w:hAnsi="宋体" w:cs="宋体" w:eastAsia="宋体" w:hint="default"/>
                <w:sz w:val="18"/>
                <w:szCs w:val="18"/>
              </w:rPr>
              <w:t>奖励</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因从事国家鼓励和扶持</w:t>
            </w:r>
          </w:p>
          <w:p>
            <w:pPr>
              <w:pStyle w:val="TableParagraph"/>
              <w:spacing w:line="237" w:lineRule="auto" w:before="1"/>
              <w:ind w:left="22" w:right="21"/>
              <w:jc w:val="both"/>
              <w:rPr>
                <w:rFonts w:ascii="宋体" w:hAnsi="宋体" w:cs="宋体" w:eastAsia="宋体" w:hint="default"/>
                <w:sz w:val="18"/>
                <w:szCs w:val="18"/>
              </w:rPr>
            </w:pPr>
            <w:r>
              <w:rPr>
                <w:rFonts w:ascii="宋体" w:hAnsi="宋体" w:cs="宋体" w:eastAsia="宋体" w:hint="default"/>
                <w:spacing w:val="-5"/>
                <w:sz w:val="18"/>
                <w:szCs w:val="18"/>
              </w:rPr>
              <w:t>特定行业、产业而获得的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补助（按国家级政策规定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依法取得）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855,000.00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36,400.00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88"/>
              <w:jc w:val="right"/>
              <w:rPr>
                <w:rFonts w:ascii="Times New Roman" w:hAnsi="Times New Roman" w:cs="Times New Roman" w:eastAsia="Times New Roman" w:hint="default"/>
                <w:sz w:val="18"/>
                <w:szCs w:val="18"/>
              </w:rPr>
            </w:pPr>
            <w:r>
              <w:rPr>
                <w:rFonts w:ascii="Times New Roman"/>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9,298,430.98</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8,076,507.00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40、营业外支出" w:id="285"/>
      <w:bookmarkEnd w:id="285"/>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594,428.98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140,981.57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594,428.98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594,428.98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140,981.57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594,428.98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132,386.15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11,566.36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2,361,995.34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273,367.72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2,361,995.34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41、所得税费用" w:id="286"/>
      <w:bookmarkEnd w:id="286"/>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所得税费用表" w:id="287"/>
      <w:bookmarkEnd w:id="28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40,921,394.52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35,421,067.84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-1,157,559.78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-3,356,167.15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39,763,834.74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32,064,900.69</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会计利润与所得税费用调整过程" w:id="288"/>
      <w:bookmarkEnd w:id="28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271,973,986.17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40,796,097.93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-1,319,160.82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-73,074.30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3,394,878.45</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2,800,366.91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-4,750,417.75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-107,925.64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其他纳税调减项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-976,930.05</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39,763,834.74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42、现金流量表项目" w:id="289"/>
      <w:bookmarkEnd w:id="289"/>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收到的其他与经营活动有关的现金" w:id="290"/>
      <w:bookmarkEnd w:id="29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120,685,433.54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62,061,287.48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94,577,405.73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15,225,143.48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24,915,825.53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20,411,590.01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收代理商充值款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24,426,913.08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8,630,151.00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8,066,107.00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代收彩票销售奖金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2,492,345.40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2,042,234.34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2,991,021.92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2,942,527.49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6,319,894.30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280,712,836.11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115,075,044.19</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支付的其他与经营活动有关的现金" w:id="291"/>
      <w:bookmarkEnd w:id="29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33,833,012.69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27,451,705.74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32,417,869.55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23,943,124.90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19,934,786.46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18,713,228.21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18,661,236.28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差旅费及交通费等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16,501,257.54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10,113,234.87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16,177,498.83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15,681,195.79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支付彩民奖金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8,637,886.95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29,513,636.50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24,084,209.77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3,104,422.62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556,237.00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1,652,407.14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7,372,734.28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1,480,513.72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1,875,658.79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1,035,141.00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2,016,890.00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3.549988pt;width:151.25pt;height:20.8pt;mso-position-horizontal-relative:page;mso-position-vertical-relative:page;z-index:-776320" coordorigin="4467,13871" coordsize="3025,416">
            <v:group style="position:absolute;left:4478;top:13882;width:2;height:393" coordorigin="4478,13882" coordsize="2,393">
              <v:shape style="position:absolute;left:4478;top:13882;width:2;height:393" coordorigin="4478,13882" coordsize="0,393" path="m4478,13882l4478,14275e" filled="false" stroked="true" strokeweight="1.140pt" strokecolor="#ffffff">
                <v:path arrowok="t"/>
              </v:shape>
            </v:group>
            <v:group style="position:absolute;left:4490;top:13882;width:3002;height:393" coordorigin="4490,13882" coordsize="3002,393">
              <v:shape style="position:absolute;left:4490;top:13882;width:3002;height:393" coordorigin="4490,13882" coordsize="3002,393" path="m4490,14275l7491,14275,7491,13882,4490,13882,4490,1427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852,593.63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939,142.80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600,504.46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228,314.63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5,351,202.25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8,794,975.26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189,753,969.62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141,770,652.04</w:t>
            </w:r>
          </w:p>
        </w:tc>
      </w:tr>
    </w:tbl>
    <w:p>
      <w:pPr>
        <w:pStyle w:val="BodyText"/>
        <w:spacing w:line="357" w:lineRule="auto" w:before="51"/>
        <w:ind w:left="154"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支付的其他与筹资活动有关的现金" w:id="292"/>
      <w:bookmarkEnd w:id="292"/>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437,850.00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437,850.00</w:t>
            </w:r>
          </w:p>
        </w:tc>
      </w:tr>
    </w:tbl>
    <w:p>
      <w:pPr>
        <w:pStyle w:val="BodyText"/>
        <w:spacing w:line="357" w:lineRule="auto" w:before="51"/>
        <w:ind w:left="154"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43、现金流量表补充资料" w:id="293"/>
      <w:bookmarkEnd w:id="293"/>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现金流量表补充资料" w:id="294"/>
      <w:bookmarkEnd w:id="2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232,210,151.43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185,946,544.73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4,324,655.19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1,925,114.66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59,859,013.94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67,735,930.25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3,717,342.95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3,421,802.71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834,886.53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200,258.02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-4,525,040.23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-159,280.28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211,242.43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574,256.78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471,401.47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-25,259,322.30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-9,763,862.56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-1,157,559.78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-3,356,167.15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13,519,049.07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7,092,768.45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-108,495,637.87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-45,636,831.79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117,552,692.99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95,506,906.46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3,515,941.41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4,235,445.70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296,881,672.54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307,620,030.67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352,466,010.92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103,057,058.60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-224,411,219.78</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本期支付的取得子公司的现金净额" w:id="295"/>
      <w:bookmarkEnd w:id="29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2,332,305.26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2,332,305.26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5,467,694.74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现金和现金等价物的构成" w:id="296"/>
      <w:bookmarkEnd w:id="29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352,466,010.92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644,053.91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251,582.88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351,585,772.46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248,928,323.95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236,184.55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229,045.49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352,466,010.92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r>
    </w:tbl>
    <w:p>
      <w:pPr>
        <w:pStyle w:val="BodyText"/>
        <w:spacing w:line="240" w:lineRule="auto" w:before="51"/>
        <w:ind w:left="154" w:right="1132"/>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32"/>
        <w:jc w:val="left"/>
        <w:rPr>
          <w:b w:val="0"/>
          <w:bCs w:val="0"/>
        </w:rPr>
      </w:pPr>
      <w:bookmarkStart w:name="44、所有权或使用权受到限制的资产" w:id="297"/>
      <w:bookmarkEnd w:id="297"/>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31,130,451.13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31,130,451.13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45、外币货币性项目" w:id="298"/>
      <w:bookmarkEnd w:id="298"/>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外币货币性项目" w:id="299"/>
      <w:bookmarkEnd w:id="29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27,593.98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7,412.77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14,190.40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3,640.25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-91,931.91</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-14,157.31</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-91,931.91</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9853"/>
        <w:jc w:val="left"/>
      </w:pPr>
      <w:r>
        <w:rPr/>
        <w:t>其他说明： 无</w:t>
      </w:r>
    </w:p>
    <w:p>
      <w:pPr>
        <w:spacing w:line="240" w:lineRule="auto" w:before="5"/>
        <w:rPr>
          <w:rFonts w:ascii="宋体" w:hAnsi="宋体" w:cs="宋体" w:eastAsia="宋体" w:hint="default"/>
          <w:sz w:val="18"/>
          <w:szCs w:val="18"/>
        </w:rPr>
      </w:pPr>
    </w:p>
    <w:p>
      <w:pPr>
        <w:pStyle w:val="Heading2"/>
        <w:spacing w:line="240" w:lineRule="auto"/>
        <w:ind w:left="154" w:right="1132"/>
        <w:jc w:val="left"/>
        <w:rPr>
          <w:b w:val="0"/>
          <w:bCs w:val="0"/>
        </w:rPr>
      </w:pPr>
      <w:bookmarkStart w:name="八、合并范围的变更" w:id="300"/>
      <w:bookmarkEnd w:id="30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非同一控制下企业合并" w:id="301"/>
      <w:bookmarkEnd w:id="30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本期发生的非同一控制下企业合并" w:id="302"/>
      <w:bookmarkEnd w:id="30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北京瑞宏科 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7,800,000.00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39.00%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支付价款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228,046.38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-4,039,195.41</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2"/>
        <w:jc w:val="left"/>
        <w:rPr>
          <w:b w:val="0"/>
          <w:bCs w:val="0"/>
        </w:rPr>
      </w:pPr>
      <w:bookmarkStart w:name="（2）合并成本及商誉" w:id="303"/>
      <w:bookmarkEnd w:id="30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6,554,840.72</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1,245,159.28</w:t>
            </w:r>
          </w:p>
        </w:tc>
      </w:tr>
    </w:tbl>
    <w:p>
      <w:pPr>
        <w:pStyle w:val="BodyText"/>
        <w:spacing w:line="357" w:lineRule="auto" w:before="51"/>
        <w:ind w:left="154" w:right="6072"/>
        <w:jc w:val="left"/>
      </w:pPr>
      <w:r>
        <w:rPr/>
        <w:t>合并成本公允价值的确定方法、或有对价及其变动的说明： 无</w:t>
      </w:r>
    </w:p>
    <w:p>
      <w:pPr>
        <w:pStyle w:val="BodyText"/>
        <w:spacing w:line="357" w:lineRule="auto" w:before="29"/>
        <w:ind w:left="154" w:right="8592"/>
        <w:jc w:val="left"/>
      </w:pPr>
      <w:r>
        <w:rPr/>
        <w:t>大额商誉形成的主要原因：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被购买方于购买日可辨认资产、负债" w:id="304"/>
      <w:bookmarkEnd w:id="30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1,727,792.82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1,727,792.82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238,675.00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238,675.00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3,117,041.44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3,117,041.44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16,807,283.90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16,807,283.90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1,281,681.69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1,281,681.69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15,525,602.21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15,525,602.21</w:t>
            </w:r>
          </w:p>
        </w:tc>
      </w:tr>
    </w:tbl>
    <w:p>
      <w:pPr>
        <w:pStyle w:val="BodyText"/>
        <w:spacing w:line="360" w:lineRule="auto" w:before="51"/>
        <w:ind w:left="154" w:right="7512"/>
        <w:jc w:val="left"/>
      </w:pPr>
      <w:r>
        <w:rPr/>
        <w:t>可辨认资产、负债公允价值的确定方法： 无 企业合并中承担的被购买方的或有负债：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132"/>
        <w:jc w:val="left"/>
        <w:rPr>
          <w:b w:val="0"/>
          <w:bCs w:val="0"/>
        </w:rPr>
      </w:pPr>
      <w:bookmarkStart w:name="（4）购买日之前持有的股权按照公允价值重新计量产生的利得或损失" w:id="305"/>
      <w:bookmarkEnd w:id="30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2"/>
        <w:jc w:val="left"/>
      </w:pPr>
      <w:r>
        <w:rPr/>
        <w:t>是否存在通过多次交易分步实现企业合并且在报告期内取得控制权的交易</w:t>
      </w:r>
    </w:p>
    <w:p>
      <w:pPr>
        <w:pStyle w:val="BodyText"/>
        <w:spacing w:line="240" w:lineRule="auto" w:before="116"/>
        <w:ind w:right="1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left="153" w:right="1132"/>
        <w:jc w:val="left"/>
        <w:rPr>
          <w:b w:val="0"/>
          <w:bCs w:val="0"/>
        </w:rPr>
      </w:pPr>
      <w:bookmarkStart w:name="（5）购买日或合并当期期末无法合理确定合并对价或被购买方可辨认资产、负债公允价值" w:id="306"/>
      <w:bookmarkEnd w:id="30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053" w:firstLine="0"/>
        <w:jc w:val="left"/>
        <w:rPr>
          <w:rFonts w:ascii="宋体" w:hAnsi="宋体" w:cs="宋体" w:eastAsia="宋体" w:hint="default"/>
          <w:sz w:val="21"/>
          <w:szCs w:val="21"/>
        </w:rPr>
      </w:pPr>
      <w:bookmarkStart w:name="（6）其他说明"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bookmarkStart w:name="九、在其他主体中的权益" w:id="308"/>
      <w:bookmarkEnd w:id="308"/>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09"/>
      <w:bookmarkEnd w:id="30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1132"/>
        <w:jc w:val="left"/>
        <w:rPr>
          <w:b w:val="0"/>
          <w:bCs w:val="0"/>
        </w:rPr>
      </w:pPr>
      <w:bookmarkStart w:name="（1）企业集团的构成" w:id="310"/>
      <w:bookmarkEnd w:id="31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青岛瑞宏科技有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天津征瑞科技有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北京悦众瑞彩网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山东东悦网络科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北京瑞宏科技有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北京瑞云嘉华投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北京瑞云嘉华安 全技术有限公司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北京瑞云档案管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left="15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54" w:right="6432"/>
        <w:jc w:val="left"/>
      </w:pPr>
      <w:r>
        <w:rPr/>
        <w:t>对于纳入合并范围的重要的结构化主体，控制的依据： 无</w:t>
      </w:r>
    </w:p>
    <w:p>
      <w:pPr>
        <w:pStyle w:val="BodyText"/>
        <w:spacing w:line="357" w:lineRule="auto" w:before="29"/>
        <w:ind w:left="154" w:right="7692"/>
        <w:jc w:val="left"/>
      </w:pPr>
      <w:r>
        <w:rPr/>
        <w:t>确定公司是代理人还是委托人的依据：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重要的非全资子公司" w:id="311"/>
      <w:bookmarkEnd w:id="31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15,876,069.55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11,425,360.17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35,108,684.50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北京东港嘉华安全信息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-579,987.73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1,980,426.11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14,811,065.04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广州东港安全印刷有限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2,751,222.13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2,002,573.82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14,509,926.12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-107,555.52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892,444.48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2,449,536.95</w:t>
            </w:r>
          </w:p>
        </w:tc>
      </w:tr>
    </w:tbl>
    <w:p>
      <w:pPr>
        <w:pStyle w:val="BodyText"/>
        <w:spacing w:line="357" w:lineRule="auto" w:before="51"/>
        <w:ind w:left="154" w:right="6432"/>
        <w:jc w:val="left"/>
      </w:pPr>
      <w:r>
        <w:rPr/>
        <w:t>子公司少数股东的持股比例不同于表决权比例的说明：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3）重要非全资子公司的主要财务信息" w:id="312"/>
      <w:bookmarkEnd w:id="31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164,207,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952.22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60,190,1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73.63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224,398,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125.85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83,963,3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87.87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83,963,3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87.87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106,645,</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115.33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60,230,7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97.40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166,875,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912.73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44,244,0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12.28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44,244,0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12.28</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北京东 港嘉华 安全信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55,342,1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47.68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125,556,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471.41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180,898,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619.09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123,078,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223.03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125,478,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223.03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33,945,3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67.86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136,504,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929.28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170,450,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297.14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104,680,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732.73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107,680,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732.73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75,546,0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93.82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49,837,4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125,383,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523.72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67,343,8</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19.27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67,343,8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19.27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55,453,4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76.69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49,722,4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22.20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105,175,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898.89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50,130,7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87.68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50,130,7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87.68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青岛瑞 宏科技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4,497,05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4,497,19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34,970.7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34,970.7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天津征 瑞科技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5,000,05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5,000,05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6"/>
              <w:jc w:val="left"/>
              <w:rPr>
                <w:rFonts w:ascii="宋体" w:hAnsi="宋体" w:cs="宋体" w:eastAsia="宋体" w:hint="default"/>
                <w:sz w:val="18"/>
                <w:szCs w:val="18"/>
              </w:rPr>
            </w:pPr>
            <w:r>
              <w:rPr>
                <w:rFonts w:ascii="宋体" w:hAnsi="宋体" w:cs="宋体" w:eastAsia="宋体" w:hint="default"/>
                <w:sz w:val="18"/>
                <w:szCs w:val="18"/>
              </w:rPr>
              <w:t>北京东港安 全印刷有限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295,763,146.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63,504,278.2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63,504,278.2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37,548,719.6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297,349,592.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50,779,378.5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50,779,378.5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97,427,279.5</w:t>
            </w:r>
          </w:p>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北京东港嘉 华安全信息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107,151,178.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-1,108,192.30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-1,108,192.30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16,800,644.3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101,765,984.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8,801,893.82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8,801,893.82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21,528,383.6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广州东港安 全印刷有限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107,619,028.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11,004,888.5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11,004,888.5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12,659,975.3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90,479,657.1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8,900,328.10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8,900,328.10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54,486,368.8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青岛瑞宏科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2,564.10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-537,777.59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-537,777.59</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-646,071.52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天津征瑞科 技有限公司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5"/>
        <w:rPr>
          <w:rFonts w:ascii="宋体" w:hAnsi="宋体" w:cs="宋体" w:eastAsia="宋体" w:hint="default"/>
          <w:sz w:val="18"/>
          <w:szCs w:val="18"/>
        </w:rPr>
      </w:pPr>
    </w:p>
    <w:p>
      <w:pPr>
        <w:pStyle w:val="Heading2"/>
        <w:spacing w:line="240" w:lineRule="auto"/>
        <w:ind w:left="154" w:right="1132"/>
        <w:jc w:val="left"/>
        <w:rPr>
          <w:b w:val="0"/>
          <w:bCs w:val="0"/>
        </w:rPr>
      </w:pPr>
      <w:bookmarkStart w:name="十、关联方及关联交易" w:id="313"/>
      <w:bookmarkEnd w:id="313"/>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本企业的母公司情况" w:id="314"/>
      <w:bookmarkEnd w:id="31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香港喜多来集团有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22.67%</w:t>
            </w:r>
          </w:p>
        </w:tc>
      </w:tr>
    </w:tbl>
    <w:p>
      <w:pPr>
        <w:pStyle w:val="BodyText"/>
        <w:spacing w:line="357" w:lineRule="auto" w:before="51"/>
        <w:ind w:left="154" w:right="8592"/>
        <w:jc w:val="left"/>
      </w:pPr>
      <w:r>
        <w:rPr/>
        <w:t>本企业的母公司情况的说明 无</w:t>
      </w:r>
    </w:p>
    <w:p>
      <w:pPr>
        <w:pStyle w:val="BodyText"/>
        <w:spacing w:line="357" w:lineRule="auto" w:before="29"/>
        <w:ind w:left="154" w:right="8232"/>
        <w:jc w:val="left"/>
      </w:pPr>
      <w:r>
        <w:rPr/>
        <w:t>本企业最终控制方是石林先生。 其他说明：</w:t>
      </w:r>
    </w:p>
    <w:p>
      <w:pPr>
        <w:pStyle w:val="BodyText"/>
        <w:spacing w:line="240" w:lineRule="auto" w:before="28"/>
        <w:ind w:right="1132"/>
        <w:jc w:val="left"/>
      </w:pPr>
      <w:r>
        <w:rPr/>
        <w:t>无</w:t>
      </w:r>
    </w:p>
    <w:p>
      <w:pPr>
        <w:spacing w:line="240" w:lineRule="auto" w:before="12"/>
        <w:rPr>
          <w:rFonts w:ascii="宋体" w:hAnsi="宋体" w:cs="宋体" w:eastAsia="宋体" w:hint="default"/>
          <w:sz w:val="26"/>
          <w:szCs w:val="26"/>
        </w:rPr>
      </w:pPr>
    </w:p>
    <w:p>
      <w:pPr>
        <w:spacing w:line="544" w:lineRule="auto" w:before="0"/>
        <w:ind w:left="154" w:right="5802" w:firstLine="0"/>
        <w:jc w:val="left"/>
        <w:rPr>
          <w:rFonts w:ascii="宋体" w:hAnsi="宋体" w:cs="宋体" w:eastAsia="宋体" w:hint="default"/>
          <w:sz w:val="21"/>
          <w:szCs w:val="21"/>
        </w:rPr>
      </w:pPr>
      <w:bookmarkStart w:name="2、本企业的子公司情况" w:id="315"/>
      <w:bookmarkEnd w:id="31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本企业子公司的情况详见附注附注八、</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其他关联方情况" w:id="316"/>
      <w:bookmarkEnd w:id="31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英属维尔京群岛欣泉有限公司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青岛尊品机械设备有限公司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天津市路征印务有限公司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357" w:lineRule="auto" w:before="44"/>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4、关联交易情况" w:id="317"/>
      <w:bookmarkEnd w:id="317"/>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2"/>
        <w:jc w:val="left"/>
        <w:rPr>
          <w:b w:val="0"/>
          <w:bCs w:val="0"/>
        </w:rPr>
      </w:pPr>
      <w:bookmarkStart w:name="（1）购销商品、提供和接受劳务的关联交易" w:id="318"/>
      <w:bookmarkEnd w:id="31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32"/>
        <w:jc w:val="left"/>
        <w:rPr>
          <w:b w:val="0"/>
          <w:bCs w:val="0"/>
        </w:rPr>
      </w:pPr>
      <w:bookmarkStart w:name="（2）关联方资产转让、债务重组情况" w:id="319"/>
      <w:bookmarkEnd w:id="319"/>
      <w:r>
        <w:rPr>
          <w:b w:val="0"/>
          <w:bCs w:val="0"/>
        </w:rPr>
      </w: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32"/>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32"/>
        <w:jc w:val="left"/>
        <w:rPr>
          <w:b w:val="0"/>
          <w:bCs w:val="0"/>
        </w:rPr>
      </w:pPr>
      <w:bookmarkStart w:name="（3）关键管理人员报酬" w:id="320"/>
      <w:bookmarkEnd w:id="320"/>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9,201,511.93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5,169,566.67</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4）其他关联交易" w:id="321"/>
      <w:bookmarkEnd w:id="321"/>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5、关联方应收应付款项" w:id="322"/>
      <w:bookmarkEnd w:id="322"/>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2"/>
        <w:jc w:val="left"/>
        <w:rPr>
          <w:b w:val="0"/>
          <w:bCs w:val="0"/>
        </w:rPr>
      </w:pPr>
      <w:bookmarkStart w:name="（1）应收项目" w:id="323"/>
      <w:bookmarkEnd w:id="32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中悦科技有限公司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天津市路征印务有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2）应付项目" w:id="324"/>
      <w:bookmarkEnd w:id="32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1"/>
              <w:jc w:val="right"/>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8"/>
              <w:jc w:val="right"/>
              <w:rPr>
                <w:rFonts w:ascii="宋体" w:hAnsi="宋体" w:cs="宋体" w:eastAsia="宋体" w:hint="default"/>
                <w:sz w:val="18"/>
                <w:szCs w:val="18"/>
              </w:rPr>
            </w:pPr>
            <w:r>
              <w:rPr>
                <w:rFonts w:ascii="宋体" w:hAnsi="宋体" w:cs="宋体" w:eastAsia="宋体" w:hint="default"/>
                <w:sz w:val="18"/>
                <w:szCs w:val="18"/>
              </w:rPr>
              <w:t>中悦科技有限公司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122,966.10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2"/>
        <w:jc w:val="left"/>
        <w:rPr>
          <w:b w:val="0"/>
          <w:bCs w:val="0"/>
        </w:rPr>
      </w:pPr>
      <w:bookmarkStart w:name="十一、股份支付" w:id="325"/>
      <w:bookmarkEnd w:id="325"/>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股份支付总体情况" w:id="326"/>
      <w:bookmarkEnd w:id="32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1,519,200.00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2、以权益结算的股份支付情况" w:id="327"/>
      <w:bookmarkEnd w:id="3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18,198,046.89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3,515,941.41</w:t>
            </w:r>
          </w:p>
        </w:tc>
      </w:tr>
    </w:tbl>
    <w:p>
      <w:pPr>
        <w:pStyle w:val="BodyText"/>
        <w:spacing w:line="240" w:lineRule="auto" w:before="51"/>
        <w:ind w:left="154" w:right="1132"/>
        <w:jc w:val="left"/>
      </w:pPr>
      <w:r>
        <w:rPr/>
        <w:t>其他说明</w:t>
      </w:r>
    </w:p>
    <w:p>
      <w:pPr>
        <w:pStyle w:val="BodyText"/>
        <w:spacing w:line="307" w:lineRule="auto" w:before="116"/>
        <w:ind w:right="1033" w:firstLine="290"/>
        <w:jc w:val="left"/>
      </w:pPr>
      <w:r>
        <w:rPr/>
        <w:t>本公司实施了限制性股票激励计划（以下称</w:t>
      </w:r>
      <w:r>
        <w:rPr>
          <w:rFonts w:ascii="Times New Roman" w:hAnsi="Times New Roman" w:cs="Times New Roman" w:eastAsia="Times New Roman" w:hint="default"/>
        </w:rPr>
        <w:t>“</w:t>
      </w:r>
      <w:r>
        <w:rPr/>
        <w:t>本计划</w:t>
      </w:r>
      <w:r>
        <w:rPr>
          <w:rFonts w:ascii="Times New Roman" w:hAnsi="Times New Roman" w:cs="Times New Roman" w:eastAsia="Times New Roman" w:hint="default"/>
        </w:rPr>
        <w:t>”</w:t>
      </w:r>
      <w:r>
        <w:rPr/>
        <w:t>），目的是完善公司法人治理结构，充分调动员工的积极性和创造 性，促进公司业绩持续增长，实现公司与员工的共同发展。确定授予郑理、齐利国等公司高级管理人员、核心技术（业务） 人员共计</w:t>
      </w:r>
      <w:r>
        <w:rPr>
          <w:rFonts w:ascii="Times New Roman" w:hAnsi="Times New Roman" w:cs="Times New Roman" w:eastAsia="Times New Roman" w:hint="default"/>
        </w:rPr>
        <w:t>123</w:t>
      </w:r>
      <w:r>
        <w:rPr/>
        <w:t>人</w:t>
      </w:r>
      <w:r>
        <w:rPr>
          <w:rFonts w:ascii="Times New Roman" w:hAnsi="Times New Roman" w:cs="Times New Roman" w:eastAsia="Times New Roman" w:hint="default"/>
        </w:rPr>
        <w:t>229</w:t>
      </w:r>
      <w:r>
        <w:rPr/>
        <w:t>万股限制性股票，授予日为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日，授予价格为</w:t>
      </w:r>
      <w:r>
        <w:rPr>
          <w:rFonts w:ascii="Times New Roman" w:hAnsi="Times New Roman" w:cs="Times New Roman" w:eastAsia="Times New Roman" w:hint="default"/>
        </w:rPr>
        <w:t>9.73</w:t>
      </w:r>
      <w:r>
        <w:rPr/>
        <w:t>元。本计划自标的股票的授予日起计算，除 非取消或修改，否则自该日起</w:t>
      </w:r>
      <w:r>
        <w:rPr>
          <w:rFonts w:ascii="Times New Roman" w:hAnsi="Times New Roman" w:cs="Times New Roman" w:eastAsia="Times New Roman" w:hint="default"/>
        </w:rPr>
        <w:t>60</w:t>
      </w:r>
      <w:r>
        <w:rPr/>
        <w:t>个月内有效。</w:t>
      </w:r>
    </w:p>
    <w:p>
      <w:pPr>
        <w:spacing w:line="240" w:lineRule="auto" w:before="11"/>
        <w:rPr>
          <w:rFonts w:ascii="宋体" w:hAnsi="宋体" w:cs="宋体" w:eastAsia="宋体" w:hint="default"/>
          <w:sz w:val="19"/>
          <w:szCs w:val="19"/>
        </w:rPr>
      </w:pPr>
    </w:p>
    <w:p>
      <w:pPr>
        <w:pStyle w:val="Heading2"/>
        <w:spacing w:line="240" w:lineRule="auto"/>
        <w:ind w:right="1132"/>
        <w:jc w:val="left"/>
        <w:rPr>
          <w:b w:val="0"/>
          <w:bCs w:val="0"/>
        </w:rPr>
      </w:pPr>
      <w:bookmarkStart w:name="十二、承诺及或有事项" w:id="328"/>
      <w:bookmarkEnd w:id="328"/>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重要承诺事项" w:id="329"/>
      <w:bookmarkEnd w:id="32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44" w:right="5782" w:hanging="291"/>
        <w:jc w:val="left"/>
      </w:pPr>
      <w:r>
        <w:rPr/>
        <w:t>资产负债表日存在的重要承诺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left="153" w:right="1132"/>
        <w:jc w:val="left"/>
        <w:rPr>
          <w:b w:val="0"/>
          <w:bCs w:val="0"/>
        </w:rPr>
      </w:pPr>
      <w:bookmarkStart w:name="2、或有事项" w:id="330"/>
      <w:bookmarkEnd w:id="33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资产负债表日存在的重要或有事项" w:id="331"/>
      <w:bookmarkEnd w:id="33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13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7693" w:firstLine="0"/>
        <w:jc w:val="left"/>
        <w:rPr>
          <w:rFonts w:ascii="宋体" w:hAnsi="宋体" w:cs="宋体" w:eastAsia="宋体" w:hint="default"/>
          <w:sz w:val="21"/>
          <w:szCs w:val="21"/>
        </w:rPr>
      </w:pPr>
      <w:bookmarkStart w:name="3、其他" w:id="332"/>
      <w:bookmarkEnd w:id="3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33"/>
      <w:bookmarkEnd w:id="33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利润分配情况" w:id="334"/>
      <w:bookmarkEnd w:id="33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1132"/>
        <w:jc w:val="left"/>
        <w:rPr>
          <w:b w:val="0"/>
          <w:bCs w:val="0"/>
        </w:rPr>
      </w:pPr>
      <w:bookmarkStart w:name="十四、其他重要事项" w:id="335"/>
      <w:bookmarkEnd w:id="335"/>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其他" w:id="336"/>
      <w:bookmarkEnd w:id="336"/>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日，本公司无需要披露的其他重要事项。</w:t>
      </w:r>
    </w:p>
    <w:p>
      <w:pPr>
        <w:spacing w:line="240" w:lineRule="auto" w:before="1"/>
        <w:rPr>
          <w:rFonts w:ascii="宋体" w:hAnsi="宋体" w:cs="宋体" w:eastAsia="宋体" w:hint="default"/>
          <w:sz w:val="24"/>
          <w:szCs w:val="24"/>
        </w:rPr>
      </w:pPr>
    </w:p>
    <w:p>
      <w:pPr>
        <w:pStyle w:val="Heading2"/>
        <w:spacing w:line="240" w:lineRule="auto"/>
        <w:ind w:left="154" w:right="1132"/>
        <w:jc w:val="left"/>
        <w:rPr>
          <w:b w:val="0"/>
          <w:bCs w:val="0"/>
        </w:rPr>
      </w:pPr>
      <w:bookmarkStart w:name="十五、母公司财务报表主要项目注释" w:id="337"/>
      <w:bookmarkEnd w:id="337"/>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2"/>
        <w:jc w:val="left"/>
        <w:rPr>
          <w:b w:val="0"/>
          <w:bCs w:val="0"/>
        </w:rPr>
      </w:pPr>
      <w:bookmarkStart w:name="1、应收账款" w:id="338"/>
      <w:bookmarkEnd w:id="33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2"/>
        <w:jc w:val="left"/>
        <w:rPr>
          <w:b w:val="0"/>
          <w:bCs w:val="0"/>
        </w:rPr>
      </w:pPr>
      <w:bookmarkStart w:name="（1）应收账款分类披露" w:id="339"/>
      <w:bookmarkEnd w:id="33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124,991,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668.22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6,599,36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118,392,3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01.18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73,458,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360.39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3,882,721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69,575,638.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181,768.4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125,173,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436.62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6,599,36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118,574,0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69.58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73,458,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360.39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3,882,721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69,575,638.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121,466,759.69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6,073,337.98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121,466,759.69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6,073,337.98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2,524,149.13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252,414.91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755,885.19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151,177.04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244,874.21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122,437.11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65,497.58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32,748.79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130,668.63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65,334.32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124,991,668.22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6,599,367.04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772"/>
        <w:jc w:val="left"/>
      </w:pPr>
      <w:r>
        <w:rPr/>
        <w:t>确定该组合依据的说明： 无</w:t>
      </w:r>
    </w:p>
    <w:p>
      <w:pPr>
        <w:pStyle w:val="BodyText"/>
        <w:spacing w:line="240" w:lineRule="auto" w:before="29"/>
        <w:ind w:left="154" w:right="1132"/>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right="1132"/>
        <w:jc w:val="left"/>
        <w:rPr>
          <w:b w:val="0"/>
          <w:bCs w:val="0"/>
        </w:rPr>
      </w:pPr>
      <w:bookmarkStart w:name="（2）本期计提、收回或转回的坏账准备情况" w:id="340"/>
      <w:bookmarkEnd w:id="3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t>本期计提坏账准备金额</w:t>
      </w:r>
      <w:r>
        <w:rPr>
          <w:spacing w:val="-47"/>
        </w:rPr>
        <w:t> </w:t>
      </w:r>
      <w:r>
        <w:rPr>
          <w:rFonts w:ascii="Times New Roman" w:hAnsi="Times New Roman" w:cs="Times New Roman" w:eastAsia="Times New Roman" w:hint="default"/>
        </w:rPr>
        <w:t>2,716,645.15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3）按欠款方归集的期末余额前五名的应收账款情况" w:id="341"/>
      <w:bookmarkEnd w:id="34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67"/>
        <w:jc w:val="right"/>
      </w:pPr>
      <w:r>
        <w:rPr>
          <w:spacing w:val="-1"/>
        </w:rPr>
        <w:t>本公司本年按欠款方归集的年末余额前五名应收账款汇总金额为</w:t>
      </w:r>
      <w:r>
        <w:rPr>
          <w:rFonts w:ascii="Times New Roman" w:hAnsi="Times New Roman" w:cs="Times New Roman" w:eastAsia="Times New Roman" w:hint="default"/>
          <w:spacing w:val="-1"/>
        </w:rPr>
        <w:t>60,542,639.32</w:t>
      </w:r>
      <w:r>
        <w:rPr>
          <w:spacing w:val="-1"/>
        </w:rPr>
        <w:t>元，占应收账款年末余额合计数的比例为</w:t>
      </w:r>
    </w:p>
    <w:p>
      <w:pPr>
        <w:pStyle w:val="BodyText"/>
        <w:spacing w:line="240" w:lineRule="auto" w:before="63"/>
        <w:ind w:right="1132"/>
        <w:jc w:val="left"/>
      </w:pPr>
      <w:r>
        <w:rPr>
          <w:rFonts w:ascii="Times New Roman" w:hAnsi="Times New Roman" w:cs="Times New Roman" w:eastAsia="Times New Roman" w:hint="default"/>
        </w:rPr>
        <w:t>48.37%</w:t>
      </w:r>
      <w:r>
        <w:rPr/>
        <w:t>，相应计提的坏账准备年末余额汇总金额为</w:t>
      </w:r>
      <w:r>
        <w:rPr>
          <w:rFonts w:ascii="Times New Roman" w:hAnsi="Times New Roman" w:cs="Times New Roman" w:eastAsia="Times New Roman" w:hint="default"/>
        </w:rPr>
        <w:t>3,027,131.97</w:t>
      </w:r>
      <w:r>
        <w:rPr/>
        <w:t>元。</w:t>
      </w:r>
    </w:p>
    <w:p>
      <w:pPr>
        <w:spacing w:line="240" w:lineRule="auto" w:before="11"/>
        <w:rPr>
          <w:rFonts w:ascii="宋体" w:hAnsi="宋体" w:cs="宋体" w:eastAsia="宋体" w:hint="default"/>
          <w:sz w:val="25"/>
          <w:szCs w:val="25"/>
        </w:rPr>
      </w:pPr>
    </w:p>
    <w:p>
      <w:pPr>
        <w:pStyle w:val="Heading3"/>
        <w:spacing w:line="240" w:lineRule="auto"/>
        <w:ind w:left="153" w:right="1132"/>
        <w:jc w:val="left"/>
        <w:rPr>
          <w:b w:val="0"/>
          <w:bCs w:val="0"/>
        </w:rPr>
      </w:pPr>
      <w:bookmarkStart w:name="2、其他应收款" w:id="342"/>
      <w:bookmarkEnd w:id="34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其他应收款分类披露" w:id="343"/>
      <w:bookmarkEnd w:id="3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11,405,6</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60.35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1,216,66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4.78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10,188,99</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5.57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10,386,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519.40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1,124,827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9,261,691.4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11,405,6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1,216,66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10,188,99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10,386,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519.40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1,124,827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9,261,691.4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7,389,273.02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369,463.65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7,389,273.02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369,463.65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2,296,578.77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229,657.88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807,870.10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161,574.02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911,938.46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455,969.23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241,616.96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120,808.48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33,559.50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603,202.50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301,601.25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11,405,660.35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1,216,664.78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772"/>
        <w:jc w:val="left"/>
      </w:pPr>
      <w:r>
        <w:rPr/>
        <w:t>确定该组合依据的说明： 无</w:t>
      </w:r>
    </w:p>
    <w:p>
      <w:pPr>
        <w:pStyle w:val="BodyText"/>
        <w:spacing w:line="240" w:lineRule="auto" w:before="29"/>
        <w:ind w:left="154" w:right="1132"/>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2）本期计提、收回或转回的坏账准备情况" w:id="344"/>
      <w:bookmarkEnd w:id="3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2"/>
        <w:jc w:val="left"/>
      </w:pPr>
      <w:r>
        <w:rPr/>
        <w:t>本期计提坏账准备金额</w:t>
      </w:r>
      <w:r>
        <w:rPr>
          <w:spacing w:val="-46"/>
        </w:rPr>
        <w:t> </w:t>
      </w:r>
      <w:r>
        <w:rPr>
          <w:rFonts w:ascii="Times New Roman" w:hAnsi="Times New Roman" w:cs="Times New Roman" w:eastAsia="Times New Roman" w:hint="default"/>
        </w:rPr>
        <w:t>91,836.80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1132"/>
        <w:jc w:val="left"/>
        <w:rPr>
          <w:b w:val="0"/>
          <w:bCs w:val="0"/>
        </w:rPr>
      </w:pPr>
      <w:bookmarkStart w:name="（3）其他应收款按款项性质分类情况" w:id="345"/>
      <w:bookmarkEnd w:id="34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8,799,254.73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6,846,729.45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1,987,651.16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2,407,850.97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618,754.46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1,131,938.98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11,405,660.35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10,386,519.40</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4）按欠款方归集的期末余额前五名的其他应收款情况" w:id="346"/>
      <w:bookmarkEnd w:id="34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802,962.00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46,792.83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445,188.48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22,259.42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15,910.00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3,066,350.48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209,962.25</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5）涉及政府补助的应收款项" w:id="347"/>
      <w:bookmarkEnd w:id="347"/>
      <w:r>
        <w:rPr>
          <w:b w:val="0"/>
          <w:bCs w:val="0"/>
        </w:rPr>
      </w: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right="1132"/>
        <w:jc w:val="left"/>
        <w:rPr>
          <w:b w:val="0"/>
          <w:bCs w:val="0"/>
        </w:rPr>
      </w:pPr>
      <w:bookmarkStart w:name="3、长期股权投资" w:id="348"/>
      <w:bookmarkEnd w:id="34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335,408,380.39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335,408,380.39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328,858,380.39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335,408,380.39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335,408,380.39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328,858,380.39</w:t>
            </w: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1）对子公司投资" w:id="349"/>
      <w:bookmarkEnd w:id="34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27,238,924.82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27,238,924.82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35,325,000.00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35,325,000.00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7,500,000.00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30,597,743.07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30,597,743.07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36,696,712.50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36,696,712.50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青岛瑞宏科技有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天津征瑞科技有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335,408,380.39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32"/>
        <w:jc w:val="left"/>
        <w:rPr>
          <w:b w:val="0"/>
          <w:bCs w:val="0"/>
        </w:rPr>
      </w:pPr>
      <w:bookmarkStart w:name="4、营业收入和营业成本" w:id="350"/>
      <w:bookmarkEnd w:id="35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791,979,308.81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561,860,195.97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692,267,836.11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472,905,832.91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22,670,244.87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20,757,152.04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37,310,209.28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35,783,029.13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814,649,553.68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582,617,348.01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729,578,045.39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508,688,862.04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2"/>
        <w:jc w:val="left"/>
        <w:rPr>
          <w:b w:val="0"/>
          <w:bCs w:val="0"/>
        </w:rPr>
      </w:pPr>
      <w:bookmarkStart w:name="5、投资收益" w:id="351"/>
      <w:bookmarkEnd w:id="35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66,459,170.80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59,798,474.74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26,291,753.38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9,273,294.51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92,750,924.18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69,071,769.25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2"/>
        <w:jc w:val="left"/>
        <w:rPr>
          <w:b w:val="0"/>
          <w:bCs w:val="0"/>
        </w:rPr>
      </w:pPr>
      <w:bookmarkStart w:name="十六、补充资料" w:id="352"/>
      <w:bookmarkEnd w:id="352"/>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132"/>
        <w:jc w:val="left"/>
        <w:rPr>
          <w:b w:val="0"/>
          <w:bCs w:val="0"/>
        </w:rPr>
      </w:pPr>
      <w:bookmarkStart w:name="1、当期非经常性损益明细表" w:id="353"/>
      <w:bookmarkEnd w:id="35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4,313,797.80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9,298,430.98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-1,146,249.96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1,870,916.69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1,695,440.30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8,899,621.83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1132"/>
        <w:jc w:val="left"/>
        <w:rPr>
          <w:b w:val="0"/>
          <w:bCs w:val="0"/>
        </w:rPr>
      </w:pPr>
      <w:bookmarkStart w:name="2、净资产收益率及每股收益" w:id="354"/>
      <w:bookmarkEnd w:id="35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2"/>
        <w:rPr>
          <w:rFonts w:ascii="宋体" w:hAnsi="宋体" w:cs="宋体" w:eastAsia="宋体" w:hint="default"/>
          <w:b/>
          <w:bCs/>
          <w:sz w:val="19"/>
          <w:szCs w:val="19"/>
        </w:rPr>
      </w:pPr>
    </w:p>
    <w:p>
      <w:pPr>
        <w:pStyle w:val="Heading3"/>
        <w:spacing w:line="240" w:lineRule="auto" w:before="35"/>
        <w:ind w:right="1132"/>
        <w:jc w:val="left"/>
        <w:rPr>
          <w:b w:val="0"/>
          <w:bCs w:val="0"/>
        </w:rPr>
      </w:pPr>
      <w:bookmarkStart w:name="3、其他" w:id="355"/>
      <w:bookmarkEnd w:id="355"/>
      <w:r>
        <w:rPr>
          <w:b w:val="0"/>
          <w:bCs w:val="0"/>
        </w:rPr>
      </w: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32"/>
        <w:jc w:val="left"/>
        <w:rPr>
          <w:b w:val="0"/>
          <w:bCs w:val="0"/>
        </w:rPr>
      </w:pPr>
      <w:bookmarkStart w:name="第十一节 备查文件目录" w:id="356"/>
      <w:bookmarkEnd w:id="356"/>
      <w:r>
        <w:rPr>
          <w:b w:val="0"/>
          <w:bCs w:val="0"/>
        </w:rPr>
      </w:r>
      <w:bookmarkStart w:name="_bookmark10" w:id="357"/>
      <w:bookmarkEnd w:id="357"/>
      <w:r>
        <w:rPr>
          <w:b w:val="0"/>
          <w:bCs w:val="0"/>
        </w:rPr>
      </w:r>
      <w:r>
        <w:rPr/>
        <w:t>第十一节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2"/>
        <w:jc w:val="left"/>
      </w:pPr>
      <w:r>
        <w:rPr/>
        <w:t>（一）载有公司负责人、财务负责人、会计机构负责人签名并盖章的会计报表。</w:t>
      </w:r>
    </w:p>
    <w:p>
      <w:pPr>
        <w:pStyle w:val="BodyText"/>
        <w:spacing w:line="240" w:lineRule="auto" w:before="77"/>
        <w:ind w:right="1132"/>
        <w:jc w:val="left"/>
      </w:pPr>
      <w:r>
        <w:rPr/>
        <w:t>（二）载有会计师事务所盖章、注册会计师签名并盖章的审计报告原件。</w:t>
      </w:r>
    </w:p>
    <w:p>
      <w:pPr>
        <w:pStyle w:val="BodyText"/>
        <w:spacing w:line="240" w:lineRule="auto" w:before="76"/>
        <w:ind w:right="1132"/>
        <w:jc w:val="left"/>
      </w:pPr>
      <w:r>
        <w:rPr/>
        <w:t>（三）报告期内，在中国证监会指定报纸上公开披露过的所有文件正本及公告原稿。</w:t>
      </w:r>
    </w:p>
    <w:p>
      <w:pPr>
        <w:pStyle w:val="BodyText"/>
        <w:spacing w:line="240" w:lineRule="auto" w:before="76"/>
        <w:ind w:right="1132"/>
        <w:jc w:val="left"/>
      </w:pPr>
      <w:r>
        <w:rPr/>
        <w:t>（四）以上备查文件的备置地点：公司证券办公室。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657" w:lineRule="auto" w:before="140"/>
        <w:ind w:left="6284" w:right="2948" w:hanging="107"/>
        <w:jc w:val="center"/>
      </w:pPr>
      <w:r>
        <w:rPr/>
        <w:t>东港股份有限公司 法定代表人：</w:t>
      </w:r>
      <w:r>
        <w:rPr>
          <w:spacing w:val="-19"/>
        </w:rPr>
        <w:t> </w:t>
      </w:r>
      <w:r>
        <w:rPr/>
        <w:t>王爱先</w:t>
      </w:r>
      <w:r>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6752" type="#_x0000_t75" stroked="false">
          <v:imagedata r:id="rId1" o:title=""/>
        </v:shape>
      </w:pict>
    </w:r>
    <w:r>
      <w:rPr/>
      <w:pict>
        <v:shape style="position:absolute;margin-left:533.179993pt;margin-top:795.517944pt;width:6.5pt;height:11pt;mso-position-horizontal-relative:page;mso-position-vertical-relative:page;z-index:-7767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6704" type="#_x0000_t75" stroked="false">
          <v:imagedata r:id="rId1" o:title=""/>
        </v:shape>
      </w:pict>
    </w:r>
    <w:r>
      <w:rPr/>
      <w:pict>
        <v:shape style="position:absolute;margin-left:527.679993pt;margin-top:781.957947pt;width:13pt;height:11pt;mso-position-horizontal-relative:page;mso-position-vertical-relative:page;z-index:-776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6656" type="#_x0000_t75" stroked="false">
          <v:imagedata r:id="rId1" o:title=""/>
        </v:shape>
      </w:pict>
    </w:r>
    <w:r>
      <w:rPr/>
      <w:pict>
        <v:shape style="position:absolute;margin-left:528.679993pt;margin-top:781.957947pt;width:11pt;height:11pt;mso-position-horizontal-relative:page;mso-position-vertical-relative:page;z-index:-7766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6608" type="#_x0000_t75" stroked="false">
          <v:imagedata r:id="rId1" o:title=""/>
        </v:shape>
      </w:pict>
    </w:r>
    <w:r>
      <w:rPr/>
      <w:pict>
        <v:shape style="position:absolute;margin-left:524.179993pt;margin-top:781.957947pt;width:15.5pt;height:11pt;mso-position-horizontal-relative:page;mso-position-vertical-relative:page;z-index:-7765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6560" type="#_x0000_t75" stroked="false">
          <v:imagedata r:id="rId1" o:title=""/>
        </v:shape>
      </w:pict>
    </w:r>
    <w:r>
      <w:rPr/>
      <w:pict>
        <v:shape style="position:absolute;margin-left:523.179993pt;margin-top:781.957947pt;width:17.5pt;height:11pt;mso-position-horizontal-relative:page;mso-position-vertical-relative:page;z-index:-776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776776"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50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ungkong.com.cn/" TargetMode="External"/><Relationship Id="rId10" Type="http://schemas.openxmlformats.org/officeDocument/2006/relationships/hyperlink" Target="mailto:dggf@tungkong.com.cn" TargetMode="Externa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cninfo.com.cn/" TargetMode="External"/><Relationship Id="rId14" Type="http://schemas.openxmlformats.org/officeDocument/2006/relationships/hyperlink" Target="http://irm.cninfo.com.cn/ssessgs/S002117/index.html"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东港股份有限公司</dc:creator>
  <dc:title>东港股份有限公司2015年年度报告全文</dc:title>
  <dcterms:created xsi:type="dcterms:W3CDTF">2020-05-04T12:25:49Z</dcterms:created>
  <dcterms:modified xsi:type="dcterms:W3CDTF">2020-05-04T12:25:49Z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2016-03-15T00:00:00Z</vt:filetime>
  </property>
  <property fmtid="{D5CDD505-2E9C-101B-9397-08002B2CF9AE}" pid="3" name="Creator">
    <vt:lpwstr>Microsoft® Office Word 2007</vt:lpwstr>
  </property>
  <property fmtid="{D5CDD505-2E9C-101B-9397-08002B2CF9AE}" pid="4" name="LastSaved">
    <vt:filetime>2020-05-04T00:00:00Z</vt:filetime>
  </property>
</Properties>
</file>