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1464" w:lineRule="exact"/>
        <w:ind w:left="408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8"/>
          <w:sz w:val="20"/>
          <w:szCs w:val="20"/>
        </w:rPr>
        <w:drawing>
          <wp:inline distT="0" distB="0" distL="0" distR="0">
            <wp:extent cx="1127759" cy="92964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127759" cy="929640"/>
                    </a:xfrm>
                    <a:prstGeom prst="rect">
                      <a:avLst/>
                    </a:prstGeom>
                  </pic:spPr>
                </pic:pic>
              </a:graphicData>
            </a:graphic>
          </wp:inline>
        </w:drawing>
      </w:r>
      <w:r>
        <w:rPr>
          <w:rFonts w:ascii="Times New Roman" w:hAnsi="Times New Roman" w:cs="Times New Roman" w:eastAsia="Times New Roman" w:hint="default"/>
          <w:position w:val="-28"/>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492" w:right="1469" w:firstLine="0"/>
        <w:jc w:val="center"/>
        <w:rPr>
          <w:rFonts w:ascii="宋体" w:hAnsi="宋体" w:cs="宋体" w:eastAsia="宋体" w:hint="default"/>
          <w:sz w:val="36"/>
          <w:szCs w:val="36"/>
        </w:rPr>
      </w:pPr>
      <w:r>
        <w:rPr>
          <w:rFonts w:ascii="宋体" w:hAnsi="宋体" w:cs="宋体" w:eastAsia="宋体" w:hint="default"/>
          <w:b/>
          <w:bCs/>
          <w:sz w:val="36"/>
          <w:szCs w:val="36"/>
        </w:rPr>
        <w:t>东港股份有限公司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490" w:right="146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493" w:right="146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1121"/>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公司负责人王爱先、主管会计工作负责人史建中及会计机构负责人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郑理声明：保证年度报告中财务报告的真实、准确、完整。</w:t>
      </w:r>
      <w:r>
        <w:rPr>
          <w:rFonts w:ascii="宋体" w:hAnsi="宋体" w:cs="宋体" w:eastAsia="宋体" w:hint="default"/>
          <w:sz w:val="28"/>
          <w:szCs w:val="28"/>
        </w:rPr>
      </w:r>
    </w:p>
    <w:p>
      <w:pPr>
        <w:spacing w:line="472" w:lineRule="auto" w:before="147"/>
        <w:ind w:left="716" w:right="1121"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公司面临传统业务受信息技术的冲击，运营成本上升；新兴业务资金投入</w:t>
      </w:r>
      <w:r>
        <w:rPr>
          <w:rFonts w:ascii="宋体" w:hAnsi="宋体" w:cs="宋体" w:eastAsia="宋体" w:hint="default"/>
          <w:spacing w:val="3"/>
          <w:sz w:val="28"/>
          <w:szCs w:val="28"/>
        </w:rPr>
      </w:r>
    </w:p>
    <w:p>
      <w:pPr>
        <w:spacing w:line="386" w:lineRule="auto" w:before="0"/>
        <w:ind w:left="154" w:right="1121" w:firstLine="0"/>
        <w:jc w:val="left"/>
        <w:rPr>
          <w:rFonts w:ascii="Times New Roman" w:hAnsi="Times New Roman" w:cs="Times New Roman" w:eastAsia="Times New Roman" w:hint="default"/>
          <w:sz w:val="28"/>
          <w:szCs w:val="28"/>
        </w:rPr>
      </w:pPr>
      <w:r>
        <w:rPr>
          <w:rFonts w:ascii="宋体" w:hAnsi="宋体" w:cs="宋体" w:eastAsia="宋体" w:hint="default"/>
          <w:b/>
          <w:bCs/>
          <w:spacing w:val="3"/>
          <w:sz w:val="28"/>
          <w:szCs w:val="28"/>
        </w:rPr>
        <w:t>较大等风险，敬请广大投资者注意投资风险。详细内容见本报告</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第四节</w:t>
      </w:r>
      <w:r>
        <w:rPr>
          <w:rFonts w:ascii="宋体" w:hAnsi="宋体" w:cs="宋体" w:eastAsia="宋体" w:hint="default"/>
          <w:b/>
          <w:bCs/>
          <w:spacing w:val="-28"/>
          <w:sz w:val="28"/>
          <w:szCs w:val="28"/>
        </w:rPr>
        <w:t> </w:t>
      </w:r>
      <w:r>
        <w:rPr>
          <w:rFonts w:ascii="宋体" w:hAnsi="宋体" w:cs="宋体" w:eastAsia="宋体" w:hint="default"/>
          <w:b/>
          <w:bCs/>
          <w:spacing w:val="3"/>
          <w:sz w:val="28"/>
          <w:szCs w:val="28"/>
        </w:rPr>
        <w:t>九、</w:t>
      </w:r>
      <w:r>
        <w:rPr>
          <w:rFonts w:ascii="宋体" w:hAnsi="宋体" w:cs="宋体" w:eastAsia="宋体" w:hint="default"/>
          <w:b/>
          <w:bCs/>
          <w:spacing w:val="3"/>
          <w:w w:val="99"/>
          <w:sz w:val="28"/>
          <w:szCs w:val="28"/>
        </w:rPr>
        <w:t> </w:t>
      </w:r>
      <w:r>
        <w:rPr>
          <w:rFonts w:ascii="宋体" w:hAnsi="宋体" w:cs="宋体" w:eastAsia="宋体" w:hint="default"/>
          <w:b/>
          <w:bCs/>
          <w:sz w:val="28"/>
          <w:szCs w:val="28"/>
        </w:rPr>
        <w:t>公司未来发展的展望</w:t>
      </w:r>
      <w:r>
        <w:rPr>
          <w:rFonts w:ascii="宋体" w:hAnsi="宋体" w:cs="宋体" w:eastAsia="宋体" w:hint="default"/>
          <w:b/>
          <w:bCs/>
          <w:spacing w:val="-18"/>
          <w:sz w:val="28"/>
          <w:szCs w:val="28"/>
        </w:rPr>
        <w:t> </w:t>
      </w: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、公司面临的风险及应对措施</w:t>
      </w:r>
      <w:r>
        <w:rPr>
          <w:rFonts w:ascii="Times New Roman" w:hAnsi="Times New Roman" w:cs="Times New Roman" w:eastAsia="Times New Roman" w:hint="default"/>
          <w:b/>
          <w:bCs/>
          <w:sz w:val="28"/>
          <w:szCs w:val="28"/>
        </w:rPr>
        <w:t>”</w:t>
      </w:r>
      <w:r>
        <w:rPr>
          <w:rFonts w:ascii="Times New Roman" w:hAnsi="Times New Roman" w:cs="Times New Roman" w:eastAsia="Times New Roman" w:hint="default"/>
          <w:sz w:val="28"/>
          <w:szCs w:val="28"/>
        </w:rPr>
      </w:r>
    </w:p>
    <w:p>
      <w:pPr>
        <w:spacing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3"/>
          <w:sz w:val="28"/>
          <w:szCs w:val="28"/>
        </w:rPr>
        <w:t> </w:t>
      </w:r>
      <w:r>
        <w:rPr>
          <w:rFonts w:ascii="Times New Roman" w:hAnsi="Times New Roman" w:cs="Times New Roman" w:eastAsia="Times New Roman" w:hint="default"/>
          <w:b/>
          <w:bCs/>
          <w:sz w:val="28"/>
          <w:szCs w:val="28"/>
        </w:rPr>
        <w:t>363,777,614</w:t>
      </w:r>
      <w:r>
        <w:rPr>
          <w:rFonts w:ascii="Times New Roman" w:hAnsi="Times New Roman" w:cs="Times New Roman" w:eastAsia="Times New Roman" w:hint="default"/>
          <w:b/>
          <w:bCs/>
          <w:spacing w:val="-27"/>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line="386" w:lineRule="auto" w:before="236"/>
        <w:ind w:left="154" w:right="1121" w:firstLine="0"/>
        <w:jc w:val="left"/>
        <w:rPr>
          <w:rFonts w:ascii="宋体" w:hAnsi="宋体" w:cs="宋体" w:eastAsia="宋体" w:hint="default"/>
          <w:sz w:val="28"/>
          <w:szCs w:val="28"/>
        </w:rPr>
      </w:pPr>
      <w:r>
        <w:rPr>
          <w:rFonts w:ascii="宋体" w:hAnsi="宋体" w:cs="宋体" w:eastAsia="宋体" w:hint="default"/>
          <w:b/>
          <w:bCs/>
          <w:w w:val="99"/>
          <w:sz w:val="28"/>
          <w:szCs w:val="28"/>
        </w:rPr>
        <w:t>全体股东每</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4"/>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7.00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3"/>
          <w:w w:val="99"/>
          <w:sz w:val="28"/>
          <w:szCs w:val="28"/>
        </w:rPr>
        <w:t>元（含税），送红股</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5</w:t>
      </w:r>
      <w:r>
        <w:rPr>
          <w:rFonts w:ascii="Times New Roman" w:hAnsi="Times New Roman" w:cs="Times New Roman" w:eastAsia="Times New Roman" w:hint="default"/>
          <w:b/>
          <w:bCs/>
          <w:spacing w:val="4"/>
          <w:w w:val="99"/>
          <w:sz w:val="28"/>
          <w:szCs w:val="28"/>
        </w:rPr>
        <w:t> </w:t>
      </w:r>
      <w:r>
        <w:rPr>
          <w:rFonts w:ascii="宋体" w:hAnsi="宋体" w:cs="宋体" w:eastAsia="宋体" w:hint="default"/>
          <w:b/>
          <w:bCs/>
          <w:spacing w:val="-21"/>
          <w:w w:val="99"/>
          <w:sz w:val="28"/>
          <w:szCs w:val="28"/>
        </w:rPr>
        <w:t>股（含税），不以公积</w:t>
      </w:r>
      <w:r>
        <w:rPr>
          <w:rFonts w:ascii="宋体" w:hAnsi="宋体" w:cs="宋体" w:eastAsia="宋体" w:hint="default"/>
          <w:b/>
          <w:bCs/>
          <w:w w:val="99"/>
          <w:sz w:val="28"/>
          <w:szCs w:val="28"/>
        </w:rPr>
        <w:t> </w:t>
      </w:r>
      <w:r>
        <w:rPr>
          <w:rFonts w:ascii="宋体" w:hAnsi="宋体" w:cs="宋体" w:eastAsia="宋体" w:hint="default"/>
          <w:b/>
          <w:bCs/>
          <w:sz w:val="28"/>
          <w:szCs w:val="28"/>
        </w:rPr>
        <w:t>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493" w:right="146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sdt>
      <w:sdtPr>
        <w:docPartObj>
          <w:docPartGallery w:val="Table of Contents"/>
          <w:docPartUnique/>
        </w:docPartObj>
      </w:sdtPr>
      <w:sdtEndPr/>
      <w:sdtContent>
        <w:p>
          <w:pPr>
            <w:pStyle w:val="TOC1"/>
            <w:tabs>
              <w:tab w:pos="9782" w:val="right" w:leader="dot"/>
            </w:tabs>
            <w:spacing w:line="240" w:lineRule="auto" w:before="238"/>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before="332"/>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24</w:t>
            </w:r>
            <w:r>
              <w:rPr>
                <w:rFonts w:ascii="Times New Roman" w:hAnsi="Times New Roman" w:cs="Times New Roman" w:eastAsia="Times New Roman" w:hint="default"/>
                <w:b w:val="0"/>
                <w:bCs w:val="0"/>
              </w:rPr>
            </w:r>
          </w:hyperlink>
        </w:p>
        <w:p>
          <w:pPr>
            <w:pStyle w:val="TOC1"/>
            <w:tabs>
              <w:tab w:pos="9782" w:val="right" w:leader="dot"/>
            </w:tabs>
            <w:spacing w:line="240" w:lineRule="auto" w:before="333"/>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37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38</w:t>
            </w:r>
            <w:r>
              <w:rPr>
                <w:rFonts w:ascii="Times New Roman" w:hAnsi="Times New Roman" w:cs="Times New Roman" w:eastAsia="Times New Roman" w:hint="default"/>
                <w:b w:val="0"/>
                <w:bCs w:val="0"/>
              </w:rPr>
            </w:r>
          </w:hyperlink>
        </w:p>
        <w:p>
          <w:pPr>
            <w:pStyle w:val="TOC1"/>
            <w:tabs>
              <w:tab w:pos="9782" w:val="right" w:leader="dot"/>
            </w:tabs>
            <w:spacing w:line="240" w:lineRule="auto" w:before="332"/>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
              </w:rPr>
              <w:t> </w:t>
            </w:r>
            <w:r>
              <w:rPr/>
              <w:t>财务报告</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9782" w:val="right" w:leader="dot"/>
            </w:tabs>
            <w:spacing w:line="240" w:lineRule="auto" w:before="332"/>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备查文件目录</w:t>
            </w:r>
            <w:r>
              <w:rPr>
                <w:rFonts w:ascii="Times New Roman" w:hAnsi="Times New Roman" w:cs="Times New Roman" w:eastAsia="Times New Roman" w:hint="default"/>
              </w:rPr>
              <w:tab/>
              <w:t>129</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493" w:right="146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东港股份有限公司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92.879974pt;width:361.5pt;height:19.6pt;mso-position-horizontal-relative:page;mso-position-vertical-relative:page;z-index:-706288" coordorigin="3447,5858" coordsize="7230,392">
            <v:shape style="position:absolute;left:3447;top:5858;width:7230;height:392" coordorigin="3447,5858" coordsize="7230,392" path="m3447,6249l10676,6249,10676,5858,3447,5858,3447,6249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1121"/>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21"/>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东港股份</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002117</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东港股份有限公司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东港股份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TUNGKONG</w:t>
            </w:r>
            <w:r>
              <w:rPr>
                <w:rFonts w:ascii="Times New Roman"/>
                <w:spacing w:val="-2"/>
                <w:sz w:val="18"/>
              </w:rPr>
              <w:t> </w:t>
            </w:r>
            <w:r>
              <w:rPr>
                <w:rFonts w:ascii="Times New Roman"/>
                <w:sz w:val="18"/>
              </w:rPr>
              <w:t>INC.</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TK</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王爱先</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山东省济南市山大北路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250100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山东省济南市山大北路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250100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www.tungkong.com.cn</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dggf@tungkong.com.cn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121"/>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阮永城</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济南市山大北路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济南市山大北路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0531-88904590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0531-88904590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0531-82672218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0531-82672218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Qi-liguo@tungkong.com.cn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Ruan-yongcheng@tungkong.com.cn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121"/>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r>
        <w:rPr/>
        <w:pict>
          <v:shape style="position:absolute;margin-left:56.459999pt;margin-top:102.659981pt;width:479.2pt;height:662.8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91370000613207311A</w:t>
                        </w:r>
                      </w:p>
                    </w:tc>
                  </w:tr>
                  <w:tr>
                    <w:trPr>
                      <w:trHeight w:val="1284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月，公司经营范围变更为：出版物、包装装潢印刷品、其他类印刷 品印刷。</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月，公司经营范围变更为：出版物、包装装潢印刷品、其 他类印刷品印刷；纸制品的生产销售、高档防伪纸张的防伪处理、销售；数据打 印系统的开发、生产；科技信息咨询服务；</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卡产品和智能标签产品的生产、销 售。</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月，公司经营范围变更为：出版物、包装装潢印刷品、其他印 刷品印刷，办公用纸、纸制品的生产、销售，高档纸张的防伪处理、销售，磁卡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卡、智能卡、识别卡和智能标签的开发、生产、销售，印刷器材、电子设备及 产品、办公自动化设备及产品、电子元器件的开发、生产、销售，软件产品的开 发、生产、销售，信息系统集成工程及技术服务，数据及信息处理服务，科技信 息咨询服务，商品和技术的进出口，自有房屋租赁。</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月，公司经营 范围变更为：出版物、包装装潢印刷品及其他印刷品印刷；办公用纸、纸制品的 生产；高档纸张的防伪处理，磁卡、</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卡、智能卡、识别卡和智能标签、印刷器 材、电子设备及产品、办公自动化设备及产品、电子元器件、软件产品的开发、 生产，销售本公司生产的产品；信息系统集成工程及技术服务，数据及信息处理 服务，科技信息咨询服务；印刷品设计服务；从事上述产品的批发；技术进出口 自有房屋租赁。</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月，公司经营范围变更为：出版物、包装装潢印刷 品及其他印刷品印刷；办公用纸、纸制品的生产；高档纸张的防伪处理，磁卡、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卡、智能卡、识别卡和智能标签、印刷器材、电子设备及产品、办公自动化设 备及产品、电子元器件、软件产品的开发、生产，销售本公司生产的产品；信息 系统集成工程及技术服务，数据及信息处理服务，科技信息咨询服务；从事上述 产品的批发；图书期刊、音像制品、电子出版物的批发及网络销售；档案存储及 数字化加工服务，档案管理、咨询服务；技术进出口，自有房屋租赁。</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月，公司经营范围变更为：出版物、包装装潢印刷品及其他印刷品印刷；办 公用纸、纸制品的生产；高档纸张的防伪处理，磁卡、</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卡、智能卡、识别卡和 智能标签、印刷器材、电子设备及产品、办公自动化设备及产品、电子元器件、 软件产品的开发、生产，销售本公司生产的产品；信息系统集成工程及技术服务 数据及信息处理服务，科技信息咨询服务；从事上述产品的批发；图书期刊、音 像制品、电子出版物的批发及网络销售；档案存储及数字化加工服务，档案管理 咨询服务；代理广告业务；接受金融机构委托从事金融业务流程外包；技术进出 口，自有房屋租赁。</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月，公司经营范围变更为：出版物、包装装潢 印刷品及其他印刷品印刷；办公用纸、纸制品的生产；高档纸张的防伪处理，磁 卡、</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卡、智能卡、识别卡和智能标签、印刷器材、电子设备及产品、办公自动 化设备及产品、电子元器件、软件产品的开发、生产，销售本公司生产的产品； 信息系统集成工程及技术服务，数据及信息处理服务，科技信息咨询服务；从事 上述产品的批发；图书期刊、音像制品、电子出版物的批发及网络销售；档案存 储及数字化加工服务，档案管理、咨询服务；代理广告业务；接受金融机构委托 从事金融业务流程外包；技术进出口，自有房屋租赁；经国家密码管理机构批准 的商用密码产品开发、生产，销售经国家密码管理局批准并通过指定检测机构产 </w:t>
                        </w:r>
                        <w:r>
                          <w:rPr>
                            <w:rFonts w:ascii="宋体" w:hAnsi="宋体" w:cs="宋体" w:eastAsia="宋体" w:hint="default"/>
                            <w:spacing w:val="-5"/>
                            <w:sz w:val="18"/>
                            <w:szCs w:val="18"/>
                          </w:rPr>
                          <w:t>品质量检测的商用密码产品（以上两项有效期以许可证为准）；自助终端设备的开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发、生产、销售。</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月，公司经营范围变更为：出版物、包装装潢印 </w:t>
                        </w:r>
                        <w:r>
                          <w:rPr>
                            <w:rFonts w:ascii="宋体" w:hAnsi="宋体" w:cs="宋体" w:eastAsia="宋体" w:hint="default"/>
                            <w:spacing w:val="-5"/>
                            <w:sz w:val="18"/>
                            <w:szCs w:val="18"/>
                          </w:rPr>
                          <w:t>刷品及其他印刷品印刷（有效期以许可证为准）；办公用纸、纸制品的生产；高档</w:t>
                        </w:r>
                      </w:p>
                    </w:tc>
                  </w:tr>
                </w:tbl>
                <w:p>
                  <w:pPr/>
                </w:p>
              </w:txbxContent>
            </v:textbox>
            <w10:wrap type="none"/>
          </v:shape>
        </w:pict>
      </w:r>
    </w:p>
    <w:p>
      <w:pPr>
        <w:pStyle w:val="Heading2"/>
        <w:spacing w:line="240" w:lineRule="auto" w:before="26"/>
        <w:ind w:right="1121"/>
        <w:jc w:val="left"/>
        <w:rPr>
          <w:b w:val="0"/>
          <w:bCs w:val="0"/>
        </w:rPr>
      </w:pPr>
      <w:bookmarkStart w:name="四、注册变更情况" w:id="8"/>
      <w:bookmarkEnd w:id="8"/>
      <w:r>
        <w:rPr>
          <w:b w:val="0"/>
          <w:bCs w:val="0"/>
        </w:rPr>
      </w: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BodyText"/>
        <w:spacing w:line="240" w:lineRule="auto" w:before="44"/>
        <w:ind w:left="0" w:right="113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0" w:right="113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before="44"/>
        <w:ind w:left="0" w:right="1139"/>
        <w:jc w:val="right"/>
      </w:pPr>
      <w:r>
        <w:rPr/>
        <w:t>，</w:t>
      </w:r>
    </w:p>
    <w:p>
      <w:pPr>
        <w:spacing w:line="240" w:lineRule="auto" w:before="4"/>
        <w:rPr>
          <w:rFonts w:ascii="宋体" w:hAnsi="宋体" w:cs="宋体" w:eastAsia="宋体" w:hint="default"/>
          <w:sz w:val="26"/>
          <w:szCs w:val="26"/>
        </w:rPr>
      </w:pPr>
    </w:p>
    <w:p>
      <w:pPr>
        <w:pStyle w:val="BodyText"/>
        <w:spacing w:line="240" w:lineRule="auto" w:before="44"/>
        <w:ind w:left="0" w:right="1140"/>
        <w:jc w:val="right"/>
      </w:pP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BodyText"/>
        <w:spacing w:line="240" w:lineRule="auto" w:before="44"/>
        <w:ind w:left="0" w:right="1141"/>
        <w:jc w:val="right"/>
      </w:pPr>
      <w:r>
        <w:rPr/>
        <w:pict>
          <v:shape style="position:absolute;margin-left:56.459999pt;margin-top:-61.228302pt;width:479.2pt;height:381.9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6379"/>
                  </w:tblGrid>
                  <w:tr>
                    <w:trPr>
                      <w:trHeight w:val="7227"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45"/>
                          <w:jc w:val="left"/>
                          <w:rPr>
                            <w:rFonts w:ascii="宋体" w:hAnsi="宋体" w:cs="宋体" w:eastAsia="宋体" w:hint="default"/>
                            <w:sz w:val="18"/>
                            <w:szCs w:val="18"/>
                          </w:rPr>
                        </w:pPr>
                        <w:r>
                          <w:rPr>
                            <w:rFonts w:ascii="宋体" w:hAnsi="宋体" w:cs="宋体" w:eastAsia="宋体" w:hint="default"/>
                            <w:sz w:val="18"/>
                            <w:szCs w:val="18"/>
                          </w:rPr>
                          <w:t>纸张的防伪处理，磁卡、</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卡、智能卡、识别卡和智能标签、印刷器材、电子设 备及产品、办公自动化设备及产品、电子元器件、软件产品的开发、生产，销售 本公司生产的产品；信息系统集成工程及技术服务，数据及信息处理服务，科技 信息咨询服务；从事上述产品的批发；图书期刊、音像制品、电子出版物的批发 </w:t>
                        </w:r>
                        <w:r>
                          <w:rPr>
                            <w:rFonts w:ascii="宋体" w:hAnsi="宋体" w:cs="宋体" w:eastAsia="宋体" w:hint="default"/>
                            <w:spacing w:val="-7"/>
                            <w:sz w:val="18"/>
                            <w:szCs w:val="18"/>
                          </w:rPr>
                          <w:t>及网络销售（凭许可证经营）；档案存储及数字化加工服务，档案管理、咨询服务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代理广告业务；接受金融机构委托从事金融业务流程外包；技术进出口，自有房 屋租赁；经国家密码管理机构批准的商用密码产品开发、生产，销售经国家密码 管理局批准并通过指定检测机构产品质量检测的商用密码产品（以上两项有效期 </w:t>
                        </w:r>
                        <w:r>
                          <w:rPr>
                            <w:rFonts w:ascii="宋体" w:hAnsi="宋体" w:cs="宋体" w:eastAsia="宋体" w:hint="default"/>
                            <w:spacing w:val="-5"/>
                            <w:sz w:val="18"/>
                            <w:szCs w:val="18"/>
                          </w:rPr>
                          <w:t>以许可证为准）；自助终端设备的开发、生产、销售</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普通货运（凭许可证经营）；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仓储服务（不含危险品）；物流配送。（依法须经批准的项目，经相关部门批准后</w:t>
                        </w:r>
                        <w:r>
                          <w:rPr>
                            <w:rFonts w:ascii="宋体" w:hAnsi="宋体" w:cs="宋体" w:eastAsia="宋体" w:hint="default"/>
                            <w:sz w:val="18"/>
                            <w:szCs w:val="18"/>
                          </w:rPr>
                          <w:t> </w:t>
                        </w:r>
                        <w:r>
                          <w:rPr>
                            <w:rFonts w:ascii="宋体" w:hAnsi="宋体" w:cs="宋体" w:eastAsia="宋体" w:hint="default"/>
                            <w:spacing w:val="-6"/>
                            <w:sz w:val="18"/>
                            <w:szCs w:val="18"/>
                          </w:rPr>
                          <w:t>方可开展经营活动）。</w:t>
                        </w:r>
                        <w:r>
                          <w:rPr>
                            <w:rFonts w:ascii="Times New Roman" w:hAnsi="Times New Roman" w:cs="Times New Roman" w:eastAsia="Times New Roman" w:hint="default"/>
                            <w:spacing w:val="-6"/>
                            <w:sz w:val="18"/>
                            <w:szCs w:val="18"/>
                          </w:rPr>
                          <w:t>9</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月，公司经营范围变更为：出版物、包装装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潢印刷品及其他印刷品印刷（有效期以许可证为准）；办公用纸、纸制品的生产；</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高档纸张的防伪处理，磁卡、</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卡、智能卡、识别卡和智能标签、印刷器材、电 子设备及产品、办公自动化设备及产品、电子元器件、软件产品的开发、生产， 销售本公司生产的产品；信息系统集成工程及技术服务，数据及信息处理服务， 科技信息咨询服务；从事上述产品的批发；图书期刊、音像制品、电子出版物的 </w:t>
                        </w:r>
                        <w:r>
                          <w:rPr>
                            <w:rFonts w:ascii="宋体" w:hAnsi="宋体" w:cs="宋体" w:eastAsia="宋体" w:hint="default"/>
                            <w:spacing w:val="-5"/>
                            <w:sz w:val="18"/>
                            <w:szCs w:val="18"/>
                          </w:rPr>
                          <w:t>批发及网络销售（凭许可证经营）；档案存储及数字化加工服务，档案管理、咨询</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服务；代理广告业务；接受金融机构委托从事金融业务流程外包；技术进出口， 自有房屋租赁；经国家密码管理机构批准的商用密码产品开发、生产，销售经国 家密码管理局批准并通过指定检测机构产品质量检测的商用密码产品（以上两项 </w:t>
                        </w:r>
                        <w:r>
                          <w:rPr>
                            <w:rFonts w:ascii="宋体" w:hAnsi="宋体" w:cs="宋体" w:eastAsia="宋体" w:hint="default"/>
                            <w:spacing w:val="-3"/>
                            <w:sz w:val="18"/>
                            <w:szCs w:val="18"/>
                          </w:rPr>
                          <w:t>有效期以许可证为准）；自助终端设备的开发、生产、销售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普通货运（凭许可证</w:t>
                        </w:r>
                        <w:r>
                          <w:rPr>
                            <w:rFonts w:ascii="宋体" w:hAnsi="宋体" w:cs="宋体" w:eastAsia="宋体" w:hint="default"/>
                            <w:spacing w:val="-72"/>
                            <w:sz w:val="18"/>
                            <w:szCs w:val="18"/>
                          </w:rPr>
                          <w:t> </w:t>
                        </w:r>
                        <w:r>
                          <w:rPr>
                            <w:rFonts w:ascii="宋体" w:hAnsi="宋体" w:cs="宋体" w:eastAsia="宋体" w:hint="default"/>
                            <w:spacing w:val="-9"/>
                            <w:w w:val="99"/>
                            <w:sz w:val="18"/>
                            <w:szCs w:val="18"/>
                          </w:rPr>
                          <w:t>经营）；仓储服务（不含危险品）；物流配送；标牌制作，</w:t>
                        </w:r>
                        <w:r>
                          <w:rPr>
                            <w:rFonts w:ascii="Times New Roman" w:hAnsi="Times New Roman" w:cs="Times New Roman" w:eastAsia="Times New Roman" w:hint="default"/>
                            <w:spacing w:val="-9"/>
                            <w:w w:val="99"/>
                            <w:sz w:val="18"/>
                            <w:szCs w:val="18"/>
                          </w:rPr>
                          <w:t>RFID</w:t>
                        </w:r>
                        <w:r>
                          <w:rPr>
                            <w:rFonts w:ascii="Times New Roman" w:hAnsi="Times New Roman" w:cs="Times New Roman" w:eastAsia="Times New Roman" w:hint="default"/>
                            <w:w w:val="99"/>
                            <w:sz w:val="18"/>
                            <w:szCs w:val="18"/>
                          </w:rPr>
                          <w:t> </w:t>
                        </w:r>
                        <w:r>
                          <w:rPr>
                            <w:rFonts w:ascii="宋体" w:hAnsi="宋体" w:cs="宋体" w:eastAsia="宋体" w:hint="default"/>
                            <w:spacing w:val="-2"/>
                            <w:sz w:val="18"/>
                            <w:szCs w:val="18"/>
                          </w:rPr>
                          <w:t>产品的研发、生产</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6"/>
                            <w:sz w:val="18"/>
                            <w:szCs w:val="18"/>
                          </w:rPr>
                          <w:t>及销售。（依法须经批准的项目，经相关部门批准后方可开展经营活动）。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日，公司变更为无控股股东、无实际控制人</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2"/>
        <w:spacing w:line="240" w:lineRule="auto" w:before="26"/>
        <w:ind w:right="1121"/>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1"/>
        <w:jc w:val="left"/>
      </w:pPr>
      <w:r>
        <w:rPr/>
        <w:t>公司聘请的会计师事务所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北京市东城区永定门西滨河路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号楼中海地产广场西塔</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层</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姜斌，安小梅</w:t>
            </w:r>
          </w:p>
        </w:tc>
      </w:tr>
    </w:tbl>
    <w:p>
      <w:pPr>
        <w:pStyle w:val="BodyText"/>
        <w:spacing w:line="240" w:lineRule="auto" w:before="51"/>
        <w:ind w:right="1121"/>
        <w:jc w:val="left"/>
      </w:pPr>
      <w:r>
        <w:rPr/>
        <w:t>公司聘请的报告期内履行持续督导职责的保荐机构</w:t>
      </w:r>
    </w:p>
    <w:p>
      <w:pPr>
        <w:pStyle w:val="BodyText"/>
        <w:spacing w:line="340" w:lineRule="auto" w:before="116"/>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0"/>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21"/>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1"/>
        <w:jc w:val="left"/>
      </w:pPr>
      <w:r>
        <w:rPr/>
        <w:t>公司是否需追溯调整或重述以前年度会计数据</w:t>
      </w:r>
    </w:p>
    <w:p>
      <w:pPr>
        <w:pStyle w:val="BodyText"/>
        <w:spacing w:line="240" w:lineRule="auto" w:before="116"/>
        <w:ind w:right="112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1,545,650,437.20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1,429,501,112.10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1,491,364,440.95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256,767,604.63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232,105,571.41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219,143,663.99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234,273,523.44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209,673,433.26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11.73%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209,013,760.28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315,689,156.33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325,574,525.69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192,439,493.36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0.7058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0.6380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0.6024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0.7058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0.6380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0.6024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15.11%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2,312,716,835.99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2,236,810,809.24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2,209,097,358.54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1,626,632,074.83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1,515,375,515.80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1,522,089,831.64</w:t>
            </w:r>
          </w:p>
        </w:tc>
      </w:tr>
    </w:tbl>
    <w:p>
      <w:pPr>
        <w:spacing w:line="240" w:lineRule="auto" w:before="2"/>
        <w:rPr>
          <w:rFonts w:ascii="宋体" w:hAnsi="宋体" w:cs="宋体" w:eastAsia="宋体" w:hint="default"/>
          <w:sz w:val="18"/>
          <w:szCs w:val="18"/>
        </w:rPr>
      </w:pPr>
    </w:p>
    <w:p>
      <w:pPr>
        <w:pStyle w:val="Heading2"/>
        <w:spacing w:line="240" w:lineRule="auto" w:before="26"/>
        <w:ind w:right="1121"/>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1"/>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22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3"/>
        <w:spacing w:line="240" w:lineRule="auto"/>
        <w:ind w:right="1121"/>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1121"/>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407,093,294.88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430,552,634.27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327,629,511.64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380,374,996.41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60,293,090.64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71,964,891.26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63,455,590.53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61,054,032.20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60,205,789.37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70,622,637.94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61,014,001.42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42,431,094.71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-168,200,431.09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103,637,919.57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48,760,206.21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331,491,461.64</w:t>
            </w:r>
          </w:p>
        </w:tc>
      </w:tr>
    </w:tbl>
    <w:p>
      <w:pPr>
        <w:pStyle w:val="BodyText"/>
        <w:spacing w:line="240" w:lineRule="auto" w:before="51"/>
        <w:ind w:right="1121"/>
        <w:jc w:val="left"/>
      </w:pPr>
      <w:r>
        <w:rPr/>
        <w:t>上述财务指标或其加总数是否与公司已披露季度报告、半年度报告相关财务指标存在重大差异</w:t>
      </w:r>
    </w:p>
    <w:p>
      <w:pPr>
        <w:pStyle w:val="BodyText"/>
        <w:spacing w:line="240" w:lineRule="auto" w:before="117"/>
        <w:ind w:right="112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1"/>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-262,662.42</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-30,439.30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-795,159.70</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9,976,977.82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19,038,045.38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13,546,390.45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296,893.60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13,313,797.29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5,464,835.75</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2,438,845.92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1,539,552.07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1,289,248.93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986,115.01</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3,972,269.20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3,892,500.42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2,094,115.38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-13,276.77</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-15,751.07</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1,816,460.59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22,494,081.19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22,432,138.15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10,129,903.71</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1121"/>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121"/>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316" w:lineRule="auto" w:before="25"/>
        <w:ind w:left="516" w:right="1121" w:hanging="93"/>
        <w:jc w:val="left"/>
      </w:pPr>
      <w:r>
        <w:rPr/>
        <w:t>（一）、主营业务 </w:t>
      </w:r>
      <w:r>
        <w:rPr>
          <w:spacing w:val="-2"/>
        </w:rPr>
        <w:t>目前公司的主要业务分为印刷类业务，覆合类业务和技术服务类业务。其中印刷类业务包括：商业票证印刷，数据处理</w:t>
      </w:r>
    </w:p>
    <w:p>
      <w:pPr>
        <w:pStyle w:val="BodyText"/>
        <w:spacing w:line="300" w:lineRule="auto" w:before="19"/>
        <w:ind w:right="1162"/>
        <w:jc w:val="left"/>
      </w:pPr>
      <w:r>
        <w:rPr/>
        <w:t>打印与邮发封装，个性化彩色印刷和普通商业标签；覆合类业务包括：智能卡制造与个性化处理与</w:t>
      </w:r>
      <w:r>
        <w:rPr>
          <w:rFonts w:ascii="Times New Roman" w:hAnsi="Times New Roman" w:cs="Times New Roman" w:eastAsia="Times New Roman" w:hint="default"/>
        </w:rPr>
        <w:t>RFID</w:t>
      </w:r>
      <w:r>
        <w:rPr/>
        <w:t>智能标签；技术服 务类业务包括：电子票证服务，彩票销售终端的研发、运营以及档案存储与电子化等。</w:t>
      </w:r>
    </w:p>
    <w:p>
      <w:pPr>
        <w:pStyle w:val="BodyText"/>
        <w:spacing w:line="316" w:lineRule="auto" w:before="31"/>
        <w:ind w:left="516" w:right="1121" w:hanging="72"/>
        <w:jc w:val="left"/>
      </w:pPr>
      <w:r>
        <w:rPr/>
        <w:t>（二）、经营模式 </w:t>
      </w:r>
      <w:r>
        <w:rPr>
          <w:spacing w:val="-2"/>
        </w:rPr>
        <w:t>公司三类业务的主要客户均为银行、保险等金融企业客户，财政、税务等政府类客户，以及大型企业类客户，公司建有</w:t>
      </w:r>
    </w:p>
    <w:p>
      <w:pPr>
        <w:pStyle w:val="BodyText"/>
        <w:spacing w:line="309" w:lineRule="auto" w:before="19"/>
        <w:ind w:right="1032"/>
        <w:jc w:val="left"/>
      </w:pPr>
      <w:r>
        <w:rPr/>
        <w:t>统一的运营平台，有利于资源共享，效率最高。在销售方面，我公司在全国</w:t>
      </w:r>
      <w:r>
        <w:rPr>
          <w:rFonts w:ascii="Times New Roman" w:hAnsi="Times New Roman" w:cs="Times New Roman" w:eastAsia="Times New Roman" w:hint="default"/>
        </w:rPr>
        <w:t>30</w:t>
      </w:r>
      <w:r>
        <w:rPr/>
        <w:t>多个省市设立了联络处，销售范围覆盖全国， </w:t>
      </w:r>
      <w:r>
        <w:rPr>
          <w:spacing w:val="-2"/>
        </w:rPr>
        <w:t>通过参加公开招标、为客户提供定制化产品的方式，为全国客户提供优质、及时、专业的服务，可有效地满足各地客户对各</w:t>
      </w:r>
      <w:r>
        <w:rPr>
          <w:spacing w:val="-65"/>
        </w:rPr>
        <w:t> </w:t>
      </w:r>
      <w:r>
        <w:rPr>
          <w:spacing w:val="-65"/>
        </w:rPr>
      </w:r>
      <w:r>
        <w:rPr/>
        <w:t>项业务的需求。</w:t>
      </w:r>
    </w:p>
    <w:p>
      <w:pPr>
        <w:pStyle w:val="BodyText"/>
        <w:spacing w:line="307" w:lineRule="auto" w:before="24"/>
        <w:ind w:right="1130" w:firstLine="362"/>
        <w:jc w:val="both"/>
      </w:pPr>
      <w:r>
        <w:rPr/>
        <w:t>在生产方面，本公司在济南、北京、上海、广州等重点城市，建设有</w:t>
      </w:r>
      <w:r>
        <w:rPr>
          <w:rFonts w:ascii="Times New Roman" w:hAnsi="Times New Roman" w:cs="Times New Roman" w:eastAsia="Times New Roman" w:hint="default"/>
        </w:rPr>
        <w:t>9</w:t>
      </w:r>
      <w:r>
        <w:rPr/>
        <w:t>个生产基地，在</w:t>
      </w:r>
      <w:r>
        <w:rPr>
          <w:rFonts w:ascii="宋体" w:hAnsi="宋体" w:cs="宋体" w:eastAsia="宋体" w:hint="default"/>
        </w:rPr>
        <w:t>18</w:t>
      </w:r>
      <w:r>
        <w:rPr/>
        <w:t>个主要城市建设有</w:t>
      </w:r>
      <w:r>
        <w:rPr>
          <w:rFonts w:ascii="宋体" w:hAnsi="宋体" w:cs="宋体" w:eastAsia="宋体" w:hint="default"/>
        </w:rPr>
        <w:t>24</w:t>
      </w:r>
      <w:r>
        <w:rPr/>
        <w:t>个档案存 </w:t>
      </w:r>
      <w:r>
        <w:rPr>
          <w:spacing w:val="-2"/>
        </w:rPr>
        <w:t>储基地，并在全集团范围内实施了</w:t>
      </w:r>
      <w:r>
        <w:rPr>
          <w:rFonts w:ascii="Times New Roman" w:hAnsi="Times New Roman" w:cs="Times New Roman" w:eastAsia="Times New Roman" w:hint="default"/>
          <w:spacing w:val="-2"/>
        </w:rPr>
        <w:t>ERP</w:t>
      </w:r>
      <w:r>
        <w:rPr>
          <w:spacing w:val="-2"/>
        </w:rPr>
        <w:t>企业资源管理系统，将经营和生产过程中各个环节进行信息集成，合理调配生产原辅</w:t>
      </w:r>
      <w:r>
        <w:rPr>
          <w:spacing w:val="-37"/>
        </w:rPr>
        <w:t> </w:t>
      </w:r>
      <w:r>
        <w:rPr>
          <w:spacing w:val="-37"/>
        </w:rPr>
      </w:r>
      <w:r>
        <w:rPr>
          <w:spacing w:val="-2"/>
        </w:rPr>
        <w:t>材料和业务流程，全面提升了公司的生产管理水平，使公司较同行具备生产覆盖半径广，对客户需求反应速度快，服务成本</w:t>
      </w:r>
      <w:r>
        <w:rPr>
          <w:spacing w:val="-66"/>
        </w:rPr>
        <w:t> </w:t>
      </w:r>
      <w:r>
        <w:rPr>
          <w:spacing w:val="-66"/>
        </w:rPr>
      </w:r>
      <w:r>
        <w:rPr/>
        <w:t>低的优势。</w:t>
      </w:r>
    </w:p>
    <w:p>
      <w:pPr>
        <w:pStyle w:val="BodyText"/>
        <w:spacing w:line="316" w:lineRule="auto" w:before="26"/>
        <w:ind w:left="501" w:right="1121"/>
        <w:jc w:val="left"/>
      </w:pPr>
      <w:r>
        <w:rPr/>
        <w:t>（三）、研发能力 </w:t>
      </w:r>
      <w:r>
        <w:rPr>
          <w:spacing w:val="-2"/>
        </w:rPr>
        <w:t>本公司建有北京、上海、济南、广州四个研发中心，建立了完善的研发体系。公司在防伪技术、信息技术、智能标签技</w:t>
      </w:r>
    </w:p>
    <w:p>
      <w:pPr>
        <w:pStyle w:val="BodyText"/>
        <w:spacing w:line="316" w:lineRule="auto" w:before="19"/>
        <w:ind w:right="1121"/>
        <w:jc w:val="left"/>
      </w:pPr>
      <w:r>
        <w:rPr>
          <w:spacing w:val="-2"/>
        </w:rPr>
        <w:t>术、人工智能技术和区块链技术领域投入了大量资源，并在行业应用方面取得了良好效果。整体研发实力和能力居于行业领</w:t>
      </w:r>
      <w:r>
        <w:rPr>
          <w:spacing w:val="-66"/>
        </w:rPr>
        <w:t> </w:t>
      </w:r>
      <w:r>
        <w:rPr>
          <w:spacing w:val="-66"/>
        </w:rPr>
      </w:r>
      <w:r>
        <w:rPr/>
        <w:t>先地位。</w:t>
      </w:r>
    </w:p>
    <w:p>
      <w:pPr>
        <w:pStyle w:val="BodyText"/>
        <w:spacing w:line="316" w:lineRule="auto" w:before="19"/>
        <w:ind w:left="516" w:right="1121" w:hanging="72"/>
        <w:jc w:val="left"/>
      </w:pPr>
      <w:r>
        <w:rPr/>
        <w:t>（四）、行业地位 </w:t>
      </w:r>
      <w:r>
        <w:rPr>
          <w:spacing w:val="-2"/>
        </w:rPr>
        <w:t>经过多年的努力，在印刷业务方面，凭借优异的产品、有效的服务、良好的信誉，公司获得了多家全国性金融企业和政</w:t>
      </w:r>
    </w:p>
    <w:p>
      <w:pPr>
        <w:pStyle w:val="BodyText"/>
        <w:spacing w:line="316" w:lineRule="auto" w:before="19"/>
        <w:ind w:right="0"/>
        <w:jc w:val="left"/>
      </w:pPr>
      <w:r>
        <w:rPr>
          <w:spacing w:val="-2"/>
        </w:rPr>
        <w:t>府财税部门的定点供应商资质，为客户提供了大量的票证、彩印、数据打印等各类产品及服务，在产品质量、服务水平、安</w:t>
      </w:r>
      <w:r>
        <w:rPr>
          <w:spacing w:val="-68"/>
        </w:rPr>
        <w:t> </w:t>
      </w:r>
      <w:r>
        <w:rPr>
          <w:spacing w:val="-68"/>
        </w:rPr>
      </w:r>
      <w:r>
        <w:rPr>
          <w:spacing w:val="-4"/>
        </w:rPr>
        <w:t>全保密等方面受到了合作客户的一致好评，在服务覆盖面积、产品销量、经营业绩等多个方面居于全国同行业中的领先地位。</w:t>
      </w:r>
      <w:r>
        <w:rPr>
          <w:spacing w:val="-44"/>
        </w:rPr>
        <w:t> </w:t>
      </w:r>
      <w:r>
        <w:rPr>
          <w:spacing w:val="-44"/>
        </w:rPr>
      </w:r>
      <w:r>
        <w:rPr/>
        <w:t>近年来，公司智能卡与</w:t>
      </w:r>
      <w:r>
        <w:rPr>
          <w:rFonts w:ascii="宋体" w:hAnsi="宋体" w:cs="宋体" w:eastAsia="宋体" w:hint="default"/>
        </w:rPr>
        <w:t>RFID</w:t>
      </w:r>
      <w:r>
        <w:rPr/>
        <w:t>业务发展迅速，市场份额迅速扩大，在行业内的影响力不断提升。</w:t>
      </w:r>
    </w:p>
    <w:p>
      <w:pPr>
        <w:pStyle w:val="BodyText"/>
        <w:spacing w:line="316" w:lineRule="auto" w:before="19"/>
        <w:ind w:right="1048" w:firstLine="362"/>
        <w:jc w:val="both"/>
      </w:pPr>
      <w:r>
        <w:rPr/>
        <w:t>报告期内，公司积极推进业务转型，所开发的电子发票，彩票销售终端和档案存储及电子化业务，销售收入快速增长， 形成一定规模，市场影响力在各细分领域均居于领先地位，公司正在向信息技术服务行业积极探索。</w:t>
      </w:r>
    </w:p>
    <w:p>
      <w:pPr>
        <w:spacing w:line="240" w:lineRule="auto" w:before="10"/>
        <w:rPr>
          <w:rFonts w:ascii="宋体" w:hAnsi="宋体" w:cs="宋体" w:eastAsia="宋体" w:hint="default"/>
          <w:sz w:val="20"/>
          <w:szCs w:val="20"/>
        </w:rPr>
      </w:pPr>
    </w:p>
    <w:p>
      <w:pPr>
        <w:pStyle w:val="Heading2"/>
        <w:spacing w:line="240" w:lineRule="auto"/>
        <w:ind w:right="1121"/>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1"/>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1"/>
        <w:jc w:val="left"/>
      </w:pPr>
      <w:r>
        <w:rPr/>
        <w:t>无</w:t>
      </w:r>
    </w:p>
    <w:p>
      <w:pPr>
        <w:spacing w:line="240" w:lineRule="auto" w:before="10"/>
        <w:rPr>
          <w:rFonts w:ascii="宋体" w:hAnsi="宋体" w:cs="宋体" w:eastAsia="宋体" w:hint="default"/>
          <w:sz w:val="26"/>
          <w:szCs w:val="26"/>
        </w:rPr>
      </w:pPr>
    </w:p>
    <w:p>
      <w:pPr>
        <w:pStyle w:val="Heading3"/>
        <w:spacing w:line="240" w:lineRule="auto"/>
        <w:ind w:right="1121"/>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1"/>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16" w:lineRule="auto" w:before="28"/>
        <w:ind w:right="1184" w:firstLine="388"/>
        <w:jc w:val="left"/>
      </w:pPr>
      <w:r>
        <w:rPr/>
        <w:t>公司多年来，不断总结经验，探索新的产品和业务，逐渐在业务创新、管理机制、市场、技术等方面形成了特有的竞 争优势。</w:t>
      </w:r>
    </w:p>
    <w:p>
      <w:pPr>
        <w:pStyle w:val="BodyText"/>
        <w:spacing w:line="316" w:lineRule="auto" w:before="19"/>
        <w:ind w:left="542" w:right="1184"/>
        <w:jc w:val="left"/>
      </w:pPr>
      <w:r>
        <w:rPr/>
        <w:t>一、业务创新优势 公司形成了创新型企业文化和以市场需求为导向的创新体系。公司本着市场唯先，用户至上的经营理念，在充分了解</w:t>
      </w:r>
    </w:p>
    <w:p>
      <w:pPr>
        <w:pStyle w:val="BodyText"/>
        <w:spacing w:line="309" w:lineRule="auto" w:before="19"/>
        <w:ind w:right="1032"/>
        <w:jc w:val="left"/>
      </w:pPr>
      <w:r>
        <w:rPr>
          <w:spacing w:val="-4"/>
        </w:rPr>
        <w:t>客户需求的基础上，研究市场动态，通过不断创新，保持在各项业务领域的领先。在产品方面，公司不断提高产品技术含量，</w:t>
      </w:r>
      <w:r>
        <w:rPr>
          <w:spacing w:val="-44"/>
        </w:rPr>
        <w:t> </w:t>
      </w:r>
      <w:r>
        <w:rPr>
          <w:spacing w:val="-44"/>
        </w:rPr>
      </w:r>
      <w:r>
        <w:rPr/>
        <w:t>由原来的单一票证类印刷品，发展成为集票证类印刷品、数据处理打印服务、</w:t>
      </w:r>
      <w:r>
        <w:rPr>
          <w:rFonts w:ascii="Times New Roman" w:hAnsi="Times New Roman" w:cs="Times New Roman" w:eastAsia="Times New Roman" w:hint="default"/>
        </w:rPr>
        <w:t>RFID</w:t>
      </w:r>
      <w:r>
        <w:rPr/>
        <w:t>标签、智能卡为一体的产品体系，在业 务领域方面，公司在提供实物产品的基础上，为客户提供数据外包服务、系统集成服务、软件开发和信息服务等多种服务， </w:t>
      </w:r>
      <w:r>
        <w:rPr>
          <w:spacing w:val="-2"/>
        </w:rPr>
        <w:t>自</w:t>
      </w:r>
      <w:r>
        <w:rPr>
          <w:rFonts w:ascii="Times New Roman" w:hAnsi="Times New Roman" w:cs="Times New Roman" w:eastAsia="Times New Roman" w:hint="default"/>
          <w:spacing w:val="-2"/>
        </w:rPr>
        <w:t>2013</w:t>
      </w:r>
      <w:r>
        <w:rPr>
          <w:spacing w:val="-2"/>
        </w:rPr>
        <w:t>年起公司尝试互联网等新技术业务领域，研发了电子发票、新渠道彩票销售、档案存储及电子化服务业务。新业务的</w:t>
      </w:r>
      <w:r>
        <w:rPr>
          <w:spacing w:val="-62"/>
        </w:rPr>
        <w:t> </w:t>
      </w:r>
      <w:r>
        <w:rPr>
          <w:spacing w:val="-62"/>
        </w:rPr>
      </w:r>
      <w:r>
        <w:rPr/>
        <w:t>推出，获得了市场及客户的认可，信息服务产业的收入逐年增加，公司逐渐由传统的制造厂商转型为信息技术服务供应商。</w:t>
      </w:r>
    </w:p>
    <w:p>
      <w:pPr>
        <w:pStyle w:val="BodyText"/>
        <w:spacing w:line="316" w:lineRule="auto" w:before="24"/>
        <w:ind w:left="542" w:right="1184"/>
        <w:jc w:val="left"/>
      </w:pPr>
      <w:r>
        <w:rPr/>
        <w:t>二、管理机制优势 公司根据上市公司治理准则，建立了适应市场发展的管理体制，兼顾股东、客户和员工三方利益。根据市场不同阶段</w:t>
      </w:r>
    </w:p>
    <w:p>
      <w:pPr>
        <w:pStyle w:val="BodyText"/>
        <w:spacing w:line="316" w:lineRule="auto" w:before="19"/>
        <w:ind w:right="1133"/>
        <w:jc w:val="both"/>
      </w:pPr>
      <w:r>
        <w:rPr>
          <w:spacing w:val="-2"/>
        </w:rPr>
        <w:t>的特征适时进行调整和改进，在规范的基础上有效地调动各级员工的积极性。公司建立了多层级的薪酬和奖励体系，一是实</w:t>
      </w:r>
      <w:r>
        <w:rPr>
          <w:spacing w:val="-66"/>
        </w:rPr>
        <w:t> </w:t>
      </w:r>
      <w:r>
        <w:rPr>
          <w:spacing w:val="-66"/>
        </w:rPr>
      </w:r>
      <w:r>
        <w:rPr>
          <w:spacing w:val="-2"/>
        </w:rPr>
        <w:t>施了以业绩指标为导向的薪酬管理体系，二是对主要经营管理层人员实施了管理层持股，三是推行了员工持股计划，使员工</w:t>
      </w:r>
      <w:r>
        <w:rPr>
          <w:spacing w:val="-66"/>
        </w:rPr>
        <w:t> </w:t>
      </w:r>
      <w:r>
        <w:rPr>
          <w:spacing w:val="-66"/>
        </w:rPr>
      </w:r>
      <w:r>
        <w:rPr/>
        <w:t>获得了与公司共同发展的机会，为公司长期稳定的发展奠定了基础。</w:t>
      </w:r>
    </w:p>
    <w:p>
      <w:pPr>
        <w:pStyle w:val="BodyText"/>
        <w:spacing w:line="316" w:lineRule="auto" w:before="19"/>
        <w:ind w:right="1184" w:firstLine="388"/>
        <w:jc w:val="left"/>
      </w:pPr>
      <w:r>
        <w:rPr/>
        <w:t>公司具备高效的执行力。公司崇尚实干精神，形成了脚踏实地，精益求精的执行力体系，在制定计划、实施推广等各 个环节重实干、讲实效，以严谨细致的态度把工作完成，从而形成了高效的执行力团队。</w:t>
      </w:r>
    </w:p>
    <w:p>
      <w:pPr>
        <w:pStyle w:val="BodyText"/>
        <w:spacing w:line="316" w:lineRule="auto" w:before="19"/>
        <w:ind w:left="542" w:right="1184"/>
        <w:jc w:val="left"/>
      </w:pPr>
      <w:r>
        <w:rPr/>
        <w:t>三、市场优势 经过多年的发展，公司建成了覆盖全国的销售和生产服务网络，在全国重点城市建立了</w:t>
      </w:r>
      <w:r>
        <w:rPr>
          <w:rFonts w:ascii="Times New Roman" w:hAnsi="Times New Roman" w:cs="Times New Roman" w:eastAsia="Times New Roman" w:hint="default"/>
        </w:rPr>
        <w:t>30</w:t>
      </w:r>
      <w:r>
        <w:rPr/>
        <w:t>个销售网点和多家控股子公</w:t>
      </w:r>
    </w:p>
    <w:p>
      <w:pPr>
        <w:pStyle w:val="BodyText"/>
        <w:spacing w:line="316" w:lineRule="auto"/>
        <w:ind w:right="1032"/>
        <w:jc w:val="left"/>
      </w:pPr>
      <w:r>
        <w:rPr/>
        <w:t>司，完善的销售和生产服务网络确保公司参与全国各个区域市场的竞争，能够为全国各地区的客户提供高效、便捷的服务。 </w:t>
      </w:r>
      <w:r>
        <w:rPr>
          <w:spacing w:val="-2"/>
        </w:rPr>
        <w:t>公司和全国大型金融、保险、财税客户建立了稳定的合作关系，积累了大量的优质客户资源，树立了良好的口碑。公司不仅</w:t>
      </w:r>
      <w:r>
        <w:rPr>
          <w:spacing w:val="-65"/>
        </w:rPr>
        <w:t> </w:t>
      </w:r>
      <w:r>
        <w:rPr>
          <w:spacing w:val="-65"/>
        </w:rPr>
      </w:r>
      <w:r>
        <w:rPr>
          <w:spacing w:val="-2"/>
        </w:rPr>
        <w:t>能从客户对商业票证需求的增长中充分分享行业的增长，而且能够依托现有客户群不断提升的个性化需求，进行多种产品和</w:t>
      </w:r>
      <w:r>
        <w:rPr>
          <w:spacing w:val="-64"/>
        </w:rPr>
        <w:t> </w:t>
      </w:r>
      <w:r>
        <w:rPr>
          <w:spacing w:val="-64"/>
        </w:rPr>
      </w:r>
      <w:r>
        <w:rPr/>
        <w:t>服务叠加，通过对客户增加产品和服务的附加价值，提升公司经营业绩。</w:t>
      </w:r>
    </w:p>
    <w:p>
      <w:pPr>
        <w:pStyle w:val="BodyText"/>
        <w:spacing w:line="316" w:lineRule="auto" w:before="19"/>
        <w:ind w:left="542" w:right="1184"/>
        <w:jc w:val="left"/>
      </w:pPr>
      <w:r>
        <w:rPr/>
        <w:t>四、技术优势 本公司建有北京、上海、济南、广州四个研发中心，具备了完善的研发体系。公司在防伪技术、信息技术、智能标签</w:t>
      </w:r>
    </w:p>
    <w:p>
      <w:pPr>
        <w:pStyle w:val="BodyText"/>
        <w:spacing w:line="316" w:lineRule="auto" w:before="19"/>
        <w:ind w:right="1130"/>
        <w:jc w:val="both"/>
      </w:pPr>
      <w:r>
        <w:rPr>
          <w:spacing w:val="-2"/>
        </w:rPr>
        <w:t>技术，档案存储和区块链技术领域投入了大量资源，已获得各项专利</w:t>
      </w:r>
      <w:r>
        <w:rPr>
          <w:rFonts w:ascii="宋体" w:hAnsi="宋体" w:cs="宋体" w:eastAsia="宋体" w:hint="default"/>
          <w:spacing w:val="-2"/>
        </w:rPr>
        <w:t>160</w:t>
      </w:r>
      <w:r>
        <w:rPr>
          <w:spacing w:val="-2"/>
        </w:rPr>
        <w:t>余项，软件著作权</w:t>
      </w:r>
      <w:r>
        <w:rPr>
          <w:rFonts w:ascii="宋体" w:hAnsi="宋体" w:cs="宋体" w:eastAsia="宋体" w:hint="default"/>
          <w:spacing w:val="-2"/>
        </w:rPr>
        <w:t>110</w:t>
      </w:r>
      <w:r>
        <w:rPr>
          <w:spacing w:val="-2"/>
        </w:rPr>
        <w:t>余项，整体研发实力和技术服</w:t>
      </w:r>
      <w:r>
        <w:rPr>
          <w:spacing w:val="-60"/>
        </w:rPr>
        <w:t> </w:t>
      </w:r>
      <w:r>
        <w:rPr>
          <w:spacing w:val="-60"/>
        </w:rPr>
      </w:r>
      <w:r>
        <w:rPr>
          <w:spacing w:val="-2"/>
        </w:rPr>
        <w:t>务力居于行业领先地位。公司的研发和技术创新能力，能够引导客户不断产生新的需求，从而使公司各项业务不断发展，不</w:t>
      </w:r>
      <w:r>
        <w:rPr>
          <w:spacing w:val="-65"/>
        </w:rPr>
        <w:t> </w:t>
      </w:r>
      <w:r>
        <w:rPr>
          <w:spacing w:val="-65"/>
        </w:rPr>
      </w:r>
      <w:r>
        <w:rPr/>
        <w:t>断向信息技术服务商进行转型。</w:t>
      </w:r>
    </w:p>
    <w:p>
      <w:pPr>
        <w:spacing w:after="0" w:line="31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1121"/>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21"/>
        <w:jc w:val="left"/>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1130" w:firstLine="360"/>
        <w:jc w:val="both"/>
      </w:pPr>
      <w:r>
        <w:rPr>
          <w:spacing w:val="-1"/>
        </w:rPr>
        <w:t>报告期内公司实现营业总收入</w:t>
      </w:r>
      <w:r>
        <w:rPr>
          <w:rFonts w:ascii="Times New Roman" w:hAnsi="Times New Roman" w:cs="Times New Roman" w:eastAsia="Times New Roman" w:hint="default"/>
          <w:spacing w:val="-1"/>
        </w:rPr>
        <w:t>15.46</w:t>
      </w:r>
      <w:r>
        <w:rPr>
          <w:spacing w:val="-1"/>
        </w:rPr>
        <w:t>亿元，较去年同期增长</w:t>
      </w:r>
      <w:r>
        <w:rPr>
          <w:rFonts w:ascii="Times New Roman" w:hAnsi="Times New Roman" w:cs="Times New Roman" w:eastAsia="Times New Roman" w:hint="default"/>
          <w:spacing w:val="-1"/>
        </w:rPr>
        <w:t>8.13%</w:t>
      </w:r>
      <w:r>
        <w:rPr>
          <w:spacing w:val="-1"/>
        </w:rPr>
        <w:t>，实现归属于上市公司股东的净利润</w:t>
      </w:r>
      <w:r>
        <w:rPr>
          <w:rFonts w:ascii="Times New Roman" w:hAnsi="Times New Roman" w:cs="Times New Roman" w:eastAsia="Times New Roman" w:hint="default"/>
          <w:spacing w:val="-1"/>
        </w:rPr>
        <w:t>2.57</w:t>
      </w:r>
      <w:r>
        <w:rPr>
          <w:spacing w:val="-1"/>
        </w:rPr>
        <w:t>亿元，比去年</w:t>
      </w:r>
      <w:r>
        <w:rPr/>
        <w:t> 同期增长</w:t>
      </w:r>
      <w:r>
        <w:rPr>
          <w:rFonts w:ascii="Times New Roman" w:hAnsi="Times New Roman" w:cs="Times New Roman" w:eastAsia="Times New Roman" w:hint="default"/>
        </w:rPr>
        <w:t>10.63%</w:t>
      </w:r>
      <w:r>
        <w:rPr/>
        <w:t>。</w:t>
      </w:r>
    </w:p>
    <w:p>
      <w:pPr>
        <w:pStyle w:val="BodyText"/>
        <w:spacing w:line="319" w:lineRule="auto" w:before="49"/>
        <w:ind w:right="1133" w:firstLine="290"/>
        <w:jc w:val="both"/>
      </w:pPr>
      <w:r>
        <w:rPr>
          <w:spacing w:val="-1"/>
        </w:rPr>
        <w:t>公司根据董事会制定的经营计划，以提升经营业绩为中心，根据客户需求推进产品升级和产业转型。不断提升产品的技</w:t>
      </w:r>
      <w:r>
        <w:rPr/>
        <w:t> 术含量，大力发展新兴业务，增加附加值，拓展市场空间，实现产品和业务升级。</w:t>
      </w:r>
    </w:p>
    <w:p>
      <w:pPr>
        <w:pStyle w:val="BodyText"/>
        <w:spacing w:line="316" w:lineRule="auto" w:before="55"/>
        <w:ind w:left="424" w:right="1122" w:firstLine="6"/>
        <w:jc w:val="left"/>
      </w:pPr>
      <w:r>
        <w:rPr/>
        <w:t>报告期内，各类产品发展情况如下： 在印刷业务方面，由于原材料价格上升，市场需求趋缓等因素的影响，使印刷业务面临较大挑战。公司根据市场变化情</w:t>
      </w:r>
    </w:p>
    <w:p>
      <w:pPr>
        <w:pStyle w:val="BodyText"/>
        <w:spacing w:line="316" w:lineRule="auto" w:before="19"/>
        <w:ind w:right="1130"/>
        <w:jc w:val="both"/>
      </w:pPr>
      <w:r>
        <w:rPr>
          <w:spacing w:val="-2"/>
        </w:rPr>
        <w:t>况，及时调整产品和业务结构，关停低毛利产品线，集中开发技术含量高，盈利能力稳定的业务。由于环保监管趋严等因素</w:t>
      </w:r>
      <w:r>
        <w:rPr>
          <w:spacing w:val="-66"/>
        </w:rPr>
        <w:t> </w:t>
      </w:r>
      <w:r>
        <w:rPr>
          <w:spacing w:val="-66"/>
        </w:rPr>
      </w:r>
      <w:r>
        <w:rPr>
          <w:spacing w:val="-2"/>
        </w:rPr>
        <w:t>的影响，印刷行业市场集中度的逐步提升，公司竞争力增强，印刷业务的经营业绩保持了稳定。随着原材料价格的回落和市</w:t>
      </w:r>
      <w:r>
        <w:rPr>
          <w:spacing w:val="-64"/>
        </w:rPr>
        <w:t> </w:t>
      </w:r>
      <w:r>
        <w:rPr>
          <w:spacing w:val="-64"/>
        </w:rPr>
      </w:r>
      <w:r>
        <w:rPr/>
        <w:t>场集中度的进一步提升，印刷类业务仍将保持稳定增长的趋势。</w:t>
      </w:r>
    </w:p>
    <w:p>
      <w:pPr>
        <w:pStyle w:val="BodyText"/>
        <w:spacing w:line="316" w:lineRule="auto" w:before="19"/>
        <w:ind w:right="1132" w:firstLine="270"/>
        <w:jc w:val="both"/>
      </w:pPr>
      <w:r>
        <w:rPr/>
        <w:t>在覆合类产品方面，公司中标的银行卡产品开始规模化生产，产能利用率和产品毛利率快速提升，</w:t>
      </w:r>
      <w:r>
        <w:rPr>
          <w:rFonts w:ascii="宋体" w:hAnsi="宋体" w:cs="宋体" w:eastAsia="宋体" w:hint="default"/>
        </w:rPr>
        <w:t>2018</w:t>
      </w:r>
      <w:r>
        <w:rPr/>
        <w:t>年度，覆合类产 </w:t>
      </w:r>
      <w:r>
        <w:rPr>
          <w:spacing w:val="-2"/>
        </w:rPr>
        <w:t>品的营业收入增长</w:t>
      </w:r>
      <w:r>
        <w:rPr>
          <w:rFonts w:ascii="宋体" w:hAnsi="宋体" w:cs="宋体" w:eastAsia="宋体" w:hint="default"/>
          <w:spacing w:val="-2"/>
        </w:rPr>
        <w:t>62.82%</w:t>
      </w:r>
      <w:r>
        <w:rPr>
          <w:spacing w:val="-2"/>
        </w:rPr>
        <w:t>，毛利率增长</w:t>
      </w:r>
      <w:r>
        <w:rPr>
          <w:rFonts w:ascii="宋体" w:hAnsi="宋体" w:cs="宋体" w:eastAsia="宋体" w:hint="default"/>
          <w:spacing w:val="-2"/>
        </w:rPr>
        <w:t>15.82%</w:t>
      </w:r>
      <w:r>
        <w:rPr>
          <w:spacing w:val="-2"/>
        </w:rPr>
        <w:t>，已经逐步成为公司业绩提升的支柱性产品。公司还将进一步开发第三代社保</w:t>
      </w:r>
      <w:r>
        <w:rPr>
          <w:spacing w:val="-55"/>
        </w:rPr>
        <w:t> </w:t>
      </w:r>
      <w:r>
        <w:rPr>
          <w:spacing w:val="-55"/>
        </w:rPr>
      </w:r>
      <w:r>
        <w:rPr/>
        <w:t>卡和贷记卡类业务，保持覆合类产品的业绩增速。</w:t>
      </w:r>
    </w:p>
    <w:p>
      <w:pPr>
        <w:pStyle w:val="BodyText"/>
        <w:spacing w:line="319" w:lineRule="auto" w:before="19"/>
        <w:ind w:right="1130" w:firstLine="270"/>
        <w:jc w:val="both"/>
      </w:pPr>
      <w:r>
        <w:rPr/>
        <w:t>在技术服务类业务方面，档案存储与电子化业务发展较快，营业收入较</w:t>
      </w:r>
      <w:r>
        <w:rPr>
          <w:rFonts w:ascii="宋体" w:hAnsi="宋体" w:cs="宋体" w:eastAsia="宋体" w:hint="default"/>
        </w:rPr>
        <w:t>2017</w:t>
      </w:r>
      <w:r>
        <w:rPr/>
        <w:t>年增长</w:t>
      </w:r>
      <w:r>
        <w:rPr>
          <w:rFonts w:ascii="宋体" w:hAnsi="宋体" w:cs="宋体" w:eastAsia="宋体" w:hint="default"/>
        </w:rPr>
        <w:t>67.83%</w:t>
      </w:r>
      <w:r>
        <w:rPr/>
        <w:t>，服务领域覆盖银行、保险、 </w:t>
      </w:r>
      <w:r>
        <w:rPr>
          <w:spacing w:val="-2"/>
        </w:rPr>
        <w:t>政府机构等大型客户，同时，公司还在推进针对中小企业的档案云存储业务，争取为更多的客户提供专业化服务。新渠道彩</w:t>
      </w:r>
      <w:r>
        <w:rPr>
          <w:spacing w:val="-66"/>
        </w:rPr>
        <w:t> </w:t>
      </w:r>
      <w:r>
        <w:rPr>
          <w:spacing w:val="-66"/>
        </w:rPr>
      </w:r>
      <w:r>
        <w:rPr>
          <w:spacing w:val="-2"/>
        </w:rPr>
        <w:t>票销售业务营业收入实现了</w:t>
      </w:r>
      <w:r>
        <w:rPr>
          <w:rFonts w:ascii="宋体" w:hAnsi="宋体" w:cs="宋体" w:eastAsia="宋体" w:hint="default"/>
          <w:spacing w:val="-2"/>
        </w:rPr>
        <w:t>107%</w:t>
      </w:r>
      <w:r>
        <w:rPr>
          <w:spacing w:val="-2"/>
        </w:rPr>
        <w:t>的增长，并实现盈利。我公司开发的彩票展示和销售终端，在服务范围、布设数量、技术含</w:t>
      </w:r>
      <w:r>
        <w:rPr>
          <w:spacing w:val="-62"/>
        </w:rPr>
        <w:t> </w:t>
      </w:r>
      <w:r>
        <w:rPr>
          <w:spacing w:val="-62"/>
        </w:rPr>
      </w:r>
      <w:r>
        <w:rPr/>
        <w:t>量等方面居于市场前列。电子票证业务在报告期内发展情况良好，除电子发票外，还通过多种方式研发非税电子票据、票</w:t>
      </w:r>
      <w:r>
        <w:rPr>
          <w:rFonts w:ascii="宋体" w:hAnsi="宋体" w:cs="宋体" w:eastAsia="宋体" w:hint="default"/>
        </w:rPr>
        <w:t>E </w:t>
      </w:r>
      <w:r>
        <w:rPr/>
        <w:t>送、区块链电子票证等产品，使电子票证类业务的应用场景更加广阔，也更加符合市场发展的需求。</w:t>
      </w:r>
    </w:p>
    <w:p>
      <w:pPr>
        <w:pStyle w:val="BodyText"/>
        <w:spacing w:line="316" w:lineRule="auto" w:before="17"/>
        <w:ind w:right="1141" w:firstLine="270"/>
        <w:jc w:val="both"/>
      </w:pPr>
      <w:r>
        <w:rPr/>
        <w:t>在不断发展各项业务的同时，公司加强了成本费用的控制，克服了原材料成本涨价、人工成本上升等不利因素，使公司 整体销售收入保持增长，盈利水平提升。</w:t>
      </w:r>
    </w:p>
    <w:p>
      <w:pPr>
        <w:spacing w:line="240" w:lineRule="auto" w:before="10"/>
        <w:rPr>
          <w:rFonts w:ascii="宋体" w:hAnsi="宋体" w:cs="宋体" w:eastAsia="宋体" w:hint="default"/>
          <w:sz w:val="20"/>
          <w:szCs w:val="20"/>
        </w:rPr>
      </w:pPr>
    </w:p>
    <w:p>
      <w:pPr>
        <w:pStyle w:val="Heading2"/>
        <w:spacing w:line="240" w:lineRule="auto"/>
        <w:ind w:right="1121"/>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7" w:lineRule="auto" w:before="0"/>
        <w:ind w:left="154" w:right="6472"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5"/>
        <w:ind w:right="1121"/>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5"/>
        <w:gridCol w:w="1600"/>
        <w:gridCol w:w="1589"/>
        <w:gridCol w:w="1600"/>
        <w:gridCol w:w="1583"/>
        <w:gridCol w:w="1601"/>
      </w:tblGrid>
      <w:tr>
        <w:trPr>
          <w:trHeight w:val="206"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3188" w:type="dxa"/>
            <w:gridSpan w:val="2"/>
            <w:vMerge/>
            <w:tcBorders>
              <w:left w:val="single" w:sz="4" w:space="0" w:color="000000"/>
              <w:bottom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16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6"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9"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1,545,650,437.20</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0"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1,429,501,112.10</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8.13%</w:t>
            </w:r>
          </w:p>
        </w:tc>
      </w:tr>
      <w:tr>
        <w:trPr>
          <w:trHeight w:val="397"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1,373,104,370.04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88.84%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1,307,848,060.58</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91.49%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154,864,328.78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99,347,266.92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55.88%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17,681,738.38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22,305,784.60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-20.73%</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1,131,849,107.10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1,159,672,101.57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覆合类产品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241,255,262.94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148,175,959.01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62.82%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154,864,328.78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99,347,266.92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55.88%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17,681,738.38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22,305,784.60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-20.73%</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319,036,901.09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348,100,971.67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1,226,613,536.11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1,081,400,140.43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13.43%</w:t>
            </w:r>
          </w:p>
        </w:tc>
      </w:tr>
    </w:tbl>
    <w:p>
      <w:pPr>
        <w:spacing w:line="240" w:lineRule="auto" w:before="2"/>
        <w:rPr>
          <w:rFonts w:ascii="宋体" w:hAnsi="宋体" w:cs="宋体" w:eastAsia="宋体" w:hint="default"/>
          <w:sz w:val="19"/>
          <w:szCs w:val="19"/>
        </w:rPr>
      </w:pPr>
    </w:p>
    <w:p>
      <w:pPr>
        <w:pStyle w:val="Heading3"/>
        <w:spacing w:line="240" w:lineRule="auto" w:before="35"/>
        <w:ind w:right="1121"/>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单位：元</w:t>
      </w:r>
    </w:p>
    <w:p>
      <w:pPr>
        <w:spacing w:after="0" w:line="240" w:lineRule="auto"/>
        <w:jc w:val="left"/>
        <w:sectPr>
          <w:type w:val="continuous"/>
          <w:pgSz w:w="11910" w:h="16840"/>
          <w:pgMar w:top="1060" w:bottom="1160" w:left="980" w:right="0"/>
          <w:cols w:num="2" w:equalWidth="0">
            <w:col w:w="3215" w:space="570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1,373,104,370.04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856,110,447.57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-0.93%</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1,131,849,107.10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712,957,156.36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覆合类产品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241,255,262.94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143,153,291.21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15.82%</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319,036,901.09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200,606,562.70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1,226,613,536.11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743,043,391.14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-1.13%</w:t>
            </w:r>
          </w:p>
        </w:tc>
      </w:tr>
    </w:tbl>
    <w:p>
      <w:pPr>
        <w:pStyle w:val="BodyText"/>
        <w:spacing w:line="240" w:lineRule="auto" w:before="51"/>
        <w:ind w:right="1121"/>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21"/>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1121"/>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21"/>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7" w:lineRule="auto" w:before="44"/>
        <w:ind w:right="-20"/>
        <w:jc w:val="left"/>
      </w:pPr>
      <w:r>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2" w:equalWidth="0">
            <w:col w:w="875" w:space="804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446,642,786.59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434,007,626.60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60,973,602.59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60,680,261.02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130,056,317.44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94,547,015.26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其他辅料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75,284,449.74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102,680,994.71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覆合类产品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101,926,593.73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72,215,651.02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覆合类产品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10,905,810.57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11,190,558.79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覆合类产品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15,900,348.50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11.11%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17,303,688.39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覆合类产品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其他辅料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14,420,538.41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10,653,753.20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代理商佣金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1,356,525.97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739,879.58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促销费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4,713.91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81,636.06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7,490,557.13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6,182,163.14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运营服务费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4,303,043.63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414,971.08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30,176.48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10,506,292.76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16,223,044.41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6,996,176.43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14,138,999.76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16,643,985.92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10,409,912.59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委托外部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20,252,062.36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2,543,544.28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9,665,716.65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2,062,674.67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2,708,691.65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21"/>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316" w:lineRule="auto" w:before="102"/>
        <w:ind w:right="1121" w:firstLine="360"/>
        <w:jc w:val="left"/>
      </w:pPr>
      <w:r>
        <w:rPr>
          <w:spacing w:val="-2"/>
        </w:rPr>
        <w:t>报告期内，公司调整了电子发票的业务模式，为充分利用技术、人员和大数据资源，由北京瑞宏公司建设统一的服务平</w:t>
      </w:r>
      <w:r>
        <w:rPr/>
        <w:t> 台，服务于全国客户，统一平台建设后，公司将各地的服务性子公司进行处置，不再纳入合并报表范围。</w:t>
      </w:r>
    </w:p>
    <w:p>
      <w:pPr>
        <w:spacing w:line="300" w:lineRule="auto" w:before="19"/>
        <w:ind w:left="514" w:right="6972"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、处置子公司</w:t>
      </w:r>
      <w:r>
        <w:rPr>
          <w:rFonts w:ascii="宋体" w:hAnsi="宋体" w:cs="宋体" w:eastAsia="宋体" w:hint="default"/>
          <w:b/>
          <w:bCs/>
          <w:w w:val="99"/>
          <w:sz w:val="18"/>
          <w:szCs w:val="18"/>
        </w:rPr>
        <w:t> </w:t>
      </w:r>
      <w:r>
        <w:rPr>
          <w:rFonts w:ascii="宋体" w:hAnsi="宋体" w:cs="宋体" w:eastAsia="宋体" w:hint="default"/>
          <w:sz w:val="18"/>
          <w:szCs w:val="18"/>
        </w:rPr>
        <w:t>单次处置对子公司投资即丧失控制权的情形</w:t>
      </w:r>
    </w:p>
    <w:tbl>
      <w:tblPr>
        <w:tblW w:w="0" w:type="auto"/>
        <w:jc w:val="left"/>
        <w:tblInd w:w="146" w:type="dxa"/>
        <w:tblLayout w:type="fixed"/>
        <w:tblCellMar>
          <w:top w:w="0" w:type="dxa"/>
          <w:left w:w="0" w:type="dxa"/>
          <w:bottom w:w="0" w:type="dxa"/>
          <w:right w:w="0" w:type="dxa"/>
        </w:tblCellMar>
        <w:tblLook w:val="01E0"/>
      </w:tblPr>
      <w:tblGrid>
        <w:gridCol w:w="1528"/>
        <w:gridCol w:w="1276"/>
        <w:gridCol w:w="708"/>
        <w:gridCol w:w="993"/>
        <w:gridCol w:w="1134"/>
        <w:gridCol w:w="1702"/>
        <w:gridCol w:w="1874"/>
      </w:tblGrid>
      <w:tr>
        <w:trPr>
          <w:trHeight w:val="667" w:hRule="exact"/>
        </w:trPr>
        <w:tc>
          <w:tcPr>
            <w:tcW w:w="15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0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89" w:right="0"/>
              <w:jc w:val="left"/>
              <w:rPr>
                <w:rFonts w:ascii="宋体" w:hAnsi="宋体" w:cs="宋体" w:eastAsia="宋体" w:hint="default"/>
                <w:sz w:val="18"/>
                <w:szCs w:val="18"/>
              </w:rPr>
            </w:pPr>
            <w:r>
              <w:rPr>
                <w:rFonts w:ascii="宋体" w:hAnsi="宋体" w:cs="宋体" w:eastAsia="宋体" w:hint="default"/>
                <w:sz w:val="18"/>
                <w:szCs w:val="18"/>
              </w:rPr>
              <w:t>股权处置价款</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75" w:right="77"/>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993"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398" w:right="39" w:hanging="361"/>
              <w:jc w:val="left"/>
              <w:rPr>
                <w:rFonts w:ascii="宋体" w:hAnsi="宋体" w:cs="宋体" w:eastAsia="宋体" w:hint="default"/>
                <w:sz w:val="18"/>
                <w:szCs w:val="18"/>
              </w:rPr>
            </w:pPr>
            <w:r>
              <w:rPr>
                <w:rFonts w:ascii="宋体" w:hAnsi="宋体" w:cs="宋体" w:eastAsia="宋体" w:hint="default"/>
                <w:sz w:val="18"/>
                <w:szCs w:val="18"/>
              </w:rPr>
              <w:t>股权处置方 式</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380" w:right="17" w:hanging="360"/>
              <w:jc w:val="left"/>
              <w:rPr>
                <w:rFonts w:ascii="宋体" w:hAnsi="宋体" w:cs="宋体" w:eastAsia="宋体" w:hint="default"/>
                <w:sz w:val="18"/>
                <w:szCs w:val="18"/>
              </w:rPr>
            </w:pPr>
            <w:r>
              <w:rPr>
                <w:rFonts w:ascii="宋体" w:hAnsi="宋体" w:cs="宋体" w:eastAsia="宋体" w:hint="default"/>
                <w:sz w:val="18"/>
                <w:szCs w:val="18"/>
              </w:rPr>
              <w:t>丧失控制权的 时点</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573" w:right="33" w:hanging="540"/>
              <w:jc w:val="left"/>
              <w:rPr>
                <w:rFonts w:ascii="宋体" w:hAnsi="宋体" w:cs="宋体" w:eastAsia="宋体" w:hint="default"/>
                <w:sz w:val="18"/>
                <w:szCs w:val="18"/>
              </w:rPr>
            </w:pPr>
            <w:r>
              <w:rPr>
                <w:rFonts w:ascii="宋体" w:hAnsi="宋体" w:cs="宋体" w:eastAsia="宋体" w:hint="default"/>
                <w:sz w:val="18"/>
                <w:szCs w:val="18"/>
              </w:rPr>
              <w:t>丧失控制权时点的确 定依据</w:t>
            </w:r>
          </w:p>
        </w:tc>
        <w:tc>
          <w:tcPr>
            <w:tcW w:w="1874"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1"/>
              <w:ind w:left="29" w:right="35"/>
              <w:jc w:val="left"/>
              <w:rPr>
                <w:rFonts w:ascii="宋体" w:hAnsi="宋体" w:cs="宋体" w:eastAsia="宋体" w:hint="default"/>
                <w:sz w:val="18"/>
                <w:szCs w:val="18"/>
              </w:rPr>
            </w:pPr>
            <w:r>
              <w:rPr>
                <w:rFonts w:ascii="宋体" w:hAnsi="宋体" w:cs="宋体" w:eastAsia="宋体" w:hint="default"/>
                <w:sz w:val="18"/>
                <w:szCs w:val="18"/>
              </w:rPr>
              <w:t>处置价款与处置投资对 应的合并报表层面享有</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528"/>
        <w:gridCol w:w="1276"/>
        <w:gridCol w:w="708"/>
        <w:gridCol w:w="993"/>
        <w:gridCol w:w="1134"/>
        <w:gridCol w:w="1702"/>
        <w:gridCol w:w="1874"/>
      </w:tblGrid>
      <w:tr>
        <w:trPr>
          <w:trHeight w:val="667" w:hRule="exact"/>
        </w:trPr>
        <w:tc>
          <w:tcPr>
            <w:tcW w:w="1528"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6" w:space="0" w:color="000000"/>
            </w:tcBorders>
          </w:tcPr>
          <w:p>
            <w:pP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9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3" w:type="dxa"/>
            <w:tcBorders>
              <w:top w:val="single" w:sz="6" w:space="0" w:color="000000"/>
              <w:left w:val="single" w:sz="6"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000000"/>
            </w:tcBorders>
          </w:tcPr>
          <w:p>
            <w:pPr/>
          </w:p>
        </w:tc>
        <w:tc>
          <w:tcPr>
            <w:tcW w:w="1702" w:type="dxa"/>
            <w:tcBorders>
              <w:top w:val="single" w:sz="6" w:space="0" w:color="000000"/>
              <w:left w:val="single" w:sz="6" w:space="0" w:color="000000"/>
              <w:bottom w:val="single" w:sz="12" w:space="0" w:color="000000"/>
              <w:right w:val="single" w:sz="6" w:space="0" w:color="000000"/>
            </w:tcBorders>
          </w:tcPr>
          <w:p>
            <w:pPr/>
          </w:p>
        </w:tc>
        <w:tc>
          <w:tcPr>
            <w:tcW w:w="1874"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1"/>
              <w:ind w:left="749" w:right="35" w:hanging="720"/>
              <w:jc w:val="left"/>
              <w:rPr>
                <w:rFonts w:ascii="宋体" w:hAnsi="宋体" w:cs="宋体" w:eastAsia="宋体" w:hint="default"/>
                <w:sz w:val="18"/>
                <w:szCs w:val="18"/>
              </w:rPr>
            </w:pPr>
            <w:r>
              <w:rPr>
                <w:rFonts w:ascii="宋体" w:hAnsi="宋体" w:cs="宋体" w:eastAsia="宋体" w:hint="default"/>
                <w:sz w:val="18"/>
                <w:szCs w:val="18"/>
              </w:rPr>
              <w:t>该子公司净资产份额的 差额</w:t>
            </w:r>
          </w:p>
        </w:tc>
      </w:tr>
      <w:tr>
        <w:trPr>
          <w:trHeight w:val="664" w:hRule="exact"/>
        </w:trPr>
        <w:tc>
          <w:tcPr>
            <w:tcW w:w="152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6"/>
              <w:jc w:val="left"/>
              <w:rPr>
                <w:rFonts w:ascii="宋体" w:hAnsi="宋体" w:cs="宋体" w:eastAsia="宋体" w:hint="default"/>
                <w:sz w:val="18"/>
                <w:szCs w:val="18"/>
              </w:rPr>
            </w:pPr>
            <w:r>
              <w:rPr>
                <w:rFonts w:ascii="宋体" w:hAnsi="宋体" w:cs="宋体" w:eastAsia="宋体" w:hint="default"/>
                <w:spacing w:val="9"/>
                <w:sz w:val="18"/>
                <w:szCs w:val="18"/>
              </w:rPr>
              <w:t>天津征瑞科技有限 </w:t>
            </w:r>
            <w:r>
              <w:rPr>
                <w:rFonts w:ascii="宋体" w:hAnsi="宋体" w:cs="宋体" w:eastAsia="宋体" w:hint="default"/>
                <w:sz w:val="18"/>
                <w:szCs w:val="18"/>
              </w:rPr>
              <w:t>公司</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2,515,000.00</w:t>
            </w:r>
          </w:p>
        </w:tc>
        <w:tc>
          <w:tcPr>
            <w:tcW w:w="7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51.00</w:t>
            </w:r>
          </w:p>
        </w:tc>
        <w:tc>
          <w:tcPr>
            <w:tcW w:w="9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全部转让</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2018-6-30</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股权转让协议生效后</w:t>
            </w:r>
          </w:p>
        </w:tc>
        <w:tc>
          <w:tcPr>
            <w:tcW w:w="18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-87.75</w:t>
            </w:r>
          </w:p>
        </w:tc>
      </w:tr>
      <w:tr>
        <w:trPr>
          <w:trHeight w:val="665" w:hRule="exact"/>
        </w:trPr>
        <w:tc>
          <w:tcPr>
            <w:tcW w:w="152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1"/>
              <w:ind w:left="2" w:right="-6"/>
              <w:jc w:val="left"/>
              <w:rPr>
                <w:rFonts w:ascii="宋体" w:hAnsi="宋体" w:cs="宋体" w:eastAsia="宋体" w:hint="default"/>
                <w:sz w:val="18"/>
                <w:szCs w:val="18"/>
              </w:rPr>
            </w:pPr>
            <w:r>
              <w:rPr>
                <w:rFonts w:ascii="宋体" w:hAnsi="宋体" w:cs="宋体" w:eastAsia="宋体" w:hint="default"/>
                <w:spacing w:val="9"/>
                <w:sz w:val="18"/>
                <w:szCs w:val="18"/>
              </w:rPr>
              <w:t>青岛瑞宏科技有限 </w:t>
            </w:r>
            <w:r>
              <w:rPr>
                <w:rFonts w:ascii="宋体" w:hAnsi="宋体" w:cs="宋体" w:eastAsia="宋体" w:hint="default"/>
                <w:sz w:val="18"/>
                <w:szCs w:val="18"/>
              </w:rPr>
              <w:t>公司</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32,659.71</w:t>
            </w:r>
          </w:p>
        </w:tc>
        <w:tc>
          <w:tcPr>
            <w:tcW w:w="7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80.00</w:t>
            </w:r>
          </w:p>
        </w:tc>
        <w:tc>
          <w:tcPr>
            <w:tcW w:w="9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right"/>
              <w:rPr>
                <w:rFonts w:ascii="宋体" w:hAnsi="宋体" w:cs="宋体" w:eastAsia="宋体" w:hint="default"/>
                <w:sz w:val="18"/>
                <w:szCs w:val="18"/>
              </w:rPr>
            </w:pPr>
            <w:r>
              <w:rPr>
                <w:rFonts w:ascii="宋体" w:hAnsi="宋体" w:cs="宋体" w:eastAsia="宋体" w:hint="default"/>
                <w:sz w:val="18"/>
                <w:szCs w:val="18"/>
              </w:rPr>
              <w:t>全部转让</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2018-11-30</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股权转让协议生效后</w:t>
            </w:r>
          </w:p>
        </w:tc>
        <w:tc>
          <w:tcPr>
            <w:tcW w:w="18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149.65</w:t>
            </w:r>
          </w:p>
        </w:tc>
      </w:tr>
      <w:tr>
        <w:trPr>
          <w:trHeight w:val="664" w:hRule="exact"/>
        </w:trPr>
        <w:tc>
          <w:tcPr>
            <w:tcW w:w="152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6"/>
              <w:jc w:val="left"/>
              <w:rPr>
                <w:rFonts w:ascii="宋体" w:hAnsi="宋体" w:cs="宋体" w:eastAsia="宋体" w:hint="default"/>
                <w:sz w:val="18"/>
                <w:szCs w:val="18"/>
              </w:rPr>
            </w:pPr>
            <w:r>
              <w:rPr>
                <w:rFonts w:ascii="宋体" w:hAnsi="宋体" w:cs="宋体" w:eastAsia="宋体" w:hint="default"/>
                <w:spacing w:val="9"/>
                <w:sz w:val="18"/>
                <w:szCs w:val="18"/>
              </w:rPr>
              <w:t>广西瑞宏信息技术 </w:t>
            </w:r>
            <w:r>
              <w:rPr>
                <w:rFonts w:ascii="宋体" w:hAnsi="宋体" w:cs="宋体" w:eastAsia="宋体" w:hint="default"/>
                <w:sz w:val="18"/>
                <w:szCs w:val="18"/>
              </w:rPr>
              <w:t>有限公司</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260,000.00</w:t>
            </w:r>
          </w:p>
        </w:tc>
        <w:tc>
          <w:tcPr>
            <w:tcW w:w="7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51.00</w:t>
            </w:r>
          </w:p>
        </w:tc>
        <w:tc>
          <w:tcPr>
            <w:tcW w:w="9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全部转让</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2018-11-30</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股权转让协议生效后</w:t>
            </w:r>
          </w:p>
        </w:tc>
        <w:tc>
          <w:tcPr>
            <w:tcW w:w="18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w w:val="95"/>
                <w:sz w:val="18"/>
              </w:rPr>
              <w:t>-70,218.02</w:t>
            </w:r>
            <w:r>
              <w:rPr>
                <w:rFonts w:ascii="Times New Roman"/>
                <w:sz w:val="18"/>
              </w:rPr>
            </w:r>
          </w:p>
        </w:tc>
      </w:tr>
    </w:tbl>
    <w:p>
      <w:pPr>
        <w:spacing w:line="300" w:lineRule="auto" w:before="10"/>
        <w:ind w:left="514" w:right="2832"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、其他原因的合并范围变动</w:t>
      </w:r>
      <w:r>
        <w:rPr>
          <w:rFonts w:ascii="宋体" w:hAnsi="宋体" w:cs="宋体" w:eastAsia="宋体" w:hint="default"/>
          <w:b/>
          <w:bCs/>
          <w:w w:val="99"/>
          <w:sz w:val="18"/>
          <w:szCs w:val="18"/>
        </w:rPr>
        <w:t> </w:t>
      </w:r>
      <w:r>
        <w:rPr>
          <w:rFonts w:ascii="宋体" w:hAnsi="宋体" w:cs="宋体" w:eastAsia="宋体" w:hint="default"/>
          <w:sz w:val="18"/>
          <w:szCs w:val="18"/>
        </w:rPr>
        <w:t>本公司于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日在南京市工商行政管理局注销子公司南京东港瑞宏信息科技有限公司。</w:t>
      </w:r>
    </w:p>
    <w:p>
      <w:pPr>
        <w:spacing w:line="240" w:lineRule="auto" w:before="1"/>
        <w:rPr>
          <w:rFonts w:ascii="宋体" w:hAnsi="宋体" w:cs="宋体" w:eastAsia="宋体" w:hint="default"/>
          <w:sz w:val="22"/>
          <w:szCs w:val="22"/>
        </w:rPr>
      </w:pPr>
    </w:p>
    <w:p>
      <w:pPr>
        <w:pStyle w:val="Heading3"/>
        <w:spacing w:line="240" w:lineRule="auto"/>
        <w:ind w:right="1121"/>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21"/>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1"/>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261,076,129.01</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16.89%</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121"/>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94,314,898.50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58,894,633.41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58,827,445.51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24,797,690.46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24,241,461.13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261,076,129.01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16.89%</w:t>
            </w:r>
          </w:p>
        </w:tc>
      </w:tr>
    </w:tbl>
    <w:p>
      <w:pPr>
        <w:pStyle w:val="BodyText"/>
        <w:spacing w:line="240" w:lineRule="auto" w:before="51"/>
        <w:ind w:right="1121"/>
        <w:jc w:val="left"/>
      </w:pPr>
      <w:r>
        <w:rPr/>
        <w:t>主要客户其他情况说明</w:t>
      </w:r>
    </w:p>
    <w:p>
      <w:pPr>
        <w:pStyle w:val="BodyText"/>
        <w:spacing w:line="338" w:lineRule="auto" w:before="117"/>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155,368,200.20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19.19%</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121"/>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75,637,712.99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21,295,476.58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21,027,727.59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19,167,142.17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18,240,140.87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155,368,200.20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19.19%</w:t>
            </w:r>
          </w:p>
        </w:tc>
      </w:tr>
    </w:tbl>
    <w:p>
      <w:pPr>
        <w:pStyle w:val="BodyText"/>
        <w:spacing w:line="240" w:lineRule="auto" w:before="51"/>
        <w:ind w:right="1121"/>
        <w:jc w:val="left"/>
      </w:pPr>
      <w:r>
        <w:rPr/>
        <w:t>主要供应商其他情况说明</w:t>
      </w:r>
    </w:p>
    <w:p>
      <w:pPr>
        <w:pStyle w:val="BodyText"/>
        <w:spacing w:line="240" w:lineRule="auto" w:before="117"/>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21"/>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117,266,552.50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0" w:right="0"/>
              <w:jc w:val="left"/>
              <w:rPr>
                <w:rFonts w:ascii="Times New Roman" w:hAnsi="Times New Roman" w:cs="Times New Roman" w:eastAsia="Times New Roman" w:hint="default"/>
                <w:sz w:val="18"/>
                <w:szCs w:val="18"/>
              </w:rPr>
            </w:pPr>
            <w:r>
              <w:rPr>
                <w:rFonts w:ascii="Times New Roman"/>
                <w:sz w:val="18"/>
              </w:rPr>
              <w:t>121,406,391.91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102,077,220.01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0" w:right="0"/>
              <w:jc w:val="left"/>
              <w:rPr>
                <w:rFonts w:ascii="Times New Roman" w:hAnsi="Times New Roman" w:cs="Times New Roman" w:eastAsia="Times New Roman" w:hint="default"/>
                <w:sz w:val="18"/>
                <w:szCs w:val="18"/>
              </w:rPr>
            </w:pPr>
            <w:r>
              <w:rPr>
                <w:rFonts w:ascii="Times New Roman"/>
                <w:sz w:val="18"/>
              </w:rPr>
              <w:t>106,488,229.58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2" w:right="0"/>
              <w:jc w:val="left"/>
              <w:rPr>
                <w:rFonts w:ascii="Times New Roman" w:hAnsi="Times New Roman" w:cs="Times New Roman" w:eastAsia="Times New Roman" w:hint="default"/>
                <w:sz w:val="18"/>
                <w:szCs w:val="18"/>
              </w:rPr>
            </w:pPr>
            <w:r>
              <w:rPr>
                <w:rFonts w:ascii="Times New Roman"/>
                <w:sz w:val="18"/>
              </w:rPr>
              <w:t>-6,960,381.66</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4" w:right="0"/>
              <w:jc w:val="left"/>
              <w:rPr>
                <w:rFonts w:ascii="Times New Roman" w:hAnsi="Times New Roman" w:cs="Times New Roman" w:eastAsia="Times New Roman" w:hint="default"/>
                <w:sz w:val="18"/>
                <w:szCs w:val="18"/>
              </w:rPr>
            </w:pPr>
            <w:r>
              <w:rPr>
                <w:rFonts w:ascii="Times New Roman"/>
                <w:sz w:val="18"/>
              </w:rPr>
              <w:t>-916,595.23</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83" w:right="0"/>
              <w:jc w:val="left"/>
              <w:rPr>
                <w:rFonts w:ascii="Times New Roman" w:hAnsi="Times New Roman" w:cs="Times New Roman" w:eastAsia="Times New Roman" w:hint="default"/>
                <w:sz w:val="18"/>
                <w:szCs w:val="18"/>
              </w:rPr>
            </w:pPr>
            <w:r>
              <w:rPr>
                <w:rFonts w:ascii="Times New Roman"/>
                <w:sz w:val="18"/>
              </w:rPr>
              <w:t>659.37%</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2"/>
                <w:sz w:val="18"/>
                <w:szCs w:val="18"/>
              </w:rPr>
              <w:t>报告期内，公司购买的银行结构性存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款收益增加所致。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4"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91,371,286.08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0" w:right="0"/>
              <w:jc w:val="left"/>
              <w:rPr>
                <w:rFonts w:ascii="Times New Roman" w:hAnsi="Times New Roman" w:cs="Times New Roman" w:eastAsia="Times New Roman" w:hint="default"/>
                <w:sz w:val="18"/>
                <w:szCs w:val="18"/>
              </w:rPr>
            </w:pPr>
            <w:r>
              <w:rPr>
                <w:rFonts w:ascii="Times New Roman"/>
                <w:sz w:val="18"/>
              </w:rPr>
              <w:t>85,987,899.00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6.26%</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21"/>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371" w:right="1175" w:hanging="2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本年度公司为提升产品技术含量，对区块链技术、电子发票服务平台、彩票销售终端、档案存储电子化等多个项目进行</w:t>
      </w:r>
    </w:p>
    <w:p>
      <w:pPr>
        <w:pStyle w:val="BodyText"/>
        <w:spacing w:line="360" w:lineRule="auto" w:before="2"/>
        <w:ind w:right="9312"/>
        <w:jc w:val="left"/>
      </w:pPr>
      <w:r>
        <w:rPr/>
        <w:t>了技术研发。 公司研发投入情况</w:t>
      </w:r>
    </w:p>
    <w:tbl>
      <w:tblPr>
        <w:tblW w:w="0" w:type="auto"/>
        <w:jc w:val="left"/>
        <w:tblInd w:w="160" w:type="dxa"/>
        <w:tblLayout w:type="fixed"/>
        <w:tblCellMar>
          <w:top w:w="0" w:type="dxa"/>
          <w:left w:w="0" w:type="dxa"/>
          <w:bottom w:w="0" w:type="dxa"/>
          <w:right w:w="0" w:type="dxa"/>
        </w:tblCellMar>
        <w:tblLook w:val="01E0"/>
      </w:tblPr>
      <w:tblGrid>
        <w:gridCol w:w="2813"/>
        <w:gridCol w:w="2256"/>
        <w:gridCol w:w="2244"/>
        <w:gridCol w:w="2244"/>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453</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515</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-12.04%</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20.20%</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19.05%</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1.15%</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97,570,361.28</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94,770,492.06</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6.63%</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6,199,075.18</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8,782,593.06</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-29.42%</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9.27%</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w:t>
            </w:r>
          </w:p>
        </w:tc>
      </w:tr>
    </w:tbl>
    <w:p>
      <w:pPr>
        <w:pStyle w:val="BodyText"/>
        <w:spacing w:line="240" w:lineRule="auto" w:before="67"/>
        <w:ind w:right="1121"/>
        <w:jc w:val="left"/>
      </w:pPr>
      <w:r>
        <w:rPr/>
        <w:t>研发投入总额占营业收入的比重较上年发生显著变化的原因</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2"/>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21"/>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68"/>
        <w:gridCol w:w="2300"/>
        <w:gridCol w:w="2289"/>
        <w:gridCol w:w="2290"/>
      </w:tblGrid>
      <w:tr>
        <w:trPr>
          <w:trHeight w:val="402" w:hRule="exact"/>
        </w:trPr>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1,969,930,237.32</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1,923,474,786.72</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2.42%</w:t>
            </w:r>
          </w:p>
        </w:tc>
      </w:tr>
      <w:tr>
        <w:trPr>
          <w:trHeight w:val="402" w:hRule="exact"/>
        </w:trPr>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1,654,241,080.99</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1,597,900,261.03</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3.53%</w:t>
            </w:r>
          </w:p>
        </w:tc>
      </w:tr>
      <w:tr>
        <w:trPr>
          <w:trHeight w:val="402" w:hRule="exact"/>
        </w:trPr>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315,689,156.33</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325,574,525.69</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-3.04%</w:t>
            </w:r>
          </w:p>
        </w:tc>
      </w:tr>
      <w:tr>
        <w:trPr>
          <w:trHeight w:val="402" w:hRule="exact"/>
        </w:trPr>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1,670,440,733.52</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2,580,990,630.42</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-35.28%</w:t>
            </w:r>
          </w:p>
        </w:tc>
      </w:tr>
      <w:tr>
        <w:trPr>
          <w:trHeight w:val="402" w:hRule="exact"/>
        </w:trPr>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1,749,812,267.77</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2,170,611,881.74</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-19.39%</w:t>
            </w:r>
          </w:p>
        </w:tc>
      </w:tr>
      <w:tr>
        <w:trPr>
          <w:trHeight w:val="402" w:hRule="exact"/>
        </w:trPr>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-79,371,534.25</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410,378,748.68</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w w:val="95"/>
                <w:sz w:val="18"/>
              </w:rPr>
              <w:t>-119.34%</w:t>
            </w:r>
            <w:r>
              <w:rPr>
                <w:rFonts w:ascii="Times New Roman"/>
                <w:spacing w:val="-1"/>
                <w:sz w:val="18"/>
              </w:rPr>
            </w:r>
          </w:p>
        </w:tc>
      </w:tr>
      <w:tr>
        <w:trPr>
          <w:trHeight w:val="402" w:hRule="exact"/>
        </w:trPr>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65,679,010.45</w:t>
            </w:r>
          </w:p>
        </w:tc>
        <w:tc>
          <w:tcPr>
            <w:tcW w:w="2289"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222,927,597.83</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267,916,508.82</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-16.79%</w:t>
            </w:r>
          </w:p>
        </w:tc>
      </w:tr>
      <w:tr>
        <w:trPr>
          <w:trHeight w:val="402" w:hRule="exact"/>
        </w:trPr>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-157,248,587.38</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-267,916,508.82</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41.31%</w:t>
            </w:r>
          </w:p>
        </w:tc>
      </w:tr>
      <w:tr>
        <w:trPr>
          <w:trHeight w:val="403" w:hRule="exact"/>
        </w:trPr>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79,070,007.29</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468,036,765.55</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-83.11%</w:t>
            </w:r>
          </w:p>
        </w:tc>
      </w:tr>
    </w:tbl>
    <w:p>
      <w:pPr>
        <w:pStyle w:val="BodyText"/>
        <w:spacing w:line="240" w:lineRule="auto" w:before="51"/>
        <w:ind w:right="1121"/>
        <w:jc w:val="left"/>
      </w:pPr>
      <w:r>
        <w:rPr/>
        <w:t>相关数据同比发生重大变动的主要影响因素说明</w:t>
      </w:r>
    </w:p>
    <w:p>
      <w:pPr>
        <w:pStyle w:val="BodyText"/>
        <w:spacing w:line="240" w:lineRule="auto" w:before="116"/>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121"/>
        <w:jc w:val="left"/>
      </w:pPr>
      <w:r>
        <w:rPr>
          <w:rFonts w:ascii="Times New Roman" w:hAnsi="Times New Roman" w:cs="Times New Roman" w:eastAsia="Times New Roman" w:hint="default"/>
        </w:rPr>
        <w:t>1</w:t>
      </w:r>
      <w:r>
        <w:rPr/>
        <w:t>、投资活动现金流入减少</w:t>
      </w:r>
      <w:r>
        <w:rPr>
          <w:rFonts w:ascii="Times New Roman" w:hAnsi="Times New Roman" w:cs="Times New Roman" w:eastAsia="Times New Roman" w:hint="default"/>
        </w:rPr>
        <w:t>35.28%</w:t>
      </w:r>
      <w:r>
        <w:rPr/>
        <w:t>，主要是今年理财到期收回的资金比去年减少所致。</w:t>
      </w:r>
    </w:p>
    <w:p>
      <w:pPr>
        <w:pStyle w:val="BodyText"/>
        <w:spacing w:line="240" w:lineRule="auto" w:before="63"/>
        <w:ind w:right="1121"/>
        <w:jc w:val="left"/>
      </w:pPr>
      <w:r>
        <w:rPr>
          <w:rFonts w:ascii="Times New Roman" w:hAnsi="Times New Roman" w:cs="Times New Roman" w:eastAsia="Times New Roman" w:hint="default"/>
        </w:rPr>
        <w:t>2</w:t>
      </w:r>
      <w:r>
        <w:rPr/>
        <w:t>、投资活动产生的现金流量净额同比减少</w:t>
      </w:r>
      <w:r>
        <w:rPr>
          <w:rFonts w:ascii="Times New Roman" w:hAnsi="Times New Roman" w:cs="Times New Roman" w:eastAsia="Times New Roman" w:hint="default"/>
        </w:rPr>
        <w:t>119.34%</w:t>
      </w:r>
      <w:r>
        <w:rPr/>
        <w:t>，主要是今年理财到期收回的资金比去年减少所致。</w:t>
      </w:r>
    </w:p>
    <w:p>
      <w:pPr>
        <w:pStyle w:val="BodyText"/>
        <w:spacing w:line="240" w:lineRule="auto" w:before="63"/>
        <w:ind w:right="1121"/>
        <w:jc w:val="left"/>
      </w:pPr>
      <w:r>
        <w:rPr>
          <w:rFonts w:ascii="Times New Roman" w:hAnsi="Times New Roman" w:cs="Times New Roman" w:eastAsia="Times New Roman" w:hint="default"/>
        </w:rPr>
        <w:t>3</w:t>
      </w:r>
      <w:r>
        <w:rPr/>
        <w:t>、筹资活动现金流入增加主要是银行承兑保证金业务模式中的先冻结，再退回部分被视为筹资活动现金流量所致。</w:t>
      </w:r>
    </w:p>
    <w:p>
      <w:pPr>
        <w:pStyle w:val="BodyText"/>
        <w:spacing w:line="240" w:lineRule="auto" w:before="63"/>
        <w:ind w:right="1121"/>
        <w:jc w:val="left"/>
      </w:pPr>
      <w:r>
        <w:rPr>
          <w:rFonts w:ascii="Times New Roman" w:hAnsi="Times New Roman" w:cs="Times New Roman" w:eastAsia="Times New Roman" w:hint="default"/>
        </w:rPr>
        <w:t>4</w:t>
      </w:r>
      <w:r>
        <w:rPr/>
        <w:t>、筹资活动产生的现金流量净额同比增加</w:t>
      </w:r>
      <w:r>
        <w:rPr>
          <w:rFonts w:ascii="Times New Roman" w:hAnsi="Times New Roman" w:cs="Times New Roman" w:eastAsia="Times New Roman" w:hint="default"/>
        </w:rPr>
        <w:t>41.31%</w:t>
      </w:r>
      <w:r>
        <w:rPr/>
        <w:t>，主要是今年支付少数股东股权转让款减少所致。</w:t>
      </w:r>
    </w:p>
    <w:p>
      <w:pPr>
        <w:pStyle w:val="BodyText"/>
        <w:spacing w:line="340" w:lineRule="auto" w:before="63"/>
        <w:ind w:right="3087"/>
        <w:jc w:val="left"/>
      </w:pPr>
      <w:r>
        <w:rPr>
          <w:rFonts w:ascii="Times New Roman" w:hAnsi="Times New Roman" w:cs="Times New Roman" w:eastAsia="Times New Roman" w:hint="default"/>
        </w:rPr>
        <w:t>5</w:t>
      </w:r>
      <w:r>
        <w:rPr/>
        <w:t>、现金及现金等价物净增加额同比下降</w:t>
      </w:r>
      <w:r>
        <w:rPr>
          <w:rFonts w:ascii="Times New Roman" w:hAnsi="Times New Roman" w:cs="Times New Roman" w:eastAsia="Times New Roman" w:hint="default"/>
        </w:rPr>
        <w:t>83.11%</w:t>
      </w:r>
      <w:r>
        <w:rPr/>
        <w:t>，主要是投资活动产生的现金流量净额减少所致。 报告期内公司经营活动产生的现金净流量与本年度净利润存在重大差异的原因说明</w:t>
      </w:r>
    </w:p>
    <w:p>
      <w:pPr>
        <w:pStyle w:val="BodyText"/>
        <w:spacing w:line="240" w:lineRule="auto" w:before="40"/>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21"/>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432" w:type="dxa"/>
        <w:tblLayout w:type="fixed"/>
        <w:tblCellMar>
          <w:top w:w="0" w:type="dxa"/>
          <w:left w:w="0" w:type="dxa"/>
          <w:bottom w:w="0" w:type="dxa"/>
          <w:right w:w="0" w:type="dxa"/>
        </w:tblCellMar>
        <w:tblLook w:val="01E0"/>
      </w:tblPr>
      <w:tblGrid>
        <w:gridCol w:w="1276"/>
        <w:gridCol w:w="1277"/>
        <w:gridCol w:w="1701"/>
        <w:gridCol w:w="2978"/>
        <w:gridCol w:w="1842"/>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4"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43"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2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13,243,641.17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利用自有资金购买理财产品所致。</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6"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2,414,095.65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0.81%</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采用账龄分析法提取的应收账款、其</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他应收款的减值准备金。</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2,795,446.39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0.94%</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政府补贴及质量索赔款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212,351.23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0.07%</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处置固定资产损失</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1121"/>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1"/>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757" w:type="dxa"/>
        <w:tblLayout w:type="fixed"/>
        <w:tblCellMar>
          <w:top w:w="0" w:type="dxa"/>
          <w:left w:w="0" w:type="dxa"/>
          <w:bottom w:w="0" w:type="dxa"/>
          <w:right w:w="0" w:type="dxa"/>
        </w:tblCellMar>
        <w:tblLook w:val="01E0"/>
      </w:tblPr>
      <w:tblGrid>
        <w:gridCol w:w="1345"/>
        <w:gridCol w:w="1273"/>
        <w:gridCol w:w="1139"/>
        <w:gridCol w:w="1195"/>
        <w:gridCol w:w="1315"/>
        <w:gridCol w:w="851"/>
        <w:gridCol w:w="1316"/>
      </w:tblGrid>
      <w:tr>
        <w:trPr>
          <w:trHeight w:val="205"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2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51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45" w:type="dxa"/>
            <w:vMerge w:val="restart"/>
            <w:tcBorders>
              <w:top w:val="nil" w:sz="6" w:space="0" w:color="auto"/>
              <w:left w:val="single" w:sz="4" w:space="0" w:color="000000"/>
              <w:right w:val="single" w:sz="4" w:space="0" w:color="000000"/>
            </w:tcBorders>
            <w:shd w:val="clear" w:color="auto" w:fill="D2D2D2"/>
          </w:tcPr>
          <w:p>
            <w:pPr/>
          </w:p>
        </w:tc>
        <w:tc>
          <w:tcPr>
            <w:tcW w:w="2412" w:type="dxa"/>
            <w:gridSpan w:val="2"/>
            <w:vMerge/>
            <w:tcBorders>
              <w:left w:val="single" w:sz="4" w:space="0" w:color="000000"/>
              <w:bottom w:val="single" w:sz="4" w:space="0" w:color="000000"/>
              <w:right w:val="single" w:sz="4" w:space="0" w:color="000000"/>
            </w:tcBorders>
            <w:shd w:val="clear" w:color="auto" w:fill="D2D2D2"/>
          </w:tcPr>
          <w:p>
            <w:pPr/>
          </w:p>
        </w:tc>
        <w:tc>
          <w:tcPr>
            <w:tcW w:w="2510" w:type="dxa"/>
            <w:gridSpan w:val="2"/>
            <w:vMerge/>
            <w:tcBorders>
              <w:left w:val="single" w:sz="4" w:space="0" w:color="000000"/>
              <w:bottom w:val="single" w:sz="4" w:space="0" w:color="000000"/>
              <w:right w:val="single" w:sz="4" w:space="0" w:color="000000"/>
            </w:tcBorders>
            <w:shd w:val="clear" w:color="auto" w:fill="D2D2D2"/>
          </w:tcPr>
          <w:p>
            <w:pP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200" w:hRule="exact"/>
        </w:trPr>
        <w:tc>
          <w:tcPr>
            <w:tcW w:w="1345" w:type="dxa"/>
            <w:vMerge/>
            <w:tcBorders>
              <w:left w:val="single" w:sz="4" w:space="0" w:color="000000"/>
              <w:bottom w:val="nil" w:sz="6" w:space="0" w:color="auto"/>
              <w:right w:val="single" w:sz="4" w:space="0" w:color="000000"/>
            </w:tcBorders>
            <w:shd w:val="clear" w:color="auto" w:fill="D2D2D2"/>
          </w:tcPr>
          <w:p>
            <w:pPr/>
          </w:p>
        </w:tc>
        <w:tc>
          <w:tcPr>
            <w:tcW w:w="12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851"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3" w:type="dxa"/>
            <w:vMerge/>
            <w:tcBorders>
              <w:left w:val="single" w:sz="4" w:space="0" w:color="000000"/>
              <w:bottom w:val="single" w:sz="4" w:space="0" w:color="000000"/>
              <w:right w:val="single" w:sz="4" w:space="0" w:color="000000"/>
            </w:tcBorders>
            <w:shd w:val="clear" w:color="auto" w:fill="D2D2D2"/>
          </w:tcPr>
          <w:p>
            <w:pPr/>
          </w:p>
        </w:tc>
        <w:tc>
          <w:tcPr>
            <w:tcW w:w="1139"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315"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5" w:right="0"/>
              <w:jc w:val="center"/>
              <w:rPr>
                <w:rFonts w:ascii="Times New Roman" w:hAnsi="Times New Roman" w:cs="Times New Roman" w:eastAsia="Times New Roman" w:hint="default"/>
                <w:sz w:val="18"/>
                <w:szCs w:val="18"/>
              </w:rPr>
            </w:pPr>
            <w:r>
              <w:rPr>
                <w:rFonts w:ascii="Times New Roman"/>
                <w:sz w:val="18"/>
              </w:rPr>
              <w:t>793,811,459.31</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750,485,287.89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0.77%</w:t>
            </w: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332,268,049.03</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324,915,798.53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106,983,342.62</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145,155,182.61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w:t>
            </w: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4" w:right="0"/>
              <w:jc w:val="center"/>
              <w:rPr>
                <w:rFonts w:ascii="Times New Roman" w:hAnsi="Times New Roman" w:cs="Times New Roman" w:eastAsia="Times New Roman" w:hint="default"/>
                <w:sz w:val="18"/>
                <w:szCs w:val="18"/>
              </w:rPr>
            </w:pPr>
            <w:r>
              <w:rPr>
                <w:rFonts w:ascii="Times New Roman"/>
                <w:sz w:val="18"/>
              </w:rPr>
              <w:t>29,163,943.11</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31,858,561.26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701,049,206.02</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719,239,192.58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32.15%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w:t>
            </w: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111,599,031.54</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38,797,314.79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w:t>
            </w:r>
          </w:p>
        </w:tc>
        <w:tc>
          <w:tcPr>
            <w:tcW w:w="13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21"/>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21"/>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1"/>
        <w:jc w:val="left"/>
      </w:pPr>
      <w:r>
        <w:rPr/>
        <w:t>其他货币资金中的期末受限货币资金为</w:t>
      </w:r>
      <w:r>
        <w:rPr>
          <w:rFonts w:ascii="Times New Roman" w:hAnsi="Times New Roman" w:cs="Times New Roman" w:eastAsia="Times New Roman" w:hint="default"/>
        </w:rPr>
        <w:t>37,446,925.10</w:t>
      </w:r>
      <w:r>
        <w:rPr/>
        <w:t>元，主要为银行承兑汇票保证金。</w:t>
      </w:r>
    </w:p>
    <w:p>
      <w:pPr>
        <w:spacing w:line="240" w:lineRule="auto" w:before="1"/>
        <w:rPr>
          <w:rFonts w:ascii="宋体" w:hAnsi="宋体" w:cs="宋体" w:eastAsia="宋体" w:hint="default"/>
          <w:sz w:val="24"/>
          <w:szCs w:val="24"/>
        </w:rPr>
      </w:pPr>
    </w:p>
    <w:p>
      <w:pPr>
        <w:pStyle w:val="Heading2"/>
        <w:spacing w:line="240" w:lineRule="auto"/>
        <w:ind w:right="1121"/>
        <w:jc w:val="left"/>
        <w:rPr>
          <w:b w:val="0"/>
          <w:bCs w:val="0"/>
        </w:rPr>
      </w:pPr>
      <w:bookmarkStart w:name="五、投资状况分析" w:id="45"/>
      <w:bookmarkEnd w:id="45"/>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1"/>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21"/>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21"/>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21"/>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21"/>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公司报告期无募集资金使用情况。</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1"/>
        <w:jc w:val="left"/>
        <w:rPr>
          <w:b w:val="0"/>
          <w:bCs w:val="0"/>
        </w:rPr>
      </w:pPr>
      <w:bookmarkStart w:name="六、重大资产和股权出售" w:id="51"/>
      <w:bookmarkEnd w:id="51"/>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1"/>
        <w:jc w:val="left"/>
        <w:rPr>
          <w:b w:val="0"/>
          <w:bCs w:val="0"/>
        </w:rPr>
      </w:pPr>
      <w:bookmarkStart w:name="1、出售重大资产情况" w:id="52"/>
      <w:bookmarkEnd w:id="52"/>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right="1121"/>
        <w:jc w:val="left"/>
        <w:rPr>
          <w:b w:val="0"/>
          <w:bCs w:val="0"/>
        </w:rPr>
      </w:pPr>
      <w:bookmarkStart w:name="2、出售重大股权情况" w:id="53"/>
      <w:bookmarkEnd w:id="53"/>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21"/>
        <w:jc w:val="left"/>
        <w:rPr>
          <w:b w:val="0"/>
          <w:bCs w:val="0"/>
        </w:rPr>
      </w:pPr>
      <w:bookmarkStart w:name="七、主要控股参股公司分析" w:id="54"/>
      <w:bookmarkEnd w:id="54"/>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4"/>
        <w:gridCol w:w="931"/>
        <w:gridCol w:w="1310"/>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9"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北京东港安</w:t>
            </w:r>
          </w:p>
          <w:p>
            <w:pPr>
              <w:pStyle w:val="TableParagraph"/>
              <w:spacing w:line="232" w:lineRule="exact" w:before="24"/>
              <w:ind w:left="22" w:right="119"/>
              <w:jc w:val="left"/>
              <w:rPr>
                <w:rFonts w:ascii="宋体" w:hAnsi="宋体" w:cs="宋体" w:eastAsia="宋体" w:hint="default"/>
                <w:sz w:val="18"/>
                <w:szCs w:val="18"/>
              </w:rPr>
            </w:pPr>
            <w:r>
              <w:rPr>
                <w:rFonts w:ascii="宋体" w:hAnsi="宋体" w:cs="宋体" w:eastAsia="宋体" w:hint="default"/>
                <w:sz w:val="18"/>
                <w:szCs w:val="18"/>
              </w:rPr>
              <w:t>全印刷有限 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票证印刷品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0"/>
              <w:jc w:val="right"/>
              <w:rPr>
                <w:rFonts w:ascii="Times New Roman" w:hAnsi="Times New Roman" w:cs="Times New Roman" w:eastAsia="Times New Roman" w:hint="default"/>
                <w:sz w:val="18"/>
                <w:szCs w:val="18"/>
              </w:rPr>
            </w:pPr>
            <w:r>
              <w:rPr>
                <w:rFonts w:ascii="Times New Roman"/>
                <w:sz w:val="18"/>
              </w:rPr>
              <w:t>52,000,000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0"/>
              <w:jc w:val="right"/>
              <w:rPr>
                <w:rFonts w:ascii="Times New Roman" w:hAnsi="Times New Roman" w:cs="Times New Roman" w:eastAsia="Times New Roman" w:hint="default"/>
                <w:sz w:val="18"/>
                <w:szCs w:val="18"/>
              </w:rPr>
            </w:pPr>
            <w:r>
              <w:rPr>
                <w:rFonts w:ascii="Times New Roman"/>
                <w:spacing w:val="-1"/>
                <w:sz w:val="18"/>
              </w:rPr>
              <w:t>194,898,839.</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0"/>
              <w:jc w:val="right"/>
              <w:rPr>
                <w:rFonts w:ascii="Times New Roman" w:hAnsi="Times New Roman" w:cs="Times New Roman" w:eastAsia="Times New Roman" w:hint="default"/>
                <w:sz w:val="18"/>
                <w:szCs w:val="18"/>
              </w:rPr>
            </w:pPr>
            <w:r>
              <w:rPr>
                <w:rFonts w:ascii="Times New Roman"/>
                <w:spacing w:val="-1"/>
                <w:sz w:val="18"/>
              </w:rPr>
              <w:t>128,038,126.</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2"/>
              <w:jc w:val="right"/>
              <w:rPr>
                <w:rFonts w:ascii="Times New Roman" w:hAnsi="Times New Roman" w:cs="Times New Roman" w:eastAsia="Times New Roman" w:hint="default"/>
                <w:sz w:val="18"/>
                <w:szCs w:val="18"/>
              </w:rPr>
            </w:pPr>
            <w:r>
              <w:rPr>
                <w:rFonts w:ascii="Times New Roman"/>
                <w:spacing w:val="-1"/>
                <w:sz w:val="18"/>
              </w:rPr>
              <w:t>238,856,769.</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1"/>
              <w:jc w:val="right"/>
              <w:rPr>
                <w:rFonts w:ascii="Times New Roman" w:hAnsi="Times New Roman" w:cs="Times New Roman" w:eastAsia="Times New Roman" w:hint="default"/>
                <w:sz w:val="18"/>
                <w:szCs w:val="18"/>
              </w:rPr>
            </w:pPr>
            <w:r>
              <w:rPr>
                <w:rFonts w:ascii="Times New Roman"/>
                <w:spacing w:val="-1"/>
                <w:sz w:val="18"/>
              </w:rPr>
              <w:t>52,089,039.3</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1"/>
              <w:jc w:val="right"/>
              <w:rPr>
                <w:rFonts w:ascii="Times New Roman" w:hAnsi="Times New Roman" w:cs="Times New Roman" w:eastAsia="Times New Roman" w:hint="default"/>
                <w:sz w:val="18"/>
                <w:szCs w:val="18"/>
              </w:rPr>
            </w:pPr>
            <w:r>
              <w:rPr>
                <w:rFonts w:ascii="Times New Roman"/>
                <w:spacing w:val="-1"/>
                <w:sz w:val="18"/>
              </w:rPr>
              <w:t>44,757,239.0</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w:t>
            </w:r>
          </w:p>
        </w:tc>
      </w:tr>
      <w:tr>
        <w:trPr>
          <w:trHeight w:val="94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both"/>
              <w:rPr>
                <w:rFonts w:ascii="宋体" w:hAnsi="宋体" w:cs="宋体" w:eastAsia="宋体" w:hint="default"/>
                <w:sz w:val="18"/>
                <w:szCs w:val="18"/>
              </w:rPr>
            </w:pPr>
            <w:r>
              <w:rPr>
                <w:rFonts w:ascii="宋体" w:hAnsi="宋体" w:cs="宋体" w:eastAsia="宋体" w:hint="default"/>
                <w:sz w:val="18"/>
                <w:szCs w:val="18"/>
              </w:rPr>
              <w:t>北京东港嘉</w:t>
            </w:r>
          </w:p>
          <w:p>
            <w:pPr>
              <w:pStyle w:val="TableParagraph"/>
              <w:spacing w:line="237" w:lineRule="auto"/>
              <w:ind w:left="22" w:right="119"/>
              <w:jc w:val="both"/>
              <w:rPr>
                <w:rFonts w:ascii="宋体" w:hAnsi="宋体" w:cs="宋体" w:eastAsia="宋体" w:hint="default"/>
                <w:sz w:val="18"/>
                <w:szCs w:val="18"/>
              </w:rPr>
            </w:pPr>
            <w:r>
              <w:rPr>
                <w:rFonts w:ascii="宋体" w:hAnsi="宋体" w:cs="宋体" w:eastAsia="宋体" w:hint="default"/>
                <w:sz w:val="18"/>
                <w:szCs w:val="18"/>
              </w:rPr>
              <w:t>华安全信息 技术有限公 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22" w:right="21"/>
              <w:jc w:val="both"/>
              <w:rPr>
                <w:rFonts w:ascii="宋体" w:hAnsi="宋体" w:cs="宋体" w:eastAsia="宋体" w:hint="default"/>
                <w:sz w:val="18"/>
                <w:szCs w:val="18"/>
              </w:rPr>
            </w:pPr>
            <w:r>
              <w:rPr>
                <w:rFonts w:ascii="宋体" w:hAnsi="宋体" w:cs="宋体" w:eastAsia="宋体" w:hint="default"/>
                <w:sz w:val="18"/>
                <w:szCs w:val="18"/>
              </w:rPr>
              <w:t>票证印刷品，档 案存储，电子票 证等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48,926,762.5</w:t>
            </w: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225,865,687.</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77,977,146.8</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207,929,841.</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33,942,485.3</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31,404,502.5</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w:t>
            </w:r>
          </w:p>
        </w:tc>
      </w:tr>
      <w:tr>
        <w:trPr>
          <w:trHeight w:val="71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上海东港数</w:t>
            </w:r>
          </w:p>
          <w:p>
            <w:pPr>
              <w:pStyle w:val="TableParagraph"/>
              <w:spacing w:line="232" w:lineRule="exact" w:before="24"/>
              <w:ind w:left="22" w:right="119"/>
              <w:jc w:val="left"/>
              <w:rPr>
                <w:rFonts w:ascii="宋体" w:hAnsi="宋体" w:cs="宋体" w:eastAsia="宋体" w:hint="default"/>
                <w:sz w:val="18"/>
                <w:szCs w:val="18"/>
              </w:rPr>
            </w:pPr>
            <w:r>
              <w:rPr>
                <w:rFonts w:ascii="宋体" w:hAnsi="宋体" w:cs="宋体" w:eastAsia="宋体" w:hint="default"/>
                <w:sz w:val="18"/>
                <w:szCs w:val="18"/>
              </w:rPr>
              <w:t>据处理有限 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2" w:right="197"/>
              <w:jc w:val="left"/>
              <w:rPr>
                <w:rFonts w:ascii="宋体" w:hAnsi="宋体" w:cs="宋体" w:eastAsia="宋体" w:hint="default"/>
                <w:sz w:val="18"/>
                <w:szCs w:val="18"/>
              </w:rPr>
            </w:pPr>
            <w:r>
              <w:rPr>
                <w:rFonts w:ascii="宋体" w:hAnsi="宋体" w:cs="宋体" w:eastAsia="宋体" w:hint="default"/>
                <w:sz w:val="18"/>
                <w:szCs w:val="18"/>
              </w:rPr>
              <w:t>数据打印封装 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z w:val="18"/>
              </w:rPr>
              <w:t>150,000,000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20"/>
              <w:jc w:val="right"/>
              <w:rPr>
                <w:rFonts w:ascii="Times New Roman" w:hAnsi="Times New Roman" w:cs="Times New Roman" w:eastAsia="Times New Roman" w:hint="default"/>
                <w:sz w:val="18"/>
                <w:szCs w:val="18"/>
              </w:rPr>
            </w:pPr>
            <w:r>
              <w:rPr>
                <w:rFonts w:ascii="Times New Roman"/>
                <w:spacing w:val="-1"/>
                <w:sz w:val="18"/>
              </w:rPr>
              <w:t>217,549,789.</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54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20"/>
              <w:jc w:val="right"/>
              <w:rPr>
                <w:rFonts w:ascii="Times New Roman" w:hAnsi="Times New Roman" w:cs="Times New Roman" w:eastAsia="Times New Roman" w:hint="default"/>
                <w:sz w:val="18"/>
                <w:szCs w:val="18"/>
              </w:rPr>
            </w:pPr>
            <w:r>
              <w:rPr>
                <w:rFonts w:ascii="Times New Roman"/>
                <w:spacing w:val="-1"/>
                <w:sz w:val="18"/>
              </w:rPr>
              <w:t>182,413,949.</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91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22"/>
              <w:jc w:val="right"/>
              <w:rPr>
                <w:rFonts w:ascii="Times New Roman" w:hAnsi="Times New Roman" w:cs="Times New Roman" w:eastAsia="Times New Roman" w:hint="default"/>
                <w:sz w:val="18"/>
                <w:szCs w:val="18"/>
              </w:rPr>
            </w:pPr>
            <w:r>
              <w:rPr>
                <w:rFonts w:ascii="Times New Roman"/>
                <w:spacing w:val="-1"/>
                <w:sz w:val="18"/>
              </w:rPr>
              <w:t>116,396,937.</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91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21"/>
              <w:jc w:val="right"/>
              <w:rPr>
                <w:rFonts w:ascii="Times New Roman" w:hAnsi="Times New Roman" w:cs="Times New Roman" w:eastAsia="Times New Roman" w:hint="default"/>
                <w:sz w:val="18"/>
                <w:szCs w:val="18"/>
              </w:rPr>
            </w:pPr>
            <w:r>
              <w:rPr>
                <w:rFonts w:ascii="Times New Roman"/>
                <w:spacing w:val="-1"/>
                <w:sz w:val="18"/>
              </w:rPr>
              <w:t>31,218,738.5</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21"/>
              <w:jc w:val="right"/>
              <w:rPr>
                <w:rFonts w:ascii="Times New Roman" w:hAnsi="Times New Roman" w:cs="Times New Roman" w:eastAsia="Times New Roman" w:hint="default"/>
                <w:sz w:val="18"/>
                <w:szCs w:val="18"/>
              </w:rPr>
            </w:pPr>
            <w:r>
              <w:rPr>
                <w:rFonts w:ascii="Times New Roman"/>
                <w:spacing w:val="-1"/>
                <w:sz w:val="18"/>
              </w:rPr>
              <w:t>27,441,902.4</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1121"/>
        <w:jc w:val="left"/>
      </w:pPr>
      <w:r>
        <w:rPr/>
        <w:t>报告期内取得和处置子公司的情况</w:t>
      </w:r>
    </w:p>
    <w:p>
      <w:pPr>
        <w:pStyle w:val="BodyText"/>
        <w:spacing w:line="240" w:lineRule="auto" w:before="117"/>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天津征瑞科技有限公司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全部转让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处置价款与处置投资对应的合并报表层</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面享有该子公司净资产份额的差额</w:t>
            </w:r>
          </w:p>
          <w:p>
            <w:pPr>
              <w:pStyle w:val="TableParagraph"/>
              <w:spacing w:line="24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-87.75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71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青岛瑞宏科技有限公司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全部转让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处置价款与处置投资对应的合并报表层</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面享有该子公司净资产份额的差额</w:t>
            </w:r>
          </w:p>
          <w:p>
            <w:pPr>
              <w:pStyle w:val="TableParagraph"/>
              <w:spacing w:line="24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149.65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71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广西瑞宏信息技术有限公司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全部转让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处置价款与处置投资对应的合并报表层</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面享有该子公司净资产份额的差额</w:t>
            </w:r>
          </w:p>
          <w:p>
            <w:pPr>
              <w:pStyle w:val="TableParagraph"/>
              <w:spacing w:line="24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-70,218.02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pStyle w:val="BodyText"/>
        <w:spacing w:line="240" w:lineRule="auto" w:before="51"/>
        <w:ind w:right="0"/>
        <w:jc w:val="both"/>
      </w:pPr>
      <w:r>
        <w:rPr/>
        <w:t>主要控股参股公司情况说明</w:t>
      </w:r>
    </w:p>
    <w:p>
      <w:pPr>
        <w:pStyle w:val="BodyText"/>
        <w:spacing w:line="338" w:lineRule="auto" w:before="117"/>
        <w:ind w:left="514" w:right="1197"/>
        <w:jc w:val="left"/>
      </w:pPr>
      <w:r>
        <w:rPr/>
        <w:t>（</w:t>
      </w:r>
      <w:r>
        <w:rPr>
          <w:rFonts w:ascii="Times New Roman" w:hAnsi="Times New Roman" w:cs="Times New Roman" w:eastAsia="Times New Roman" w:hint="default"/>
        </w:rPr>
        <w:t>1</w:t>
      </w:r>
      <w:r>
        <w:rPr/>
        <w:t>）控股子公司</w:t>
      </w:r>
      <w:r>
        <w:rPr>
          <w:rFonts w:ascii="Times New Roman" w:hAnsi="Times New Roman" w:cs="Times New Roman" w:eastAsia="Times New Roman" w:hint="default"/>
        </w:rPr>
        <w:t>—</w:t>
      </w:r>
      <w:r>
        <w:rPr/>
        <w:t>郑州东港安全印刷有限公司： 公司于</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w:t>
      </w:r>
      <w:r>
        <w:rPr/>
        <w:t>月成立，注册资本</w:t>
      </w:r>
      <w:r>
        <w:rPr>
          <w:rFonts w:ascii="Times New Roman" w:hAnsi="Times New Roman" w:cs="Times New Roman" w:eastAsia="Times New Roman" w:hint="default"/>
        </w:rPr>
        <w:t>5,000</w:t>
      </w:r>
      <w:r>
        <w:rPr/>
        <w:t>万元，本公司持股比例为</w:t>
      </w:r>
      <w:r>
        <w:rPr>
          <w:rFonts w:ascii="Times New Roman" w:hAnsi="Times New Roman" w:cs="Times New Roman" w:eastAsia="Times New Roman" w:hint="default"/>
        </w:rPr>
        <w:t>100%</w:t>
      </w:r>
      <w:r>
        <w:rPr/>
        <w:t>。公司法定代表人：唐国奇。注册地址：郑州高</w:t>
      </w:r>
    </w:p>
    <w:p>
      <w:pPr>
        <w:pStyle w:val="BodyText"/>
        <w:spacing w:line="230" w:lineRule="exact"/>
        <w:ind w:right="0"/>
        <w:jc w:val="both"/>
      </w:pPr>
      <w:r>
        <w:rPr/>
        <w:t>新区国槐街</w:t>
      </w:r>
      <w:r>
        <w:rPr>
          <w:rFonts w:ascii="Times New Roman" w:hAnsi="Times New Roman" w:cs="Times New Roman" w:eastAsia="Times New Roman" w:hint="default"/>
        </w:rPr>
        <w:t>11</w:t>
      </w:r>
      <w:r>
        <w:rPr/>
        <w:t>号。经营范围：包装装潢印刷品及其他印刷品印刷；专项排版、制版、装订；办公用纸、纸制品的生产；高档</w:t>
      </w:r>
    </w:p>
    <w:p>
      <w:pPr>
        <w:pStyle w:val="BodyText"/>
        <w:spacing w:line="319" w:lineRule="auto" w:before="63"/>
        <w:ind w:right="1130"/>
        <w:jc w:val="both"/>
      </w:pPr>
      <w:r>
        <w:rPr>
          <w:spacing w:val="-2"/>
        </w:rPr>
        <w:t>纸张防伪处理；磁卡、</w:t>
      </w:r>
      <w:r>
        <w:rPr>
          <w:rFonts w:ascii="宋体" w:hAnsi="宋体" w:cs="宋体" w:eastAsia="宋体" w:hint="default"/>
          <w:spacing w:val="-2"/>
        </w:rPr>
        <w:t>IC</w:t>
      </w:r>
      <w:r>
        <w:rPr>
          <w:spacing w:val="-2"/>
        </w:rPr>
        <w:t>卡、智能卡、识别卡和智能标签、印刷器材、电子设备及产品、办公自动化设备及产品、电子元器</w:t>
      </w:r>
      <w:r>
        <w:rPr>
          <w:spacing w:val="-65"/>
        </w:rPr>
        <w:t> </w:t>
      </w:r>
      <w:r>
        <w:rPr>
          <w:spacing w:val="-65"/>
        </w:rPr>
      </w:r>
      <w:r>
        <w:rPr>
          <w:spacing w:val="-2"/>
        </w:rPr>
        <w:t>件、软件产品的开发、生产、销售本公司生产的产品；信息系统集成工程及技术服务；数据及信息处理服务；科技信息咨询</w:t>
      </w:r>
      <w:r>
        <w:rPr>
          <w:spacing w:val="-68"/>
        </w:rPr>
        <w:t> </w:t>
      </w:r>
      <w:r>
        <w:rPr>
          <w:spacing w:val="-68"/>
        </w:rPr>
      </w:r>
      <w:r>
        <w:rPr>
          <w:spacing w:val="-2"/>
        </w:rPr>
        <w:t>服务；印刷品设计服务；从事上述产品的销售；技术进出口；自有房屋租赁；档案存储及数字化加工服务；档案咨询、管理</w:t>
      </w:r>
      <w:r>
        <w:rPr>
          <w:spacing w:val="-72"/>
        </w:rPr>
        <w:t> </w:t>
      </w:r>
      <w:r>
        <w:rPr>
          <w:spacing w:val="-72"/>
        </w:rPr>
      </w:r>
      <w:r>
        <w:rPr/>
        <w:t>服务。</w:t>
      </w:r>
    </w:p>
    <w:p>
      <w:pPr>
        <w:spacing w:after="0" w:line="319" w:lineRule="auto"/>
        <w:jc w:val="both"/>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514" w:right="1121"/>
        <w:jc w:val="left"/>
      </w:pPr>
      <w:r>
        <w:rPr/>
        <w:t>该公司报告期实现净利润</w:t>
      </w:r>
      <w:r>
        <w:rPr>
          <w:rFonts w:ascii="Times New Roman" w:hAnsi="Times New Roman" w:cs="Times New Roman" w:eastAsia="Times New Roman" w:hint="default"/>
        </w:rPr>
        <w:t>1,219.71</w:t>
      </w:r>
      <w:r>
        <w:rPr>
          <w:rFonts w:ascii="Times New Roman" w:hAnsi="Times New Roman" w:cs="Times New Roman" w:eastAsia="Times New Roman" w:hint="default"/>
          <w:spacing w:val="23"/>
        </w:rPr>
        <w:t> </w:t>
      </w:r>
      <w:r>
        <w:rPr/>
        <w:t>万元，报告期末资产总额为</w:t>
      </w:r>
      <w:r>
        <w:rPr>
          <w:rFonts w:ascii="Times New Roman" w:hAnsi="Times New Roman" w:cs="Times New Roman" w:eastAsia="Times New Roman" w:hint="default"/>
        </w:rPr>
        <w:t>10,147.57</w:t>
      </w:r>
      <w:r>
        <w:rPr/>
        <w:t>万元。</w:t>
      </w:r>
    </w:p>
    <w:p>
      <w:pPr>
        <w:pStyle w:val="BodyText"/>
        <w:spacing w:line="338" w:lineRule="auto" w:before="102"/>
        <w:ind w:left="514" w:right="1197"/>
        <w:jc w:val="left"/>
      </w:pPr>
      <w:r>
        <w:rPr/>
        <w:t>（</w:t>
      </w:r>
      <w:r>
        <w:rPr>
          <w:rFonts w:ascii="Times New Roman" w:hAnsi="Times New Roman" w:cs="Times New Roman" w:eastAsia="Times New Roman" w:hint="default"/>
        </w:rPr>
        <w:t>2</w:t>
      </w:r>
      <w:r>
        <w:rPr/>
        <w:t>）控股子公司</w:t>
      </w:r>
      <w:r>
        <w:rPr>
          <w:rFonts w:ascii="Times New Roman" w:hAnsi="Times New Roman" w:cs="Times New Roman" w:eastAsia="Times New Roman" w:hint="default"/>
        </w:rPr>
        <w:t>—</w:t>
      </w:r>
      <w:r>
        <w:rPr/>
        <w:t>北京东港安全印刷有限公司： 公司于</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25</w:t>
      </w:r>
      <w:r>
        <w:rPr/>
        <w:t>日成立，注册资本</w:t>
      </w:r>
      <w:r>
        <w:rPr>
          <w:rFonts w:ascii="Times New Roman" w:hAnsi="Times New Roman" w:cs="Times New Roman" w:eastAsia="Times New Roman" w:hint="default"/>
        </w:rPr>
        <w:t>5,200</w:t>
      </w:r>
      <w:r>
        <w:rPr/>
        <w:t>万元，本公司持股比例为</w:t>
      </w:r>
      <w:r>
        <w:rPr>
          <w:rFonts w:ascii="Times New Roman" w:hAnsi="Times New Roman" w:cs="Times New Roman" w:eastAsia="Times New Roman" w:hint="default"/>
        </w:rPr>
        <w:t>100%</w:t>
      </w:r>
      <w:r>
        <w:rPr/>
        <w:t>。公司法定代表人：刘宏。注册地址：北京</w:t>
      </w:r>
    </w:p>
    <w:p>
      <w:pPr>
        <w:pStyle w:val="BodyText"/>
        <w:spacing w:line="230" w:lineRule="exact"/>
        <w:ind w:right="0"/>
        <w:jc w:val="both"/>
      </w:pPr>
      <w:r>
        <w:rPr/>
        <w:t>市北京经济技术开发区经海四路</w:t>
      </w:r>
      <w:r>
        <w:rPr>
          <w:rFonts w:ascii="Times New Roman" w:hAnsi="Times New Roman" w:cs="Times New Roman" w:eastAsia="Times New Roman" w:hint="default"/>
        </w:rPr>
        <w:t>139</w:t>
      </w:r>
      <w:r>
        <w:rPr/>
        <w:t>号</w:t>
      </w:r>
      <w:r>
        <w:rPr>
          <w:rFonts w:ascii="宋体" w:hAnsi="宋体" w:cs="宋体" w:eastAsia="宋体" w:hint="default"/>
        </w:rPr>
        <w:t>1</w:t>
      </w:r>
      <w:r>
        <w:rPr/>
        <w:t>幢。经营范围：出版物印刷、包装装潢印刷品印刷、其他印刷品印刷；生产专用计算</w:t>
      </w:r>
    </w:p>
    <w:p>
      <w:pPr>
        <w:pStyle w:val="BodyText"/>
        <w:spacing w:line="316" w:lineRule="auto" w:before="63"/>
        <w:ind w:right="1032"/>
        <w:jc w:val="left"/>
      </w:pPr>
      <w:r>
        <w:rPr>
          <w:spacing w:val="-2"/>
        </w:rPr>
        <w:t>机软件；销售自产产品；提供数据处理服务及自产产品技术咨询、技术服务；磁卡、智能卡、智能卡电子设备及产品、办公</w:t>
      </w:r>
      <w:r>
        <w:rPr>
          <w:spacing w:val="-72"/>
        </w:rPr>
        <w:t> </w:t>
      </w:r>
      <w:r>
        <w:rPr>
          <w:spacing w:val="-72"/>
        </w:rPr>
      </w:r>
      <w:r>
        <w:rPr/>
        <w:t>自动化设备及产品、电子元器件的研究、开发；物联网、计算机信息系统集成及技术服务；纸制品、高档防伪纸张、磁卡、 </w:t>
      </w:r>
      <w:r>
        <w:rPr>
          <w:spacing w:val="-2"/>
        </w:rPr>
        <w:t>智能卡、智能卡电子设备及产品、智能电子标签、办公自动化设备及产品、电子元器件、计算机软件的批发、佣金代理业务</w:t>
      </w:r>
    </w:p>
    <w:p>
      <w:pPr>
        <w:pStyle w:val="BodyText"/>
        <w:spacing w:line="319" w:lineRule="auto" w:before="19"/>
        <w:ind w:right="1133"/>
        <w:jc w:val="both"/>
      </w:pPr>
      <w:r>
        <w:rPr>
          <w:spacing w:val="-2"/>
        </w:rPr>
        <w:t>（拍卖、涉及专项规定管理的商品除外）；科技信息咨询服务；货物进出口、技术进出口；劳务派遣（劳务派遣经营许可证</w:t>
      </w:r>
      <w:r>
        <w:rPr>
          <w:spacing w:val="-72"/>
        </w:rPr>
        <w:t> </w:t>
      </w:r>
      <w:r>
        <w:rPr>
          <w:spacing w:val="-72"/>
        </w:rPr>
      </w:r>
      <w:r>
        <w:rPr/>
        <w:t>有效期至</w:t>
      </w:r>
      <w:r>
        <w:rPr>
          <w:rFonts w:ascii="宋体" w:hAnsi="宋体" w:cs="宋体" w:eastAsia="宋体" w:hint="default"/>
        </w:rPr>
        <w:t>2020</w:t>
      </w:r>
      <w:r>
        <w:rPr/>
        <w:t>年</w:t>
      </w:r>
      <w:r>
        <w:rPr>
          <w:rFonts w:ascii="宋体" w:hAnsi="宋体" w:cs="宋体" w:eastAsia="宋体" w:hint="default"/>
        </w:rPr>
        <w:t>12</w:t>
      </w:r>
      <w:r>
        <w:rPr/>
        <w:t>月</w:t>
      </w:r>
      <w:r>
        <w:rPr>
          <w:rFonts w:ascii="宋体" w:hAnsi="宋体" w:cs="宋体" w:eastAsia="宋体" w:hint="default"/>
        </w:rPr>
        <w:t>05</w:t>
      </w:r>
      <w:r>
        <w:rPr/>
        <w:t>日）。</w:t>
      </w:r>
    </w:p>
    <w:p>
      <w:pPr>
        <w:pStyle w:val="BodyText"/>
        <w:spacing w:line="240" w:lineRule="auto" w:before="56"/>
        <w:ind w:left="514" w:right="1121"/>
        <w:jc w:val="left"/>
      </w:pPr>
      <w:r>
        <w:rPr/>
        <w:t>该公司报告期实现净利润</w:t>
      </w:r>
      <w:r>
        <w:rPr>
          <w:rFonts w:ascii="Times New Roman" w:hAnsi="Times New Roman" w:cs="Times New Roman" w:eastAsia="Times New Roman" w:hint="default"/>
        </w:rPr>
        <w:t>4,475.72</w:t>
      </w:r>
      <w:r>
        <w:rPr/>
        <w:t>万元，报告期末资产总额</w:t>
      </w:r>
      <w:r>
        <w:rPr>
          <w:rFonts w:ascii="Times New Roman" w:hAnsi="Times New Roman" w:cs="Times New Roman" w:eastAsia="Times New Roman" w:hint="default"/>
        </w:rPr>
        <w:t>19,489.88</w:t>
      </w:r>
      <w:r>
        <w:rPr/>
        <w:t>万元。</w:t>
      </w:r>
    </w:p>
    <w:p>
      <w:pPr>
        <w:pStyle w:val="BodyText"/>
        <w:spacing w:line="338" w:lineRule="auto" w:before="102"/>
        <w:ind w:left="514" w:right="1121"/>
        <w:jc w:val="left"/>
      </w:pPr>
      <w:r>
        <w:rPr/>
        <w:t>（</w:t>
      </w:r>
      <w:r>
        <w:rPr>
          <w:rFonts w:ascii="Times New Roman" w:hAnsi="Times New Roman" w:cs="Times New Roman" w:eastAsia="Times New Roman" w:hint="default"/>
        </w:rPr>
        <w:t>3</w:t>
      </w:r>
      <w:r>
        <w:rPr/>
        <w:t>）控股子公司</w:t>
      </w:r>
      <w:r>
        <w:rPr>
          <w:rFonts w:ascii="Times New Roman" w:hAnsi="Times New Roman" w:cs="Times New Roman" w:eastAsia="Times New Roman" w:hint="default"/>
        </w:rPr>
        <w:t>—</w:t>
      </w:r>
      <w:r>
        <w:rPr/>
        <w:t>上海东港安全印刷有限公司： </w:t>
      </w:r>
      <w:r>
        <w:rPr>
          <w:spacing w:val="-1"/>
        </w:rPr>
        <w:t>公司于</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9</w:t>
      </w:r>
      <w:r>
        <w:rPr>
          <w:spacing w:val="-1"/>
        </w:rPr>
        <w:t>日成立，注册资本</w:t>
      </w:r>
      <w:r>
        <w:rPr>
          <w:rFonts w:ascii="宋体" w:hAnsi="宋体" w:cs="宋体" w:eastAsia="宋体" w:hint="default"/>
          <w:spacing w:val="-1"/>
        </w:rPr>
        <w:t>8</w:t>
      </w:r>
      <w:r>
        <w:rPr>
          <w:rFonts w:ascii="Times New Roman" w:hAnsi="Times New Roman" w:cs="Times New Roman" w:eastAsia="Times New Roman" w:hint="default"/>
          <w:spacing w:val="-1"/>
        </w:rPr>
        <w:t>,000</w:t>
      </w:r>
      <w:r>
        <w:rPr>
          <w:spacing w:val="-1"/>
        </w:rPr>
        <w:t>万元，本公司持股比例为</w:t>
      </w:r>
      <w:r>
        <w:rPr>
          <w:rFonts w:ascii="Times New Roman" w:hAnsi="Times New Roman" w:cs="Times New Roman" w:eastAsia="Times New Roman" w:hint="default"/>
          <w:spacing w:val="-1"/>
        </w:rPr>
        <w:t>100%</w:t>
      </w:r>
      <w:r>
        <w:rPr>
          <w:spacing w:val="-1"/>
        </w:rPr>
        <w:t>。公司法定代表人：杨兆云。注册地址：上海</w:t>
      </w:r>
    </w:p>
    <w:p>
      <w:pPr>
        <w:pStyle w:val="BodyText"/>
        <w:spacing w:line="217" w:lineRule="exact"/>
        <w:ind w:right="0"/>
        <w:jc w:val="both"/>
      </w:pPr>
      <w:r>
        <w:rPr/>
        <w:t>市闵行区元电路</w:t>
      </w:r>
      <w:r>
        <w:rPr>
          <w:rFonts w:ascii="宋体" w:hAnsi="宋体" w:cs="宋体" w:eastAsia="宋体" w:hint="default"/>
        </w:rPr>
        <w:t>597</w:t>
      </w:r>
      <w:r>
        <w:rPr/>
        <w:t>号二幢。经营范围：出版物印刷，包装印刷，其他印刷，电子元器件、计算机软件领域内的技术开发，</w:t>
      </w:r>
    </w:p>
    <w:p>
      <w:pPr>
        <w:pStyle w:val="BodyText"/>
        <w:spacing w:line="319" w:lineRule="auto" w:before="76"/>
        <w:ind w:right="1133"/>
        <w:jc w:val="both"/>
      </w:pPr>
      <w:r>
        <w:rPr>
          <w:spacing w:val="-2"/>
        </w:rPr>
        <w:t>纸制品、印刷器材、电子设备、办公自动化设备、电子元器件、计算机软件的销售，物业管理，从事货物及技术的进出口业</w:t>
      </w:r>
      <w:r>
        <w:rPr>
          <w:spacing w:val="-72"/>
        </w:rPr>
        <w:t> </w:t>
      </w:r>
      <w:r>
        <w:rPr>
          <w:spacing w:val="-72"/>
        </w:rPr>
      </w:r>
      <w:r>
        <w:rPr/>
        <w:t>务，仓储服务（除危险品），接受金融机构委托从事金融业务流程外包，计算机服务，档案管理服务，自有厂房租赁。</w:t>
      </w:r>
    </w:p>
    <w:p>
      <w:pPr>
        <w:pStyle w:val="BodyText"/>
        <w:spacing w:line="240" w:lineRule="auto" w:before="56"/>
        <w:ind w:left="514" w:right="1121"/>
        <w:jc w:val="left"/>
      </w:pPr>
      <w:r>
        <w:rPr/>
        <w:t>该公司报告期实现净利润</w:t>
      </w:r>
      <w:r>
        <w:rPr>
          <w:rFonts w:ascii="Times New Roman" w:hAnsi="Times New Roman" w:cs="Times New Roman" w:eastAsia="Times New Roman" w:hint="default"/>
        </w:rPr>
        <w:t>1,040.86</w:t>
      </w:r>
      <w:r>
        <w:rPr/>
        <w:t>万元，报告期末资产总额</w:t>
      </w:r>
      <w:r>
        <w:rPr>
          <w:rFonts w:ascii="Times New Roman" w:hAnsi="Times New Roman" w:cs="Times New Roman" w:eastAsia="Times New Roman" w:hint="default"/>
        </w:rPr>
        <w:t>13,292.28</w:t>
      </w:r>
      <w:r>
        <w:rPr/>
        <w:t>万元。</w:t>
      </w:r>
    </w:p>
    <w:p>
      <w:pPr>
        <w:pStyle w:val="BodyText"/>
        <w:spacing w:line="338" w:lineRule="auto" w:before="102"/>
        <w:ind w:left="514" w:right="0"/>
        <w:jc w:val="left"/>
      </w:pPr>
      <w:r>
        <w:rPr/>
        <w:t>（</w:t>
      </w:r>
      <w:r>
        <w:rPr>
          <w:rFonts w:ascii="Times New Roman" w:hAnsi="Times New Roman" w:cs="Times New Roman" w:eastAsia="Times New Roman" w:hint="default"/>
        </w:rPr>
        <w:t>4</w:t>
      </w:r>
      <w:r>
        <w:rPr/>
        <w:t>）控股子公司</w:t>
      </w:r>
      <w:r>
        <w:rPr>
          <w:rFonts w:ascii="Times New Roman" w:hAnsi="Times New Roman" w:cs="Times New Roman" w:eastAsia="Times New Roman" w:hint="default"/>
        </w:rPr>
        <w:t>—</w:t>
      </w:r>
      <w:r>
        <w:rPr/>
        <w:t>北京东港嘉华安全信息技术有限公司： </w:t>
      </w:r>
      <w:r>
        <w:rPr>
          <w:spacing w:val="-2"/>
        </w:rPr>
        <w:t>公司于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w:t>
      </w:r>
      <w:r>
        <w:rPr>
          <w:spacing w:val="-2"/>
        </w:rPr>
        <w:t>日成立，注册资本</w:t>
      </w:r>
      <w:r>
        <w:rPr>
          <w:rFonts w:ascii="宋体" w:hAnsi="宋体" w:cs="宋体" w:eastAsia="宋体" w:hint="default"/>
          <w:spacing w:val="-2"/>
        </w:rPr>
        <w:t>4,892.676</w:t>
      </w:r>
      <w:r>
        <w:rPr>
          <w:spacing w:val="-2"/>
        </w:rPr>
        <w:t>万人民币，本公司持股比例为</w:t>
      </w:r>
      <w:r>
        <w:rPr>
          <w:rFonts w:ascii="宋体" w:hAnsi="宋体" w:cs="宋体" w:eastAsia="宋体" w:hint="default"/>
          <w:spacing w:val="-2"/>
        </w:rPr>
        <w:t>100%</w:t>
      </w:r>
      <w:r>
        <w:rPr>
          <w:spacing w:val="-2"/>
        </w:rPr>
        <w:t>。公司法定代表人：刘宏。注册地址：</w:t>
      </w:r>
    </w:p>
    <w:p>
      <w:pPr>
        <w:pStyle w:val="BodyText"/>
        <w:spacing w:line="217" w:lineRule="exact"/>
        <w:ind w:right="0"/>
        <w:jc w:val="both"/>
      </w:pPr>
      <w:r>
        <w:rPr/>
        <w:t>北京市北京经济技术开发区经海四路</w:t>
      </w:r>
      <w:r>
        <w:rPr>
          <w:rFonts w:ascii="宋体" w:hAnsi="宋体" w:cs="宋体" w:eastAsia="宋体" w:hint="default"/>
        </w:rPr>
        <w:t>139</w:t>
      </w:r>
      <w:r>
        <w:rPr/>
        <w:t>号。经营范围：开发喷墨打印设备、智能电子标签及专用计算机软件；生产专用计</w:t>
      </w:r>
    </w:p>
    <w:p>
      <w:pPr>
        <w:pStyle w:val="BodyText"/>
        <w:spacing w:line="319" w:lineRule="auto" w:before="76"/>
        <w:ind w:right="1131"/>
        <w:jc w:val="both"/>
      </w:pPr>
      <w:r>
        <w:rPr>
          <w:spacing w:val="-2"/>
        </w:rPr>
        <w:t>算机软件；销售自产产品、电子设备、电气设备；磁卡、智能卡、智能卡电子设备及产品、办公自动化设备及产品、电子元</w:t>
      </w:r>
      <w:r>
        <w:rPr>
          <w:spacing w:val="-67"/>
        </w:rPr>
        <w:t> </w:t>
      </w:r>
      <w:r>
        <w:rPr>
          <w:spacing w:val="-67"/>
        </w:rPr>
      </w:r>
      <w:r>
        <w:rPr>
          <w:spacing w:val="-2"/>
        </w:rPr>
        <w:t>器件的研究、开发；高档纸张防伪处理服务；物联网、计算机信息系统集成及技术服务；纸制品、高档防伪纸张、磁卡、智</w:t>
      </w:r>
      <w:r>
        <w:rPr>
          <w:spacing w:val="-68"/>
        </w:rPr>
        <w:t> </w:t>
      </w:r>
      <w:r>
        <w:rPr>
          <w:spacing w:val="-68"/>
        </w:rPr>
      </w:r>
      <w:r>
        <w:rPr>
          <w:spacing w:val="-5"/>
        </w:rPr>
        <w:t>能卡、智能卡电子设备及产品、智能电子标签、办公自动化设备及产品、电子元器件、计算机软件的批发、佣金代理业务（拍</w:t>
      </w:r>
      <w:r>
        <w:rPr>
          <w:spacing w:val="-81"/>
        </w:rPr>
        <w:t> </w:t>
      </w:r>
      <w:r>
        <w:rPr>
          <w:spacing w:val="-81"/>
        </w:rPr>
      </w:r>
      <w:r>
        <w:rPr>
          <w:spacing w:val="-2"/>
        </w:rPr>
        <w:t>卖、涉及专项规定管理的商品除外）；档案存储、数字化加工服务；提供数据处理服务及自产产品技术咨询、技术服务；科</w:t>
      </w:r>
      <w:r>
        <w:rPr>
          <w:spacing w:val="-71"/>
        </w:rPr>
        <w:t> </w:t>
      </w:r>
      <w:r>
        <w:rPr>
          <w:spacing w:val="-71"/>
        </w:rPr>
      </w:r>
      <w:r>
        <w:rPr>
          <w:spacing w:val="-2"/>
        </w:rPr>
        <w:t>技信息咨询服务；货物进出口、技术进出口；设计、制作、代理、发布广告；生产喷墨打印设备、智能电子标签；其他印刷</w:t>
      </w:r>
      <w:r>
        <w:rPr>
          <w:spacing w:val="-69"/>
        </w:rPr>
        <w:t> </w:t>
      </w:r>
      <w:r>
        <w:rPr>
          <w:spacing w:val="-69"/>
        </w:rPr>
      </w:r>
      <w:r>
        <w:rPr/>
        <w:t>品印刷；劳务派遣（劳务派遣经营许可证有效期至</w:t>
      </w:r>
      <w:r>
        <w:rPr>
          <w:rFonts w:ascii="宋体" w:hAnsi="宋体" w:cs="宋体" w:eastAsia="宋体" w:hint="default"/>
        </w:rPr>
        <w:t>2020</w:t>
      </w:r>
      <w:r>
        <w:rPr/>
        <w:t>年</w:t>
      </w:r>
      <w:r>
        <w:rPr>
          <w:rFonts w:ascii="宋体" w:hAnsi="宋体" w:cs="宋体" w:eastAsia="宋体" w:hint="default"/>
        </w:rPr>
        <w:t>12</w:t>
      </w:r>
      <w:r>
        <w:rPr/>
        <w:t>月</w:t>
      </w:r>
      <w:r>
        <w:rPr>
          <w:rFonts w:ascii="宋体" w:hAnsi="宋体" w:cs="宋体" w:eastAsia="宋体" w:hint="default"/>
        </w:rPr>
        <w:t>05</w:t>
      </w:r>
      <w:r>
        <w:rPr/>
        <w:t>日）。</w:t>
      </w:r>
    </w:p>
    <w:p>
      <w:pPr>
        <w:pStyle w:val="BodyText"/>
        <w:spacing w:line="240" w:lineRule="auto" w:before="56"/>
        <w:ind w:left="514" w:right="1121"/>
        <w:jc w:val="left"/>
      </w:pPr>
      <w:r>
        <w:rPr/>
        <w:t>该公司报告期实现净利润</w:t>
      </w:r>
      <w:r>
        <w:rPr>
          <w:rFonts w:ascii="Times New Roman" w:hAnsi="Times New Roman" w:cs="Times New Roman" w:eastAsia="Times New Roman" w:hint="default"/>
        </w:rPr>
        <w:t>3,140.45</w:t>
      </w:r>
      <w:r>
        <w:rPr/>
        <w:t>万元，报告期末资产总额</w:t>
      </w:r>
      <w:r>
        <w:rPr>
          <w:rFonts w:ascii="Times New Roman" w:hAnsi="Times New Roman" w:cs="Times New Roman" w:eastAsia="Times New Roman" w:hint="default"/>
        </w:rPr>
        <w:t>22,586.57</w:t>
      </w:r>
      <w:r>
        <w:rPr/>
        <w:t>万元。</w:t>
      </w:r>
    </w:p>
    <w:p>
      <w:pPr>
        <w:pStyle w:val="BodyText"/>
        <w:spacing w:line="338" w:lineRule="auto" w:before="102"/>
        <w:ind w:left="514" w:right="1197"/>
        <w:jc w:val="left"/>
      </w:pPr>
      <w:r>
        <w:rPr/>
        <w:t>（</w:t>
      </w:r>
      <w:r>
        <w:rPr>
          <w:rFonts w:ascii="Times New Roman" w:hAnsi="Times New Roman" w:cs="Times New Roman" w:eastAsia="Times New Roman" w:hint="default"/>
        </w:rPr>
        <w:t>5</w:t>
      </w:r>
      <w:r>
        <w:rPr/>
        <w:t>）控股子公司</w:t>
      </w:r>
      <w:r>
        <w:rPr>
          <w:rFonts w:ascii="Times New Roman" w:hAnsi="Times New Roman" w:cs="Times New Roman" w:eastAsia="Times New Roman" w:hint="default"/>
        </w:rPr>
        <w:t>—</w:t>
      </w:r>
      <w:r>
        <w:rPr/>
        <w:t>广州东港安全印刷有限公司： 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日成立，注册资本</w:t>
      </w:r>
      <w:r>
        <w:rPr>
          <w:rFonts w:ascii="Times New Roman" w:hAnsi="Times New Roman" w:cs="Times New Roman" w:eastAsia="Times New Roman" w:hint="default"/>
        </w:rPr>
        <w:t>4,200</w:t>
      </w:r>
      <w:r>
        <w:rPr/>
        <w:t>万元，本公司持股比例为</w:t>
      </w:r>
      <w:r>
        <w:rPr>
          <w:rFonts w:ascii="Times New Roman" w:hAnsi="Times New Roman" w:cs="Times New Roman" w:eastAsia="Times New Roman" w:hint="default"/>
        </w:rPr>
        <w:t>100%</w:t>
      </w:r>
      <w:r>
        <w:rPr/>
        <w:t>。公司法定代表人：朱震。注册地址：广州</w:t>
      </w:r>
    </w:p>
    <w:p>
      <w:pPr>
        <w:pStyle w:val="BodyText"/>
        <w:spacing w:line="230" w:lineRule="exact"/>
        <w:ind w:right="0"/>
        <w:jc w:val="both"/>
      </w:pPr>
      <w:r>
        <w:rPr/>
        <w:t>市高新技术产业开发区科学城南云五路</w:t>
      </w:r>
      <w:r>
        <w:rPr>
          <w:rFonts w:ascii="Times New Roman" w:hAnsi="Times New Roman" w:cs="Times New Roman" w:eastAsia="Times New Roman" w:hint="default"/>
        </w:rPr>
        <w:t>5</w:t>
      </w:r>
      <w:r>
        <w:rPr/>
        <w:t>号。经营范围：软件开发</w:t>
      </w:r>
      <w:r>
        <w:rPr>
          <w:rFonts w:ascii="宋体" w:hAnsi="宋体" w:cs="宋体" w:eastAsia="宋体" w:hint="default"/>
        </w:rPr>
        <w:t>;</w:t>
      </w:r>
      <w:r>
        <w:rPr/>
        <w:t>软件批发</w:t>
      </w:r>
      <w:r>
        <w:rPr>
          <w:rFonts w:ascii="宋体" w:hAnsi="宋体" w:cs="宋体" w:eastAsia="宋体" w:hint="default"/>
        </w:rPr>
        <w:t>;</w:t>
      </w:r>
      <w:r>
        <w:rPr/>
        <w:t>软件零售</w:t>
      </w:r>
      <w:r>
        <w:rPr>
          <w:rFonts w:ascii="宋体" w:hAnsi="宋体" w:cs="宋体" w:eastAsia="宋体" w:hint="default"/>
        </w:rPr>
        <w:t>;</w:t>
      </w:r>
      <w:r>
        <w:rPr/>
        <w:t>计算机应用电子设备制造</w:t>
      </w:r>
      <w:r>
        <w:rPr>
          <w:rFonts w:ascii="宋体" w:hAnsi="宋体" w:cs="宋体" w:eastAsia="宋体" w:hint="default"/>
        </w:rPr>
        <w:t>;</w:t>
      </w:r>
      <w:r>
        <w:rPr/>
        <w:t>办公设备</w:t>
      </w:r>
    </w:p>
    <w:p>
      <w:pPr>
        <w:pStyle w:val="BodyText"/>
        <w:spacing w:line="319" w:lineRule="auto" w:before="63"/>
        <w:ind w:right="1139"/>
        <w:jc w:val="both"/>
      </w:pPr>
      <w:r>
        <w:rPr/>
        <w:t>批发</w:t>
      </w:r>
      <w:r>
        <w:rPr>
          <w:rFonts w:ascii="宋体" w:hAnsi="宋体" w:cs="宋体" w:eastAsia="宋体" w:hint="default"/>
        </w:rPr>
        <w:t>;</w:t>
      </w:r>
      <w:r>
        <w:rPr/>
        <w:t>电子元件及组件制造</w:t>
      </w:r>
      <w:r>
        <w:rPr>
          <w:rFonts w:ascii="宋体" w:hAnsi="宋体" w:cs="宋体" w:eastAsia="宋体" w:hint="default"/>
        </w:rPr>
        <w:t>;</w:t>
      </w:r>
      <w:r>
        <w:rPr/>
        <w:t>电子元器件批发</w:t>
      </w:r>
      <w:r>
        <w:rPr>
          <w:rFonts w:ascii="宋体" w:hAnsi="宋体" w:cs="宋体" w:eastAsia="宋体" w:hint="default"/>
        </w:rPr>
        <w:t>;</w:t>
      </w:r>
      <w:r>
        <w:rPr/>
        <w:t>电子元器件零售</w:t>
      </w:r>
      <w:r>
        <w:rPr>
          <w:rFonts w:ascii="宋体" w:hAnsi="宋体" w:cs="宋体" w:eastAsia="宋体" w:hint="default"/>
        </w:rPr>
        <w:t>;</w:t>
      </w:r>
      <w:r>
        <w:rPr/>
        <w:t>电子产品批发</w:t>
      </w:r>
      <w:r>
        <w:rPr>
          <w:rFonts w:ascii="宋体" w:hAnsi="宋体" w:cs="宋体" w:eastAsia="宋体" w:hint="default"/>
        </w:rPr>
        <w:t>;</w:t>
      </w:r>
      <w:r>
        <w:rPr/>
        <w:t>电子产品零售</w:t>
      </w:r>
      <w:r>
        <w:rPr>
          <w:rFonts w:ascii="宋体" w:hAnsi="宋体" w:cs="宋体" w:eastAsia="宋体" w:hint="default"/>
        </w:rPr>
        <w:t>;</w:t>
      </w:r>
      <w:r>
        <w:rPr/>
        <w:t>纸张批发</w:t>
      </w:r>
      <w:r>
        <w:rPr>
          <w:rFonts w:ascii="宋体" w:hAnsi="宋体" w:cs="宋体" w:eastAsia="宋体" w:hint="default"/>
        </w:rPr>
        <w:t>;</w:t>
      </w:r>
      <w:r>
        <w:rPr/>
        <w:t>货物进出口（专营专 控商品除外）</w:t>
      </w:r>
      <w:r>
        <w:rPr>
          <w:rFonts w:ascii="宋体" w:hAnsi="宋体" w:cs="宋体" w:eastAsia="宋体" w:hint="default"/>
        </w:rPr>
        <w:t>;</w:t>
      </w:r>
      <w:r>
        <w:rPr/>
        <w:t>信息系统集成服务</w:t>
      </w:r>
      <w:r>
        <w:rPr>
          <w:rFonts w:ascii="宋体" w:hAnsi="宋体" w:cs="宋体" w:eastAsia="宋体" w:hint="default"/>
        </w:rPr>
        <w:t>;</w:t>
      </w:r>
      <w:r>
        <w:rPr/>
        <w:t>数据处理和存储服务</w:t>
      </w:r>
      <w:r>
        <w:rPr>
          <w:rFonts w:ascii="宋体" w:hAnsi="宋体" w:cs="宋体" w:eastAsia="宋体" w:hint="default"/>
        </w:rPr>
        <w:t>;</w:t>
      </w:r>
      <w:r>
        <w:rPr/>
        <w:t>科技信息咨询服务</w:t>
      </w:r>
      <w:r>
        <w:rPr>
          <w:rFonts w:ascii="宋体" w:hAnsi="宋体" w:cs="宋体" w:eastAsia="宋体" w:hint="default"/>
        </w:rPr>
        <w:t>;</w:t>
      </w:r>
      <w:r>
        <w:rPr/>
        <w:t>档案管理服务</w:t>
      </w:r>
      <w:r>
        <w:rPr>
          <w:rFonts w:ascii="宋体" w:hAnsi="宋体" w:cs="宋体" w:eastAsia="宋体" w:hint="default"/>
        </w:rPr>
        <w:t>;</w:t>
      </w:r>
      <w:r>
        <w:rPr/>
        <w:t>档案管理技术服务</w:t>
      </w:r>
      <w:r>
        <w:rPr>
          <w:rFonts w:ascii="宋体" w:hAnsi="宋体" w:cs="宋体" w:eastAsia="宋体" w:hint="default"/>
        </w:rPr>
        <w:t>;</w:t>
      </w:r>
      <w:r>
        <w:rPr/>
        <w:t>技术进出口</w:t>
      </w:r>
      <w:r>
        <w:rPr>
          <w:rFonts w:ascii="宋体" w:hAnsi="宋体" w:cs="宋体" w:eastAsia="宋体" w:hint="default"/>
        </w:rPr>
        <w:t>; </w:t>
      </w:r>
      <w:r>
        <w:rPr/>
        <w:t>五金配件制造、加工</w:t>
      </w:r>
      <w:r>
        <w:rPr>
          <w:rFonts w:ascii="宋体" w:hAnsi="宋体" w:cs="宋体" w:eastAsia="宋体" w:hint="default"/>
        </w:rPr>
        <w:t>;</w:t>
      </w:r>
      <w:r>
        <w:rPr/>
        <w:t>交通及公共管理用金属标牌制造</w:t>
      </w:r>
      <w:r>
        <w:rPr>
          <w:rFonts w:ascii="宋体" w:hAnsi="宋体" w:cs="宋体" w:eastAsia="宋体" w:hint="default"/>
        </w:rPr>
        <w:t>;</w:t>
      </w:r>
      <w:r>
        <w:rPr/>
        <w:t>包装装潢印刷品印刷</w:t>
      </w:r>
      <w:r>
        <w:rPr>
          <w:rFonts w:ascii="宋体" w:hAnsi="宋体" w:cs="宋体" w:eastAsia="宋体" w:hint="default"/>
        </w:rPr>
        <w:t>;</w:t>
      </w:r>
      <w:r>
        <w:rPr/>
        <w:t>除出版物、包装装潢印刷品之外的其他印刷品 印刷。</w:t>
      </w:r>
    </w:p>
    <w:p>
      <w:pPr>
        <w:pStyle w:val="BodyText"/>
        <w:spacing w:line="240" w:lineRule="auto" w:before="56"/>
        <w:ind w:left="514" w:right="1121"/>
        <w:jc w:val="left"/>
      </w:pPr>
      <w:r>
        <w:rPr/>
        <w:t>该公司报告期实现净利润</w:t>
      </w:r>
      <w:r>
        <w:rPr>
          <w:rFonts w:ascii="Times New Roman" w:hAnsi="Times New Roman" w:cs="Times New Roman" w:eastAsia="Times New Roman" w:hint="default"/>
        </w:rPr>
        <w:t>1,316.62</w:t>
      </w:r>
      <w:r>
        <w:rPr/>
        <w:t>万元，报告期末资产总额</w:t>
      </w:r>
      <w:r>
        <w:rPr>
          <w:rFonts w:ascii="Times New Roman" w:hAnsi="Times New Roman" w:cs="Times New Roman" w:eastAsia="Times New Roman" w:hint="default"/>
        </w:rPr>
        <w:t>8,465.93</w:t>
      </w:r>
      <w:r>
        <w:rPr/>
        <w:t>万元。</w:t>
      </w:r>
    </w:p>
    <w:p>
      <w:pPr>
        <w:pStyle w:val="BodyText"/>
        <w:spacing w:line="338" w:lineRule="auto" w:before="102"/>
        <w:ind w:left="514" w:right="1197"/>
        <w:jc w:val="left"/>
      </w:pPr>
      <w:r>
        <w:rPr/>
        <w:t>（</w:t>
      </w:r>
      <w:r>
        <w:rPr>
          <w:rFonts w:ascii="Times New Roman" w:hAnsi="Times New Roman" w:cs="Times New Roman" w:eastAsia="Times New Roman" w:hint="default"/>
        </w:rPr>
        <w:t>6</w:t>
      </w:r>
      <w:r>
        <w:rPr/>
        <w:t>）控股子公司</w:t>
      </w:r>
      <w:r>
        <w:rPr>
          <w:rFonts w:ascii="Times New Roman" w:hAnsi="Times New Roman" w:cs="Times New Roman" w:eastAsia="Times New Roman" w:hint="default"/>
        </w:rPr>
        <w:t>—</w:t>
      </w:r>
      <w:r>
        <w:rPr/>
        <w:t>山东东港数据处理有限公司： 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日设立，注册资本</w:t>
      </w:r>
      <w:r>
        <w:rPr>
          <w:rFonts w:ascii="Times New Roman" w:hAnsi="Times New Roman" w:cs="Times New Roman" w:eastAsia="Times New Roman" w:hint="default"/>
        </w:rPr>
        <w:t>3,000</w:t>
      </w:r>
      <w:r>
        <w:rPr/>
        <w:t>万元，本公司持股比例为</w:t>
      </w:r>
      <w:r>
        <w:rPr>
          <w:rFonts w:ascii="Times New Roman" w:hAnsi="Times New Roman" w:cs="Times New Roman" w:eastAsia="Times New Roman" w:hint="default"/>
        </w:rPr>
        <w:t>100%</w:t>
      </w:r>
      <w:r>
        <w:rPr/>
        <w:t>。公司法定代表人：王爱先。注册地址：济</w:t>
      </w:r>
    </w:p>
    <w:p>
      <w:pPr>
        <w:pStyle w:val="BodyText"/>
        <w:spacing w:line="230" w:lineRule="exact"/>
        <w:ind w:right="0"/>
        <w:jc w:val="both"/>
      </w:pPr>
      <w:r>
        <w:rPr/>
        <w:t>南市山大北路</w:t>
      </w:r>
      <w:r>
        <w:rPr>
          <w:rFonts w:ascii="Times New Roman" w:hAnsi="Times New Roman" w:cs="Times New Roman" w:eastAsia="Times New Roman" w:hint="default"/>
        </w:rPr>
        <w:t>23</w:t>
      </w:r>
      <w:r>
        <w:rPr/>
        <w:t>号。经营范围：包装装潢印刷品印刷、其他印刷品印刷</w:t>
      </w:r>
      <w:r>
        <w:rPr>
          <w:rFonts w:ascii="宋体" w:hAnsi="宋体" w:cs="宋体" w:eastAsia="宋体" w:hint="default"/>
        </w:rPr>
        <w:t>(</w:t>
      </w:r>
      <w:r>
        <w:rPr/>
        <w:t>有效期限以许可证为准</w:t>
      </w:r>
      <w:r>
        <w:rPr>
          <w:rFonts w:ascii="宋体" w:hAnsi="宋体" w:cs="宋体" w:eastAsia="宋体" w:hint="default"/>
        </w:rPr>
        <w:t>)</w:t>
      </w:r>
      <w:r>
        <w:rPr/>
        <w:t>；软件开发、生产销售；纸</w:t>
      </w:r>
    </w:p>
    <w:p>
      <w:pPr>
        <w:pStyle w:val="BodyText"/>
        <w:spacing w:line="319" w:lineRule="auto" w:before="63"/>
        <w:ind w:right="1132"/>
        <w:jc w:val="both"/>
      </w:pPr>
      <w:r>
        <w:rPr>
          <w:spacing w:val="-2"/>
        </w:rPr>
        <w:t>制品加工、销售；纸张、油墨、印刷机械的销售；科技信息咨询服务；数据打印系统开发、生产；计算机数据处理、计算机</w:t>
      </w:r>
      <w:r>
        <w:rPr>
          <w:spacing w:val="-69"/>
        </w:rPr>
        <w:t> </w:t>
      </w:r>
      <w:r>
        <w:rPr>
          <w:spacing w:val="-69"/>
        </w:rPr>
      </w:r>
      <w:r>
        <w:rPr>
          <w:spacing w:val="-2"/>
        </w:rPr>
        <w:t>技术服务、开发、转让、咨询；</w:t>
      </w:r>
      <w:r>
        <w:rPr>
          <w:rFonts w:ascii="宋体" w:hAnsi="宋体" w:cs="宋体" w:eastAsia="宋体" w:hint="default"/>
          <w:spacing w:val="-2"/>
        </w:rPr>
        <w:t>IC</w:t>
      </w:r>
      <w:r>
        <w:rPr>
          <w:spacing w:val="-2"/>
        </w:rPr>
        <w:t>卡产品和智能标签产品的委托生产销售；受托档案管理服务（不含涉密档案）；档案软件</w:t>
      </w:r>
      <w:r>
        <w:rPr>
          <w:spacing w:val="-66"/>
        </w:rPr>
        <w:t> </w:t>
      </w:r>
      <w:r>
        <w:rPr>
          <w:spacing w:val="-66"/>
        </w:rPr>
      </w:r>
      <w:r>
        <w:rPr>
          <w:spacing w:val="-2"/>
        </w:rPr>
        <w:t>的开发、销售；档案箱、档案盒、档案用品的销售、租赁（不含融资性租赁）；涉密档案数字化加工（凭许可证经营）以及</w:t>
      </w:r>
      <w:r>
        <w:rPr>
          <w:spacing w:val="-70"/>
        </w:rPr>
        <w:t> </w:t>
      </w:r>
      <w:r>
        <w:rPr>
          <w:spacing w:val="-70"/>
        </w:rPr>
      </w:r>
      <w:r>
        <w:rPr/>
        <w:t>其他按法律、法规、国务院决定等规定未禁止和不需经营许可的项目。</w:t>
      </w:r>
    </w:p>
    <w:p>
      <w:pPr>
        <w:pStyle w:val="BodyText"/>
        <w:spacing w:line="240" w:lineRule="auto" w:before="56"/>
        <w:ind w:left="514" w:right="1121"/>
        <w:jc w:val="left"/>
      </w:pPr>
      <w:r>
        <w:rPr/>
        <w:t>该公司报告期实现净利润</w:t>
      </w:r>
      <w:r>
        <w:rPr>
          <w:rFonts w:ascii="Times New Roman" w:hAnsi="Times New Roman" w:cs="Times New Roman" w:eastAsia="Times New Roman" w:hint="default"/>
        </w:rPr>
        <w:t>1,064.18</w:t>
      </w:r>
      <w:r>
        <w:rPr/>
        <w:t>万元，报告期末资产总额</w:t>
      </w:r>
      <w:r>
        <w:rPr>
          <w:rFonts w:ascii="Times New Roman" w:hAnsi="Times New Roman" w:cs="Times New Roman" w:eastAsia="Times New Roman" w:hint="default"/>
        </w:rPr>
        <w:t>10,963.70</w:t>
      </w:r>
      <w:r>
        <w:rPr/>
        <w:t>万元。</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before="44"/>
        <w:ind w:left="514" w:right="1062"/>
        <w:jc w:val="left"/>
      </w:pPr>
      <w:r>
        <w:rPr/>
        <w:t>（</w:t>
      </w:r>
      <w:r>
        <w:rPr>
          <w:rFonts w:ascii="Times New Roman" w:hAnsi="Times New Roman" w:cs="Times New Roman" w:eastAsia="Times New Roman" w:hint="default"/>
        </w:rPr>
        <w:t>7</w:t>
      </w:r>
      <w:r>
        <w:rPr/>
        <w:t>）控股子公司－上海东港数据处理有限公司： 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日设立，注册资本</w:t>
      </w:r>
      <w:r>
        <w:rPr>
          <w:rFonts w:ascii="Times New Roman" w:hAnsi="Times New Roman" w:cs="Times New Roman" w:eastAsia="Times New Roman" w:hint="default"/>
        </w:rPr>
        <w:t>15,000</w:t>
      </w:r>
      <w:r>
        <w:rPr/>
        <w:t>万元，本公司持股比例为</w:t>
      </w:r>
      <w:r>
        <w:rPr>
          <w:rFonts w:ascii="Times New Roman" w:hAnsi="Times New Roman" w:cs="Times New Roman" w:eastAsia="Times New Roman" w:hint="default"/>
        </w:rPr>
        <w:t>86.67%</w:t>
      </w:r>
      <w:r>
        <w:rPr/>
        <w:t>。公司法定代表人：史建中。注册地址：</w:t>
      </w:r>
    </w:p>
    <w:p>
      <w:pPr>
        <w:pStyle w:val="BodyText"/>
        <w:spacing w:line="230" w:lineRule="exact"/>
        <w:ind w:right="0"/>
        <w:jc w:val="left"/>
      </w:pPr>
      <w:r>
        <w:rPr/>
        <w:t>上海市闵行区华宁路</w:t>
      </w:r>
      <w:r>
        <w:rPr>
          <w:rFonts w:ascii="Times New Roman" w:hAnsi="Times New Roman" w:cs="Times New Roman" w:eastAsia="Times New Roman" w:hint="default"/>
        </w:rPr>
        <w:t>2888</w:t>
      </w:r>
      <w:r>
        <w:rPr/>
        <w:t>弄</w:t>
      </w:r>
      <w:r>
        <w:rPr>
          <w:rFonts w:ascii="Times New Roman" w:hAnsi="Times New Roman" w:cs="Times New Roman" w:eastAsia="Times New Roman" w:hint="default"/>
        </w:rPr>
        <w:t>385</w:t>
      </w:r>
      <w:r>
        <w:rPr/>
        <w:t>号第三幢厂房。经营范围：计算机软件开发、电脑数据处理，接受金融机构委托从事金融业</w:t>
      </w:r>
    </w:p>
    <w:p>
      <w:pPr>
        <w:pStyle w:val="BodyText"/>
        <w:spacing w:line="319" w:lineRule="auto" w:before="63"/>
        <w:ind w:right="1121"/>
        <w:jc w:val="left"/>
      </w:pPr>
      <w:r>
        <w:rPr>
          <w:spacing w:val="-2"/>
        </w:rPr>
        <w:t>务流程外包，从事电子元器件、计算机软件技术领域内的技术开发，纸制品、印刷器材、电子设备、办公自动化设备、电子</w:t>
      </w:r>
      <w:r>
        <w:rPr>
          <w:spacing w:val="-72"/>
        </w:rPr>
        <w:t> </w:t>
      </w:r>
      <w:r>
        <w:rPr>
          <w:spacing w:val="-72"/>
        </w:rPr>
      </w:r>
      <w:r>
        <w:rPr/>
        <w:t>元器件、计算机软件及辅助设备的销售，物业服务，机械设备租赁，其他印刷品印刷，包装装潢印刷，自有厂房租赁。</w:t>
      </w:r>
    </w:p>
    <w:p>
      <w:pPr>
        <w:pStyle w:val="BodyText"/>
        <w:spacing w:line="240" w:lineRule="auto" w:before="58"/>
        <w:ind w:left="444" w:right="1121"/>
        <w:jc w:val="left"/>
      </w:pPr>
      <w:r>
        <w:rPr/>
        <w:t>该公司报告期实现净利润</w:t>
      </w:r>
      <w:r>
        <w:rPr>
          <w:rFonts w:ascii="Times New Roman" w:hAnsi="Times New Roman" w:cs="Times New Roman" w:eastAsia="Times New Roman" w:hint="default"/>
        </w:rPr>
        <w:t>2,744.19</w:t>
      </w:r>
      <w:r>
        <w:rPr/>
        <w:t>万元，报告期末资产总额</w:t>
      </w:r>
      <w:r>
        <w:rPr>
          <w:rFonts w:ascii="Times New Roman" w:hAnsi="Times New Roman" w:cs="Times New Roman" w:eastAsia="Times New Roman" w:hint="default"/>
        </w:rPr>
        <w:t>21,754.98</w:t>
      </w:r>
      <w:r>
        <w:rPr/>
        <w:t>万元。</w:t>
      </w:r>
    </w:p>
    <w:p>
      <w:pPr>
        <w:spacing w:line="240" w:lineRule="auto" w:before="12"/>
        <w:rPr>
          <w:rFonts w:ascii="宋体" w:hAnsi="宋体" w:cs="宋体" w:eastAsia="宋体" w:hint="default"/>
          <w:sz w:val="23"/>
          <w:szCs w:val="23"/>
        </w:rPr>
      </w:pPr>
    </w:p>
    <w:p>
      <w:pPr>
        <w:pStyle w:val="Heading2"/>
        <w:spacing w:line="240" w:lineRule="auto"/>
        <w:ind w:right="1121"/>
        <w:jc w:val="left"/>
        <w:rPr>
          <w:b w:val="0"/>
          <w:bCs w:val="0"/>
        </w:rPr>
      </w:pPr>
      <w:bookmarkStart w:name="八、公司控制的结构化主体情况" w:id="55"/>
      <w:bookmarkEnd w:id="55"/>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21"/>
        <w:jc w:val="left"/>
        <w:rPr>
          <w:b w:val="0"/>
          <w:bCs w:val="0"/>
        </w:rPr>
      </w:pPr>
      <w:bookmarkStart w:name="九、公司未来发展的展望" w:id="56"/>
      <w:bookmarkEnd w:id="56"/>
      <w:r>
        <w:rPr>
          <w:b w:val="0"/>
          <w:bCs w:val="0"/>
        </w:rPr>
      </w:r>
      <w:r>
        <w:rPr/>
        <w:t>九、公司未来发展的展望</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1121"/>
        <w:jc w:val="left"/>
      </w:pPr>
      <w:r>
        <w:rPr>
          <w:rFonts w:ascii="Times New Roman" w:hAnsi="Times New Roman" w:cs="Times New Roman" w:eastAsia="Times New Roman" w:hint="default"/>
        </w:rPr>
        <w:t>1</w:t>
      </w:r>
      <w:r>
        <w:rPr/>
        <w:t>、公司所处行业的发展趋势及行业竞争格局</w:t>
      </w:r>
    </w:p>
    <w:p>
      <w:pPr>
        <w:pStyle w:val="BodyText"/>
        <w:spacing w:line="240" w:lineRule="auto" w:before="102"/>
        <w:ind w:left="514" w:right="1121"/>
        <w:jc w:val="left"/>
      </w:pPr>
      <w:r>
        <w:rPr/>
        <w:t>（</w:t>
      </w:r>
      <w:r>
        <w:rPr>
          <w:rFonts w:ascii="Times New Roman" w:hAnsi="Times New Roman" w:cs="Times New Roman" w:eastAsia="Times New Roman" w:hint="default"/>
        </w:rPr>
        <w:t>1</w:t>
      </w:r>
      <w:r>
        <w:rPr/>
        <w:t>）行业发展趋势</w:t>
      </w:r>
    </w:p>
    <w:p>
      <w:pPr>
        <w:pStyle w:val="BodyText"/>
        <w:spacing w:line="357" w:lineRule="auto" w:before="102"/>
        <w:ind w:left="514" w:right="1121"/>
        <w:jc w:val="left"/>
      </w:pPr>
      <w:r>
        <w:rPr/>
        <w:t>①</w:t>
      </w:r>
      <w:r>
        <w:rPr>
          <w:spacing w:val="-17"/>
        </w:rPr>
        <w:t> </w:t>
      </w:r>
      <w:r>
        <w:rPr/>
        <w:t>传统的票证类业务受信息技术的冲击</w:t>
      </w:r>
      <w:r>
        <w:rPr/>
        <w:t> </w:t>
      </w:r>
      <w:r>
        <w:rPr>
          <w:spacing w:val="-2"/>
        </w:rPr>
        <w:t>随着信息技术的发展，票证电子化的趋势越来越明显，各行业的信息化发展都降低了对纸质票证的需求，使传统的纸质</w:t>
      </w:r>
    </w:p>
    <w:p>
      <w:pPr>
        <w:pStyle w:val="BodyText"/>
        <w:spacing w:line="224" w:lineRule="exact"/>
        <w:ind w:right="0"/>
        <w:jc w:val="left"/>
      </w:pPr>
      <w:r>
        <w:rPr/>
        <w:t>票证类业务市场受到冲击。虽然我国城镇化进程的推进，使票证类市场仍保持了较大的市场容量，但总体市场增速较前期相</w:t>
      </w:r>
    </w:p>
    <w:p>
      <w:pPr>
        <w:pStyle w:val="BodyText"/>
        <w:spacing w:line="240" w:lineRule="auto" w:before="77"/>
        <w:ind w:right="1121"/>
        <w:jc w:val="left"/>
      </w:pPr>
      <w:r>
        <w:rPr/>
        <w:t>比已有所放缓，迫使行业内的各生产厂家不断寻找新的业务增长点和新的业务领域。</w:t>
      </w:r>
    </w:p>
    <w:p>
      <w:pPr>
        <w:pStyle w:val="BodyText"/>
        <w:spacing w:line="357" w:lineRule="auto" w:before="116"/>
        <w:ind w:left="514" w:right="1121"/>
        <w:jc w:val="left"/>
      </w:pPr>
      <w:r>
        <w:rPr/>
        <w:t>②</w:t>
      </w:r>
      <w:r>
        <w:rPr>
          <w:spacing w:val="-18"/>
        </w:rPr>
        <w:t> </w:t>
      </w:r>
      <w:r>
        <w:rPr/>
        <w:t>探索多样化发展方向，传统服务商不断研发新的服务内容</w:t>
      </w:r>
      <w:r>
        <w:rPr/>
        <w:t> </w:t>
      </w:r>
      <w:r>
        <w:rPr>
          <w:spacing w:val="-2"/>
        </w:rPr>
        <w:t>随着新产品、新技术的不断涌现，客户的需求更趋多样化和信息化，各行业客户为适应新形势的发展，提出了许多个性</w:t>
      </w:r>
    </w:p>
    <w:p>
      <w:pPr>
        <w:pStyle w:val="BodyText"/>
        <w:spacing w:line="224" w:lineRule="exact"/>
        <w:ind w:right="0"/>
        <w:jc w:val="left"/>
      </w:pPr>
      <w:r>
        <w:rPr/>
        <w:t>化需求，在产品设计、数据处理、信息系统服务等多个领域，越来越多的采取服务外包的方式予以解决。这样，一方面能够</w:t>
      </w:r>
    </w:p>
    <w:p>
      <w:pPr>
        <w:pStyle w:val="BodyText"/>
        <w:spacing w:line="319" w:lineRule="auto" w:before="76"/>
        <w:ind w:right="1130"/>
        <w:jc w:val="both"/>
      </w:pPr>
      <w:r>
        <w:rPr>
          <w:spacing w:val="-2"/>
        </w:rPr>
        <w:t>降低客户自身运营的成本，另一方面，由专业的服务供应商提供服务能够提高工作效率和服务质量。同时，随着互联网技术</w:t>
      </w:r>
      <w:r>
        <w:rPr>
          <w:spacing w:val="-66"/>
        </w:rPr>
        <w:t> </w:t>
      </w:r>
      <w:r>
        <w:rPr>
          <w:spacing w:val="-66"/>
        </w:rPr>
      </w:r>
      <w:r>
        <w:rPr>
          <w:spacing w:val="-2"/>
        </w:rPr>
        <w:t>的进步，远程在线服务、系统集成化服务的技术手段也在不断增加。在科技与需求的推动下，印刷企业也在不断探索新的服</w:t>
      </w:r>
      <w:r>
        <w:rPr>
          <w:spacing w:val="-66"/>
        </w:rPr>
        <w:t> </w:t>
      </w:r>
      <w:r>
        <w:rPr>
          <w:spacing w:val="-66"/>
        </w:rPr>
      </w:r>
      <w:r>
        <w:rPr>
          <w:spacing w:val="-2"/>
        </w:rPr>
        <w:t>务模式，所提供的服务内容日益丰富，开始介入到信息系统集成、服务外包、数据库管理、创意设计各类服务，这种产品的</w:t>
      </w:r>
      <w:r>
        <w:rPr>
          <w:spacing w:val="-68"/>
        </w:rPr>
        <w:t> </w:t>
      </w:r>
      <w:r>
        <w:rPr>
          <w:spacing w:val="-68"/>
        </w:rPr>
      </w:r>
      <w:r>
        <w:rPr/>
        <w:t>价值或附加值可大幅提高，传统服务商力求通过研发新的服务模式减少传统业务需求下降的影响。</w:t>
      </w:r>
    </w:p>
    <w:p>
      <w:pPr>
        <w:pStyle w:val="BodyText"/>
        <w:spacing w:line="357" w:lineRule="auto" w:before="58"/>
        <w:ind w:left="514" w:right="1121"/>
        <w:jc w:val="left"/>
      </w:pPr>
      <w:r>
        <w:rPr/>
        <w:t>③</w:t>
      </w:r>
      <w:r>
        <w:rPr>
          <w:spacing w:val="-17"/>
        </w:rPr>
        <w:t> </w:t>
      </w:r>
      <w:r>
        <w:rPr/>
        <w:t>综合服务与信息技术结合，打造多层次服务模式</w:t>
      </w:r>
      <w:r>
        <w:rPr/>
        <w:t> </w:t>
      </w:r>
      <w:r>
        <w:rPr>
          <w:spacing w:val="-2"/>
        </w:rPr>
        <w:t>随着客户对印刷服务的保密性、个性化、以及对信息系统集成的要求越来越高，印刷企业在不断开拓新的服务模式的同</w:t>
      </w:r>
    </w:p>
    <w:p>
      <w:pPr>
        <w:pStyle w:val="BodyText"/>
        <w:spacing w:line="224" w:lineRule="exact"/>
        <w:ind w:right="0"/>
        <w:jc w:val="left"/>
      </w:pPr>
      <w:r>
        <w:rPr/>
        <w:t>事，也在不断将信息技术与服务相结合，例如提供线上服务功能，解决客户查询和验证需求；通过增加电子芯片提升产品的</w:t>
      </w:r>
    </w:p>
    <w:p>
      <w:pPr>
        <w:pStyle w:val="BodyText"/>
        <w:spacing w:line="319" w:lineRule="auto" w:before="76"/>
        <w:ind w:right="1032"/>
        <w:jc w:val="left"/>
      </w:pPr>
      <w:r>
        <w:rPr/>
        <w:t>防伪性能，减少金融诈骗。在不断增加服务领域的同时，为客户解决场景应用需求，通过数字印刷与服务、流程的自动化、 </w:t>
      </w:r>
      <w:r>
        <w:rPr>
          <w:spacing w:val="-2"/>
        </w:rPr>
        <w:t>个性化服务，线上服务等综合类服务模式，使印刷服务与解决方案逐渐融合在一起，产生新的商业模式，打造多层次服务的</w:t>
      </w:r>
      <w:r>
        <w:rPr>
          <w:spacing w:val="-66"/>
        </w:rPr>
        <w:t> </w:t>
      </w:r>
      <w:r>
        <w:rPr>
          <w:spacing w:val="-66"/>
        </w:rPr>
      </w:r>
      <w:r>
        <w:rPr/>
        <w:t>商业模式，市场规模远超传统印刷业务现有规模。</w:t>
      </w:r>
    </w:p>
    <w:p>
      <w:pPr>
        <w:pStyle w:val="BodyText"/>
        <w:spacing w:line="357" w:lineRule="auto" w:before="56"/>
        <w:ind w:left="514" w:right="1121"/>
        <w:jc w:val="left"/>
      </w:pPr>
      <w:r>
        <w:rPr/>
        <w:t>④</w:t>
      </w:r>
      <w:r>
        <w:rPr>
          <w:spacing w:val="54"/>
        </w:rPr>
        <w:t> </w:t>
      </w:r>
      <w:r>
        <w:rPr/>
        <w:t>电子票证类产品应用更加广泛</w:t>
      </w:r>
      <w:r>
        <w:rPr/>
        <w:t> </w:t>
      </w:r>
      <w:r>
        <w:rPr>
          <w:spacing w:val="-2"/>
        </w:rPr>
        <w:t>移动互联网网络技术发展迅猛，电子商务和移动支付正在改变着传统的消费习惯，在此背景下，衍生出了对电子票证类</w:t>
      </w:r>
    </w:p>
    <w:p>
      <w:pPr>
        <w:pStyle w:val="BodyText"/>
        <w:spacing w:line="237" w:lineRule="exact"/>
        <w:ind w:right="0"/>
        <w:jc w:val="left"/>
      </w:pPr>
      <w:r>
        <w:rPr/>
        <w:t>产品的新兴需求，相对于传统票证而言，电子票证具有便于存储查询，绿色环保，防伪度较高的特点。</w:t>
      </w:r>
      <w:r>
        <w:rPr>
          <w:rFonts w:ascii="Times New Roman" w:hAnsi="Times New Roman" w:cs="Times New Roman" w:eastAsia="Times New Roman" w:hint="default"/>
        </w:rPr>
        <w:t>2016</w:t>
      </w:r>
      <w:r>
        <w:rPr/>
        <w:t>年初，财政部、</w:t>
      </w:r>
    </w:p>
    <w:p>
      <w:pPr>
        <w:pStyle w:val="BodyText"/>
        <w:spacing w:line="314" w:lineRule="auto" w:before="63"/>
        <w:ind w:right="1026"/>
        <w:jc w:val="left"/>
      </w:pPr>
      <w:r>
        <w:rPr>
          <w:spacing w:val="-2"/>
        </w:rPr>
        <w:t>国家档案局联合发布了新的《会计档案管理办法》，明确了电子档案的法律地位。除应用于税务系统的电子发票外，财税系</w:t>
      </w:r>
      <w:r>
        <w:rPr>
          <w:spacing w:val="-66"/>
        </w:rPr>
        <w:t> </w:t>
      </w:r>
      <w:r>
        <w:rPr>
          <w:spacing w:val="-66"/>
        </w:rPr>
      </w:r>
      <w:r>
        <w:rPr>
          <w:spacing w:val="-6"/>
        </w:rPr>
        <w:t>统的电子收据类业务也开始进行技术研究和试点，</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11</w:t>
      </w:r>
      <w:r>
        <w:rPr>
          <w:spacing w:val="-6"/>
        </w:rPr>
        <w:t>月，财政部发布了《关于全面推开财政电子票据管理改革的通知》，</w:t>
      </w:r>
      <w:r>
        <w:rPr>
          <w:spacing w:val="-87"/>
        </w:rPr>
        <w:t> </w:t>
      </w:r>
      <w:r>
        <w:rPr>
          <w:spacing w:val="-87"/>
        </w:rPr>
      </w:r>
      <w:r>
        <w:rPr>
          <w:spacing w:val="-2"/>
        </w:rPr>
        <w:t>决定在全国范围内全面推开财政电子票据管理改革，财政票据将成为电子票据重要的应用领域。区块链技术的兴起，使得电</w:t>
      </w:r>
      <w:r>
        <w:rPr>
          <w:spacing w:val="-66"/>
        </w:rPr>
        <w:t> </w:t>
      </w:r>
      <w:r>
        <w:rPr>
          <w:spacing w:val="-66"/>
        </w:rPr>
      </w:r>
      <w:r>
        <w:rPr>
          <w:spacing w:val="-2"/>
        </w:rPr>
        <w:t>子票证类业务有了新的业务发展模式，利用区块链技术去中心化特点，实现基于区块链网络中的分布式存储，完善电子票据</w:t>
      </w:r>
      <w:r>
        <w:rPr>
          <w:spacing w:val="-66"/>
        </w:rPr>
        <w:t> </w:t>
      </w:r>
      <w:r>
        <w:rPr>
          <w:spacing w:val="-66"/>
        </w:rPr>
      </w:r>
      <w:r>
        <w:rPr/>
        <w:t>服务的验证和使用效率，有利于电子票证产品的推广和使用，拓展电子票证的市场空间。</w:t>
      </w:r>
    </w:p>
    <w:p>
      <w:pPr>
        <w:pStyle w:val="BodyText"/>
        <w:spacing w:line="357" w:lineRule="auto" w:before="60"/>
        <w:ind w:left="514" w:right="1121"/>
        <w:jc w:val="left"/>
      </w:pPr>
      <w:r>
        <w:rPr/>
        <w:t>⑤</w:t>
      </w:r>
      <w:r>
        <w:rPr>
          <w:spacing w:val="-17"/>
        </w:rPr>
        <w:t> </w:t>
      </w:r>
      <w:r>
        <w:rPr/>
        <w:t>档案存储业务方兴未艾</w:t>
      </w:r>
      <w:r>
        <w:rPr/>
        <w:t> </w:t>
      </w:r>
      <w:r>
        <w:rPr>
          <w:spacing w:val="-2"/>
        </w:rPr>
        <w:t>随着经济活动的增加，各类组织机构业务的扩展和规模的扩大，各类档案的数量也随之增加，但传统的档案存储与管理</w:t>
      </w:r>
    </w:p>
    <w:p>
      <w:pPr>
        <w:pStyle w:val="BodyText"/>
        <w:spacing w:line="224" w:lineRule="exact"/>
        <w:ind w:right="0"/>
        <w:jc w:val="left"/>
      </w:pPr>
      <w:r>
        <w:rPr/>
        <w:t>模式，难以满足分级管理、长期保存，远程查阅等诸多需求。因此，建立规范化、标准化的档案存储基地，档案实物存储与</w:t>
      </w:r>
    </w:p>
    <w:p>
      <w:pPr>
        <w:spacing w:after="0" w:line="224" w:lineRule="exact"/>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032"/>
        <w:jc w:val="left"/>
      </w:pPr>
      <w:r>
        <w:rPr/>
        <w:t>信息技术相结合，档案电子化也将成为未来档案管理的发展方向。目前我国档案存储外包业务还处于起步阶段，大型银行、 保险等金融企业、医院、学校、政府业务单位以及中小企业，对于档案存储均有服务需求，未来的市场潜力巨大。</w:t>
      </w:r>
    </w:p>
    <w:p>
      <w:pPr>
        <w:pStyle w:val="BodyText"/>
        <w:spacing w:line="240" w:lineRule="auto" w:before="56"/>
        <w:ind w:left="514" w:right="1121"/>
        <w:jc w:val="left"/>
      </w:pPr>
      <w:r>
        <w:rPr/>
        <w:t>⑥</w:t>
      </w:r>
      <w:r>
        <w:rPr>
          <w:spacing w:val="-19"/>
        </w:rPr>
        <w:t> </w:t>
      </w:r>
      <w:r>
        <w:rPr/>
        <w:t>新渠道彩票销售市场潜力巨大</w:t>
      </w:r>
    </w:p>
    <w:p>
      <w:pPr>
        <w:pStyle w:val="BodyText"/>
        <w:spacing w:line="309" w:lineRule="auto" w:before="116"/>
        <w:ind w:right="1133" w:firstLine="360"/>
        <w:jc w:val="both"/>
      </w:pPr>
      <w:r>
        <w:rPr>
          <w:rFonts w:ascii="Times New Roman" w:hAnsi="Times New Roman" w:cs="Times New Roman" w:eastAsia="Times New Roman" w:hint="default"/>
        </w:rPr>
        <w:t>2018</w:t>
      </w:r>
      <w:r>
        <w:rPr/>
        <w:t>年，我国彩票销售已达到</w:t>
      </w:r>
      <w:r>
        <w:rPr>
          <w:rFonts w:ascii="宋体" w:hAnsi="宋体" w:cs="宋体" w:eastAsia="宋体" w:hint="default"/>
        </w:rPr>
        <w:t>5</w:t>
      </w:r>
      <w:r>
        <w:rPr>
          <w:rFonts w:ascii="Times New Roman" w:hAnsi="Times New Roman" w:cs="Times New Roman" w:eastAsia="Times New Roman" w:hint="default"/>
        </w:rPr>
        <w:t>,114</w:t>
      </w:r>
      <w:r>
        <w:rPr/>
        <w:t>亿元，但主要销售渠道仍以线下的实体店铺销售为主。</w:t>
      </w:r>
      <w:r>
        <w:rPr>
          <w:rFonts w:ascii="Times New Roman" w:hAnsi="Times New Roman" w:cs="Times New Roman" w:eastAsia="Times New Roman" w:hint="default"/>
        </w:rPr>
        <w:t>2015</w:t>
      </w:r>
      <w:r>
        <w:rPr/>
        <w:t>年，在国家主管单位暂 </w:t>
      </w:r>
      <w:r>
        <w:rPr>
          <w:spacing w:val="-2"/>
        </w:rPr>
        <w:t>停了互联网彩票销售渠道后，自助式彩票销售模式正在逐步扩大销售规模。与传统销售模式相比，自助式彩票展示及销售模</w:t>
      </w:r>
      <w:r>
        <w:rPr>
          <w:spacing w:val="-66"/>
        </w:rPr>
        <w:t> </w:t>
      </w:r>
      <w:r>
        <w:rPr>
          <w:spacing w:val="-66"/>
        </w:rPr>
      </w:r>
      <w:r>
        <w:rPr/>
        <w:t>式具有占地面积小，购买及兑奖便捷，实时监控等优点，是传统销售模式的有效补充，未来的市场空间巨大。</w:t>
      </w:r>
    </w:p>
    <w:p>
      <w:pPr>
        <w:pStyle w:val="BodyText"/>
        <w:spacing w:line="240" w:lineRule="auto" w:before="64"/>
        <w:ind w:left="514" w:right="1121"/>
        <w:jc w:val="left"/>
      </w:pPr>
      <w:r>
        <w:rPr/>
        <w:t>（</w:t>
      </w:r>
      <w:r>
        <w:rPr>
          <w:rFonts w:ascii="Times New Roman" w:hAnsi="Times New Roman" w:cs="Times New Roman" w:eastAsia="Times New Roman" w:hint="default"/>
        </w:rPr>
        <w:t>2</w:t>
      </w:r>
      <w:r>
        <w:rPr/>
        <w:t>）行业竞争格局</w:t>
      </w:r>
    </w:p>
    <w:p>
      <w:pPr>
        <w:pStyle w:val="BodyText"/>
        <w:spacing w:line="319" w:lineRule="auto" w:before="101"/>
        <w:ind w:right="1133" w:firstLine="360"/>
        <w:jc w:val="both"/>
      </w:pPr>
      <w:r>
        <w:rPr/>
        <w:t>①</w:t>
      </w:r>
      <w:r>
        <w:rPr>
          <w:spacing w:val="-19"/>
        </w:rPr>
        <w:t> </w:t>
      </w:r>
      <w:r>
        <w:rPr/>
        <w:t>随着政府在环保、安检领域监管的加强，要求企业运营必须规范，因此综合实力强的大型印刷厂商运营管理更加具</w:t>
      </w:r>
      <w:r>
        <w:rPr/>
        <w:t> </w:t>
      </w:r>
      <w:r>
        <w:rPr>
          <w:spacing w:val="-2"/>
        </w:rPr>
        <w:t>有优势，加之原材料成本上升，人力成本增加，迫使区域性的小型印刷供应商逐步退出市场，大型厂商竞争实力提升，产品</w:t>
      </w:r>
      <w:r>
        <w:rPr>
          <w:spacing w:val="-66"/>
        </w:rPr>
        <w:t> </w:t>
      </w:r>
      <w:r>
        <w:rPr>
          <w:spacing w:val="-66"/>
        </w:rPr>
      </w:r>
      <w:r>
        <w:rPr/>
        <w:t>议价能力提高。</w:t>
      </w:r>
    </w:p>
    <w:p>
      <w:pPr>
        <w:pStyle w:val="BodyText"/>
        <w:spacing w:line="319" w:lineRule="auto" w:before="56"/>
        <w:ind w:right="1133" w:firstLine="360"/>
        <w:jc w:val="both"/>
      </w:pPr>
      <w:r>
        <w:rPr/>
        <w:t>②</w:t>
      </w:r>
      <w:r>
        <w:rPr>
          <w:spacing w:val="-19"/>
        </w:rPr>
        <w:t> </w:t>
      </w:r>
      <w:r>
        <w:rPr/>
        <w:t>随着信息技术的进步，以及客户需求逐渐向数字化、个性化、系统集成化方向发展，全国性的大型供应商具有提供</w:t>
      </w:r>
      <w:r>
        <w:rPr/>
        <w:t> </w:t>
      </w:r>
      <w:r>
        <w:rPr>
          <w:spacing w:val="-2"/>
        </w:rPr>
        <w:t>多样性服务的综合实力，能够提供一站式、多产品的服务，在产品研发、售后服务等多方面占有优势，而且能够开发具有针</w:t>
      </w:r>
      <w:r>
        <w:rPr>
          <w:spacing w:val="-66"/>
        </w:rPr>
        <w:t> </w:t>
      </w:r>
      <w:r>
        <w:rPr>
          <w:spacing w:val="-66"/>
        </w:rPr>
      </w:r>
      <w:r>
        <w:rPr/>
        <w:t>对性的产品和服务，因此在市场竞争中更加具有优势。</w:t>
      </w:r>
    </w:p>
    <w:p>
      <w:pPr>
        <w:pStyle w:val="BodyText"/>
        <w:spacing w:line="319" w:lineRule="auto" w:before="55"/>
        <w:ind w:right="1157" w:firstLine="360"/>
        <w:jc w:val="both"/>
      </w:pPr>
      <w:r>
        <w:rPr/>
        <w:t>③</w:t>
      </w:r>
      <w:r>
        <w:rPr>
          <w:spacing w:val="-19"/>
        </w:rPr>
        <w:t> </w:t>
      </w:r>
      <w:r>
        <w:rPr/>
        <w:t>以电子发票为代表的电子票证类业务逐步成熟，随着技术的发展，以区块链为代表的新技术方兴未艾，虽然该类技</w:t>
      </w:r>
      <w:r>
        <w:rPr/>
        <w:t> 术的相关标准和服务模式还在逐步完善，但未来具有良好的应用空间，能够促进电子票据产品的发展。</w:t>
      </w:r>
    </w:p>
    <w:p>
      <w:pPr>
        <w:pStyle w:val="BodyText"/>
        <w:spacing w:line="319" w:lineRule="auto" w:before="55"/>
        <w:ind w:right="1133" w:firstLine="360"/>
        <w:jc w:val="both"/>
      </w:pPr>
      <w:r>
        <w:rPr/>
        <w:t>④</w:t>
      </w:r>
      <w:r>
        <w:rPr>
          <w:spacing w:val="-19"/>
        </w:rPr>
        <w:t> </w:t>
      </w:r>
      <w:r>
        <w:rPr/>
        <w:t>档案存储及电子化业务未来发展空间巨大，在政府、大型金融机构等大型存储业务的招标中，管理规范、安全保密</w:t>
      </w:r>
      <w:r>
        <w:rPr/>
        <w:t> </w:t>
      </w:r>
      <w:r>
        <w:rPr>
          <w:spacing w:val="-2"/>
        </w:rPr>
        <w:t>服务能力强的供应商具有竞争优势。在提供实物存储的基础上，档案电子化以及远程档案查询和调阅等系统开发业务，也越</w:t>
      </w:r>
      <w:r>
        <w:rPr>
          <w:spacing w:val="-66"/>
        </w:rPr>
        <w:t> </w:t>
      </w:r>
      <w:r>
        <w:rPr>
          <w:spacing w:val="-66"/>
        </w:rPr>
      </w:r>
      <w:r>
        <w:rPr/>
        <w:t>来越受到重视，客户对于服务商的系统集成开发能力有较高要求。因此，具有研发能力的供应商能够抢占高端客户市场。</w:t>
      </w:r>
    </w:p>
    <w:p>
      <w:pPr>
        <w:pStyle w:val="BodyText"/>
        <w:spacing w:line="319" w:lineRule="auto" w:before="56"/>
        <w:ind w:right="1157" w:firstLine="360"/>
        <w:jc w:val="both"/>
      </w:pPr>
      <w:r>
        <w:rPr/>
        <w:t>⑤</w:t>
      </w:r>
      <w:r>
        <w:rPr>
          <w:spacing w:val="-19"/>
        </w:rPr>
        <w:t> </w:t>
      </w:r>
      <w:r>
        <w:rPr/>
        <w:t>新渠道彩票销售，特别是自助式彩票销售渠道，作为重要销售渠道的补充，正在受到彩票发行单位的重视。具有全</w:t>
      </w:r>
      <w:r>
        <w:rPr/>
        <w:t> 国服务能力的供应商，正在研发多品种彩票的一体式自助销售机器，抢占市场份额，为客户提供更加完善的服务。</w:t>
      </w:r>
    </w:p>
    <w:p>
      <w:pPr>
        <w:pStyle w:val="BodyText"/>
        <w:spacing w:line="338" w:lineRule="auto" w:before="56"/>
        <w:ind w:left="514" w:right="1121"/>
        <w:jc w:val="left"/>
      </w:pPr>
      <w:r>
        <w:rPr>
          <w:rFonts w:ascii="Times New Roman" w:hAnsi="Times New Roman" w:cs="Times New Roman" w:eastAsia="Times New Roman" w:hint="default"/>
        </w:rPr>
        <w:t>2</w:t>
      </w:r>
      <w:r>
        <w:rPr/>
        <w:t>、公司的发展战略 </w:t>
      </w:r>
      <w:r>
        <w:rPr>
          <w:spacing w:val="-2"/>
        </w:rPr>
        <w:t>本公司秉承</w:t>
      </w:r>
      <w:r>
        <w:rPr>
          <w:rFonts w:ascii="Times New Roman" w:hAnsi="Times New Roman" w:cs="Times New Roman" w:eastAsia="Times New Roman" w:hint="default"/>
          <w:spacing w:val="-2"/>
        </w:rPr>
        <w:t>“</w:t>
      </w:r>
      <w:r>
        <w:rPr>
          <w:spacing w:val="-2"/>
        </w:rPr>
        <w:t>市场唯先、用户至上的</w:t>
      </w:r>
      <w:r>
        <w:rPr>
          <w:rFonts w:ascii="Times New Roman" w:hAnsi="Times New Roman" w:cs="Times New Roman" w:eastAsia="Times New Roman" w:hint="default"/>
          <w:spacing w:val="-2"/>
        </w:rPr>
        <w:t>”</w:t>
      </w:r>
      <w:r>
        <w:rPr>
          <w:spacing w:val="-2"/>
        </w:rPr>
        <w:t>经营思想，以市场为导向，以管理为后盾，针对当前票证产品的发展趋势，不断加</w:t>
      </w:r>
    </w:p>
    <w:p>
      <w:pPr>
        <w:pStyle w:val="BodyText"/>
        <w:spacing w:line="217" w:lineRule="exact"/>
        <w:ind w:right="0"/>
        <w:jc w:val="left"/>
      </w:pPr>
      <w:r>
        <w:rPr/>
        <w:t>大科研创新力度，提高产品技术含量，在保持传统业务稳步增长的基础上，依托电子信息产业发展，大力推进电子票证、新</w:t>
      </w:r>
    </w:p>
    <w:p>
      <w:pPr>
        <w:pStyle w:val="BodyText"/>
        <w:spacing w:line="357" w:lineRule="auto" w:before="77"/>
        <w:ind w:left="514" w:right="1121" w:hanging="360"/>
        <w:jc w:val="left"/>
      </w:pPr>
      <w:r>
        <w:rPr/>
        <w:t>渠道彩票销售和档案存储与电子化等新业务的发展，全面提升公司的竞争能力，保持公司长期可持续发展。 </w:t>
      </w:r>
      <w:r>
        <w:rPr>
          <w:spacing w:val="-2"/>
        </w:rPr>
        <w:t>公司的经营战略是进一步巩固公司在国内票证印刷行业内的领先地位，大力发展新产品，通过产品升级和产业转型，实</w:t>
      </w:r>
    </w:p>
    <w:p>
      <w:pPr>
        <w:pStyle w:val="BodyText"/>
        <w:spacing w:line="225" w:lineRule="exact"/>
        <w:ind w:right="1121"/>
        <w:jc w:val="left"/>
      </w:pPr>
      <w:r>
        <w:rPr/>
        <w:t>现由传统的商业票证印刷商向基于信息服务业的综合服务供应商转型，保持经营业绩的稳步增长。</w:t>
      </w:r>
    </w:p>
    <w:p>
      <w:pPr>
        <w:pStyle w:val="BodyText"/>
        <w:spacing w:line="240" w:lineRule="auto" w:before="116"/>
        <w:ind w:left="514" w:right="1121"/>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年经营计划和主要目标</w:t>
      </w:r>
    </w:p>
    <w:p>
      <w:pPr>
        <w:pStyle w:val="BodyText"/>
        <w:spacing w:line="302" w:lineRule="auto" w:before="101"/>
        <w:ind w:right="1139" w:firstLine="360"/>
        <w:jc w:val="both"/>
      </w:pPr>
      <w:r>
        <w:rPr/>
        <w:t>（</w:t>
      </w:r>
      <w:r>
        <w:rPr>
          <w:rFonts w:ascii="Times New Roman" w:hAnsi="Times New Roman" w:cs="Times New Roman" w:eastAsia="Times New Roman" w:hint="default"/>
        </w:rPr>
        <w:t>1</w:t>
      </w:r>
      <w:r>
        <w:rPr/>
        <w:t>）充分利用自身竞争优势，采取多种措施，挖掘市场潜力，提高印刷类产品和覆合类产品的市场占有率，争取优质 客户，保持营业收入和净利润的较好增长。</w:t>
      </w:r>
    </w:p>
    <w:p>
      <w:pPr>
        <w:pStyle w:val="BodyText"/>
        <w:spacing w:line="240" w:lineRule="auto" w:before="70"/>
        <w:ind w:left="659"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6"/>
        </w:rPr>
        <w:t> </w:t>
      </w:r>
      <w:r>
        <w:rPr/>
        <w:t>通过生产资源区域配置，优化业务流程、加强原材料采购的议价等措施，切实降低成本费用，提升产品毛利率。</w:t>
      </w:r>
    </w:p>
    <w:p>
      <w:pPr>
        <w:pStyle w:val="BodyText"/>
        <w:spacing w:line="302" w:lineRule="auto" w:before="101"/>
        <w:ind w:right="1132" w:firstLine="360"/>
        <w:jc w:val="both"/>
      </w:pPr>
      <w:r>
        <w:rPr/>
        <w:t>（</w:t>
      </w:r>
      <w:r>
        <w:rPr>
          <w:rFonts w:ascii="Times New Roman" w:hAnsi="Times New Roman" w:cs="Times New Roman" w:eastAsia="Times New Roman" w:hint="default"/>
        </w:rPr>
        <w:t>3</w:t>
      </w:r>
      <w:r>
        <w:rPr/>
        <w:t>）</w:t>
      </w:r>
      <w:r>
        <w:rPr>
          <w:spacing w:val="4"/>
        </w:rPr>
        <w:t> </w:t>
      </w:r>
      <w:r>
        <w:rPr>
          <w:spacing w:val="-2"/>
        </w:rPr>
        <w:t>继续推动技术服务业务的快速发展，通过发展区块链电子票证、新渠道彩票销售、档案存储等新业务，巩固在各</w:t>
      </w:r>
      <w:r>
        <w:rPr/>
        <w:t> 细分领域的领先地位，扩大市场规模，力争实现经营业绩快速提高。</w:t>
      </w:r>
    </w:p>
    <w:p>
      <w:pPr>
        <w:pStyle w:val="BodyText"/>
        <w:spacing w:line="240" w:lineRule="auto" w:before="69"/>
        <w:ind w:left="514" w:right="1121"/>
        <w:jc w:val="left"/>
      </w:pPr>
      <w:r>
        <w:rPr>
          <w:rFonts w:ascii="Times New Roman" w:hAnsi="Times New Roman" w:cs="Times New Roman" w:eastAsia="Times New Roman" w:hint="default"/>
        </w:rPr>
        <w:t>4</w:t>
      </w:r>
      <w:r>
        <w:rPr/>
        <w:t>、公司面临的风险及应对措施</w:t>
      </w:r>
    </w:p>
    <w:p>
      <w:pPr>
        <w:pStyle w:val="BodyText"/>
        <w:spacing w:line="338" w:lineRule="auto" w:before="103"/>
        <w:ind w:left="514" w:right="2292"/>
        <w:jc w:val="left"/>
      </w:pPr>
      <w:r>
        <w:rPr/>
        <w:t>（</w:t>
      </w:r>
      <w:r>
        <w:rPr>
          <w:rFonts w:ascii="Times New Roman" w:hAnsi="Times New Roman" w:cs="Times New Roman" w:eastAsia="Times New Roman" w:hint="default"/>
        </w:rPr>
        <w:t>1</w:t>
      </w:r>
      <w:r>
        <w:rPr/>
        <w:t>）传统业务受信息技术的冲击，票证印刷业务收入受到影响 应对措施：充分利用企业竞争优势，抢占市场空间，提高市场集中度，提升议价能力，增加经营收入。</w:t>
      </w:r>
    </w:p>
    <w:p>
      <w:pPr>
        <w:pStyle w:val="BodyText"/>
        <w:spacing w:line="340" w:lineRule="auto" w:before="42"/>
        <w:ind w:left="514" w:right="1212"/>
        <w:jc w:val="left"/>
      </w:pPr>
      <w:r>
        <w:rPr/>
        <w:t>（</w:t>
      </w:r>
      <w:r>
        <w:rPr>
          <w:rFonts w:ascii="Times New Roman" w:hAnsi="Times New Roman" w:cs="Times New Roman" w:eastAsia="Times New Roman" w:hint="default"/>
        </w:rPr>
        <w:t>2</w:t>
      </w:r>
      <w:r>
        <w:rPr/>
        <w:t>）运营成本上升，影响公司业绩的提升 应对措施：利用集团采购优势，降低采购成本，优化业务流程，控制运营成本，提升产品盈利水平，实现业绩增长。</w:t>
      </w:r>
    </w:p>
    <w:p>
      <w:pPr>
        <w:pStyle w:val="BodyText"/>
        <w:spacing w:line="338" w:lineRule="auto" w:before="41"/>
        <w:ind w:left="660" w:right="1121" w:hanging="147"/>
        <w:jc w:val="left"/>
      </w:pPr>
      <w:r>
        <w:rPr/>
        <w:t>（</w:t>
      </w:r>
      <w:r>
        <w:rPr>
          <w:rFonts w:ascii="Times New Roman" w:hAnsi="Times New Roman" w:cs="Times New Roman" w:eastAsia="Times New Roman" w:hint="default"/>
        </w:rPr>
        <w:t>3</w:t>
      </w:r>
      <w:r>
        <w:rPr/>
        <w:t>）新兴业务面临资金投入较大，政策不确定性高，影响市场推进速度 </w:t>
      </w:r>
      <w:r>
        <w:rPr>
          <w:spacing w:val="-2"/>
        </w:rPr>
        <w:t>应对措施：不断完善新兴业务的服务能力和技术研发能力，以客户需求为中心，以新的技术应用为突破口，通过提供</w:t>
      </w:r>
    </w:p>
    <w:p>
      <w:pPr>
        <w:pStyle w:val="BodyText"/>
        <w:spacing w:line="240" w:lineRule="auto" w:before="4"/>
        <w:ind w:right="1121"/>
        <w:jc w:val="left"/>
      </w:pPr>
      <w:r>
        <w:rPr/>
        <w:t>新技术、新服务打造新的服务模式，促进新业务的发展。</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1"/>
        <w:jc w:val="left"/>
        <w:rPr>
          <w:b w:val="0"/>
          <w:bCs w:val="0"/>
        </w:rPr>
      </w:pPr>
      <w:bookmarkStart w:name="十、接待调研、沟通、采访等活动" w:id="57"/>
      <w:bookmarkEnd w:id="57"/>
      <w:r>
        <w:rPr>
          <w:b w:val="0"/>
          <w:bCs w:val="0"/>
        </w:rPr>
      </w:r>
      <w:r>
        <w:rPr/>
        <w:t>十、接待调研、沟通、采访等活动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1"/>
        <w:jc w:val="left"/>
        <w:rPr>
          <w:b w:val="0"/>
          <w:bCs w:val="0"/>
        </w:rPr>
      </w:pPr>
      <w:bookmarkStart w:name="1、报告期内接待调研、沟通、采访等活动登记表" w:id="58"/>
      <w:bookmarkEnd w:id="58"/>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721"/>
        <w:gridCol w:w="1508"/>
        <w:gridCol w:w="1317"/>
        <w:gridCol w:w="5121"/>
      </w:tblGrid>
      <w:tr>
        <w:trPr>
          <w:trHeight w:val="401" w:hRule="exact"/>
        </w:trPr>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5"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8"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5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请查阅深圳证券交易所</w:t>
            </w:r>
            <w:r>
              <w:rPr>
                <w:rFonts w:ascii="Times New Roman" w:hAnsi="Times New Roman" w:cs="Times New Roman" w:eastAsia="Times New Roman" w:hint="default"/>
                <w:sz w:val="18"/>
                <w:szCs w:val="18"/>
              </w:rPr>
              <w:t>“</w:t>
            </w:r>
            <w:r>
              <w:rPr>
                <w:rFonts w:ascii="宋体" w:hAnsi="宋体" w:cs="宋体" w:eastAsia="宋体" w:hint="default"/>
                <w:sz w:val="18"/>
                <w:szCs w:val="18"/>
              </w:rPr>
              <w:t>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栏目，本公司披露的《</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714"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请查阅深圳证券交易所</w:t>
            </w:r>
            <w:r>
              <w:rPr>
                <w:rFonts w:ascii="Times New Roman" w:hAnsi="Times New Roman" w:cs="Times New Roman" w:eastAsia="Times New Roman" w:hint="default"/>
                <w:sz w:val="18"/>
                <w:szCs w:val="18"/>
              </w:rPr>
              <w:t>“</w:t>
            </w:r>
            <w:r>
              <w:rPr>
                <w:rFonts w:ascii="宋体" w:hAnsi="宋体" w:cs="宋体" w:eastAsia="宋体" w:hint="default"/>
                <w:sz w:val="18"/>
                <w:szCs w:val="18"/>
              </w:rPr>
              <w:t>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栏目，本公司披露的《</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714"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请查阅深圳证券交易所</w:t>
            </w:r>
            <w:r>
              <w:rPr>
                <w:rFonts w:ascii="Times New Roman" w:hAnsi="Times New Roman" w:cs="Times New Roman" w:eastAsia="Times New Roman" w:hint="default"/>
                <w:sz w:val="18"/>
                <w:szCs w:val="18"/>
              </w:rPr>
              <w:t>“</w:t>
            </w:r>
            <w:r>
              <w:rPr>
                <w:rFonts w:ascii="宋体" w:hAnsi="宋体" w:cs="宋体" w:eastAsia="宋体" w:hint="default"/>
                <w:sz w:val="18"/>
                <w:szCs w:val="18"/>
              </w:rPr>
              <w:t>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栏目，本公司披露的《</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714"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请查阅深圳证券交易所</w:t>
            </w:r>
            <w:r>
              <w:rPr>
                <w:rFonts w:ascii="Times New Roman" w:hAnsi="Times New Roman" w:cs="Times New Roman" w:eastAsia="Times New Roman" w:hint="default"/>
                <w:sz w:val="18"/>
                <w:szCs w:val="18"/>
              </w:rPr>
              <w:t>“</w:t>
            </w:r>
            <w:r>
              <w:rPr>
                <w:rFonts w:ascii="宋体" w:hAnsi="宋体" w:cs="宋体" w:eastAsia="宋体" w:hint="default"/>
                <w:sz w:val="18"/>
                <w:szCs w:val="18"/>
              </w:rPr>
              <w:t>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栏目，本公司披露的《</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715"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请查阅深圳证券交易所</w:t>
            </w:r>
            <w:r>
              <w:rPr>
                <w:rFonts w:ascii="Times New Roman" w:hAnsi="Times New Roman" w:cs="Times New Roman" w:eastAsia="Times New Roman" w:hint="default"/>
                <w:sz w:val="18"/>
                <w:szCs w:val="18"/>
              </w:rPr>
              <w:t>“</w:t>
            </w:r>
            <w:r>
              <w:rPr>
                <w:rFonts w:ascii="宋体" w:hAnsi="宋体" w:cs="宋体" w:eastAsia="宋体" w:hint="default"/>
                <w:sz w:val="18"/>
                <w:szCs w:val="18"/>
              </w:rPr>
              <w:t>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栏目，本公司披露的《</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469"/>
        <w:jc w:val="center"/>
        <w:rPr>
          <w:b w:val="0"/>
          <w:bCs w:val="0"/>
        </w:rPr>
      </w:pPr>
      <w:bookmarkStart w:name="第五节 重要事项" w:id="59"/>
      <w:bookmarkEnd w:id="59"/>
      <w:r>
        <w:rPr>
          <w:b w:val="0"/>
          <w:bCs w:val="0"/>
        </w:rPr>
      </w:r>
      <w:bookmarkStart w:name="_bookmark4" w:id="60"/>
      <w:bookmarkEnd w:id="60"/>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121"/>
        <w:jc w:val="left"/>
        <w:rPr>
          <w:b w:val="0"/>
          <w:bCs w:val="0"/>
        </w:rPr>
      </w:pPr>
      <w:bookmarkStart w:name="一、公司普通股利润分配及资本公积金转增股本情况" w:id="61"/>
      <w:bookmarkEnd w:id="61"/>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1"/>
        <w:jc w:val="left"/>
      </w:pPr>
      <w:r>
        <w:rPr/>
        <w:t>报告期内普通股利润分配政策，特别是现金分红政策的制定、执行或调整情况</w:t>
      </w:r>
    </w:p>
    <w:p>
      <w:pPr>
        <w:pStyle w:val="BodyText"/>
        <w:spacing w:line="240" w:lineRule="auto" w:before="117"/>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121"/>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240" w:lineRule="auto" w:before="101"/>
        <w:ind w:left="542" w:right="1469"/>
        <w:jc w:val="center"/>
      </w:pPr>
      <w:r>
        <w:rPr>
          <w:rFonts w:ascii="Times New Roman" w:hAnsi="Times New Roman" w:cs="Times New Roman" w:eastAsia="Times New Roman" w:hint="default"/>
        </w:rPr>
        <w:t>1</w:t>
      </w:r>
      <w:r>
        <w:rPr/>
        <w:t>、本公司</w:t>
      </w:r>
      <w:r>
        <w:rPr>
          <w:rFonts w:ascii="Times New Roman" w:hAnsi="Times New Roman" w:cs="Times New Roman" w:eastAsia="Times New Roman" w:hint="default"/>
        </w:rPr>
        <w:t>2016</w:t>
      </w:r>
      <w:r>
        <w:rPr/>
        <w:t>年度利润分配方案：按净利润的</w:t>
      </w:r>
      <w:r>
        <w:rPr>
          <w:rFonts w:ascii="Times New Roman" w:hAnsi="Times New Roman" w:cs="Times New Roman" w:eastAsia="Times New Roman" w:hint="default"/>
        </w:rPr>
        <w:t>5</w:t>
      </w:r>
      <w:r>
        <w:rPr/>
        <w:t>％提取任意盈余公积</w:t>
      </w:r>
      <w:r>
        <w:rPr>
          <w:rFonts w:ascii="Times New Roman" w:hAnsi="Times New Roman" w:cs="Times New Roman" w:eastAsia="Times New Roman" w:hint="default"/>
        </w:rPr>
        <w:t>1,000.88</w:t>
      </w:r>
      <w:r>
        <w:rPr/>
        <w:t>万元；按</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日公司总股本</w:t>
      </w:r>
    </w:p>
    <w:p>
      <w:pPr>
        <w:pStyle w:val="BodyText"/>
        <w:spacing w:line="302" w:lineRule="auto" w:before="63"/>
        <w:ind w:right="1121"/>
        <w:jc w:val="left"/>
      </w:pPr>
      <w:r>
        <w:rPr>
          <w:rFonts w:ascii="Times New Roman" w:hAnsi="Times New Roman" w:cs="Times New Roman" w:eastAsia="Times New Roman" w:hint="default"/>
          <w:spacing w:val="-1"/>
        </w:rPr>
        <w:t>363,777,614</w:t>
      </w:r>
      <w:r>
        <w:rPr>
          <w:spacing w:val="-1"/>
        </w:rPr>
        <w:t>股为基数，向全体股东每</w:t>
      </w:r>
      <w:r>
        <w:rPr>
          <w:rFonts w:ascii="Times New Roman" w:hAnsi="Times New Roman" w:cs="Times New Roman" w:eastAsia="Times New Roman" w:hint="default"/>
          <w:spacing w:val="-1"/>
        </w:rPr>
        <w:t>10</w:t>
      </w:r>
      <w:r>
        <w:rPr>
          <w:spacing w:val="-1"/>
        </w:rPr>
        <w:t>股派发现金股利</w:t>
      </w:r>
      <w:r>
        <w:rPr>
          <w:rFonts w:ascii="Times New Roman" w:hAnsi="Times New Roman" w:cs="Times New Roman" w:eastAsia="Times New Roman" w:hint="default"/>
          <w:spacing w:val="-1"/>
        </w:rPr>
        <w:t>3</w:t>
      </w:r>
      <w:r>
        <w:rPr>
          <w:spacing w:val="-1"/>
        </w:rPr>
        <w:t>元（含税），合计派发现金股利</w:t>
      </w:r>
      <w:r>
        <w:rPr>
          <w:rFonts w:ascii="Times New Roman" w:hAnsi="Times New Roman" w:cs="Times New Roman" w:eastAsia="Times New Roman" w:hint="default"/>
          <w:spacing w:val="-1"/>
        </w:rPr>
        <w:t>109,133,284.20</w:t>
      </w:r>
      <w:r>
        <w:rPr>
          <w:spacing w:val="-1"/>
        </w:rPr>
        <w:t>元，剩余未分配利润</w:t>
      </w:r>
      <w:r>
        <w:rPr>
          <w:spacing w:val="-67"/>
        </w:rPr>
        <w:t> </w:t>
      </w:r>
      <w:r>
        <w:rPr>
          <w:spacing w:val="-67"/>
        </w:rPr>
      </w:r>
      <w:r>
        <w:rPr/>
        <w:t>结转至下一年度。</w:t>
      </w:r>
    </w:p>
    <w:p>
      <w:pPr>
        <w:pStyle w:val="BodyText"/>
        <w:spacing w:line="240" w:lineRule="auto" w:before="69"/>
        <w:ind w:left="569" w:right="1397"/>
        <w:jc w:val="center"/>
      </w:pPr>
      <w:r>
        <w:rPr>
          <w:rFonts w:ascii="Times New Roman" w:hAnsi="Times New Roman" w:cs="Times New Roman" w:eastAsia="Times New Roman" w:hint="default"/>
        </w:rPr>
        <w:t>2</w:t>
      </w:r>
      <w:r>
        <w:rPr/>
        <w:t>、本公司</w:t>
      </w:r>
      <w:r>
        <w:rPr>
          <w:rFonts w:ascii="Times New Roman" w:hAnsi="Times New Roman" w:cs="Times New Roman" w:eastAsia="Times New Roman" w:hint="default"/>
        </w:rPr>
        <w:t>2017</w:t>
      </w:r>
      <w:r>
        <w:rPr/>
        <w:t>年度利润分配方案：按净利润的</w:t>
      </w:r>
      <w:r>
        <w:rPr>
          <w:rFonts w:ascii="Times New Roman" w:hAnsi="Times New Roman" w:cs="Times New Roman" w:eastAsia="Times New Roman" w:hint="default"/>
        </w:rPr>
        <w:t>5</w:t>
      </w:r>
      <w:r>
        <w:rPr/>
        <w:t>％提取任意盈余公积</w:t>
      </w:r>
      <w:r>
        <w:rPr>
          <w:rFonts w:ascii="Times New Roman" w:hAnsi="Times New Roman" w:cs="Times New Roman" w:eastAsia="Times New Roman" w:hint="default"/>
        </w:rPr>
        <w:t>983.62</w:t>
      </w:r>
      <w:r>
        <w:rPr/>
        <w:t>万元；按</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p>
    <w:p>
      <w:pPr>
        <w:pStyle w:val="BodyText"/>
        <w:spacing w:line="302" w:lineRule="auto" w:before="63"/>
        <w:ind w:right="1121"/>
        <w:jc w:val="left"/>
      </w:pPr>
      <w:r>
        <w:rPr>
          <w:rFonts w:ascii="Times New Roman" w:hAnsi="Times New Roman" w:cs="Times New Roman" w:eastAsia="Times New Roman" w:hint="default"/>
          <w:spacing w:val="-1"/>
        </w:rPr>
        <w:t>363,777,614</w:t>
      </w:r>
      <w:r>
        <w:rPr>
          <w:spacing w:val="-1"/>
        </w:rPr>
        <w:t>股为基数，向全体股东每</w:t>
      </w:r>
      <w:r>
        <w:rPr>
          <w:rFonts w:ascii="Times New Roman" w:hAnsi="Times New Roman" w:cs="Times New Roman" w:eastAsia="Times New Roman" w:hint="default"/>
          <w:spacing w:val="-1"/>
        </w:rPr>
        <w:t>10</w:t>
      </w:r>
      <w:r>
        <w:rPr>
          <w:spacing w:val="-1"/>
        </w:rPr>
        <w:t>股派发现金股利</w:t>
      </w:r>
      <w:r>
        <w:rPr>
          <w:rFonts w:ascii="Times New Roman" w:hAnsi="Times New Roman" w:cs="Times New Roman" w:eastAsia="Times New Roman" w:hint="default"/>
          <w:spacing w:val="-1"/>
        </w:rPr>
        <w:t>4</w:t>
      </w:r>
      <w:r>
        <w:rPr>
          <w:spacing w:val="-1"/>
        </w:rPr>
        <w:t>元（含税），合计派发现金股利</w:t>
      </w:r>
      <w:r>
        <w:rPr>
          <w:rFonts w:ascii="Times New Roman" w:hAnsi="Times New Roman" w:cs="Times New Roman" w:eastAsia="Times New Roman" w:hint="default"/>
          <w:spacing w:val="-1"/>
        </w:rPr>
        <w:t>145,511,045.60</w:t>
      </w:r>
      <w:r>
        <w:rPr>
          <w:spacing w:val="-1"/>
        </w:rPr>
        <w:t>元，剩余未分配利润</w:t>
      </w:r>
      <w:r>
        <w:rPr>
          <w:spacing w:val="-67"/>
        </w:rPr>
        <w:t> </w:t>
      </w:r>
      <w:r>
        <w:rPr>
          <w:spacing w:val="-67"/>
        </w:rPr>
      </w:r>
      <w:r>
        <w:rPr/>
        <w:t>结转至下一年度。</w:t>
      </w:r>
    </w:p>
    <w:p>
      <w:pPr>
        <w:pStyle w:val="BodyText"/>
        <w:spacing w:line="240" w:lineRule="auto" w:before="68"/>
        <w:ind w:left="732" w:right="1121"/>
        <w:jc w:val="left"/>
      </w:pPr>
      <w:r>
        <w:rPr>
          <w:rFonts w:ascii="Times New Roman" w:hAnsi="Times New Roman" w:cs="Times New Roman" w:eastAsia="Times New Roman" w:hint="default"/>
          <w:spacing w:val="2"/>
        </w:rPr>
        <w:t>3</w:t>
      </w:r>
      <w:r>
        <w:rPr>
          <w:spacing w:val="2"/>
        </w:rPr>
        <w:t>、本公司</w:t>
      </w:r>
      <w:r>
        <w:rPr>
          <w:rFonts w:ascii="Times New Roman" w:hAnsi="Times New Roman" w:cs="Times New Roman" w:eastAsia="Times New Roman" w:hint="default"/>
          <w:spacing w:val="2"/>
        </w:rPr>
        <w:t>2018</w:t>
      </w:r>
      <w:r>
        <w:rPr>
          <w:spacing w:val="2"/>
        </w:rPr>
        <w:t>年度利润分配预案：按净利润的</w:t>
      </w:r>
      <w:r>
        <w:rPr>
          <w:rFonts w:ascii="Times New Roman" w:hAnsi="Times New Roman" w:cs="Times New Roman" w:eastAsia="Times New Roman" w:hint="default"/>
          <w:spacing w:val="2"/>
        </w:rPr>
        <w:t>5</w:t>
      </w:r>
      <w:r>
        <w:rPr>
          <w:spacing w:val="2"/>
        </w:rPr>
        <w:t>％提取任意盈余公积</w:t>
      </w:r>
      <w:r>
        <w:rPr>
          <w:rFonts w:ascii="Times New Roman" w:hAnsi="Times New Roman" w:cs="Times New Roman" w:eastAsia="Times New Roman" w:hint="default"/>
          <w:spacing w:val="2"/>
        </w:rPr>
        <w:t>1,222.76</w:t>
      </w:r>
      <w:r>
        <w:rPr>
          <w:spacing w:val="2"/>
        </w:rPr>
        <w:t>万元；按</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日公司总股本</w:t>
      </w:r>
    </w:p>
    <w:p>
      <w:pPr>
        <w:pStyle w:val="BodyText"/>
        <w:spacing w:line="302" w:lineRule="auto" w:before="63"/>
        <w:ind w:right="1122"/>
        <w:jc w:val="left"/>
      </w:pPr>
      <w:r>
        <w:rPr>
          <w:rFonts w:ascii="Times New Roman" w:hAnsi="Times New Roman" w:cs="Times New Roman" w:eastAsia="Times New Roman" w:hint="default"/>
        </w:rPr>
        <w:t>363,777,614</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7.00</w:t>
      </w:r>
      <w:r>
        <w:rPr/>
        <w:t>元（含税），送红股</w:t>
      </w:r>
      <w:r>
        <w:rPr>
          <w:rFonts w:ascii="Times New Roman" w:hAnsi="Times New Roman" w:cs="Times New Roman" w:eastAsia="Times New Roman" w:hint="default"/>
        </w:rPr>
        <w:t>5</w:t>
      </w:r>
      <w:r>
        <w:rPr/>
        <w:t>股，合计派发现金股利</w:t>
      </w:r>
      <w:r>
        <w:rPr>
          <w:rFonts w:ascii="Times New Roman" w:hAnsi="Times New Roman" w:cs="Times New Roman" w:eastAsia="Times New Roman" w:hint="default"/>
        </w:rPr>
        <w:t>254,644,329.80</w:t>
      </w:r>
      <w:r>
        <w:rPr/>
        <w:t>元， 送红股</w:t>
      </w:r>
      <w:r>
        <w:rPr>
          <w:rFonts w:ascii="Times New Roman" w:hAnsi="Times New Roman" w:cs="Times New Roman" w:eastAsia="Times New Roman" w:hint="default"/>
        </w:rPr>
        <w:t>181,888,807</w:t>
      </w:r>
      <w:r>
        <w:rPr/>
        <w:t>股，剩余未分配利润结转至下一年度。</w:t>
      </w:r>
    </w:p>
    <w:p>
      <w:pPr>
        <w:pStyle w:val="BodyText"/>
        <w:spacing w:line="240" w:lineRule="auto" w:before="50"/>
        <w:ind w:right="1121"/>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85"/>
        <w:gridCol w:w="1208"/>
        <w:gridCol w:w="1185"/>
        <w:gridCol w:w="1207"/>
        <w:gridCol w:w="1184"/>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7"/>
              <w:ind w:left="53"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2" w:right="4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208" w:type="dxa"/>
            <w:vMerge/>
            <w:tcBorders>
              <w:left w:val="single" w:sz="4" w:space="0" w:color="000000"/>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64" w:right="5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424" w:right="141"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2"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254,644,329.80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256,767,604.63</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99.17%</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254,644,329.80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99.17%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145,511,045.60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232,105,571.41</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62.69%</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145,511,045.60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62.69%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109,133,284.20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219,143,663.99</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49.80%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109,133,284.20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49.80%</w:t>
            </w:r>
          </w:p>
        </w:tc>
      </w:tr>
    </w:tbl>
    <w:p>
      <w:pPr>
        <w:pStyle w:val="BodyText"/>
        <w:spacing w:line="240" w:lineRule="auto" w:before="51"/>
        <w:ind w:right="1121"/>
        <w:jc w:val="left"/>
      </w:pPr>
      <w:r>
        <w:rPr/>
        <w:t>公司报告期内盈利且母公司可供普通股股东分配利润为正但未提出普通股现金红利分配预案</w:t>
      </w:r>
    </w:p>
    <w:p>
      <w:pPr>
        <w:pStyle w:val="BodyText"/>
        <w:spacing w:line="240" w:lineRule="auto" w:before="117"/>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21"/>
        <w:jc w:val="left"/>
        <w:rPr>
          <w:b w:val="0"/>
          <w:bCs w:val="0"/>
        </w:rPr>
      </w:pPr>
      <w:bookmarkStart w:name="二、本报告期利润分配及资本公积金转增股本预案" w:id="62"/>
      <w:bookmarkEnd w:id="62"/>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784"/>
        <w:gridCol w:w="5784"/>
      </w:tblGrid>
      <w:tr>
        <w:trPr>
          <w:trHeight w:val="403"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363777614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84"/>
        <w:gridCol w:w="5784"/>
      </w:tblGrid>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254,644,329.80</w:t>
            </w:r>
          </w:p>
        </w:tc>
      </w:tr>
      <w:tr>
        <w:trPr>
          <w:trHeight w:val="402" w:hRule="exact"/>
        </w:trPr>
        <w:tc>
          <w:tcPr>
            <w:tcW w:w="37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8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548,452,525.95</w:t>
            </w:r>
          </w:p>
        </w:tc>
      </w:tr>
      <w:tr>
        <w:trPr>
          <w:trHeight w:val="714"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现金分红总额（含其他方式）占利润分配总额的</w:t>
            </w:r>
            <w:r>
              <w:rPr>
                <w:rFonts w:ascii="宋体" w:hAnsi="宋体" w:cs="宋体" w:eastAsia="宋体" w:hint="default"/>
                <w:sz w:val="18"/>
                <w:szCs w:val="18"/>
              </w:rPr>
              <w:t> 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58.33%</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公司发展阶段属成熟期且有重大资金支出安排的，进行利润分配时，现金分红在本次利润分配中所占比例最低应达到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67"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、按净利润的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％提取任意盈余公积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1,222.76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w:t>
            </w:r>
            <w:r>
              <w:rPr>
                <w:rFonts w:ascii="宋体" w:hAnsi="宋体" w:cs="宋体" w:eastAsia="宋体" w:hint="default"/>
                <w:spacing w:val="1"/>
                <w:sz w:val="18"/>
                <w:szCs w:val="18"/>
              </w:rPr>
              <w:t>司</w:t>
            </w:r>
            <w:r>
              <w:rPr>
                <w:rFonts w:ascii="宋体" w:hAnsi="宋体" w:cs="宋体" w:eastAsia="宋体" w:hint="default"/>
                <w:sz w:val="18"/>
                <w:szCs w:val="18"/>
              </w:rPr>
              <w:t>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363,777</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614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，送红股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股，合计派发现金股利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254,644,329.80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元，送红股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181,888,807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股，剩余未分配利润结转至下一年度。</w:t>
            </w:r>
          </w:p>
        </w:tc>
      </w:tr>
    </w:tbl>
    <w:p>
      <w:pPr>
        <w:spacing w:line="240" w:lineRule="auto" w:before="2"/>
        <w:rPr>
          <w:rFonts w:ascii="宋体" w:hAnsi="宋体" w:cs="宋体" w:eastAsia="宋体" w:hint="default"/>
          <w:sz w:val="18"/>
          <w:szCs w:val="18"/>
        </w:rPr>
      </w:pPr>
    </w:p>
    <w:p>
      <w:pPr>
        <w:pStyle w:val="Heading2"/>
        <w:spacing w:line="240" w:lineRule="auto" w:before="26"/>
        <w:ind w:right="1121"/>
        <w:jc w:val="left"/>
        <w:rPr>
          <w:b w:val="0"/>
          <w:bCs w:val="0"/>
        </w:rPr>
      </w:pPr>
      <w:bookmarkStart w:name="三、承诺事项履行情况" w:id="63"/>
      <w:bookmarkEnd w:id="63"/>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right="1121"/>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7"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326"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00" w:lineRule="auto"/>
              <w:ind w:left="17"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前的发起 人股东</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避免同业竞 争</w:t>
            </w:r>
          </w:p>
        </w:tc>
        <w:tc>
          <w:tcPr>
            <w:tcW w:w="1127" w:type="dxa"/>
            <w:vMerge w:val="restart"/>
            <w:tcBorders>
              <w:top w:val="single" w:sz="4" w:space="0" w:color="000000"/>
              <w:left w:val="single" w:sz="4" w:space="0" w:color="000000"/>
              <w:right w:val="single" w:sz="4" w:space="0" w:color="000000"/>
            </w:tcBorders>
          </w:tcPr>
          <w:p>
            <w:pPr>
              <w:pStyle w:val="TableParagraph"/>
              <w:spacing w:line="314" w:lineRule="auto" w:before="52"/>
              <w:ind w:left="22"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、本公司目 前并未以任 何方式直接 或间接从事 与东港安全 印刷股份公 司相竞争的 业务；</w:t>
            </w:r>
            <w:r>
              <w:rPr>
                <w:rFonts w:ascii="Times New Roman" w:hAnsi="Times New Roman" w:cs="Times New Roman" w:eastAsia="Times New Roman" w:hint="default"/>
                <w:sz w:val="18"/>
                <w:szCs w:val="18"/>
              </w:rPr>
              <w:t>2</w:t>
            </w:r>
            <w:r>
              <w:rPr>
                <w:rFonts w:ascii="宋体" w:hAnsi="宋体" w:cs="宋体" w:eastAsia="宋体" w:hint="default"/>
                <w:sz w:val="18"/>
                <w:szCs w:val="18"/>
              </w:rPr>
              <w:t>、本 公司目前并 未拥有从事 与东港股份 可能产生同 业竞争企业</w:t>
            </w:r>
          </w:p>
          <w:p>
            <w:pPr>
              <w:pStyle w:val="TableParagraph"/>
              <w:spacing w:line="300" w:lineRule="auto" w:before="20"/>
              <w:ind w:left="22" w:right="21"/>
              <w:jc w:val="both"/>
              <w:rPr>
                <w:rFonts w:ascii="宋体" w:hAnsi="宋体" w:cs="宋体" w:eastAsia="宋体"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pacing w:val="-25"/>
                <w:w w:val="99"/>
                <w:sz w:val="18"/>
                <w:szCs w:val="18"/>
              </w:rPr>
              <w:t>竞争企业</w:t>
            </w:r>
            <w:r>
              <w:rPr>
                <w:rFonts w:ascii="Times New Roman" w:hAnsi="Times New Roman" w:cs="Times New Roman" w:eastAsia="Times New Roman" w:hint="default"/>
                <w:spacing w:val="-25"/>
                <w:w w:val="99"/>
                <w:sz w:val="18"/>
                <w:szCs w:val="18"/>
              </w:rPr>
              <w:t>"</w:t>
            </w:r>
            <w:r>
              <w:rPr>
                <w:rFonts w:ascii="宋体" w:hAnsi="宋体" w:cs="宋体" w:eastAsia="宋体" w:hint="default"/>
                <w:spacing w:val="-25"/>
                <w:w w:val="99"/>
                <w:sz w:val="18"/>
                <w:szCs w:val="18"/>
              </w:rPr>
              <w:t>）的</w:t>
            </w:r>
            <w:r>
              <w:rPr>
                <w:rFonts w:ascii="宋体" w:hAnsi="宋体" w:cs="宋体" w:eastAsia="宋体" w:hint="default"/>
                <w:spacing w:val="-84"/>
                <w:w w:val="99"/>
                <w:sz w:val="18"/>
                <w:szCs w:val="18"/>
              </w:rPr>
              <w:t> </w:t>
            </w:r>
            <w:r>
              <w:rPr>
                <w:rFonts w:ascii="宋体" w:hAnsi="宋体" w:cs="宋体" w:eastAsia="宋体" w:hint="default"/>
                <w:spacing w:val="-2"/>
                <w:sz w:val="18"/>
                <w:szCs w:val="18"/>
              </w:rPr>
              <w:t>任何股份、股</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9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2325"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shape style="position:absolute;margin-left:361.480011pt;margin-top:72.47998pt;width:62pt;height:345.3pt;mso-position-horizontal-relative:page;mso-position-vertical-relative:page;z-index:-70619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0" w:right="0"/>
                    <w:jc w:val="left"/>
                  </w:pPr>
                  <w:r>
                    <w:rPr/>
                    <w:t>、</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权或在任何</w:t>
            </w:r>
          </w:p>
        </w:tc>
        <w:tc>
          <w:tcPr>
            <w:tcW w:w="1126" w:type="dxa"/>
            <w:vMerge w:val="restart"/>
            <w:tcBorders>
              <w:top w:val="single" w:sz="4" w:space="0" w:color="000000"/>
              <w:left w:val="single" w:sz="4" w:space="0" w:color="000000"/>
              <w:right w:val="single" w:sz="4" w:space="0" w:color="000000"/>
            </w:tcBorders>
          </w:tcPr>
          <w:p>
            <w:pPr>
              <w:pStyle w:val="TableParagraph"/>
              <w:spacing w:line="6905" w:lineRule="exact"/>
              <w:ind w:right="-51"/>
              <w:jc w:val="left"/>
              <w:rPr>
                <w:rFonts w:ascii="宋体" w:hAnsi="宋体" w:cs="宋体" w:eastAsia="宋体" w:hint="default"/>
                <w:sz w:val="20"/>
                <w:szCs w:val="20"/>
              </w:rPr>
            </w:pPr>
            <w:r>
              <w:rPr>
                <w:rFonts w:ascii="宋体" w:hAnsi="宋体" w:cs="宋体" w:eastAsia="宋体" w:hint="default"/>
                <w:position w:val="-137"/>
                <w:sz w:val="20"/>
                <w:szCs w:val="20"/>
              </w:rPr>
              <w:pict>
                <v:group style="width:55.85pt;height:345.3pt;mso-position-horizontal-relative:char;mso-position-vertical-relative:line" coordorigin="0,0" coordsize="1117,6906">
                  <v:group style="position:absolute;left:0;top:0;width:1117;height:6906" coordorigin="0,0" coordsize="1117,6906">
                    <v:shape style="position:absolute;left:0;top:0;width:1117;height:6906" coordorigin="0,0" coordsize="1117,6906" path="m0,6905l1116,6905,1116,0,0,0,0,6905xe" filled="true" fillcolor="#ffffff" stroked="false">
                      <v:path arrowok="t"/>
                      <v:fill type="solid"/>
                    </v:shape>
                  </v:group>
                </v:group>
              </w:pict>
            </w:r>
            <w:r>
              <w:rPr>
                <w:rFonts w:ascii="宋体" w:hAnsi="宋体" w:cs="宋体" w:eastAsia="宋体" w:hint="default"/>
                <w:position w:val="-137"/>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竞争企业有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任何利益；</w:t>
            </w:r>
            <w:r>
              <w:rPr>
                <w:rFonts w:ascii="Times New Roman" w:hAnsi="Times New Roman" w:cs="Times New Roman" w:eastAsia="Times New Roman" w:hint="default"/>
                <w:sz w:val="18"/>
                <w:szCs w:val="18"/>
              </w:rPr>
              <w:t>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本公司将来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不会以任何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方式直接从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事与东港股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份相竞争的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将来不会直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接投资、收购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竞争企业，亦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不会以任何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方式为竞争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企业提供任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何业务上的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帮助；</w:t>
            </w:r>
            <w:r>
              <w:rPr>
                <w:rFonts w:ascii="Times New Roman" w:hAnsi="Times New Roman" w:cs="Times New Roman" w:eastAsia="Times New Roman" w:hint="default"/>
                <w:sz w:val="18"/>
                <w:szCs w:val="18"/>
              </w:rPr>
              <w:t>4</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公司确认上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述承诺适用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于本公司具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有控制权的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关联公司。</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7"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如承诺超期未履行完毕的，应当详</w:t>
            </w:r>
          </w:p>
        </w:tc>
        <w:tc>
          <w:tcPr>
            <w:tcW w:w="6733" w:type="dxa"/>
            <w:gridSpan w:val="6"/>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细说明未完成履行的具体原因及下</w:t>
            </w:r>
          </w:p>
        </w:tc>
        <w:tc>
          <w:tcPr>
            <w:tcW w:w="6733"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6"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一步的工作计划</w:t>
            </w:r>
          </w:p>
        </w:tc>
        <w:tc>
          <w:tcPr>
            <w:tcW w:w="6733" w:type="dxa"/>
            <w:gridSpan w:val="6"/>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59" w:lineRule="auto" w:before="35"/>
        <w:ind w:right="1121"/>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5"/>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5" w:right="44"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3" w:right="43"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227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收购三家控股 子公司少数股 东股权</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517" w:right="0"/>
              <w:jc w:val="left"/>
              <w:rPr>
                <w:rFonts w:ascii="Times New Roman" w:hAnsi="Times New Roman" w:cs="Times New Roman" w:eastAsia="Times New Roman" w:hint="default"/>
                <w:sz w:val="18"/>
                <w:szCs w:val="18"/>
              </w:rPr>
            </w:pPr>
            <w:r>
              <w:rPr>
                <w:rFonts w:ascii="Times New Roman"/>
                <w:sz w:val="18"/>
              </w:rPr>
              <w:t>7,917.49</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517" w:right="0"/>
              <w:jc w:val="left"/>
              <w:rPr>
                <w:rFonts w:ascii="Times New Roman" w:hAnsi="Times New Roman" w:cs="Times New Roman" w:eastAsia="Times New Roman" w:hint="default"/>
                <w:sz w:val="18"/>
                <w:szCs w:val="18"/>
              </w:rPr>
            </w:pPr>
            <w:r>
              <w:rPr>
                <w:rFonts w:ascii="Times New Roman"/>
                <w:sz w:val="18"/>
              </w:rPr>
              <w:t>8,932.79</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详见在巨潮资 讯网</w:t>
            </w:r>
          </w:p>
          <w:p>
            <w:pPr>
              <w:pStyle w:val="TableParagraph"/>
              <w:spacing w:line="309" w:lineRule="auto" w:before="19"/>
              <w:ind w:left="22" w:right="1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 ninfo.com.cn</w:t>
            </w:r>
            <w:r>
              <w:rPr>
                <w:rFonts w:ascii="宋体" w:hAnsi="宋体" w:cs="宋体" w:eastAsia="宋体" w:hint="default"/>
                <w:sz w:val="18"/>
                <w:szCs w:val="18"/>
              </w:rPr>
              <w:t>） 披露的《关联 交易进展公 告》</w:t>
            </w:r>
          </w:p>
        </w:tc>
      </w:tr>
    </w:tbl>
    <w:p>
      <w:pPr>
        <w:spacing w:after="0" w:line="30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21"/>
        <w:jc w:val="left"/>
      </w:pPr>
      <w:r>
        <w:rPr/>
        <w:t>公司股东、交易对手方在报告年度经营业绩做出的承诺情况</w:t>
      </w:r>
    </w:p>
    <w:p>
      <w:pPr>
        <w:pStyle w:val="BodyText"/>
        <w:spacing w:line="348" w:lineRule="auto" w:before="116"/>
        <w:ind w:right="69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业绩承诺的完成情况及其对商誉减值测试的影响 无</w:t>
      </w:r>
    </w:p>
    <w:p>
      <w:pPr>
        <w:spacing w:line="240" w:lineRule="auto" w:before="13"/>
        <w:rPr>
          <w:rFonts w:ascii="宋体" w:hAnsi="宋体" w:cs="宋体" w:eastAsia="宋体" w:hint="default"/>
          <w:sz w:val="18"/>
          <w:szCs w:val="18"/>
        </w:rPr>
      </w:pPr>
    </w:p>
    <w:p>
      <w:pPr>
        <w:pStyle w:val="Heading2"/>
        <w:spacing w:line="240" w:lineRule="auto"/>
        <w:ind w:right="1121"/>
        <w:jc w:val="left"/>
        <w:rPr>
          <w:b w:val="0"/>
          <w:bCs w:val="0"/>
        </w:rPr>
      </w:pPr>
      <w:bookmarkStart w:name="四、控股股东及其关联方对上市公司的非经营性占用资金情况" w:id="66"/>
      <w:bookmarkEnd w:id="66"/>
      <w:r>
        <w:rPr>
          <w:b w:val="0"/>
          <w:bCs w:val="0"/>
        </w:rPr>
      </w: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67"/>
      <w:bookmarkEnd w:id="67"/>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21"/>
        <w:jc w:val="left"/>
        <w:rPr>
          <w:b w:val="0"/>
          <w:bCs w:val="0"/>
        </w:rPr>
      </w:pPr>
      <w:bookmarkStart w:name="六、与上年度财务报告相比，会计政策、会计估计和核算方法发生变化的情况说明" w:id="68"/>
      <w:bookmarkEnd w:id="68"/>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公司报告期无会计政策、会计估计和核算方法发生变化的情况。</w:t>
      </w:r>
    </w:p>
    <w:p>
      <w:pPr>
        <w:spacing w:line="240" w:lineRule="auto" w:before="4"/>
        <w:rPr>
          <w:rFonts w:ascii="宋体" w:hAnsi="宋体" w:cs="宋体" w:eastAsia="宋体" w:hint="default"/>
          <w:sz w:val="19"/>
          <w:szCs w:val="19"/>
        </w:rPr>
      </w:pPr>
    </w:p>
    <w:p>
      <w:pPr>
        <w:pStyle w:val="Heading2"/>
        <w:spacing w:line="240" w:lineRule="auto"/>
        <w:ind w:right="1121"/>
        <w:jc w:val="left"/>
        <w:rPr>
          <w:b w:val="0"/>
          <w:bCs w:val="0"/>
        </w:rPr>
      </w:pPr>
      <w:bookmarkStart w:name="七、报告期内发生重大会计差错更正需追溯重述的情况说明" w:id="69"/>
      <w:bookmarkEnd w:id="69"/>
      <w:r>
        <w:rPr>
          <w:b w:val="0"/>
          <w:bCs w:val="0"/>
        </w:rPr>
      </w: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right="1121"/>
        <w:jc w:val="left"/>
        <w:rPr>
          <w:b w:val="0"/>
          <w:bCs w:val="0"/>
        </w:rPr>
      </w:pPr>
      <w:bookmarkStart w:name="八、与上年度财务报告相比，合并报表范围发生变化的情况说明" w:id="70"/>
      <w:bookmarkEnd w:id="70"/>
      <w:r>
        <w:rPr>
          <w:b w:val="0"/>
          <w:bCs w:val="0"/>
        </w:rPr>
      </w: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4" w:right="1121"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报告期内，公司调整了电子发票的服务模式，为充分利用技术、人员和大数据资源，由北京瑞宏公司建设统一的服务平</w:t>
      </w:r>
    </w:p>
    <w:p>
      <w:pPr>
        <w:pStyle w:val="BodyText"/>
        <w:spacing w:line="240" w:lineRule="auto" w:before="4"/>
        <w:ind w:right="1121"/>
        <w:jc w:val="left"/>
      </w:pPr>
      <w:r>
        <w:rPr/>
        <w:t>台，服务于全国客户，统一平台建设后，公司将各地的服务性子公司进行处置，不再纳入合并报表范围。</w:t>
      </w:r>
    </w:p>
    <w:p>
      <w:pPr>
        <w:pStyle w:val="BodyText"/>
        <w:spacing w:line="300" w:lineRule="auto" w:before="115"/>
        <w:ind w:right="0" w:firstLine="360"/>
        <w:jc w:val="left"/>
      </w:pPr>
      <w:r>
        <w:rPr>
          <w:rFonts w:ascii="Times New Roman" w:hAnsi="Times New Roman" w:cs="Times New Roman" w:eastAsia="Times New Roman" w:hint="default"/>
          <w:spacing w:val="-2"/>
        </w:rPr>
        <w:t>1</w:t>
      </w:r>
      <w:r>
        <w:rPr>
          <w:spacing w:val="-2"/>
        </w:rPr>
        <w:t>、本年度公司转让了天津征瑞科技有限公司、青岛瑞宏科技有限公司、广西瑞宏信息技术有限公司三家子公司的股权，</w:t>
      </w:r>
      <w:r>
        <w:rPr/>
        <w:t> 转让后，本公司不再持有上述三家子公司的股权。</w:t>
      </w:r>
    </w:p>
    <w:p>
      <w:pPr>
        <w:pStyle w:val="BodyText"/>
        <w:spacing w:line="240" w:lineRule="auto" w:before="31"/>
        <w:ind w:left="514" w:right="1121"/>
        <w:jc w:val="left"/>
      </w:pPr>
      <w:r>
        <w:rPr>
          <w:rFonts w:ascii="Times New Roman" w:hAnsi="Times New Roman" w:cs="Times New Roman" w:eastAsia="Times New Roman" w:hint="default"/>
        </w:rPr>
        <w:t>2</w:t>
      </w:r>
      <w:r>
        <w:rPr/>
        <w:t>、本公司于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日在南京市工商行政管理局注销子公司南京东港瑞宏信息科技有限公司。</w:t>
      </w:r>
    </w:p>
    <w:p>
      <w:pPr>
        <w:spacing w:line="240" w:lineRule="auto" w:before="1"/>
        <w:rPr>
          <w:rFonts w:ascii="宋体" w:hAnsi="宋体" w:cs="宋体" w:eastAsia="宋体" w:hint="default"/>
          <w:sz w:val="24"/>
          <w:szCs w:val="24"/>
        </w:rPr>
      </w:pPr>
    </w:p>
    <w:p>
      <w:pPr>
        <w:pStyle w:val="Heading2"/>
        <w:spacing w:line="240" w:lineRule="auto"/>
        <w:ind w:right="1121"/>
        <w:jc w:val="left"/>
        <w:rPr>
          <w:b w:val="0"/>
          <w:bCs w:val="0"/>
        </w:rPr>
      </w:pPr>
      <w:bookmarkStart w:name="九、聘任、解聘会计师事务所情况" w:id="71"/>
      <w:bookmarkEnd w:id="71"/>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1"/>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姜斌、安小梅</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1121"/>
        <w:jc w:val="left"/>
      </w:pPr>
      <w:r>
        <w:rPr/>
        <w:t>当期是否改聘会计师事务所</w:t>
      </w:r>
    </w:p>
    <w:p>
      <w:pPr>
        <w:pStyle w:val="BodyText"/>
        <w:spacing w:line="338" w:lineRule="auto" w:before="117"/>
        <w:ind w:right="62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3"/>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21"/>
        <w:jc w:val="left"/>
        <w:rPr>
          <w:b w:val="0"/>
          <w:bCs w:val="0"/>
        </w:rPr>
      </w:pPr>
      <w:bookmarkStart w:name="十、年度报告披露后面临暂停上市和终止上市情况" w:id="72"/>
      <w:bookmarkEnd w:id="72"/>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21"/>
        <w:jc w:val="left"/>
        <w:rPr>
          <w:b w:val="0"/>
          <w:bCs w:val="0"/>
        </w:rPr>
      </w:pPr>
      <w:bookmarkStart w:name="十一、破产重整相关事项" w:id="73"/>
      <w:bookmarkEnd w:id="73"/>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1121"/>
        <w:jc w:val="left"/>
        <w:rPr>
          <w:b w:val="0"/>
          <w:bCs w:val="0"/>
        </w:rPr>
      </w:pPr>
      <w:bookmarkStart w:name="十二、重大诉讼、仲裁事项" w:id="74"/>
      <w:bookmarkEnd w:id="74"/>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1121"/>
        <w:jc w:val="left"/>
        <w:rPr>
          <w:b w:val="0"/>
          <w:bCs w:val="0"/>
        </w:rPr>
      </w:pPr>
      <w:bookmarkStart w:name="十三、处罚及整改情况" w:id="75"/>
      <w:bookmarkEnd w:id="75"/>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1121"/>
        <w:jc w:val="left"/>
        <w:rPr>
          <w:b w:val="0"/>
          <w:bCs w:val="0"/>
        </w:rPr>
      </w:pPr>
      <w:bookmarkStart w:name="十四、公司及其控股股东、实际控制人的诚信状况" w:id="76"/>
      <w:bookmarkEnd w:id="76"/>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21"/>
        <w:jc w:val="left"/>
        <w:rPr>
          <w:b w:val="0"/>
          <w:bCs w:val="0"/>
        </w:rPr>
      </w:pPr>
      <w:bookmarkStart w:name="十五、公司股权激励计划、员工持股计划或其他员工激励措施的实施情况" w:id="77"/>
      <w:bookmarkEnd w:id="77"/>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444" w:right="1121"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本公司第一期员工持股计划，已于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9</w:t>
      </w:r>
      <w:r>
        <w:rPr>
          <w:spacing w:val="-1"/>
        </w:rPr>
        <w:t>日完成股票购买，详见</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9</w:t>
      </w:r>
      <w:r>
        <w:rPr>
          <w:spacing w:val="-1"/>
        </w:rPr>
        <w:t>日对外披露的《关于第一期员工持股计</w:t>
      </w:r>
    </w:p>
    <w:p>
      <w:pPr>
        <w:pStyle w:val="BodyText"/>
        <w:spacing w:line="230" w:lineRule="exact"/>
        <w:ind w:right="0"/>
        <w:jc w:val="left"/>
      </w:pPr>
      <w:r>
        <w:rPr/>
        <w:t>划完成股票购买的公告》</w:t>
      </w:r>
      <w:r>
        <w:rPr>
          <w:rFonts w:ascii="MS Gothic" w:hAnsi="MS Gothic" w:cs="MS Gothic" w:eastAsia="MS Gothic" w:hint="default"/>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月，经公司第五届董事会第十七次会议审议，本公司第一期员工持股计划存续期在原定终</w:t>
      </w:r>
    </w:p>
    <w:p>
      <w:pPr>
        <w:pStyle w:val="BodyText"/>
        <w:spacing w:line="240" w:lineRule="auto" w:before="63"/>
        <w:ind w:right="1121"/>
        <w:jc w:val="left"/>
      </w:pPr>
      <w:r>
        <w:rPr/>
        <w:t>止日的基础上延长一年，至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日止。目前公司第一期员工持股计划正在实施过程中。</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121"/>
        <w:jc w:val="left"/>
        <w:rPr>
          <w:b w:val="0"/>
          <w:bCs w:val="0"/>
        </w:rPr>
      </w:pPr>
      <w:bookmarkStart w:name="十六、重大关联交易" w:id="78"/>
      <w:bookmarkEnd w:id="78"/>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1"/>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2"/>
        <w:rPr>
          <w:rFonts w:ascii="宋体" w:hAnsi="宋体" w:cs="宋体" w:eastAsia="宋体" w:hint="default"/>
          <w:sz w:val="21"/>
          <w:szCs w:val="21"/>
        </w:rPr>
      </w:pPr>
    </w:p>
    <w:p>
      <w:pPr>
        <w:pStyle w:val="Heading3"/>
        <w:spacing w:line="240" w:lineRule="auto"/>
        <w:ind w:right="1121"/>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3"/>
        <w:spacing w:line="240" w:lineRule="auto"/>
        <w:ind w:right="1121"/>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3"/>
        <w:spacing w:line="240" w:lineRule="auto"/>
        <w:ind w:right="1121"/>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3"/>
        <w:rPr>
          <w:rFonts w:ascii="宋体" w:hAnsi="宋体" w:cs="宋体" w:eastAsia="宋体" w:hint="default"/>
          <w:sz w:val="20"/>
          <w:szCs w:val="20"/>
        </w:rPr>
      </w:pPr>
    </w:p>
    <w:p>
      <w:pPr>
        <w:pStyle w:val="Heading3"/>
        <w:spacing w:line="240" w:lineRule="auto"/>
        <w:ind w:right="1121"/>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1121"/>
        <w:jc w:val="left"/>
        <w:rPr>
          <w:b w:val="0"/>
          <w:bCs w:val="0"/>
        </w:rPr>
      </w:pPr>
      <w:bookmarkStart w:name="十七、重大合同及其履行情况" w:id="84"/>
      <w:bookmarkEnd w:id="84"/>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1"/>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1"/>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right="1121"/>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3"/>
        <w:spacing w:line="240" w:lineRule="auto"/>
        <w:ind w:right="1121"/>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21"/>
        <w:jc w:val="left"/>
      </w:pPr>
      <w:r>
        <w:rPr/>
        <w:t>公司报告期不存在租赁情况。</w:t>
      </w:r>
    </w:p>
    <w:p>
      <w:pPr>
        <w:spacing w:line="240" w:lineRule="auto" w:before="10"/>
        <w:rPr>
          <w:rFonts w:ascii="宋体" w:hAnsi="宋体" w:cs="宋体" w:eastAsia="宋体" w:hint="default"/>
          <w:sz w:val="26"/>
          <w:szCs w:val="26"/>
        </w:rPr>
      </w:pPr>
    </w:p>
    <w:p>
      <w:pPr>
        <w:pStyle w:val="Heading3"/>
        <w:spacing w:line="240" w:lineRule="auto"/>
        <w:ind w:right="1121"/>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2"/>
        <w:rPr>
          <w:rFonts w:ascii="宋体" w:hAnsi="宋体" w:cs="宋体" w:eastAsia="宋体" w:hint="default"/>
          <w:sz w:val="21"/>
          <w:szCs w:val="21"/>
        </w:rPr>
      </w:pPr>
    </w:p>
    <w:p>
      <w:pPr>
        <w:pStyle w:val="Heading3"/>
        <w:spacing w:line="240" w:lineRule="auto"/>
        <w:ind w:right="1121"/>
        <w:jc w:val="left"/>
        <w:rPr>
          <w:b w:val="0"/>
          <w:bCs w:val="0"/>
        </w:rPr>
      </w:pPr>
      <w:bookmarkStart w:name="3、委托他人进行现金资产管理情况" w:id="90"/>
      <w:bookmarkEnd w:id="90"/>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1"/>
        <w:jc w:val="left"/>
        <w:rPr>
          <w:b w:val="0"/>
          <w:bCs w:val="0"/>
        </w:rPr>
      </w:pPr>
      <w:bookmarkStart w:name="（1）委托理财情况" w:id="91"/>
      <w:bookmarkEnd w:id="91"/>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060" w:bottom="1160" w:left="980" w:right="0"/>
          <w:cols w:num="2" w:equalWidth="0">
            <w:col w:w="1955" w:space="6785"/>
            <w:col w:w="219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161,700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318,700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1121"/>
        <w:jc w:val="left"/>
      </w:pPr>
      <w:r>
        <w:rPr/>
        <w:t>单项金额重大或安全性较低、流动性较差、不保本的高风险委托理财具体情况</w:t>
      </w:r>
    </w:p>
    <w:p>
      <w:pPr>
        <w:pStyle w:val="BodyText"/>
        <w:spacing w:line="338" w:lineRule="auto" w:before="117"/>
        <w:ind w:right="5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委托理财出现预期无法收回本金或存在其他可能导致减值的情形</w:t>
      </w:r>
    </w:p>
    <w:p>
      <w:pPr>
        <w:pStyle w:val="BodyText"/>
        <w:spacing w:line="240" w:lineRule="auto" w:before="42"/>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21"/>
        <w:jc w:val="left"/>
        <w:rPr>
          <w:b w:val="0"/>
          <w:bCs w:val="0"/>
        </w:rPr>
      </w:pPr>
      <w:bookmarkStart w:name="（2）委托贷款情况" w:id="92"/>
      <w:bookmarkEnd w:id="92"/>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2"/>
        <w:rPr>
          <w:rFonts w:ascii="宋体" w:hAnsi="宋体" w:cs="宋体" w:eastAsia="宋体" w:hint="default"/>
          <w:sz w:val="20"/>
          <w:szCs w:val="20"/>
        </w:rPr>
      </w:pPr>
    </w:p>
    <w:p>
      <w:pPr>
        <w:pStyle w:val="Heading3"/>
        <w:spacing w:line="240" w:lineRule="auto"/>
        <w:ind w:right="1121"/>
        <w:jc w:val="left"/>
        <w:rPr>
          <w:b w:val="0"/>
          <w:bCs w:val="0"/>
        </w:rPr>
      </w:pPr>
      <w:bookmarkStart w:name="4、其他重大合同" w:id="93"/>
      <w:bookmarkEnd w:id="93"/>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4"/>
        <w:rPr>
          <w:rFonts w:ascii="宋体" w:hAnsi="宋体" w:cs="宋体" w:eastAsia="宋体" w:hint="default"/>
          <w:sz w:val="19"/>
          <w:szCs w:val="19"/>
        </w:rPr>
      </w:pPr>
    </w:p>
    <w:p>
      <w:pPr>
        <w:pStyle w:val="Heading2"/>
        <w:spacing w:line="240" w:lineRule="auto"/>
        <w:ind w:right="1121"/>
        <w:jc w:val="left"/>
        <w:rPr>
          <w:b w:val="0"/>
          <w:bCs w:val="0"/>
        </w:rPr>
      </w:pPr>
      <w:bookmarkStart w:name="十八、社会责任情况" w:id="94"/>
      <w:bookmarkEnd w:id="94"/>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1"/>
        <w:jc w:val="left"/>
        <w:rPr>
          <w:b w:val="0"/>
          <w:bCs w:val="0"/>
        </w:rPr>
      </w:pPr>
      <w:bookmarkStart w:name="1、履行社会责任情况" w:id="95"/>
      <w:bookmarkEnd w:id="95"/>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21" w:firstLine="360"/>
        <w:jc w:val="left"/>
      </w:pPr>
      <w:r>
        <w:rPr>
          <w:spacing w:val="-2"/>
        </w:rPr>
        <w:t>公司历来重视企业社会价值的实现，为客户和消费者提供优质的产品和服务，努力创造利润并分红，积极纳税，重视员</w:t>
      </w:r>
      <w:r>
        <w:rPr/>
        <w:t> 工和供应商的权益保护，与经营环境和谐共生，践行企业社会责任。</w:t>
      </w:r>
    </w:p>
    <w:p>
      <w:pPr>
        <w:pStyle w:val="BodyText"/>
        <w:spacing w:line="316" w:lineRule="auto" w:before="17"/>
        <w:ind w:left="514" w:right="1121"/>
        <w:jc w:val="left"/>
      </w:pPr>
      <w:r>
        <w:rPr/>
        <w:t>（一）股东权益保护 </w:t>
      </w:r>
      <w:r>
        <w:rPr>
          <w:spacing w:val="-2"/>
        </w:rPr>
        <w:t>公司建立了较为完善的公司治理结构，形成了完整的内控制度，建立了与投资者的互动平台，在机制上保证了对所有股</w:t>
      </w:r>
    </w:p>
    <w:p>
      <w:pPr>
        <w:pStyle w:val="BodyText"/>
        <w:spacing w:line="240" w:lineRule="auto" w:before="19"/>
        <w:ind w:right="0"/>
        <w:jc w:val="left"/>
      </w:pPr>
      <w:r>
        <w:rPr>
          <w:spacing w:val="-4"/>
        </w:rPr>
        <w:t>东的公平、公正、公开，并充分享有法律、法规、规章所规定的各项合法权益。公司严格按照有关法律、法规、《公司章程》</w:t>
      </w:r>
    </w:p>
    <w:p>
      <w:pPr>
        <w:spacing w:after="0" w:line="240" w:lineRule="auto"/>
        <w:jc w:val="left"/>
        <w:sectPr>
          <w:type w:val="continuous"/>
          <w:pgSz w:w="11910" w:h="16840"/>
          <w:pgMar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0"/>
        <w:jc w:val="left"/>
      </w:pPr>
      <w:r>
        <w:rPr>
          <w:spacing w:val="-4"/>
        </w:rPr>
        <w:t>和公司相关制度的要求，及时、真实、准确、完整地进行常规信息披露，确保公司所有股东能够以平等的机会获得公司信息，</w:t>
      </w:r>
      <w:r>
        <w:rPr>
          <w:spacing w:val="-44"/>
        </w:rPr>
        <w:t> </w:t>
      </w:r>
      <w:r>
        <w:rPr>
          <w:spacing w:val="-44"/>
        </w:rPr>
      </w:r>
      <w:r>
        <w:rPr>
          <w:spacing w:val="-4"/>
        </w:rPr>
        <w:t>保障全体股东的合法权益。同时，公司通过网上路演、投资者电话、投资者关系互动平台等多种方式与投资者进行沟通交流，</w:t>
      </w:r>
      <w:r>
        <w:rPr>
          <w:spacing w:val="-46"/>
        </w:rPr>
        <w:t> </w:t>
      </w:r>
      <w:r>
        <w:rPr>
          <w:spacing w:val="-46"/>
        </w:rPr>
      </w:r>
      <w:r>
        <w:rPr>
          <w:spacing w:val="-2"/>
        </w:rPr>
        <w:t>提高了公司的透明度和诚信度。公司重视对投资者的投资回报，在不影响公司正常经营和持续发展的前提下，公司采取积极</w:t>
      </w:r>
      <w:r>
        <w:rPr>
          <w:spacing w:val="-66"/>
        </w:rPr>
        <w:t> </w:t>
      </w:r>
      <w:r>
        <w:rPr>
          <w:spacing w:val="-66"/>
        </w:rPr>
      </w:r>
      <w:r>
        <w:rPr>
          <w:spacing w:val="-2"/>
        </w:rPr>
        <w:t>的利润分配方案。公司上市以来，连续多年实施了现金分红方案，每年的现金分红比率占合并报表中归属于上市公司股东净</w:t>
      </w:r>
      <w:r>
        <w:rPr>
          <w:spacing w:val="-66"/>
        </w:rPr>
        <w:t> </w:t>
      </w:r>
      <w:r>
        <w:rPr>
          <w:spacing w:val="-66"/>
        </w:rPr>
      </w:r>
      <w:r>
        <w:rPr/>
        <w:t>利润的</w:t>
      </w:r>
      <w:r>
        <w:rPr>
          <w:rFonts w:ascii="Times New Roman" w:hAnsi="Times New Roman" w:cs="Times New Roman" w:eastAsia="Times New Roman" w:hint="default"/>
        </w:rPr>
        <w:t>40%</w:t>
      </w:r>
      <w:r>
        <w:rPr/>
        <w:t>以上。</w:t>
      </w:r>
    </w:p>
    <w:p>
      <w:pPr>
        <w:pStyle w:val="BodyText"/>
        <w:spacing w:line="233" w:lineRule="exact"/>
        <w:ind w:left="514" w:right="1121"/>
        <w:jc w:val="left"/>
      </w:pPr>
      <w:r>
        <w:rPr/>
        <w:t>（二）重视员工权益</w:t>
      </w:r>
    </w:p>
    <w:p>
      <w:pPr>
        <w:pStyle w:val="BodyText"/>
        <w:spacing w:line="314" w:lineRule="auto" w:before="76"/>
        <w:ind w:right="1035" w:firstLine="360"/>
        <w:jc w:val="left"/>
      </w:pPr>
      <w:r>
        <w:rPr>
          <w:spacing w:val="-3"/>
          <w:w w:val="100"/>
        </w:rPr>
        <w:t>公司始终秉承</w:t>
      </w:r>
      <w:r>
        <w:rPr>
          <w:rFonts w:ascii="Times New Roman" w:hAnsi="Times New Roman" w:cs="Times New Roman" w:eastAsia="Times New Roman" w:hint="default"/>
          <w:spacing w:val="-3"/>
          <w:w w:val="100"/>
        </w:rPr>
        <w:t>“</w:t>
      </w:r>
      <w:r>
        <w:rPr>
          <w:spacing w:val="-3"/>
          <w:w w:val="100"/>
        </w:rPr>
        <w:t>以人为本</w:t>
      </w:r>
      <w:r>
        <w:rPr>
          <w:rFonts w:ascii="Times New Roman" w:hAnsi="Times New Roman" w:cs="Times New Roman" w:eastAsia="Times New Roman" w:hint="default"/>
          <w:spacing w:val="-3"/>
          <w:w w:val="100"/>
        </w:rPr>
        <w:t>”</w:t>
      </w:r>
      <w:r>
        <w:rPr>
          <w:spacing w:val="-3"/>
          <w:w w:val="100"/>
        </w:rPr>
        <w:t>的管理理念，重视员工的利益和发展诉求。公司建立了</w:t>
      </w:r>
      <w:r>
        <w:rPr>
          <w:rFonts w:ascii="Times New Roman" w:hAnsi="Times New Roman" w:cs="Times New Roman" w:eastAsia="Times New Roman" w:hint="default"/>
          <w:spacing w:val="-3"/>
          <w:w w:val="100"/>
        </w:rPr>
        <w:t>GB/T28001-2001</w:t>
      </w:r>
      <w:r>
        <w:rPr>
          <w:spacing w:val="-3"/>
          <w:w w:val="100"/>
        </w:rPr>
        <w:t>职业安全健康管理体系，</w:t>
      </w:r>
      <w:r>
        <w:rPr/>
        <w:t> </w:t>
      </w:r>
      <w:r>
        <w:rPr>
          <w:spacing w:val="-2"/>
        </w:rPr>
        <w:t>并严格按照体系要求运行。公司严格遵守《劳动法》、《劳动合同法》、《妇女权益保护法》等相关法律法规，尊重和维护</w:t>
      </w:r>
      <w:r>
        <w:rPr>
          <w:spacing w:val="-69"/>
        </w:rPr>
        <w:t> </w:t>
      </w:r>
      <w:r>
        <w:rPr>
          <w:spacing w:val="-69"/>
        </w:rPr>
      </w:r>
      <w:r>
        <w:rPr>
          <w:spacing w:val="-2"/>
        </w:rPr>
        <w:t>员工的个人权益，切实关注员工健康、安全和满意度。公司依法与员工签订劳动合同，明确劳工关系；为员工参加和缴纳各</w:t>
      </w:r>
      <w:r>
        <w:rPr>
          <w:spacing w:val="-66"/>
        </w:rPr>
        <w:t> </w:t>
      </w:r>
      <w:r>
        <w:rPr>
          <w:spacing w:val="-66"/>
        </w:rPr>
      </w:r>
      <w:r>
        <w:rPr>
          <w:spacing w:val="-2"/>
        </w:rPr>
        <w:t>项社会保险，保障员工依法享受社会保障待遇；定期安排员工进行体检，定期组织文体活动，以期达到关心全体员工身心健</w:t>
      </w:r>
      <w:r>
        <w:rPr>
          <w:spacing w:val="-66"/>
        </w:rPr>
        <w:t> </w:t>
      </w:r>
      <w:r>
        <w:rPr>
          <w:spacing w:val="-66"/>
        </w:rPr>
      </w:r>
      <w:r>
        <w:rPr/>
        <w:t>康的目的。</w:t>
      </w:r>
    </w:p>
    <w:p>
      <w:pPr>
        <w:pStyle w:val="BodyText"/>
        <w:spacing w:line="316" w:lineRule="auto" w:before="20"/>
        <w:ind w:left="514" w:right="1121" w:hanging="143"/>
        <w:jc w:val="left"/>
      </w:pPr>
      <w:r>
        <w:rPr/>
        <w:t>（三）重视供应商和客户权益，和谐共赢 </w:t>
      </w:r>
      <w:r>
        <w:rPr>
          <w:spacing w:val="-2"/>
        </w:rPr>
        <w:t>公司一直遵循</w:t>
      </w:r>
      <w:r>
        <w:rPr>
          <w:rFonts w:ascii="Times New Roman" w:hAnsi="Times New Roman" w:cs="Times New Roman" w:eastAsia="Times New Roman" w:hint="default"/>
          <w:spacing w:val="-2"/>
        </w:rPr>
        <w:t>“</w:t>
      </w:r>
      <w:r>
        <w:rPr>
          <w:spacing w:val="-2"/>
        </w:rPr>
        <w:t>平等、互利</w:t>
      </w:r>
      <w:r>
        <w:rPr>
          <w:rFonts w:ascii="Times New Roman" w:hAnsi="Times New Roman" w:cs="Times New Roman" w:eastAsia="Times New Roman" w:hint="default"/>
          <w:spacing w:val="-2"/>
        </w:rPr>
        <w:t>”</w:t>
      </w:r>
      <w:r>
        <w:rPr>
          <w:spacing w:val="-2"/>
        </w:rPr>
        <w:t>的原则，积极构建和发展与供应商、客户的战略合作伙伴关系，注重与各相关方的沟通与协</w:t>
      </w:r>
    </w:p>
    <w:p>
      <w:pPr>
        <w:pStyle w:val="BodyText"/>
        <w:spacing w:line="300" w:lineRule="auto"/>
        <w:ind w:right="1121"/>
        <w:jc w:val="left"/>
      </w:pPr>
      <w:r>
        <w:rPr>
          <w:spacing w:val="-2"/>
        </w:rPr>
        <w:t>调，共同构筑信任与合作的平台，切实履行公司对供应商、对客户的社会责任。公司已连续多年获得</w:t>
      </w:r>
      <w:r>
        <w:rPr>
          <w:rFonts w:ascii="Times New Roman" w:hAnsi="Times New Roman" w:cs="Times New Roman" w:eastAsia="Times New Roman" w:hint="default"/>
          <w:spacing w:val="-2"/>
        </w:rPr>
        <w:t>“</w:t>
      </w:r>
      <w:r>
        <w:rPr>
          <w:spacing w:val="-2"/>
        </w:rPr>
        <w:t>守合同、重信用</w:t>
      </w:r>
      <w:r>
        <w:rPr>
          <w:rFonts w:ascii="Times New Roman" w:hAnsi="Times New Roman" w:cs="Times New Roman" w:eastAsia="Times New Roman" w:hint="default"/>
          <w:spacing w:val="-2"/>
        </w:rPr>
        <w:t>”</w:t>
      </w:r>
      <w:r>
        <w:rPr>
          <w:spacing w:val="-2"/>
        </w:rPr>
        <w:t>单位</w:t>
      </w:r>
      <w:r>
        <w:rPr>
          <w:spacing w:val="-45"/>
        </w:rPr>
        <w:t> </w:t>
      </w:r>
      <w:r>
        <w:rPr/>
        <w:t>称号。</w:t>
      </w:r>
    </w:p>
    <w:p>
      <w:pPr>
        <w:pStyle w:val="BodyText"/>
        <w:spacing w:line="360" w:lineRule="auto" w:before="31"/>
        <w:ind w:left="516" w:right="1121" w:hanging="3"/>
        <w:jc w:val="left"/>
      </w:pPr>
      <w:r>
        <w:rPr/>
        <w:t>（四）安全生产及环境保护 </w:t>
      </w:r>
      <w:r>
        <w:rPr>
          <w:spacing w:val="-2"/>
        </w:rPr>
        <w:t>公司高度重视安全生产，公司建立健全了安全生产责任制度，加强对员工的安全生产培训，并严格监督，多年来未发生</w:t>
      </w:r>
    </w:p>
    <w:p>
      <w:pPr>
        <w:pStyle w:val="BodyText"/>
        <w:spacing w:line="234" w:lineRule="exact"/>
        <w:ind w:right="1121"/>
        <w:jc w:val="left"/>
      </w:pPr>
      <w:r>
        <w:rPr/>
        <w:t>重大安全事故。公司严格执行</w:t>
      </w:r>
      <w:r>
        <w:rPr>
          <w:rFonts w:ascii="Times New Roman" w:hAnsi="Times New Roman" w:cs="Times New Roman" w:eastAsia="Times New Roman" w:hint="default"/>
        </w:rPr>
        <w:t>ISO14001</w:t>
      </w:r>
      <w:r>
        <w:rPr/>
        <w:t>环境管理体系，将环境保护、节能减排工作纳入重要议事日程。公司严格按照有关</w:t>
      </w:r>
    </w:p>
    <w:p>
      <w:pPr>
        <w:pStyle w:val="BodyText"/>
        <w:spacing w:line="240" w:lineRule="auto" w:before="64"/>
        <w:ind w:right="1121"/>
        <w:jc w:val="left"/>
      </w:pPr>
      <w:r>
        <w:rPr/>
        <w:t>环保法规及相应标准对废水、废气、废渣进行有效综合治理，积极践行企业环保责任。</w:t>
      </w:r>
    </w:p>
    <w:p>
      <w:pPr>
        <w:spacing w:line="240" w:lineRule="auto" w:before="11"/>
        <w:rPr>
          <w:rFonts w:ascii="宋体" w:hAnsi="宋体" w:cs="宋体" w:eastAsia="宋体" w:hint="default"/>
          <w:sz w:val="26"/>
          <w:szCs w:val="26"/>
        </w:rPr>
      </w:pPr>
    </w:p>
    <w:p>
      <w:pPr>
        <w:pStyle w:val="Heading3"/>
        <w:spacing w:line="240" w:lineRule="auto"/>
        <w:ind w:right="1121"/>
        <w:jc w:val="left"/>
        <w:rPr>
          <w:b w:val="0"/>
          <w:bCs w:val="0"/>
        </w:rPr>
      </w:pPr>
      <w:bookmarkStart w:name="2、履行精准扶贫社会责任情况" w:id="96"/>
      <w:bookmarkEnd w:id="96"/>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1"/>
        <w:jc w:val="left"/>
      </w:pPr>
      <w:r>
        <w:rPr/>
        <w:t>公司报告年度暂未开展精准扶贫工作，也暂无后续精准扶贫计划。</w:t>
      </w:r>
    </w:p>
    <w:p>
      <w:pPr>
        <w:spacing w:line="240" w:lineRule="auto" w:before="11"/>
        <w:rPr>
          <w:rFonts w:ascii="宋体" w:hAnsi="宋体" w:cs="宋体" w:eastAsia="宋体" w:hint="default"/>
          <w:sz w:val="26"/>
          <w:szCs w:val="26"/>
        </w:rPr>
      </w:pPr>
    </w:p>
    <w:p>
      <w:pPr>
        <w:pStyle w:val="Heading3"/>
        <w:spacing w:line="240" w:lineRule="auto"/>
        <w:ind w:right="1121"/>
        <w:jc w:val="left"/>
        <w:rPr>
          <w:b w:val="0"/>
          <w:bCs w:val="0"/>
        </w:rPr>
      </w:pPr>
      <w:bookmarkStart w:name="3、环境保护相关的情况" w:id="97"/>
      <w:bookmarkEnd w:id="97"/>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5712"/>
        <w:jc w:val="left"/>
      </w:pPr>
      <w:r>
        <w:rPr/>
        <w:t>上市公司及其子公司是否属于环境保护部门公布的重点排污单位 否</w:t>
      </w:r>
    </w:p>
    <w:p>
      <w:pPr>
        <w:pStyle w:val="BodyText"/>
        <w:spacing w:line="240" w:lineRule="auto" w:before="25"/>
        <w:ind w:left="444" w:right="0"/>
        <w:jc w:val="left"/>
      </w:pPr>
      <w:r>
        <w:rPr/>
        <w:t>本公司严格按照有关环保法规及相应标准对废水、废气、废渣进行有效综合治理，积极践行企业环保责任。公司建立了</w:t>
      </w:r>
    </w:p>
    <w:p>
      <w:pPr>
        <w:pStyle w:val="BodyText"/>
        <w:spacing w:line="240" w:lineRule="auto" w:before="76"/>
        <w:ind w:right="1121"/>
        <w:jc w:val="left"/>
      </w:pPr>
      <w:r>
        <w:rPr>
          <w:rFonts w:ascii="Times New Roman" w:hAnsi="Times New Roman" w:cs="Times New Roman" w:eastAsia="Times New Roman" w:hint="default"/>
        </w:rPr>
        <w:t>ISO14001</w:t>
      </w:r>
      <w:r>
        <w:rPr/>
        <w:t>环境管理体系，将环境保护、节能减排工作纳入重要工作管理。报告期内，公司及控股子公司未受到环保处罚。</w:t>
      </w:r>
    </w:p>
    <w:p>
      <w:pPr>
        <w:spacing w:line="240" w:lineRule="auto" w:before="1"/>
        <w:rPr>
          <w:rFonts w:ascii="宋体" w:hAnsi="宋体" w:cs="宋体" w:eastAsia="宋体" w:hint="default"/>
          <w:sz w:val="24"/>
          <w:szCs w:val="24"/>
        </w:rPr>
      </w:pPr>
    </w:p>
    <w:p>
      <w:pPr>
        <w:pStyle w:val="Heading2"/>
        <w:spacing w:line="240" w:lineRule="auto"/>
        <w:ind w:right="1121"/>
        <w:jc w:val="left"/>
        <w:rPr>
          <w:b w:val="0"/>
          <w:bCs w:val="0"/>
        </w:rPr>
      </w:pPr>
      <w:bookmarkStart w:name="十九、其他重大事项的说明" w:id="98"/>
      <w:bookmarkEnd w:id="98"/>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3"/>
        <w:rPr>
          <w:rFonts w:ascii="宋体" w:hAnsi="宋体" w:cs="宋体" w:eastAsia="宋体" w:hint="default"/>
          <w:sz w:val="19"/>
          <w:szCs w:val="19"/>
        </w:rPr>
      </w:pPr>
    </w:p>
    <w:p>
      <w:pPr>
        <w:pStyle w:val="Heading2"/>
        <w:spacing w:line="240" w:lineRule="auto"/>
        <w:ind w:right="1121"/>
        <w:jc w:val="left"/>
        <w:rPr>
          <w:b w:val="0"/>
          <w:bCs w:val="0"/>
        </w:rPr>
      </w:pPr>
      <w:bookmarkStart w:name="二十、公司子公司重大事项" w:id="99"/>
      <w:bookmarkEnd w:id="99"/>
      <w:r>
        <w:rPr>
          <w:b w:val="0"/>
          <w:bCs w:val="0"/>
        </w:rPr>
      </w:r>
      <w:r>
        <w:rPr/>
        <w:t>二十、公司子公司重大事项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6" w:right="1121"/>
        <w:jc w:val="left"/>
        <w:rPr>
          <w:b w:val="0"/>
          <w:bCs w:val="0"/>
        </w:rPr>
      </w:pPr>
      <w:bookmarkStart w:name="第六节 股份变动及股东情况" w:id="100"/>
      <w:bookmarkEnd w:id="100"/>
      <w:r>
        <w:rPr>
          <w:b w:val="0"/>
          <w:bCs w:val="0"/>
        </w:rPr>
      </w:r>
      <w:bookmarkStart w:name="_bookmark5" w:id="101"/>
      <w:bookmarkEnd w:id="101"/>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21"/>
        <w:jc w:val="left"/>
        <w:rPr>
          <w:b w:val="0"/>
          <w:bCs w:val="0"/>
        </w:rPr>
      </w:pPr>
      <w:bookmarkStart w:name="一、股份变动情况" w:id="102"/>
      <w:bookmarkEnd w:id="102"/>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1"/>
        <w:jc w:val="left"/>
        <w:rPr>
          <w:b w:val="0"/>
          <w:bCs w:val="0"/>
        </w:rPr>
      </w:pPr>
      <w:bookmarkStart w:name="1、股份变动情况" w:id="103"/>
      <w:bookmarkEnd w:id="103"/>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62"/>
        <w:gridCol w:w="1004"/>
        <w:gridCol w:w="851"/>
        <w:gridCol w:w="850"/>
        <w:gridCol w:w="568"/>
        <w:gridCol w:w="992"/>
        <w:gridCol w:w="851"/>
        <w:gridCol w:w="850"/>
        <w:gridCol w:w="1010"/>
        <w:gridCol w:w="793"/>
      </w:tblGrid>
      <w:tr>
        <w:trPr>
          <w:trHeight w:val="205"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85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0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855" w:type="dxa"/>
            <w:gridSpan w:val="2"/>
            <w:vMerge/>
            <w:tcBorders>
              <w:left w:val="single" w:sz="4" w:space="0" w:color="000000"/>
              <w:bottom w:val="single" w:sz="4" w:space="0" w:color="000000"/>
              <w:right w:val="single" w:sz="4" w:space="0" w:color="000000"/>
            </w:tcBorders>
            <w:shd w:val="clear" w:color="auto" w:fill="D2D2D2"/>
          </w:tcPr>
          <w:p>
            <w:pPr/>
          </w:p>
        </w:tc>
        <w:tc>
          <w:tcPr>
            <w:tcW w:w="4110" w:type="dxa"/>
            <w:gridSpan w:val="5"/>
            <w:vMerge/>
            <w:tcBorders>
              <w:left w:val="single" w:sz="4" w:space="0" w:color="000000"/>
              <w:bottom w:val="single" w:sz="4" w:space="0" w:color="000000"/>
              <w:right w:val="single" w:sz="4" w:space="0" w:color="000000"/>
            </w:tcBorders>
            <w:shd w:val="clear" w:color="auto" w:fill="D2D2D2"/>
          </w:tcPr>
          <w:p>
            <w:pPr/>
          </w:p>
        </w:tc>
        <w:tc>
          <w:tcPr>
            <w:tcW w:w="1804"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010" w:type="dxa"/>
            <w:vMerge/>
            <w:tcBorders>
              <w:left w:val="single" w:sz="4" w:space="0" w:color="000000"/>
              <w:bottom w:val="single" w:sz="4" w:space="0" w:color="000000"/>
              <w:right w:val="single" w:sz="4" w:space="0" w:color="000000"/>
            </w:tcBorders>
            <w:shd w:val="clear" w:color="auto" w:fill="D2D2D2"/>
          </w:tcPr>
          <w:p>
            <w:pPr/>
          </w:p>
        </w:tc>
        <w:tc>
          <w:tcPr>
            <w:tcW w:w="79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106,724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10,125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116,849</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106,724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10,125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116,849</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106,724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10,125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116,849</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363,670,890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99.97%</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-10,125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363,660,765</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99.97%</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363,670,890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99.97%</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-10,125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363,660,765</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99.97%</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363,777,614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363,777,614</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1121"/>
        <w:jc w:val="left"/>
      </w:pPr>
      <w:r>
        <w:rPr/>
        <w:t>股份变动的原因</w:t>
      </w:r>
    </w:p>
    <w:p>
      <w:pPr>
        <w:pStyle w:val="BodyText"/>
        <w:spacing w:line="348" w:lineRule="auto" w:before="117"/>
        <w:ind w:right="42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报告期内，公司监事王晓延、张力高管锁定股份增加，致使有限售条件股份增加。 股份变动的批准情况</w:t>
      </w:r>
    </w:p>
    <w:p>
      <w:pPr>
        <w:pStyle w:val="BodyText"/>
        <w:spacing w:line="338" w:lineRule="auto" w:before="36"/>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40" w:lineRule="auto" w:before="42"/>
        <w:ind w:right="87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股份回购的实施进展情况</w:t>
      </w:r>
    </w:p>
    <w:p>
      <w:pPr>
        <w:pStyle w:val="BodyText"/>
        <w:spacing w:line="338" w:lineRule="auto" w:before="40"/>
        <w:ind w:right="69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采用集中竞价方式减持回购股份的实施进展情况</w:t>
      </w:r>
    </w:p>
    <w:p>
      <w:pPr>
        <w:pStyle w:val="BodyText"/>
        <w:spacing w:line="338" w:lineRule="auto" w:before="43"/>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40" w:lineRule="auto" w:before="42"/>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0"/>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21"/>
        <w:jc w:val="left"/>
        <w:rPr>
          <w:b w:val="0"/>
          <w:bCs w:val="0"/>
        </w:rPr>
      </w:pPr>
      <w:bookmarkStart w:name="2、限售股份变动情况" w:id="104"/>
      <w:bookmarkEnd w:id="104"/>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94"/>
        <w:gridCol w:w="1274"/>
        <w:gridCol w:w="1560"/>
        <w:gridCol w:w="1642"/>
        <w:gridCol w:w="1368"/>
        <w:gridCol w:w="960"/>
        <w:gridCol w:w="1774"/>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 w:right="0"/>
              <w:jc w:val="lef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张力</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7" w:right="0"/>
              <w:jc w:val="left"/>
              <w:rPr>
                <w:rFonts w:ascii="Times New Roman" w:hAnsi="Times New Roman" w:cs="Times New Roman" w:eastAsia="Times New Roman" w:hint="default"/>
                <w:sz w:val="18"/>
                <w:szCs w:val="18"/>
              </w:rPr>
            </w:pPr>
            <w:r>
              <w:rPr>
                <w:rFonts w:ascii="Times New Roman"/>
                <w:sz w:val="18"/>
              </w:rPr>
              <w:t>8,100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11,475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6"/>
              <w:jc w:val="center"/>
              <w:rPr>
                <w:rFonts w:ascii="宋体" w:hAnsi="宋体" w:cs="宋体" w:eastAsia="宋体" w:hint="default"/>
                <w:sz w:val="18"/>
                <w:szCs w:val="18"/>
              </w:rPr>
            </w:pPr>
            <w:r>
              <w:rPr>
                <w:rFonts w:ascii="宋体" w:hAnsi="宋体" w:cs="宋体" w:eastAsia="宋体" w:hint="default"/>
                <w:sz w:val="18"/>
                <w:szCs w:val="18"/>
              </w:rPr>
              <w:t>按高管股份管理规定</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94"/>
        <w:gridCol w:w="1274"/>
        <w:gridCol w:w="1560"/>
        <w:gridCol w:w="1642"/>
        <w:gridCol w:w="1368"/>
        <w:gridCol w:w="960"/>
        <w:gridCol w:w="1774"/>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王晓延</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6,750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6"/>
              <w:jc w:val="center"/>
              <w:rPr>
                <w:rFonts w:ascii="宋体" w:hAnsi="宋体" w:cs="宋体" w:eastAsia="宋体" w:hint="default"/>
                <w:sz w:val="18"/>
                <w:szCs w:val="18"/>
              </w:rPr>
            </w:pPr>
            <w:r>
              <w:rPr>
                <w:rFonts w:ascii="宋体" w:hAnsi="宋体" w:cs="宋体" w:eastAsia="宋体" w:hint="default"/>
                <w:sz w:val="18"/>
                <w:szCs w:val="18"/>
              </w:rPr>
              <w:t>按高管股份管理规定</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18,225</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1121"/>
        <w:jc w:val="left"/>
        <w:rPr>
          <w:b w:val="0"/>
          <w:bCs w:val="0"/>
        </w:rPr>
      </w:pPr>
      <w:bookmarkStart w:name="二、证券发行与上市情况" w:id="105"/>
      <w:bookmarkEnd w:id="105"/>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1"/>
        <w:jc w:val="left"/>
        <w:rPr>
          <w:b w:val="0"/>
          <w:bCs w:val="0"/>
        </w:rPr>
      </w:pPr>
      <w:bookmarkStart w:name="1、报告期内证券发行（不含优先股）情况" w:id="106"/>
      <w:bookmarkEnd w:id="106"/>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21"/>
        <w:jc w:val="left"/>
        <w:rPr>
          <w:b w:val="0"/>
          <w:bCs w:val="0"/>
        </w:rPr>
      </w:pPr>
      <w:bookmarkStart w:name="2、公司股份总数及股东结构的变动、公司资产和负债结构的变动情况说明" w:id="107"/>
      <w:bookmarkEnd w:id="107"/>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21"/>
        <w:jc w:val="left"/>
        <w:rPr>
          <w:b w:val="0"/>
          <w:bCs w:val="0"/>
        </w:rPr>
      </w:pPr>
      <w:bookmarkStart w:name="3、现存的内部职工股情况" w:id="108"/>
      <w:bookmarkEnd w:id="108"/>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21"/>
        <w:jc w:val="left"/>
        <w:rPr>
          <w:b w:val="0"/>
          <w:bCs w:val="0"/>
        </w:rPr>
      </w:pPr>
      <w:bookmarkStart w:name="三、股东和实际控制人情况" w:id="109"/>
      <w:bookmarkEnd w:id="109"/>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1"/>
        <w:jc w:val="left"/>
        <w:rPr>
          <w:b w:val="0"/>
          <w:bCs w:val="0"/>
        </w:rPr>
      </w:pPr>
      <w:bookmarkStart w:name="1、公司股东数量及持股情况" w:id="110"/>
      <w:bookmarkEnd w:id="110"/>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78"/>
        <w:gridCol w:w="695"/>
        <w:gridCol w:w="93"/>
        <w:gridCol w:w="884"/>
        <w:gridCol w:w="340"/>
        <w:gridCol w:w="449"/>
        <w:gridCol w:w="755"/>
        <w:gridCol w:w="948"/>
        <w:gridCol w:w="316"/>
        <w:gridCol w:w="1033"/>
        <w:gridCol w:w="140"/>
        <w:gridCol w:w="964"/>
      </w:tblGrid>
      <w:tr>
        <w:trPr>
          <w:trHeight w:val="12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661" w:right="0"/>
              <w:jc w:val="left"/>
              <w:rPr>
                <w:rFonts w:ascii="Times New Roman" w:hAnsi="Times New Roman" w:cs="Times New Roman" w:eastAsia="Times New Roman" w:hint="default"/>
                <w:sz w:val="18"/>
                <w:szCs w:val="18"/>
              </w:rPr>
            </w:pPr>
            <w:r>
              <w:rPr>
                <w:rFonts w:ascii="Times New Roman"/>
                <w:sz w:val="18"/>
              </w:rPr>
              <w:t>15,853</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317"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770" w:right="0"/>
              <w:jc w:val="left"/>
              <w:rPr>
                <w:rFonts w:ascii="Times New Roman" w:hAnsi="Times New Roman" w:cs="Times New Roman" w:eastAsia="Times New Roman" w:hint="default"/>
                <w:sz w:val="18"/>
                <w:szCs w:val="18"/>
              </w:rPr>
            </w:pPr>
            <w:r>
              <w:rPr>
                <w:rFonts w:ascii="Times New Roman"/>
                <w:sz w:val="18"/>
              </w:rPr>
              <w:t>18,547</w:t>
            </w:r>
          </w:p>
        </w:tc>
        <w:tc>
          <w:tcPr>
            <w:tcW w:w="120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6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26"/>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年度报告披露</w:t>
            </w:r>
          </w:p>
          <w:p>
            <w:pPr>
              <w:pStyle w:val="TableParagraph"/>
              <w:spacing w:line="237" w:lineRule="auto" w:before="1"/>
              <w:ind w:left="11" w:right="8"/>
              <w:jc w:val="left"/>
              <w:rPr>
                <w:rFonts w:ascii="宋体" w:hAnsi="宋体" w:cs="宋体" w:eastAsia="宋体" w:hint="default"/>
                <w:sz w:val="18"/>
                <w:szCs w:val="18"/>
              </w:rPr>
            </w:pPr>
            <w:r>
              <w:rPr>
                <w:rFonts w:ascii="宋体" w:hAnsi="宋体" w:cs="宋体" w:eastAsia="宋体" w:hint="default"/>
                <w:sz w:val="18"/>
                <w:szCs w:val="18"/>
              </w:rPr>
              <w:t>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964"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z w:val="18"/>
              </w:rPr>
              <w:t>0</w:t>
            </w:r>
          </w:p>
        </w:tc>
      </w:tr>
      <w:tr>
        <w:trPr>
          <w:trHeight w:val="11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317" w:type="dxa"/>
            <w:gridSpan w:val="3"/>
            <w:vMerge/>
            <w:tcBorders>
              <w:left w:val="single" w:sz="9" w:space="0" w:color="D2D2D2"/>
              <w:right w:val="single" w:sz="9" w:space="0" w:color="D2D2D2"/>
            </w:tcBorders>
          </w:tcPr>
          <w:p>
            <w:pPr/>
          </w:p>
        </w:tc>
        <w:tc>
          <w:tcPr>
            <w:tcW w:w="120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04" w:lineRule="exact"/>
              <w:ind w:left="11" w:right="0"/>
              <w:jc w:val="left"/>
              <w:rPr>
                <w:rFonts w:ascii="宋体" w:hAnsi="宋体" w:cs="宋体" w:eastAsia="宋体" w:hint="default"/>
                <w:sz w:val="18"/>
                <w:szCs w:val="18"/>
              </w:rPr>
            </w:pPr>
            <w:r>
              <w:rPr>
                <w:rFonts w:ascii="宋体" w:hAnsi="宋体" w:cs="宋体" w:eastAsia="宋体" w:hint="default"/>
                <w:sz w:val="18"/>
                <w:szCs w:val="18"/>
              </w:rPr>
              <w:t>报告期末表决</w:t>
            </w:r>
          </w:p>
          <w:p>
            <w:pPr>
              <w:pStyle w:val="TableParagraph"/>
              <w:spacing w:line="240" w:lineRule="auto"/>
              <w:ind w:left="11" w:right="101"/>
              <w:jc w:val="left"/>
              <w:rPr>
                <w:rFonts w:ascii="宋体" w:hAnsi="宋体" w:cs="宋体" w:eastAsia="宋体" w:hint="default"/>
                <w:sz w:val="18"/>
                <w:szCs w:val="18"/>
              </w:rPr>
            </w:pPr>
            <w:r>
              <w:rPr>
                <w:rFonts w:ascii="宋体" w:hAnsi="宋体" w:cs="宋体" w:eastAsia="宋体" w:hint="default"/>
                <w:sz w:val="18"/>
                <w:szCs w:val="18"/>
              </w:rPr>
              <w:t>权恢复的优先 股股东总数</w:t>
            </w:r>
          </w:p>
          <w:p>
            <w:pPr>
              <w:pStyle w:val="TableParagraph"/>
              <w:spacing w:line="234" w:lineRule="exact" w:before="20"/>
              <w:ind w:left="11" w:right="41"/>
              <w:jc w:val="left"/>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64"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964" w:type="dxa"/>
            <w:vMerge/>
            <w:tcBorders>
              <w:left w:val="single" w:sz="10" w:space="0" w:color="D2D2D2"/>
              <w:right w:val="single" w:sz="4" w:space="0" w:color="000000"/>
            </w:tcBorders>
          </w:tcPr>
          <w:p>
            <w:pPr/>
          </w:p>
        </w:tc>
      </w:tr>
      <w:tr>
        <w:trPr>
          <w:trHeight w:val="234"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05" w:lineRule="exact"/>
              <w:ind w:left="11" w:right="0"/>
              <w:jc w:val="both"/>
              <w:rPr>
                <w:rFonts w:ascii="宋体" w:hAnsi="宋体" w:cs="宋体" w:eastAsia="宋体" w:hint="default"/>
                <w:sz w:val="18"/>
                <w:szCs w:val="18"/>
              </w:rPr>
            </w:pPr>
            <w:r>
              <w:rPr>
                <w:rFonts w:ascii="宋体" w:hAnsi="宋体" w:cs="宋体" w:eastAsia="宋体" w:hint="default"/>
                <w:sz w:val="18"/>
                <w:szCs w:val="18"/>
              </w:rPr>
              <w:t>年度报告披露</w:t>
            </w:r>
          </w:p>
          <w:p>
            <w:pPr>
              <w:pStyle w:val="TableParagraph"/>
              <w:spacing w:line="237" w:lineRule="auto" w:before="1"/>
              <w:ind w:left="11" w:right="70"/>
              <w:jc w:val="both"/>
              <w:rPr>
                <w:rFonts w:ascii="宋体" w:hAnsi="宋体" w:cs="宋体" w:eastAsia="宋体" w:hint="default"/>
                <w:sz w:val="18"/>
                <w:szCs w:val="18"/>
              </w:rPr>
            </w:pPr>
            <w:r>
              <w:rPr>
                <w:rFonts w:ascii="宋体" w:hAnsi="宋体" w:cs="宋体" w:eastAsia="宋体" w:hint="default"/>
                <w:sz w:val="18"/>
                <w:szCs w:val="18"/>
              </w:rPr>
              <w:t>日前上一月末 普通股股东总 数</w:t>
            </w:r>
          </w:p>
        </w:tc>
        <w:tc>
          <w:tcPr>
            <w:tcW w:w="1317" w:type="dxa"/>
            <w:gridSpan w:val="3"/>
            <w:vMerge/>
            <w:tcBorders>
              <w:left w:val="single" w:sz="9" w:space="0" w:color="D2D2D2"/>
              <w:right w:val="single" w:sz="9" w:space="0" w:color="D2D2D2"/>
            </w:tcBorders>
          </w:tcPr>
          <w:p>
            <w:pPr/>
          </w:p>
        </w:tc>
        <w:tc>
          <w:tcPr>
            <w:tcW w:w="1204" w:type="dxa"/>
            <w:gridSpan w:val="2"/>
            <w:vMerge/>
            <w:tcBorders>
              <w:left w:val="single" w:sz="4" w:space="0" w:color="000000"/>
              <w:right w:val="single" w:sz="4" w:space="0" w:color="000000"/>
            </w:tcBorders>
            <w:shd w:val="clear" w:color="auto" w:fill="D2D2D2"/>
          </w:tcPr>
          <w:p>
            <w:pPr/>
          </w:p>
        </w:tc>
        <w:tc>
          <w:tcPr>
            <w:tcW w:w="1264"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964" w:type="dxa"/>
            <w:vMerge/>
            <w:tcBorders>
              <w:left w:val="single" w:sz="10" w:space="0" w:color="D2D2D2"/>
              <w:right w:val="single" w:sz="4" w:space="0" w:color="000000"/>
            </w:tcBorders>
          </w:tcPr>
          <w:p>
            <w:pPr/>
          </w:p>
        </w:tc>
      </w:tr>
      <w:tr>
        <w:trPr>
          <w:trHeight w:val="467"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报告期末普通</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317" w:type="dxa"/>
            <w:gridSpan w:val="3"/>
            <w:vMerge/>
            <w:tcBorders>
              <w:left w:val="single" w:sz="9" w:space="0" w:color="D2D2D2"/>
              <w:right w:val="single" w:sz="9" w:space="0" w:color="D2D2D2"/>
            </w:tcBorders>
          </w:tcPr>
          <w:p>
            <w:pPr/>
          </w:p>
        </w:tc>
        <w:tc>
          <w:tcPr>
            <w:tcW w:w="1204" w:type="dxa"/>
            <w:gridSpan w:val="2"/>
            <w:vMerge/>
            <w:tcBorders>
              <w:left w:val="single" w:sz="4" w:space="0" w:color="000000"/>
              <w:right w:val="single" w:sz="4" w:space="0" w:color="000000"/>
            </w:tcBorders>
            <w:shd w:val="clear" w:color="auto" w:fill="D2D2D2"/>
          </w:tcPr>
          <w:p>
            <w:pPr/>
          </w:p>
        </w:tc>
        <w:tc>
          <w:tcPr>
            <w:tcW w:w="1264"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964" w:type="dxa"/>
            <w:vMerge/>
            <w:tcBorders>
              <w:left w:val="single" w:sz="10" w:space="0" w:color="D2D2D2"/>
              <w:right w:val="single" w:sz="4" w:space="0" w:color="000000"/>
            </w:tcBorders>
          </w:tcPr>
          <w:p>
            <w:pPr/>
          </w:p>
        </w:tc>
      </w:tr>
      <w:tr>
        <w:trPr>
          <w:trHeight w:val="233"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317" w:type="dxa"/>
            <w:gridSpan w:val="3"/>
            <w:vMerge/>
            <w:tcBorders>
              <w:left w:val="single" w:sz="9" w:space="0" w:color="D2D2D2"/>
              <w:right w:val="single" w:sz="9" w:space="0" w:color="D2D2D2"/>
            </w:tcBorders>
          </w:tcPr>
          <w:p>
            <w:pPr/>
          </w:p>
        </w:tc>
        <w:tc>
          <w:tcPr>
            <w:tcW w:w="1204" w:type="dxa"/>
            <w:gridSpan w:val="2"/>
            <w:vMerge/>
            <w:tcBorders>
              <w:left w:val="single" w:sz="4" w:space="0" w:color="000000"/>
              <w:right w:val="single" w:sz="4" w:space="0" w:color="000000"/>
            </w:tcBorders>
            <w:shd w:val="clear" w:color="auto" w:fill="D2D2D2"/>
          </w:tcPr>
          <w:p>
            <w:pPr/>
          </w:p>
        </w:tc>
        <w:tc>
          <w:tcPr>
            <w:tcW w:w="1264"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964" w:type="dxa"/>
            <w:vMerge/>
            <w:tcBorders>
              <w:left w:val="single" w:sz="10" w:space="0" w:color="D2D2D2"/>
              <w:right w:val="single" w:sz="4" w:space="0" w:color="000000"/>
            </w:tcBorders>
          </w:tcPr>
          <w:p>
            <w:pPr/>
          </w:p>
        </w:tc>
      </w:tr>
      <w:tr>
        <w:trPr>
          <w:trHeight w:val="244"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317" w:type="dxa"/>
            <w:gridSpan w:val="3"/>
            <w:vMerge/>
            <w:tcBorders>
              <w:left w:val="single" w:sz="9" w:space="0" w:color="D2D2D2"/>
              <w:bottom w:val="single" w:sz="4" w:space="0" w:color="000000"/>
              <w:right w:val="single" w:sz="9" w:space="0" w:color="D2D2D2"/>
            </w:tcBorders>
          </w:tcPr>
          <w:p>
            <w:pPr/>
          </w:p>
        </w:tc>
        <w:tc>
          <w:tcPr>
            <w:tcW w:w="1204" w:type="dxa"/>
            <w:gridSpan w:val="2"/>
            <w:vMerge/>
            <w:tcBorders>
              <w:left w:val="single" w:sz="4" w:space="0" w:color="000000"/>
              <w:bottom w:val="single" w:sz="4" w:space="0" w:color="000000"/>
              <w:right w:val="single" w:sz="4" w:space="0" w:color="000000"/>
            </w:tcBorders>
            <w:shd w:val="clear" w:color="auto" w:fill="D2D2D2"/>
          </w:tcPr>
          <w:p>
            <w:pPr/>
          </w:p>
        </w:tc>
        <w:tc>
          <w:tcPr>
            <w:tcW w:w="1264" w:type="dxa"/>
            <w:gridSpan w:val="2"/>
            <w:vMerge/>
            <w:tcBorders>
              <w:left w:val="single" w:sz="9" w:space="0" w:color="D2D2D2"/>
              <w:bottom w:val="single" w:sz="4" w:space="0" w:color="000000"/>
              <w:right w:val="single" w:sz="9"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964" w:type="dxa"/>
            <w:vMerge/>
            <w:tcBorders>
              <w:left w:val="single" w:sz="10" w:space="0" w:color="D2D2D2"/>
              <w:bottom w:val="single" w:sz="4" w:space="0" w:color="000000"/>
              <w:right w:val="single" w:sz="4" w:space="0" w:color="000000"/>
            </w:tcBorders>
          </w:tcPr>
          <w:p>
            <w:pPr/>
          </w:p>
        </w:tc>
      </w:tr>
      <w:tr>
        <w:trPr>
          <w:trHeight w:val="392" w:hRule="exact"/>
        </w:trPr>
        <w:tc>
          <w:tcPr>
            <w:tcW w:w="949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26"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8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7" w:right="-3"/>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4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24" w:right="9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45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9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8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948" w:type="dxa"/>
            <w:vMerge/>
            <w:tcBorders>
              <w:left w:val="single" w:sz="4" w:space="0" w:color="000000"/>
              <w:right w:val="single" w:sz="4" w:space="0" w:color="000000"/>
            </w:tcBorders>
            <w:shd w:val="clear" w:color="auto" w:fill="D2D2D2"/>
          </w:tcPr>
          <w:p>
            <w:pPr/>
          </w:p>
        </w:tc>
        <w:tc>
          <w:tcPr>
            <w:tcW w:w="2453" w:type="dxa"/>
            <w:gridSpan w:val="4"/>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84"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948" w:type="dxa"/>
            <w:vMerge/>
            <w:tcBorders>
              <w:left w:val="single" w:sz="4" w:space="0" w:color="000000"/>
              <w:right w:val="single" w:sz="4" w:space="0" w:color="000000"/>
            </w:tcBorders>
            <w:shd w:val="clear" w:color="auto" w:fill="D2D2D2"/>
          </w:tcPr>
          <w:p>
            <w:pPr/>
          </w:p>
        </w:tc>
        <w:tc>
          <w:tcPr>
            <w:tcW w:w="2453"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948"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10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884" w:type="dxa"/>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948"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104"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948"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104" w:type="dxa"/>
            <w:gridSpan w:val="2"/>
            <w:vMerge/>
            <w:tcBorders>
              <w:left w:val="single" w:sz="4" w:space="0" w:color="000000"/>
              <w:bottom w:val="single" w:sz="4" w:space="0" w:color="000000"/>
              <w:right w:val="single" w:sz="4" w:space="0" w:color="000000"/>
            </w:tcBorders>
            <w:shd w:val="clear" w:color="auto" w:fill="D2D2D2"/>
          </w:tcPr>
          <w:p>
            <w:pPr/>
          </w:p>
        </w:tc>
      </w:tr>
      <w:tr>
        <w:trPr>
          <w:trHeight w:val="47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香港喜多来集团</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00" w:right="0"/>
              <w:jc w:val="left"/>
              <w:rPr>
                <w:rFonts w:ascii="Times New Roman" w:hAnsi="Times New Roman" w:cs="Times New Roman" w:eastAsia="Times New Roman" w:hint="default"/>
                <w:sz w:val="18"/>
                <w:szCs w:val="18"/>
              </w:rPr>
            </w:pPr>
            <w:r>
              <w:rPr>
                <w:rFonts w:ascii="Times New Roman"/>
                <w:sz w:val="18"/>
              </w:rPr>
              <w:t>12.34%</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44,877,967</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44,877,967</w:t>
            </w:r>
          </w:p>
        </w:tc>
        <w:tc>
          <w:tcPr>
            <w:tcW w:w="1349" w:type="dxa"/>
            <w:gridSpan w:val="2"/>
            <w:tcBorders>
              <w:top w:val="single" w:sz="48" w:space="0" w:color="D2D2D2"/>
              <w:left w:val="single" w:sz="4" w:space="0" w:color="000000"/>
              <w:bottom w:val="single" w:sz="4" w:space="0" w:color="000000"/>
              <w:right w:val="single" w:sz="4" w:space="0" w:color="000000"/>
            </w:tcBorders>
          </w:tcPr>
          <w:p>
            <w:pPr/>
          </w:p>
        </w:tc>
        <w:tc>
          <w:tcPr>
            <w:tcW w:w="1104" w:type="dxa"/>
            <w:gridSpan w:val="2"/>
            <w:tcBorders>
              <w:top w:val="single" w:sz="48" w:space="0" w:color="D2D2D2"/>
              <w:left w:val="single" w:sz="4" w:space="0" w:color="000000"/>
              <w:bottom w:val="single" w:sz="4" w:space="0" w:color="000000"/>
              <w:right w:val="single" w:sz="4" w:space="0" w:color="000000"/>
            </w:tcBorders>
          </w:tcPr>
          <w:p>
            <w:pPr/>
          </w:p>
        </w:tc>
      </w:tr>
      <w:tr>
        <w:trPr>
          <w:trHeight w:val="47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北京中嘉华信息</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06" w:right="0"/>
              <w:jc w:val="left"/>
              <w:rPr>
                <w:rFonts w:ascii="Times New Roman" w:hAnsi="Times New Roman" w:cs="Times New Roman" w:eastAsia="Times New Roman" w:hint="default"/>
                <w:sz w:val="18"/>
                <w:szCs w:val="18"/>
              </w:rPr>
            </w:pPr>
            <w:r>
              <w:rPr>
                <w:rFonts w:ascii="Times New Roman"/>
                <w:sz w:val="18"/>
              </w:rPr>
              <w:t>11.17%</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40,641,100</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40,641,100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1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60" w:right="0"/>
              <w:jc w:val="left"/>
              <w:rPr>
                <w:rFonts w:ascii="Times New Roman" w:hAnsi="Times New Roman" w:cs="Times New Roman" w:eastAsia="Times New Roman" w:hint="default"/>
                <w:sz w:val="18"/>
                <w:szCs w:val="18"/>
              </w:rPr>
            </w:pPr>
            <w:r>
              <w:rPr>
                <w:rFonts w:ascii="Times New Roman"/>
                <w:sz w:val="18"/>
              </w:rPr>
              <w:t>13,513,514</w:t>
            </w:r>
          </w:p>
        </w:tc>
      </w:tr>
      <w:tr>
        <w:trPr>
          <w:trHeight w:val="71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济南发展国有工</w:t>
            </w:r>
          </w:p>
          <w:p>
            <w:pPr>
              <w:pStyle w:val="TableParagraph"/>
              <w:spacing w:line="240" w:lineRule="auto"/>
              <w:ind w:left="22" w:right="174"/>
              <w:jc w:val="left"/>
              <w:rPr>
                <w:rFonts w:ascii="宋体" w:hAnsi="宋体" w:cs="宋体" w:eastAsia="宋体" w:hint="default"/>
                <w:sz w:val="18"/>
                <w:szCs w:val="18"/>
              </w:rPr>
            </w:pPr>
            <w:r>
              <w:rPr>
                <w:rFonts w:ascii="宋体" w:hAnsi="宋体" w:cs="宋体" w:eastAsia="宋体" w:hint="default"/>
                <w:sz w:val="18"/>
                <w:szCs w:val="18"/>
              </w:rPr>
              <w:t>业资产经营有限 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9.09%</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33,062,400</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33,062,400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1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3,320,469</w:t>
            </w:r>
          </w:p>
        </w:tc>
      </w:tr>
      <w:tr>
        <w:trPr>
          <w:trHeight w:val="47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浪潮电子信息产</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业股份有限公司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90" w:right="0"/>
              <w:jc w:val="left"/>
              <w:rPr>
                <w:rFonts w:ascii="Times New Roman" w:hAnsi="Times New Roman" w:cs="Times New Roman" w:eastAsia="Times New Roman" w:hint="default"/>
                <w:sz w:val="18"/>
                <w:szCs w:val="18"/>
              </w:rPr>
            </w:pPr>
            <w:r>
              <w:rPr>
                <w:rFonts w:ascii="Times New Roman"/>
                <w:sz w:val="18"/>
              </w:rPr>
              <w:t>3.57%</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12,972,175</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12,972,175</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104" w:type="dxa"/>
            <w:gridSpan w:val="2"/>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东港股份有限公</w:t>
            </w:r>
          </w:p>
          <w:p>
            <w:pPr>
              <w:pStyle w:val="TableParagraph"/>
              <w:spacing w:line="234" w:lineRule="exact" w:before="22"/>
              <w:ind w:left="22" w:right="174"/>
              <w:jc w:val="left"/>
              <w:rPr>
                <w:rFonts w:ascii="宋体" w:hAnsi="宋体" w:cs="宋体" w:eastAsia="宋体" w:hint="default"/>
                <w:sz w:val="18"/>
                <w:szCs w:val="18"/>
              </w:rPr>
            </w:pPr>
            <w:r>
              <w:rPr>
                <w:rFonts w:ascii="宋体" w:hAnsi="宋体" w:cs="宋体" w:eastAsia="宋体" w:hint="default"/>
                <w:sz w:val="18"/>
                <w:szCs w:val="18"/>
              </w:rPr>
              <w:t>司－第一期员工 持股计划</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2.65%</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9,623,800</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9,623,800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104" w:type="dxa"/>
            <w:gridSpan w:val="2"/>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理有限责任公司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90" w:right="0"/>
              <w:jc w:val="left"/>
              <w:rPr>
                <w:rFonts w:ascii="Times New Roman" w:hAnsi="Times New Roman" w:cs="Times New Roman" w:eastAsia="Times New Roman" w:hint="default"/>
                <w:sz w:val="18"/>
                <w:szCs w:val="18"/>
              </w:rPr>
            </w:pPr>
            <w:r>
              <w:rPr>
                <w:rFonts w:ascii="Times New Roman"/>
                <w:sz w:val="18"/>
              </w:rPr>
              <w:t>1.89%</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6,863,800</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6,863,800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104"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陆建明</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1.62%</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5,905,772</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-62700</w:t>
            </w:r>
          </w:p>
        </w:tc>
        <w:tc>
          <w:tcPr>
            <w:tcW w:w="755"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5,905,772</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104"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69"/>
        <w:gridCol w:w="1412"/>
        <w:gridCol w:w="662"/>
        <w:gridCol w:w="126"/>
        <w:gridCol w:w="884"/>
        <w:gridCol w:w="790"/>
        <w:gridCol w:w="787"/>
        <w:gridCol w:w="916"/>
        <w:gridCol w:w="1349"/>
        <w:gridCol w:w="1104"/>
      </w:tblGrid>
      <w:tr>
        <w:trPr>
          <w:trHeight w:val="71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西藏共立创业投</w:t>
            </w:r>
          </w:p>
          <w:p>
            <w:pPr>
              <w:pStyle w:val="TableParagraph"/>
              <w:spacing w:line="232" w:lineRule="exact" w:before="24"/>
              <w:ind w:left="22" w:right="22"/>
              <w:jc w:val="left"/>
              <w:rPr>
                <w:rFonts w:ascii="宋体" w:hAnsi="宋体" w:cs="宋体" w:eastAsia="宋体" w:hint="default"/>
                <w:sz w:val="18"/>
                <w:szCs w:val="18"/>
              </w:rPr>
            </w:pPr>
            <w:r>
              <w:rPr>
                <w:rFonts w:ascii="宋体" w:hAnsi="宋体" w:cs="宋体" w:eastAsia="宋体" w:hint="default"/>
                <w:spacing w:val="-4"/>
                <w:sz w:val="18"/>
                <w:szCs w:val="18"/>
              </w:rPr>
              <w:t>资合伙企业（有限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1.56%</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5,680,000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5,680,000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施连宝</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1.49%</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5,417,622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1344500</w:t>
            </w:r>
          </w:p>
        </w:tc>
        <w:tc>
          <w:tcPr>
            <w:tcW w:w="787"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5,417,622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张云泉</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1.45%</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5,271,293</w:t>
            </w:r>
          </w:p>
        </w:tc>
        <w:tc>
          <w:tcPr>
            <w:tcW w:w="79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5,271,293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18"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18" w:type="dxa"/>
            <w:gridSpan w:val="8"/>
            <w:tcBorders>
              <w:top w:val="single" w:sz="4" w:space="0" w:color="000000"/>
              <w:left w:val="single" w:sz="10" w:space="0" w:color="D2D2D2"/>
              <w:bottom w:val="single" w:sz="4" w:space="0" w:color="000000"/>
              <w:right w:val="single" w:sz="4" w:space="0" w:color="000000"/>
            </w:tcBorders>
          </w:tcPr>
          <w:p>
            <w:pPr>
              <w:pStyle w:val="TableParagraph"/>
              <w:spacing w:line="319" w:lineRule="auto" w:before="51"/>
              <w:ind w:left="15" w:right="103"/>
              <w:jc w:val="left"/>
              <w:rPr>
                <w:rFonts w:ascii="宋体" w:hAnsi="宋体" w:cs="宋体" w:eastAsia="宋体" w:hint="default"/>
                <w:sz w:val="18"/>
                <w:szCs w:val="18"/>
              </w:rPr>
            </w:pPr>
            <w:r>
              <w:rPr>
                <w:rFonts w:ascii="宋体" w:hAnsi="宋体" w:cs="宋体" w:eastAsia="宋体" w:hint="default"/>
                <w:sz w:val="18"/>
                <w:szCs w:val="18"/>
              </w:rPr>
              <w:t>北京中嘉华信息技术有限公司与西藏共立创业投资合伙企业（有限合伙）系一致行 动人。</w:t>
            </w:r>
          </w:p>
        </w:tc>
      </w:tr>
      <w:tr>
        <w:trPr>
          <w:trHeight w:val="402" w:hRule="exact"/>
        </w:trPr>
        <w:tc>
          <w:tcPr>
            <w:tcW w:w="949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3544"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3502"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4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3544"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502"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453"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3544" w:type="dxa"/>
            <w:gridSpan w:val="3"/>
            <w:vMerge/>
            <w:tcBorders>
              <w:left w:val="single" w:sz="4" w:space="0" w:color="000000"/>
              <w:bottom w:val="nil" w:sz="6" w:space="0" w:color="auto"/>
              <w:right w:val="single" w:sz="4" w:space="0" w:color="000000"/>
            </w:tcBorders>
            <w:shd w:val="clear" w:color="auto" w:fill="D2D2D2"/>
          </w:tcPr>
          <w:p>
            <w:pPr/>
          </w:p>
        </w:tc>
        <w:tc>
          <w:tcPr>
            <w:tcW w:w="3502"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1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3544"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3502"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10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5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香港喜多来集团有限公司</w:t>
            </w:r>
          </w:p>
        </w:tc>
        <w:tc>
          <w:tcPr>
            <w:tcW w:w="35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44,877,967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44,877,967</w:t>
            </w:r>
          </w:p>
        </w:tc>
      </w:tr>
      <w:tr>
        <w:trPr>
          <w:trHeight w:val="402" w:hRule="exact"/>
        </w:trPr>
        <w:tc>
          <w:tcPr>
            <w:tcW w:w="35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北京中嘉华信息技术有限公司</w:t>
            </w:r>
          </w:p>
        </w:tc>
        <w:tc>
          <w:tcPr>
            <w:tcW w:w="35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40,641,100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40,641,100</w:t>
            </w:r>
          </w:p>
        </w:tc>
      </w:tr>
      <w:tr>
        <w:trPr>
          <w:trHeight w:val="402" w:hRule="exact"/>
        </w:trPr>
        <w:tc>
          <w:tcPr>
            <w:tcW w:w="35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济南发展国有工业资产经营有限公司</w:t>
            </w:r>
          </w:p>
        </w:tc>
        <w:tc>
          <w:tcPr>
            <w:tcW w:w="35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33,062,400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33,062,400</w:t>
            </w:r>
          </w:p>
        </w:tc>
      </w:tr>
      <w:tr>
        <w:trPr>
          <w:trHeight w:val="402" w:hRule="exact"/>
        </w:trPr>
        <w:tc>
          <w:tcPr>
            <w:tcW w:w="35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浪潮电子信息产业股份有限公司</w:t>
            </w:r>
          </w:p>
        </w:tc>
        <w:tc>
          <w:tcPr>
            <w:tcW w:w="35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12,972,175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12,972,175</w:t>
            </w:r>
          </w:p>
        </w:tc>
      </w:tr>
      <w:tr>
        <w:trPr>
          <w:trHeight w:val="402" w:hRule="exact"/>
        </w:trPr>
        <w:tc>
          <w:tcPr>
            <w:tcW w:w="35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东港股份有限公司－第一期员工持股计划</w:t>
            </w:r>
          </w:p>
        </w:tc>
        <w:tc>
          <w:tcPr>
            <w:tcW w:w="35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9,623,800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9,623,800</w:t>
            </w:r>
          </w:p>
        </w:tc>
      </w:tr>
      <w:tr>
        <w:trPr>
          <w:trHeight w:val="402" w:hRule="exact"/>
        </w:trPr>
        <w:tc>
          <w:tcPr>
            <w:tcW w:w="35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5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6,863,800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6,863,800</w:t>
            </w:r>
          </w:p>
        </w:tc>
      </w:tr>
      <w:tr>
        <w:trPr>
          <w:trHeight w:val="402" w:hRule="exact"/>
        </w:trPr>
        <w:tc>
          <w:tcPr>
            <w:tcW w:w="35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陆建明</w:t>
            </w:r>
          </w:p>
        </w:tc>
        <w:tc>
          <w:tcPr>
            <w:tcW w:w="35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5,905,772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5,905,772</w:t>
            </w:r>
          </w:p>
        </w:tc>
      </w:tr>
      <w:tr>
        <w:trPr>
          <w:trHeight w:val="402" w:hRule="exact"/>
        </w:trPr>
        <w:tc>
          <w:tcPr>
            <w:tcW w:w="35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西藏共立创业投资合伙企业（有限合伙）</w:t>
            </w:r>
          </w:p>
        </w:tc>
        <w:tc>
          <w:tcPr>
            <w:tcW w:w="35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5,680,000</w:t>
            </w:r>
          </w:p>
        </w:tc>
      </w:tr>
      <w:tr>
        <w:trPr>
          <w:trHeight w:val="402" w:hRule="exact"/>
        </w:trPr>
        <w:tc>
          <w:tcPr>
            <w:tcW w:w="35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施连宝</w:t>
            </w:r>
          </w:p>
        </w:tc>
        <w:tc>
          <w:tcPr>
            <w:tcW w:w="35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5,417,622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5,417,622</w:t>
            </w:r>
          </w:p>
        </w:tc>
      </w:tr>
      <w:tr>
        <w:trPr>
          <w:trHeight w:val="402" w:hRule="exact"/>
        </w:trPr>
        <w:tc>
          <w:tcPr>
            <w:tcW w:w="35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张云泉</w:t>
            </w:r>
          </w:p>
        </w:tc>
        <w:tc>
          <w:tcPr>
            <w:tcW w:w="35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5,271,293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5,271,293</w:t>
            </w:r>
          </w:p>
        </w:tc>
      </w:tr>
      <w:tr>
        <w:trPr>
          <w:trHeight w:val="1026" w:hRule="exact"/>
        </w:trPr>
        <w:tc>
          <w:tcPr>
            <w:tcW w:w="354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302"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名无限售流通股股东和前</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名股东之间关联 关系或一致行动的说明</w:t>
            </w:r>
          </w:p>
        </w:tc>
        <w:tc>
          <w:tcPr>
            <w:tcW w:w="5955"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2" w:right="22"/>
              <w:jc w:val="left"/>
              <w:rPr>
                <w:rFonts w:ascii="宋体" w:hAnsi="宋体" w:cs="宋体" w:eastAsia="宋体" w:hint="default"/>
                <w:sz w:val="18"/>
                <w:szCs w:val="18"/>
              </w:rPr>
            </w:pPr>
            <w:r>
              <w:rPr>
                <w:rFonts w:ascii="宋体" w:hAnsi="宋体" w:cs="宋体" w:eastAsia="宋体" w:hint="default"/>
                <w:spacing w:val="-2"/>
                <w:sz w:val="18"/>
                <w:szCs w:val="18"/>
              </w:rPr>
              <w:t>北京中嘉华信息技术有限公司与西藏共立创业投资合伙企业（有限合伙）系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一致行动人。</w:t>
            </w:r>
          </w:p>
        </w:tc>
      </w:tr>
      <w:tr>
        <w:trPr>
          <w:trHeight w:val="714" w:hRule="exact"/>
        </w:trPr>
        <w:tc>
          <w:tcPr>
            <w:tcW w:w="354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名普通股股东参与融资融券业务情况说 </w:t>
            </w:r>
            <w:r>
              <w:rPr>
                <w:rFonts w:ascii="宋体" w:hAnsi="宋体" w:cs="宋体" w:eastAsia="宋体" w:hint="default"/>
                <w:spacing w:val="-10"/>
                <w:sz w:val="18"/>
                <w:szCs w:val="18"/>
              </w:rPr>
              <w:t>明（如有）（参见注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5955"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股东陆建明通过信用账户持股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5,905,722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股，股东施连宝通过信用账户持股</w:t>
            </w:r>
          </w:p>
          <w:p>
            <w:pPr>
              <w:pStyle w:val="TableParagraph"/>
              <w:spacing w:line="240" w:lineRule="auto" w:before="6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5,417,622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股，股东张云泉通过信用账户持股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5,271,293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pStyle w:val="BodyText"/>
        <w:spacing w:line="240" w:lineRule="auto" w:before="51"/>
        <w:ind w:right="1121"/>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112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1121"/>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1121"/>
        <w:jc w:val="left"/>
        <w:rPr>
          <w:b w:val="0"/>
          <w:bCs w:val="0"/>
        </w:rPr>
      </w:pPr>
      <w:bookmarkStart w:name="2、公司控股股东情况" w:id="111"/>
      <w:bookmarkEnd w:id="111"/>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232"/>
        <w:jc w:val="left"/>
      </w:pPr>
      <w:r>
        <w:rPr/>
        <w:t>控股股东性质：无控股主体 控股股东类型：不存在 公司不存在控股股东情况的说明</w:t>
      </w:r>
    </w:p>
    <w:p>
      <w:pPr>
        <w:pStyle w:val="BodyText"/>
        <w:spacing w:line="300" w:lineRule="auto" w:before="25"/>
        <w:ind w:right="1127" w:firstLine="290"/>
        <w:jc w:val="left"/>
      </w:pPr>
      <w:r>
        <w:rPr>
          <w:spacing w:val="-2"/>
        </w:rPr>
        <w:t>目前我公司持股</w:t>
      </w:r>
      <w:r>
        <w:rPr>
          <w:rFonts w:ascii="Times New Roman" w:hAnsi="Times New Roman" w:cs="Times New Roman" w:eastAsia="Times New Roman" w:hint="default"/>
          <w:spacing w:val="-2"/>
        </w:rPr>
        <w:t>5%</w:t>
      </w:r>
      <w:r>
        <w:rPr>
          <w:spacing w:val="-2"/>
        </w:rPr>
        <w:t>以上各个股东之间的持股比例较为接近，任一股东（及一致行动人）无法通过表决权控制股东大会或</w:t>
      </w:r>
      <w:r>
        <w:rPr/>
        <w:t> </w:t>
      </w:r>
      <w:r>
        <w:rPr>
          <w:spacing w:val="-5"/>
        </w:rPr>
        <w:t>对股东大会决议产生决定性影响；任一股东（及一致行动人）没有能力决定半数以上董事会成员的选任；公司的股东之间（及</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52"/>
        <w:jc w:val="left"/>
      </w:pPr>
      <w:r>
        <w:rPr/>
        <w:t>一致行动人）均不存在一致行动安排。公司持股</w:t>
      </w:r>
      <w:r>
        <w:rPr>
          <w:rFonts w:ascii="Times New Roman" w:hAnsi="Times New Roman" w:cs="Times New Roman" w:eastAsia="Times New Roman" w:hint="default"/>
        </w:rPr>
        <w:t>5%</w:t>
      </w:r>
      <w:r>
        <w:rPr/>
        <w:t>以上股东的持股比例、表决权比例和董事会成员的选任方面均未能达到 有关公司控制权的标准，亦不存在共同控制公司的协议安排，因此，我公司为无控股股东和无实际控制人的公司。</w:t>
      </w:r>
    </w:p>
    <w:p>
      <w:pPr>
        <w:pStyle w:val="BodyText"/>
        <w:spacing w:line="240" w:lineRule="auto" w:before="72"/>
        <w:ind w:right="1121"/>
        <w:jc w:val="left"/>
      </w:pPr>
      <w:r>
        <w:rPr/>
        <w:t>控股股东报告期内变更</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right="1121"/>
        <w:jc w:val="left"/>
        <w:rPr>
          <w:b w:val="0"/>
          <w:bCs w:val="0"/>
        </w:rPr>
      </w:pPr>
      <w:bookmarkStart w:name="3、公司实际控制人及其一致行动人" w:id="112"/>
      <w:bookmarkEnd w:id="112"/>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8052"/>
        <w:jc w:val="left"/>
      </w:pPr>
      <w:r>
        <w:rPr/>
        <w:t>实际控制人性质：无实际控制人 实际控制人类型：不存在 公司不存在实际控制人情况的说明</w:t>
      </w:r>
    </w:p>
    <w:p>
      <w:pPr>
        <w:pStyle w:val="BodyText"/>
        <w:spacing w:line="307" w:lineRule="auto" w:before="25"/>
        <w:ind w:right="1132" w:firstLine="290"/>
        <w:jc w:val="both"/>
      </w:pPr>
      <w:r>
        <w:rPr>
          <w:spacing w:val="-2"/>
        </w:rPr>
        <w:t>目前我公司持股</w:t>
      </w:r>
      <w:r>
        <w:rPr>
          <w:rFonts w:ascii="Times New Roman" w:hAnsi="Times New Roman" w:cs="Times New Roman" w:eastAsia="Times New Roman" w:hint="default"/>
          <w:spacing w:val="-2"/>
        </w:rPr>
        <w:t>5%</w:t>
      </w:r>
      <w:r>
        <w:rPr>
          <w:spacing w:val="-2"/>
        </w:rPr>
        <w:t>以上各个股东之间的持股比例较为接近，任一股东（及一致行动人）无法通过表决权控制股东大会或</w:t>
      </w:r>
      <w:r>
        <w:rPr/>
        <w:t> </w:t>
      </w:r>
      <w:r>
        <w:rPr>
          <w:spacing w:val="-5"/>
        </w:rPr>
        <w:t>对股东大会决议产生决定性影响；任一股东（及一致行动人）没有能力决定半数以上董事会成员的选任；公司的股东之间（及</w:t>
      </w:r>
      <w:r>
        <w:rPr>
          <w:spacing w:val="-79"/>
        </w:rPr>
        <w:t> </w:t>
      </w:r>
      <w:r>
        <w:rPr>
          <w:spacing w:val="-79"/>
        </w:rPr>
      </w:r>
      <w:r>
        <w:rPr/>
        <w:t>一致行动人）均不存在一致行动安排。公司持股</w:t>
      </w:r>
      <w:r>
        <w:rPr>
          <w:rFonts w:ascii="Times New Roman" w:hAnsi="Times New Roman" w:cs="Times New Roman" w:eastAsia="Times New Roman" w:hint="default"/>
        </w:rPr>
        <w:t>5%</w:t>
      </w:r>
      <w:r>
        <w:rPr/>
        <w:t>以上股东的持股比例、表决权比例和董事会成员的选任方面均未能达到 有关公司控制权的标准，亦不存在共同控制公司的协议安排，因此，我公司为无控股股东和无实际控制人的公司。</w:t>
      </w:r>
    </w:p>
    <w:p>
      <w:pPr>
        <w:pStyle w:val="BodyText"/>
        <w:spacing w:line="240" w:lineRule="auto" w:before="67"/>
        <w:ind w:right="1121"/>
        <w:jc w:val="left"/>
      </w:pPr>
      <w:r>
        <w:rPr/>
        <w:t>公司最终控制层面是否存在持股比例在</w:t>
      </w:r>
      <w:r>
        <w:rPr>
          <w:spacing w:val="-46"/>
        </w:rPr>
        <w:t> </w:t>
      </w:r>
      <w:r>
        <w:rPr>
          <w:rFonts w:ascii="Times New Roman" w:hAnsi="Times New Roman" w:cs="Times New Roman" w:eastAsia="Times New Roman" w:hint="default"/>
        </w:rPr>
        <w:t>10%</w:t>
      </w:r>
      <w:r>
        <w:rPr/>
        <w:t>以上的股东情况</w:t>
      </w:r>
    </w:p>
    <w:p>
      <w:pPr>
        <w:pStyle w:val="BodyText"/>
        <w:spacing w:line="338" w:lineRule="auto" w:before="103"/>
        <w:ind w:right="964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法人</w:t>
      </w:r>
    </w:p>
    <w:p>
      <w:pPr>
        <w:pStyle w:val="BodyText"/>
        <w:spacing w:line="240" w:lineRule="auto" w:before="42"/>
        <w:ind w:right="1121"/>
        <w:jc w:val="left"/>
      </w:pPr>
      <w:r>
        <w:rPr/>
        <w:t>最终控制层面持股情况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44"/>
        <w:ind w:left="0" w:right="1139"/>
        <w:jc w:val="right"/>
      </w:pPr>
      <w:r>
        <w:rPr/>
        <w:pict>
          <v:shape style="position:absolute;margin-left:56.459999pt;margin-top:-134.608307pt;width:479.2pt;height:283.7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1417"/>
                    <w:gridCol w:w="1844"/>
                    <w:gridCol w:w="1843"/>
                    <w:gridCol w:w="2904"/>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4" w:right="54" w:hanging="541"/>
                          <w:jc w:val="left"/>
                          <w:rPr>
                            <w:rFonts w:ascii="宋体" w:hAnsi="宋体" w:cs="宋体" w:eastAsia="宋体" w:hint="default"/>
                            <w:sz w:val="18"/>
                            <w:szCs w:val="18"/>
                          </w:rPr>
                        </w:pPr>
                        <w:r>
                          <w:rPr>
                            <w:rFonts w:ascii="宋体" w:hAnsi="宋体" w:cs="宋体" w:eastAsia="宋体" w:hint="default"/>
                            <w:sz w:val="18"/>
                            <w:szCs w:val="18"/>
                          </w:rPr>
                          <w:t>最终控制层面股东 名称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33" w:right="47" w:hanging="38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07"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香港喜多来集团有 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石林</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国际原材料贸易和实业投资</w:t>
                        </w:r>
                      </w:p>
                    </w:tc>
                  </w:tr>
                  <w:tr>
                    <w:trPr>
                      <w:trHeight w:val="289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87"/>
                          <w:jc w:val="left"/>
                          <w:rPr>
                            <w:rFonts w:ascii="宋体" w:hAnsi="宋体" w:cs="宋体" w:eastAsia="宋体" w:hint="default"/>
                            <w:sz w:val="18"/>
                            <w:szCs w:val="18"/>
                          </w:rPr>
                        </w:pPr>
                        <w:r>
                          <w:rPr>
                            <w:rFonts w:ascii="宋体" w:hAnsi="宋体" w:cs="宋体" w:eastAsia="宋体" w:hint="default"/>
                            <w:sz w:val="18"/>
                            <w:szCs w:val="18"/>
                          </w:rPr>
                          <w:t>北京中嘉华信息技 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2" w:right="0"/>
                          <w:jc w:val="left"/>
                          <w:rPr>
                            <w:rFonts w:ascii="Times New Roman" w:hAnsi="Times New Roman" w:cs="Times New Roman" w:eastAsia="Times New Roman" w:hint="default"/>
                            <w:sz w:val="18"/>
                            <w:szCs w:val="18"/>
                          </w:rPr>
                        </w:pPr>
                        <w:r>
                          <w:rPr>
                            <w:rFonts w:ascii="Times New Roman"/>
                            <w:sz w:val="18"/>
                          </w:rPr>
                          <w:t>9111010273347967XD</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软件开发；数据处理服务；经济贸易</w:t>
                        </w:r>
                        <w:r>
                          <w:rPr>
                            <w:rFonts w:ascii="宋体" w:hAnsi="宋体" w:cs="宋体" w:eastAsia="宋体" w:hint="default"/>
                            <w:sz w:val="18"/>
                            <w:szCs w:val="18"/>
                          </w:rPr>
                          <w:t> </w:t>
                        </w:r>
                        <w:r>
                          <w:rPr>
                            <w:rFonts w:ascii="宋体" w:hAnsi="宋体" w:cs="宋体" w:eastAsia="宋体" w:hint="default"/>
                            <w:spacing w:val="-3"/>
                            <w:sz w:val="18"/>
                            <w:szCs w:val="18"/>
                          </w:rPr>
                          <w:t>咨询、投资咨询、企业管理咨询；销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售计算机、软件及辅助设备（计算机</w:t>
                        </w:r>
                        <w:r>
                          <w:rPr>
                            <w:rFonts w:ascii="宋体" w:hAnsi="宋体" w:cs="宋体" w:eastAsia="宋体" w:hint="default"/>
                            <w:sz w:val="18"/>
                            <w:szCs w:val="18"/>
                          </w:rPr>
                          <w:t> </w:t>
                        </w:r>
                        <w:r>
                          <w:rPr>
                            <w:rFonts w:ascii="宋体" w:hAnsi="宋体" w:cs="宋体" w:eastAsia="宋体" w:hint="default"/>
                            <w:spacing w:val="-6"/>
                            <w:sz w:val="18"/>
                            <w:szCs w:val="18"/>
                          </w:rPr>
                          <w:t>信息系统安全专用产品除外）、电子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产品、日用品、五金交电、机械设备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纸张、纸制品；接受金融机构委托从</w:t>
                        </w:r>
                        <w:r>
                          <w:rPr>
                            <w:rFonts w:ascii="宋体" w:hAnsi="宋体" w:cs="宋体" w:eastAsia="宋体" w:hint="default"/>
                            <w:sz w:val="18"/>
                            <w:szCs w:val="18"/>
                          </w:rPr>
                          <w:t> </w:t>
                        </w:r>
                        <w:r>
                          <w:rPr>
                            <w:rFonts w:ascii="宋体" w:hAnsi="宋体" w:cs="宋体" w:eastAsia="宋体" w:hint="default"/>
                            <w:spacing w:val="-6"/>
                            <w:sz w:val="18"/>
                            <w:szCs w:val="18"/>
                          </w:rPr>
                          <w:t>事金融业务流程外包。（依法须经批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准的项目，经相关部门批准后依批准</w:t>
                        </w:r>
                        <w:r>
                          <w:rPr>
                            <w:rFonts w:ascii="宋体" w:hAnsi="宋体" w:cs="宋体" w:eastAsia="宋体" w:hint="default"/>
                            <w:sz w:val="18"/>
                            <w:szCs w:val="18"/>
                          </w:rPr>
                          <w:t> </w:t>
                        </w:r>
                        <w:r>
                          <w:rPr>
                            <w:rFonts w:ascii="宋体" w:hAnsi="宋体" w:cs="宋体" w:eastAsia="宋体" w:hint="default"/>
                            <w:spacing w:val="-9"/>
                            <w:sz w:val="18"/>
                            <w:szCs w:val="18"/>
                          </w:rPr>
                          <w:t>的内容开展经营活动。）</w:t>
                        </w:r>
                      </w:p>
                    </w:tc>
                  </w:tr>
                  <w:tr>
                    <w:trPr>
                      <w:trHeight w:val="1338"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最终控制层面股东 报告期内控制的其 他境内外上市公司 的股权情况</w:t>
                        </w:r>
                      </w:p>
                    </w:tc>
                    <w:tc>
                      <w:tcPr>
                        <w:tcW w:w="800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BodyText"/>
        <w:spacing w:line="240" w:lineRule="auto" w:before="44"/>
        <w:ind w:right="1121"/>
        <w:jc w:val="left"/>
      </w:pPr>
      <w:r>
        <w:rPr/>
        <w:t>实际控制人报告期内变更</w:t>
      </w:r>
    </w:p>
    <w:p>
      <w:pPr>
        <w:pStyle w:val="BodyText"/>
        <w:spacing w:line="34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实际控制人通过信托或其他资产管理方式控制公司</w:t>
      </w:r>
    </w:p>
    <w:p>
      <w:pPr>
        <w:pStyle w:val="BodyText"/>
        <w:spacing w:line="240" w:lineRule="auto" w:before="36"/>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21"/>
        <w:jc w:val="left"/>
        <w:rPr>
          <w:b w:val="0"/>
          <w:bCs w:val="0"/>
        </w:rPr>
      </w:pPr>
      <w:bookmarkStart w:name="4、其他持股在10%以上的法人股东" w:id="113"/>
      <w:bookmarkEnd w:id="113"/>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21"/>
        <w:jc w:val="left"/>
        <w:rPr>
          <w:b w:val="0"/>
          <w:bCs w:val="0"/>
        </w:rPr>
      </w:pPr>
      <w:bookmarkStart w:name="5、控股股东、实际控制人、重组方及其他承诺主体股份限制减持情况" w:id="114"/>
      <w:bookmarkEnd w:id="114"/>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1121"/>
        <w:jc w:val="left"/>
        <w:rPr>
          <w:b w:val="0"/>
          <w:bCs w:val="0"/>
        </w:rPr>
      </w:pPr>
      <w:bookmarkStart w:name="第七节 优先股相关情况" w:id="115"/>
      <w:bookmarkEnd w:id="115"/>
      <w:r>
        <w:rPr>
          <w:b w:val="0"/>
          <w:bCs w:val="0"/>
        </w:rPr>
      </w:r>
      <w:bookmarkStart w:name="_bookmark6" w:id="116"/>
      <w:bookmarkEnd w:id="116"/>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1121"/>
        <w:jc w:val="left"/>
        <w:rPr>
          <w:b w:val="0"/>
          <w:bCs w:val="0"/>
        </w:rPr>
      </w:pPr>
      <w:bookmarkStart w:name="第八节 董事、监事、高级管理人员和员工情况" w:id="117"/>
      <w:bookmarkEnd w:id="117"/>
      <w:r>
        <w:rPr>
          <w:b w:val="0"/>
          <w:bCs w:val="0"/>
        </w:rPr>
      </w:r>
      <w:bookmarkStart w:name="_bookmark7" w:id="118"/>
      <w:bookmarkEnd w:id="118"/>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121"/>
        <w:jc w:val="left"/>
        <w:rPr>
          <w:b w:val="0"/>
          <w:bCs w:val="0"/>
        </w:rPr>
      </w:pPr>
      <w:bookmarkStart w:name="一、董事、监事和高级管理人员持股变动" w:id="119"/>
      <w:bookmarkEnd w:id="119"/>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2" w:right="42"/>
              <w:jc w:val="left"/>
              <w:rPr>
                <w:rFonts w:ascii="宋体" w:hAnsi="宋体" w:cs="宋体" w:eastAsia="宋体" w:hint="default"/>
                <w:sz w:val="18"/>
                <w:szCs w:val="18"/>
              </w:rPr>
            </w:pPr>
            <w:r>
              <w:rPr>
                <w:rFonts w:ascii="宋体" w:hAnsi="宋体" w:cs="宋体" w:eastAsia="宋体" w:hint="default"/>
                <w:sz w:val="18"/>
                <w:szCs w:val="18"/>
              </w:rPr>
              <w:t>董事、总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石枫</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夏文庆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2" w:right="42"/>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郝纪勇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万刚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李安龙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李保政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09"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娄本美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王晓延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r>
      <w:tr>
        <w:trPr>
          <w:trHeight w:val="71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15,300</w:t>
            </w:r>
          </w:p>
        </w:tc>
      </w:tr>
      <w:tr>
        <w:trPr>
          <w:trHeight w:val="711"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唐国奇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2" w:right="42"/>
              <w:jc w:val="left"/>
              <w:rPr>
                <w:rFonts w:ascii="宋体" w:hAnsi="宋体" w:cs="宋体" w:eastAsia="宋体" w:hint="default"/>
                <w:sz w:val="18"/>
                <w:szCs w:val="18"/>
              </w:rPr>
            </w:pPr>
            <w:r>
              <w:rPr>
                <w:rFonts w:ascii="宋体" w:hAnsi="宋体" w:cs="宋体" w:eastAsia="宋体" w:hint="default"/>
                <w:sz w:val="18"/>
                <w:szCs w:val="18"/>
              </w:rPr>
              <w:t>常务副总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朱  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476"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副总裁、</w:t>
            </w:r>
          </w:p>
          <w:p>
            <w:pPr>
              <w:pStyle w:val="TableParagraph"/>
              <w:spacing w:line="240" w:lineRule="auto"/>
              <w:ind w:left="22" w:right="42"/>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70,750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70,750</w:t>
            </w:r>
          </w:p>
        </w:tc>
      </w:tr>
      <w:tr>
        <w:trPr>
          <w:trHeight w:val="711"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副总裁、</w:t>
            </w:r>
          </w:p>
          <w:p>
            <w:pPr>
              <w:pStyle w:val="TableParagraph"/>
              <w:spacing w:line="240"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60,750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60,750</w:t>
            </w:r>
          </w:p>
        </w:tc>
      </w:tr>
      <w:tr>
        <w:trPr>
          <w:trHeight w:val="403"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155,800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155,800</w:t>
            </w:r>
          </w:p>
        </w:tc>
      </w:tr>
    </w:tbl>
    <w:p>
      <w:pPr>
        <w:spacing w:line="240" w:lineRule="auto" w:before="2"/>
        <w:rPr>
          <w:rFonts w:ascii="宋体" w:hAnsi="宋体" w:cs="宋体" w:eastAsia="宋体" w:hint="default"/>
          <w:b/>
          <w:bCs/>
          <w:sz w:val="18"/>
          <w:szCs w:val="18"/>
        </w:rPr>
      </w:pPr>
    </w:p>
    <w:p>
      <w:pPr>
        <w:pStyle w:val="Heading2"/>
        <w:spacing w:line="240" w:lineRule="auto" w:before="26"/>
        <w:ind w:right="1121"/>
        <w:jc w:val="left"/>
        <w:rPr>
          <w:b w:val="0"/>
          <w:bCs w:val="0"/>
        </w:rPr>
      </w:pPr>
      <w:bookmarkStart w:name="二、公司董事、监事、高级管理人员变动情况" w:id="120"/>
      <w:bookmarkEnd w:id="120"/>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李保政</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bl>
    <w:p>
      <w:pPr>
        <w:spacing w:line="240" w:lineRule="auto" w:before="2"/>
        <w:rPr>
          <w:rFonts w:ascii="宋体" w:hAnsi="宋体" w:cs="宋体" w:eastAsia="宋体" w:hint="default"/>
          <w:sz w:val="18"/>
          <w:szCs w:val="18"/>
        </w:rPr>
      </w:pPr>
    </w:p>
    <w:p>
      <w:pPr>
        <w:pStyle w:val="Heading2"/>
        <w:spacing w:line="240" w:lineRule="auto" w:before="26"/>
        <w:ind w:right="1121"/>
        <w:jc w:val="left"/>
        <w:rPr>
          <w:b w:val="0"/>
          <w:bCs w:val="0"/>
        </w:rPr>
      </w:pPr>
      <w:bookmarkStart w:name="三、任职情况" w:id="121"/>
      <w:bookmarkEnd w:id="121"/>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3732"/>
        <w:jc w:val="left"/>
      </w:pPr>
      <w:r>
        <w:rPr/>
        <w:t>公司现任董事、监事、高级管理人员专业背景、主要工作经历以及目前在公司的主要职责 一、现任董事</w:t>
      </w:r>
    </w:p>
    <w:p>
      <w:pPr>
        <w:pStyle w:val="BodyText"/>
        <w:spacing w:line="224" w:lineRule="exact"/>
        <w:ind w:left="527" w:right="1121"/>
        <w:jc w:val="left"/>
      </w:pPr>
      <w:r>
        <w:rPr/>
        <w:t>王爱先先生：大学学历，中共党员。曾任浪潮电子信息产业集团公司董事长、党委书记，中共十六大代表，现兼任北</w:t>
      </w:r>
    </w:p>
    <w:p>
      <w:pPr>
        <w:pStyle w:val="BodyText"/>
        <w:spacing w:line="240" w:lineRule="auto" w:before="76"/>
        <w:ind w:right="0"/>
        <w:jc w:val="left"/>
      </w:pPr>
      <w:r>
        <w:rPr/>
        <w:t>京东港嘉华安全信息技术有限公司董事</w:t>
      </w:r>
      <w:r>
        <w:rPr>
          <w:spacing w:val="-87"/>
        </w:rPr>
        <w:t>，</w:t>
      </w:r>
      <w:r>
        <w:rPr/>
        <w:t>山东东港数据处理有限公司董事长</w:t>
      </w:r>
      <w:r>
        <w:rPr>
          <w:spacing w:val="-87"/>
        </w:rPr>
        <w:t>。</w:t>
      </w:r>
      <w:r>
        <w:rPr/>
        <w:t>王爱先先生自</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12</w:t>
      </w:r>
      <w:r>
        <w:rPr/>
        <w:t>月起任本公司副董事长，</w:t>
      </w:r>
    </w:p>
    <w:p>
      <w:pPr>
        <w:pStyle w:val="BodyText"/>
        <w:spacing w:line="300" w:lineRule="auto" w:before="63"/>
        <w:ind w:left="527" w:right="1121" w:hanging="374"/>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月起任本公司董事长。 石枫先生：硕士学位，曾任上海申井钢材加工配送有限公司副总经理，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月，任长春一汽鞍井钢材</w:t>
      </w:r>
    </w:p>
    <w:p>
      <w:pPr>
        <w:pStyle w:val="BodyText"/>
        <w:spacing w:line="300" w:lineRule="auto" w:before="13"/>
        <w:ind w:left="527" w:right="1127" w:hanging="374"/>
        <w:jc w:val="left"/>
        <w:rPr>
          <w:rFonts w:ascii="Times New Roman" w:hAnsi="Times New Roman" w:cs="Times New Roman" w:eastAsia="Times New Roman" w:hint="default"/>
        </w:rPr>
      </w:pPr>
      <w:r>
        <w:rPr/>
        <w:t>加工配送有限公司副总经理。石枫先生</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月起任本公司董事。 </w:t>
      </w:r>
      <w:r>
        <w:rPr>
          <w:spacing w:val="-2"/>
        </w:rPr>
        <w:t>史建中先生：大专学历，曾任山东省交通厅印刷所业务员、济南东港安全印务有限公司副总经理、常务副总经理。</w:t>
      </w:r>
      <w:r>
        <w:rPr>
          <w:rFonts w:ascii="Times New Roman" w:hAnsi="Times New Roman" w:cs="Times New Roman" w:eastAsia="Times New Roman" w:hint="default"/>
          <w:spacing w:val="-2"/>
        </w:rPr>
        <w:t>2002</w:t>
      </w:r>
    </w:p>
    <w:p>
      <w:pPr>
        <w:pStyle w:val="BodyText"/>
        <w:spacing w:line="312" w:lineRule="auto" w:before="13"/>
        <w:ind w:right="1131"/>
        <w:jc w:val="both"/>
      </w:pPr>
      <w:r>
        <w:rPr>
          <w:spacing w:val="-2"/>
        </w:rPr>
        <w:t>年</w:t>
      </w:r>
      <w:r>
        <w:rPr>
          <w:rFonts w:ascii="Times New Roman" w:hAnsi="Times New Roman" w:cs="Times New Roman" w:eastAsia="Times New Roman" w:hint="default"/>
          <w:spacing w:val="-2"/>
        </w:rPr>
        <w:t>12</w:t>
      </w:r>
      <w:r>
        <w:rPr>
          <w:spacing w:val="-2"/>
        </w:rPr>
        <w:t>月起任本公司董事、总经理、总裁。现兼任北京东港安全印刷有限公司董事，北京中嘉华信息技术有限公司董事长，郑</w:t>
      </w:r>
      <w:r>
        <w:rPr>
          <w:spacing w:val="-63"/>
        </w:rPr>
        <w:t> </w:t>
      </w:r>
      <w:r>
        <w:rPr>
          <w:spacing w:val="-63"/>
        </w:rPr>
      </w:r>
      <w:r>
        <w:rPr>
          <w:spacing w:val="-2"/>
        </w:rPr>
        <w:t>州东港安全印刷有限公司董事，新疆东港安全印刷有限公司董事，上海东港安全印刷有限公司董事长、北京东港嘉华安全信</w:t>
      </w:r>
      <w:r>
        <w:rPr>
          <w:spacing w:val="-66"/>
        </w:rPr>
        <w:t> </w:t>
      </w:r>
      <w:r>
        <w:rPr>
          <w:spacing w:val="-66"/>
        </w:rPr>
      </w:r>
      <w:r>
        <w:rPr>
          <w:spacing w:val="-2"/>
        </w:rPr>
        <w:t>息技术有限公司董事，广州东港安全印刷有限公司董事，上海东港数据处理有限公司董事长，山东东港数据处理有限公司董</w:t>
      </w:r>
      <w:r>
        <w:rPr>
          <w:spacing w:val="-66"/>
        </w:rPr>
        <w:t> </w:t>
      </w:r>
      <w:r>
        <w:rPr>
          <w:spacing w:val="-66"/>
        </w:rPr>
      </w:r>
      <w:r>
        <w:rPr/>
        <w:t>事、总经理。</w:t>
      </w:r>
    </w:p>
    <w:p>
      <w:pPr>
        <w:pStyle w:val="BodyText"/>
        <w:spacing w:line="309" w:lineRule="auto" w:before="22"/>
        <w:ind w:right="1129" w:firstLine="373"/>
        <w:jc w:val="both"/>
      </w:pPr>
      <w:r>
        <w:rPr/>
        <w:t>刘宏先生：研究生学历，现兼任北京东港安全印刷有限公司董事长，北京东港嘉华安全信息技术有限公司董事长，北 京东港瑞宏科技有限公司董事长、东港瑞云档案管理有限公司董事长等职。刘宏先生</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4</w:t>
      </w:r>
      <w:r>
        <w:rPr/>
        <w:t>月起担任本公司副总裁，</w:t>
      </w:r>
      <w:r>
        <w:rPr>
          <w:rFonts w:ascii="Times New Roman" w:hAnsi="Times New Roman" w:cs="Times New Roman" w:eastAsia="Times New Roman" w:hint="default"/>
        </w:rPr>
        <w:t>2016</w:t>
      </w:r>
      <w:r>
        <w:rPr>
          <w:rFonts w:ascii="Times New Roman" w:hAnsi="Times New Roman" w:cs="Times New Roman" w:eastAsia="Times New Roman" w:hint="default"/>
          <w:spacing w:val="-37"/>
        </w:rPr>
        <w:t> </w:t>
      </w:r>
      <w:r>
        <w:rPr/>
        <w:t>年</w:t>
      </w:r>
      <w:r>
        <w:rPr>
          <w:rFonts w:ascii="Times New Roman" w:hAnsi="Times New Roman" w:cs="Times New Roman" w:eastAsia="Times New Roman" w:hint="default"/>
        </w:rPr>
        <w:t>1</w:t>
      </w:r>
      <w:r>
        <w:rPr/>
        <w:t>月起任本公司董事。</w:t>
      </w:r>
    </w:p>
    <w:p>
      <w:pPr>
        <w:pStyle w:val="BodyText"/>
        <w:spacing w:line="309" w:lineRule="auto" w:before="5"/>
        <w:ind w:right="1130" w:firstLine="373"/>
        <w:jc w:val="both"/>
      </w:pPr>
      <w:r>
        <w:rPr/>
        <w:t>夏文庆先生：大专学历，中共党员。曾任济南市历城区金属回收公司财务科科长，济南龙启鑫房屋租赁中心财务科科 长，现任济南龙启鑫房屋租赁中心经理，济南发展国有工业资产经营有限公司董事长兼总经理。夏文庆先生</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月起任</w:t>
      </w:r>
      <w:r>
        <w:rPr>
          <w:spacing w:val="-83"/>
        </w:rPr>
        <w:t> </w:t>
      </w:r>
      <w:r>
        <w:rPr>
          <w:spacing w:val="-83"/>
        </w:rPr>
      </w:r>
      <w:r>
        <w:rPr/>
        <w:t>本公司董事。</w:t>
      </w:r>
    </w:p>
    <w:p>
      <w:pPr>
        <w:pStyle w:val="BodyText"/>
        <w:spacing w:line="240" w:lineRule="auto" w:before="24"/>
        <w:ind w:left="527" w:right="1121"/>
        <w:jc w:val="left"/>
      </w:pPr>
      <w:r>
        <w:rPr/>
        <w:t>郝纪勇先生：律师，曾任山东大正泰和律师事务所律师、山东北方永丰律师事务所律师，现任山东京鲁律师事务所主</w:t>
      </w:r>
    </w:p>
    <w:p>
      <w:pPr>
        <w:pStyle w:val="BodyText"/>
        <w:spacing w:line="240" w:lineRule="auto" w:before="76"/>
        <w:ind w:right="1121"/>
        <w:jc w:val="left"/>
      </w:pPr>
      <w:r>
        <w:rPr/>
        <w:t>任。</w:t>
      </w:r>
    </w:p>
    <w:p>
      <w:pPr>
        <w:pStyle w:val="BodyText"/>
        <w:spacing w:line="240" w:lineRule="auto" w:before="76"/>
        <w:ind w:left="527" w:right="1121"/>
        <w:jc w:val="left"/>
      </w:pPr>
      <w:r>
        <w:rPr/>
        <w:t>万刚先生：硕士研究生学历，中级经济师，曾任中国建设银行青岛市分行营运管理部副总经理、中信银行青岛分行营</w:t>
      </w:r>
    </w:p>
    <w:p>
      <w:pPr>
        <w:pStyle w:val="BodyText"/>
        <w:spacing w:line="319" w:lineRule="auto" w:before="76"/>
        <w:ind w:left="444" w:right="1121" w:hanging="291"/>
        <w:jc w:val="left"/>
      </w:pPr>
      <w:r>
        <w:rPr/>
        <w:t>业部总经理，长安国际信托股份有限公司总经理助理，现任中泰信托有限公司副总裁。 </w:t>
      </w:r>
      <w:r>
        <w:rPr>
          <w:spacing w:val="-1"/>
        </w:rPr>
        <w:t>许斌先生：本科学历，曾任中友会计师事务所项目经理、华清基业投资管理有限公司财务总监，北京巅峰智业旅游文化</w:t>
      </w:r>
    </w:p>
    <w:p>
      <w:pPr>
        <w:pStyle w:val="BodyText"/>
        <w:spacing w:line="316" w:lineRule="auto" w:before="17"/>
        <w:ind w:right="3552"/>
        <w:jc w:val="left"/>
      </w:pPr>
      <w:r>
        <w:rPr/>
        <w:t>创意股份有限公司董事会秘书兼财务总监，现任北京首旅景区投资管理有限公司财务总监。 二、现任监事</w:t>
      </w:r>
    </w:p>
    <w:p>
      <w:pPr>
        <w:pStyle w:val="BodyText"/>
        <w:spacing w:line="240" w:lineRule="auto" w:before="19"/>
        <w:ind w:left="514" w:right="0"/>
        <w:jc w:val="left"/>
      </w:pPr>
      <w:r>
        <w:rPr/>
        <w:t>李安龙先生：大学学历，中共党员。曾任济南益东纸制品有限公司总经理。现任济南益东纸制品有限公司董事长；北京</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14" w:right="1117" w:hanging="360"/>
        <w:jc w:val="left"/>
      </w:pPr>
      <w:r>
        <w:rPr/>
        <w:t>中嘉华信息技术有限公司董事，自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月起任本公司监事会主席。 李丰先生：本科学历。曾任浪潮电子信息产业股份有限公司财务部副经理、</w:t>
      </w:r>
      <w:r>
        <w:rPr>
          <w:spacing w:val="5"/>
        </w:rPr>
        <w:t> </w:t>
      </w:r>
      <w:r>
        <w:rPr/>
        <w:t>证券事务代表等职。现任浪潮电子信息产</w:t>
      </w:r>
    </w:p>
    <w:p>
      <w:pPr>
        <w:pStyle w:val="BodyText"/>
        <w:spacing w:line="316" w:lineRule="auto" w:before="31"/>
        <w:ind w:left="444" w:right="1121" w:hanging="291"/>
        <w:jc w:val="left"/>
      </w:pPr>
      <w:r>
        <w:rPr/>
        <w:t>业股份有限公司董事会秘书兼财务部总经理。 </w:t>
      </w:r>
      <w:r>
        <w:rPr>
          <w:spacing w:val="-1"/>
        </w:rPr>
        <w:t>娄本美女士：大学学历，中共党员。曾任济南市历城区再生资源公司会计，济南市历城区盘龙山建材厂会计，现任济南</w:t>
      </w:r>
    </w:p>
    <w:p>
      <w:pPr>
        <w:pStyle w:val="BodyText"/>
        <w:spacing w:line="300" w:lineRule="auto" w:before="19"/>
        <w:ind w:left="444" w:right="0" w:hanging="291"/>
        <w:jc w:val="left"/>
      </w:pPr>
      <w:r>
        <w:rPr/>
        <w:t>发展国有工业资产经营有限公司监事、会计。</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月起任本公司监事。 </w:t>
      </w:r>
      <w:r>
        <w:rPr>
          <w:spacing w:val="-3"/>
        </w:rPr>
        <w:t>王晓延先生：经济师。</w:t>
      </w:r>
      <w:r>
        <w:rPr>
          <w:rFonts w:ascii="Times New Roman" w:hAnsi="Times New Roman" w:cs="Times New Roman" w:eastAsia="Times New Roman" w:hint="default"/>
          <w:spacing w:val="-3"/>
        </w:rPr>
        <w:t>1996</w:t>
      </w:r>
      <w:r>
        <w:rPr>
          <w:spacing w:val="-3"/>
        </w:rPr>
        <w:t>年进入本公司工作，曾任本公司销售业务员、证券事务代表，现在本公司销售管理总部工作。</w:t>
      </w:r>
      <w:r>
        <w:rPr/>
        <w:t> 张力女士：高级工程师。</w:t>
      </w:r>
      <w:r>
        <w:rPr>
          <w:rFonts w:ascii="Times New Roman" w:hAnsi="Times New Roman" w:cs="Times New Roman" w:eastAsia="Times New Roman" w:hint="default"/>
        </w:rPr>
        <w:t>1996</w:t>
      </w:r>
      <w:r>
        <w:rPr/>
        <w:t>年进入本公司工作，历任本公司技术处副处长、处长，质量管理部经理，现任生产管理总</w:t>
      </w:r>
    </w:p>
    <w:p>
      <w:pPr>
        <w:pStyle w:val="BodyText"/>
        <w:spacing w:line="316" w:lineRule="auto" w:before="13"/>
        <w:ind w:right="8952"/>
        <w:jc w:val="left"/>
      </w:pPr>
      <w:r>
        <w:rPr/>
        <w:t>部技术质量主管。 三、现任高级管理人员</w:t>
      </w:r>
    </w:p>
    <w:p>
      <w:pPr>
        <w:pStyle w:val="BodyText"/>
        <w:spacing w:line="240" w:lineRule="auto" w:before="19"/>
        <w:ind w:left="514" w:right="0"/>
        <w:jc w:val="left"/>
      </w:pPr>
      <w:r>
        <w:rPr/>
        <w:t>常务副总裁唐国奇先生：硕士，经济师。现兼任郑州东港安全印刷有限公司董事长，上海东港数据处理有限公司董事。</w:t>
      </w:r>
    </w:p>
    <w:p>
      <w:pPr>
        <w:pStyle w:val="BodyText"/>
        <w:spacing w:line="300" w:lineRule="auto" w:before="76"/>
        <w:ind w:left="514" w:right="1121" w:hanging="360"/>
        <w:jc w:val="left"/>
      </w:pP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12</w:t>
      </w:r>
      <w:r>
        <w:rPr/>
        <w:t>月起任本公司常务副总裁、技术负责人。 副总裁朱震先生：大学学历。现兼任广州东港安全印刷有限公司董事长。</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4</w:t>
      </w:r>
      <w:r>
        <w:rPr/>
        <w:t>月起任本公司副总裁。 </w:t>
      </w:r>
      <w:r>
        <w:rPr>
          <w:spacing w:val="-2"/>
        </w:rPr>
        <w:t>副总裁、财务负责人郑理女士：硕士，高级会计师。现兼任成都东港安全印刷有限公司董事长，上海东港数据处理有限</w:t>
      </w:r>
    </w:p>
    <w:p>
      <w:pPr>
        <w:pStyle w:val="BodyText"/>
        <w:spacing w:line="300" w:lineRule="auto" w:before="31"/>
        <w:ind w:right="1122"/>
        <w:jc w:val="left"/>
      </w:pPr>
      <w:r>
        <w:rPr/>
        <w:t>公司董事，东港瑞云档案管理有限公司监事，北京东港瑞宏科技有限公司监事，山东东港数据处理有限公司监事。</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4</w:t>
      </w:r>
      <w:r>
        <w:rPr>
          <w:rFonts w:ascii="Times New Roman" w:hAnsi="Times New Roman" w:cs="Times New Roman" w:eastAsia="Times New Roman" w:hint="default"/>
          <w:spacing w:val="-36"/>
        </w:rPr>
        <w:t> </w:t>
      </w:r>
      <w:r>
        <w:rPr/>
        <w:t>月起任副总裁兼财务负责人。</w:t>
      </w:r>
    </w:p>
    <w:p>
      <w:pPr>
        <w:pStyle w:val="BodyText"/>
        <w:spacing w:line="326" w:lineRule="auto" w:before="72"/>
        <w:ind w:right="1121" w:firstLine="290"/>
        <w:jc w:val="left"/>
      </w:pPr>
      <w:r>
        <w:rPr>
          <w:spacing w:val="-1"/>
        </w:rPr>
        <w:t>副总裁、董事会秘书齐利国先生：硕士。现兼任山东东港彩意网络科技有限公司董事长，青海东港安全印刷有限公司董</w:t>
      </w:r>
      <w:r>
        <w:rPr/>
        <w:t> </w:t>
      </w:r>
      <w:r>
        <w:rPr>
          <w:spacing w:val="-2"/>
        </w:rPr>
        <w:t>事长，甘肃图腾印务有限公司执行董事，北京瑞云档案管理有限公司董事，上海东港安全印刷有限公司监事，上海东港数据</w:t>
      </w:r>
      <w:r>
        <w:rPr>
          <w:spacing w:val="-66"/>
        </w:rPr>
        <w:t> </w:t>
      </w:r>
      <w:r>
        <w:rPr>
          <w:spacing w:val="-66"/>
        </w:rPr>
      </w:r>
      <w:r>
        <w:rPr/>
        <w:t>处理有限公司监事，成都东港安全印刷有限公司监事。</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t>月起任本公司副总裁兼董事会秘书、办公室主任。 在股东单位任职情况</w:t>
      </w:r>
    </w:p>
    <w:p>
      <w:pPr>
        <w:pStyle w:val="BodyText"/>
        <w:spacing w:line="240" w:lineRule="auto" w:before="51"/>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3036"/>
        <w:gridCol w:w="1417"/>
        <w:gridCol w:w="1702"/>
        <w:gridCol w:w="851"/>
        <w:gridCol w:w="1345"/>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7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33" w:right="72" w:hanging="360"/>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39" w:right="5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27" w:right="36"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北京中嘉华信息技术有限公司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李安龙</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北京中嘉华信息技术有限公司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刘宏</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北京中嘉华信息技术有限公司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唐国奇</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北京中嘉华信息技术有限公司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朱震</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北京中嘉华信息技术有限公司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夏文庆</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济南发展国有工业资产经营有限公司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娄本美</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济南发展国有工业资产经营有限公司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李丰</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浪潮电子信息产业股份有限公司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2"/>
              <w:jc w:val="left"/>
              <w:rPr>
                <w:rFonts w:ascii="宋体" w:hAnsi="宋体" w:cs="宋体" w:eastAsia="宋体" w:hint="default"/>
                <w:sz w:val="18"/>
                <w:szCs w:val="18"/>
              </w:rPr>
            </w:pPr>
            <w:r>
              <w:rPr>
                <w:rFonts w:ascii="宋体" w:hAnsi="宋体" w:cs="宋体" w:eastAsia="宋体" w:hint="default"/>
                <w:sz w:val="18"/>
                <w:szCs w:val="18"/>
              </w:rPr>
              <w:t>董事会秘书兼财 务部总经理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2"/>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1121"/>
        <w:jc w:val="left"/>
      </w:pPr>
      <w:r>
        <w:rPr/>
        <w:t>在其他单位任职情况</w:t>
      </w:r>
    </w:p>
    <w:p>
      <w:pPr>
        <w:pStyle w:val="BodyText"/>
        <w:spacing w:line="240" w:lineRule="auto" w:before="116"/>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487"/>
        <w:gridCol w:w="1103"/>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56" w:right="95"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北京东港嘉华安全信息技术有限公司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山东东港数据处理有限公司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487"/>
        <w:gridCol w:w="1103"/>
        <w:gridCol w:w="1376"/>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郑州东港安全印刷有限公司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北京东港安全印刷有限公司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新疆东港安全印刷有限公司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青海东港安全印刷有限公司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北京东港嘉华安全信息技术有限公司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广州东港安全印刷有限公司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上海东港数据处理有限公司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山东东港数据处理有限公司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济南随化投资有限公司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西藏共立创业投资合伙企业（有限合伙）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执行事务合</w:t>
            </w:r>
          </w:p>
          <w:p>
            <w:pPr>
              <w:pStyle w:val="TableParagraph"/>
              <w:spacing w:line="232" w:lineRule="exact" w:before="24"/>
              <w:ind w:left="23" w:right="156"/>
              <w:jc w:val="left"/>
              <w:rPr>
                <w:rFonts w:ascii="宋体" w:hAnsi="宋体" w:cs="宋体" w:eastAsia="宋体" w:hint="default"/>
                <w:sz w:val="18"/>
                <w:szCs w:val="18"/>
              </w:rPr>
            </w:pPr>
            <w:r>
              <w:rPr>
                <w:rFonts w:ascii="宋体" w:hAnsi="宋体" w:cs="宋体" w:eastAsia="宋体" w:hint="default"/>
                <w:sz w:val="18"/>
                <w:szCs w:val="18"/>
              </w:rPr>
              <w:t>伙人委派代 表</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北京东港安全印刷有限公司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北京东港嘉华安全信息技术有限公司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北京东港瑞宏科技有限公司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东港瑞云档案管理有限公司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夏文庆</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济南龙启鑫房屋租赁中心经理</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郝纪勇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山东京鲁律师事务所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中泰信托有限公司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北京首旅景区投资管理有限公司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娄本美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济南发展国有工业资产经营有限公司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监事、会计</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唐国奇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郑州东港安全印刷有限公司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唐国奇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上海东港数据处理有限公司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广州东港安全印刷有限公司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郑理</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成都东港安全印刷有限公司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郑理</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上海东港数据处理有限公司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郑理</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北京东港瑞宏科技有限公司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郑理</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东港瑞云档案管理有限公司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郑理</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山东东港数据处理有限公司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上海东港安全印刷有限公司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青海东港安全印刷有限公司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上海东港数据处理有限公司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成都东港安全印刷有限公司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山东东港彩意网络科技有限公司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东港瑞云档案管理有限公司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3"/>
        <w:gridCol w:w="3277"/>
        <w:gridCol w:w="1092"/>
        <w:gridCol w:w="1487"/>
        <w:gridCol w:w="1103"/>
        <w:gridCol w:w="1376"/>
      </w:tblGrid>
      <w:tr>
        <w:trPr>
          <w:trHeight w:val="402"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甘肃图腾印务有限公司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1121"/>
        <w:jc w:val="left"/>
      </w:pPr>
      <w:r>
        <w:rPr/>
        <w:t>公司现任及报告期内离任董事、监事和高级管理人员近三年证券监管机构处罚的情况</w:t>
      </w:r>
    </w:p>
    <w:p>
      <w:pPr>
        <w:pStyle w:val="BodyText"/>
        <w:spacing w:line="240" w:lineRule="auto" w:before="117"/>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21"/>
        <w:jc w:val="left"/>
        <w:rPr>
          <w:b w:val="0"/>
          <w:bCs w:val="0"/>
        </w:rPr>
      </w:pPr>
      <w:bookmarkStart w:name="四、董事、监事、高级管理人员报酬情况" w:id="122"/>
      <w:bookmarkEnd w:id="122"/>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444" w:right="1121" w:hanging="291"/>
        <w:jc w:val="left"/>
      </w:pPr>
      <w:r>
        <w:rPr/>
        <w:t>董事、监事、高级管理人员报酬的决策程序、确定依据、实际支付情况 </w:t>
      </w:r>
      <w:r>
        <w:rPr>
          <w:spacing w:val="-1"/>
        </w:rPr>
        <w:t>公司按照《公司章程》的规定确定董事、监事和高级管理人员的报酬。董事和监事实行津贴制，报酬和支付方法由股东</w:t>
      </w:r>
    </w:p>
    <w:p>
      <w:pPr>
        <w:pStyle w:val="BodyText"/>
        <w:spacing w:line="224" w:lineRule="exact"/>
        <w:ind w:right="0"/>
        <w:jc w:val="left"/>
      </w:pPr>
      <w:r>
        <w:rPr>
          <w:spacing w:val="-4"/>
        </w:rPr>
        <w:t>大会确定；高级管理人员实行年薪制，报酬和支付方法由董事会确定。公司以行业薪酬水平、经济发展状况、居民生活标准、</w:t>
      </w:r>
    </w:p>
    <w:p>
      <w:pPr>
        <w:pStyle w:val="BodyText"/>
        <w:spacing w:line="360" w:lineRule="auto" w:before="76"/>
        <w:ind w:right="4092"/>
        <w:jc w:val="left"/>
      </w:pPr>
      <w:r>
        <w:rPr/>
        <w:t>公司经营业绩、岗位职责要求等为依据确定董事、监事和高级管理人员的年度薪酬。 公司报告期内董事、监事和高级管理人员报酬情况</w:t>
      </w:r>
    </w:p>
    <w:p>
      <w:pPr>
        <w:pStyle w:val="BodyText"/>
        <w:spacing w:line="240" w:lineRule="auto" w:before="2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608"/>
        <w:gridCol w:w="1126"/>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石枫</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夏文庆</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刘宏</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郝纪勇</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万刚</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许斌</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李安龙</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李保政</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娄本美</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王晓延</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张力</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唐国奇</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常务副总裁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  震</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  理</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8"/>
                <w:sz w:val="18"/>
                <w:szCs w:val="18"/>
              </w:rPr>
              <w:t>副总裁、财务负责人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8"/>
                <w:sz w:val="18"/>
                <w:szCs w:val="18"/>
              </w:rPr>
              <w:t>副总裁、董事会秘书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639.39</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1121"/>
        <w:jc w:val="left"/>
      </w:pPr>
      <w:r>
        <w:rPr/>
        <w:t>公司董事、高级管理人员报告期内被授予的股权激励情况</w:t>
      </w:r>
    </w:p>
    <w:p>
      <w:pPr>
        <w:pStyle w:val="BodyText"/>
        <w:spacing w:line="240" w:lineRule="auto" w:before="116"/>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1"/>
        <w:jc w:val="left"/>
        <w:rPr>
          <w:b w:val="0"/>
          <w:bCs w:val="0"/>
        </w:rPr>
      </w:pPr>
      <w:bookmarkStart w:name="五、公司员工情况" w:id="123"/>
      <w:bookmarkEnd w:id="123"/>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1"/>
        <w:jc w:val="left"/>
        <w:rPr>
          <w:b w:val="0"/>
          <w:bCs w:val="0"/>
        </w:rPr>
      </w:pPr>
      <w:bookmarkStart w:name="1、员工数量、专业构成及教育程度" w:id="124"/>
      <w:bookmarkEnd w:id="124"/>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2,243</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2,243</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本科及本科以上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中专及以下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2,243</w:t>
            </w:r>
          </w:p>
        </w:tc>
      </w:tr>
    </w:tbl>
    <w:p>
      <w:pPr>
        <w:spacing w:line="240" w:lineRule="auto" w:before="2"/>
        <w:rPr>
          <w:rFonts w:ascii="宋体" w:hAnsi="宋体" w:cs="宋体" w:eastAsia="宋体" w:hint="default"/>
          <w:b/>
          <w:bCs/>
          <w:sz w:val="19"/>
          <w:szCs w:val="19"/>
        </w:rPr>
      </w:pPr>
    </w:p>
    <w:p>
      <w:pPr>
        <w:pStyle w:val="Heading3"/>
        <w:spacing w:line="240" w:lineRule="auto" w:before="35"/>
        <w:ind w:right="1121"/>
        <w:jc w:val="left"/>
        <w:rPr>
          <w:b w:val="0"/>
          <w:bCs w:val="0"/>
        </w:rPr>
      </w:pPr>
      <w:bookmarkStart w:name="2、薪酬政策" w:id="125"/>
      <w:bookmarkEnd w:id="125"/>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120" w:firstLine="145"/>
        <w:jc w:val="left"/>
      </w:pPr>
      <w:r>
        <w:rPr>
          <w:spacing w:val="-1"/>
        </w:rPr>
        <w:t>本公司根据实际情况，结合不同岗位类别和层级的特点，本着合法、公平、竞争、激励、经济的原则建立了一整套完善的</w:t>
      </w:r>
      <w:r>
        <w:rPr/>
        <w:t> 薪酬体系，并依法缴纳五险一金。</w:t>
      </w:r>
    </w:p>
    <w:p>
      <w:pPr>
        <w:spacing w:line="240" w:lineRule="auto" w:before="7"/>
        <w:rPr>
          <w:rFonts w:ascii="宋体" w:hAnsi="宋体" w:cs="宋体" w:eastAsia="宋体" w:hint="default"/>
          <w:sz w:val="22"/>
          <w:szCs w:val="22"/>
        </w:rPr>
      </w:pPr>
    </w:p>
    <w:p>
      <w:pPr>
        <w:pStyle w:val="Heading3"/>
        <w:spacing w:line="240" w:lineRule="auto"/>
        <w:ind w:right="1121"/>
        <w:jc w:val="left"/>
        <w:rPr>
          <w:b w:val="0"/>
          <w:bCs w:val="0"/>
        </w:rPr>
      </w:pPr>
      <w:bookmarkStart w:name="3、培训计划" w:id="126"/>
      <w:bookmarkEnd w:id="126"/>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1" w:firstLine="360"/>
        <w:jc w:val="both"/>
      </w:pPr>
      <w:r>
        <w:rPr>
          <w:spacing w:val="-2"/>
        </w:rPr>
        <w:t>本公司建立了科学的培训体系，根据新员工、在职员工、管理人员的不同情况开展有针对性的课程。培训内容涵盖企业</w:t>
      </w:r>
      <w:r>
        <w:rPr/>
        <w:t> </w:t>
      </w:r>
      <w:r>
        <w:rPr>
          <w:spacing w:val="-2"/>
        </w:rPr>
        <w:t>文化、行业现状及发展、业务技能、沟通能力、管理能力等。经过</w:t>
      </w:r>
      <w:r>
        <w:rPr>
          <w:rFonts w:ascii="Times New Roman" w:hAnsi="Times New Roman" w:cs="Times New Roman" w:eastAsia="Times New Roman" w:hint="default"/>
          <w:spacing w:val="-2"/>
        </w:rPr>
        <w:t>20</w:t>
      </w:r>
      <w:r>
        <w:rPr>
          <w:spacing w:val="-2"/>
        </w:rPr>
        <w:t>多年的摸索和实践，总结出具有东港特色的传、帮、带</w:t>
      </w:r>
      <w:r>
        <w:rPr>
          <w:spacing w:val="-66"/>
        </w:rPr>
        <w:t> </w:t>
      </w:r>
      <w:r>
        <w:rPr>
          <w:spacing w:val="-66"/>
        </w:rPr>
      </w:r>
      <w:r>
        <w:rPr/>
        <w:t>培训实践体系，使之能快速的获得相关工作技能，迅速融入工作团队。</w:t>
      </w:r>
    </w:p>
    <w:p>
      <w:pPr>
        <w:pStyle w:val="BodyText"/>
        <w:spacing w:line="319" w:lineRule="auto" w:before="62"/>
        <w:ind w:right="1032" w:firstLine="360"/>
        <w:jc w:val="left"/>
      </w:pPr>
      <w:r>
        <w:rPr>
          <w:spacing w:val="-2"/>
        </w:rPr>
        <w:t>所有入职的新员工均会接受入职培训和安全教育，其目的是让其了解公司目标、企业文化、政策及公司各部门的职能和</w:t>
      </w:r>
      <w:r>
        <w:rPr/>
        <w:t> 运作方式。在职员工与管理人员培训方面，通过不断的企业文化渗透及业务能力塑造，公司培养了一批批有能力、有责任、 能担当的高素质人才。</w:t>
      </w:r>
    </w:p>
    <w:p>
      <w:pPr>
        <w:spacing w:after="0" w:line="319"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21"/>
        <w:jc w:val="left"/>
        <w:rPr>
          <w:b w:val="0"/>
          <w:bCs w:val="0"/>
        </w:rPr>
      </w:pPr>
      <w:bookmarkStart w:name="4、劳务外包情况" w:id="127"/>
      <w:bookmarkEnd w:id="127"/>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469"/>
        <w:jc w:val="center"/>
        <w:rPr>
          <w:b w:val="0"/>
          <w:bCs w:val="0"/>
        </w:rPr>
      </w:pPr>
      <w:bookmarkStart w:name="第九节 公司治理" w:id="128"/>
      <w:bookmarkEnd w:id="128"/>
      <w:r>
        <w:rPr>
          <w:b w:val="0"/>
          <w:bCs w:val="0"/>
        </w:rPr>
      </w:r>
      <w:bookmarkStart w:name="_bookmark8" w:id="129"/>
      <w:bookmarkEnd w:id="129"/>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21"/>
        <w:jc w:val="left"/>
        <w:rPr>
          <w:b w:val="0"/>
          <w:bCs w:val="0"/>
        </w:rPr>
      </w:pPr>
      <w:bookmarkStart w:name="一、公司治理的基本状况" w:id="130"/>
      <w:bookmarkEnd w:id="130"/>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6" w:right="0"/>
        <w:jc w:val="left"/>
      </w:pPr>
      <w:r>
        <w:rPr>
          <w:spacing w:val="-4"/>
        </w:rPr>
        <w:t>公司根据中国证监会关于规范公司治理结构的相关文件，建立健全了包括《股东大会议事规则》、《董事会议事规则》、</w:t>
      </w:r>
    </w:p>
    <w:p>
      <w:pPr>
        <w:pStyle w:val="BodyText"/>
        <w:spacing w:line="316" w:lineRule="auto" w:before="76"/>
        <w:ind w:right="1032"/>
        <w:jc w:val="left"/>
      </w:pPr>
      <w:r>
        <w:rPr/>
        <w:t>《监事会议事规则》、《独立董事制度》、《募集资金管理制度》等在内的内部控制制度，并在上市公司治理专项活动中， </w:t>
      </w:r>
      <w:r>
        <w:rPr>
          <w:spacing w:val="-2"/>
        </w:rPr>
        <w:t>进行了修订和完善，达到了证券监管部门的要求。董事会及其下设的专业委员会发挥职能，负责审议公司的经营战略和重大</w:t>
      </w:r>
      <w:r>
        <w:rPr>
          <w:spacing w:val="-66"/>
        </w:rPr>
        <w:t> </w:t>
      </w:r>
      <w:r>
        <w:rPr>
          <w:spacing w:val="-66"/>
        </w:rPr>
      </w:r>
      <w:r>
        <w:rPr>
          <w:spacing w:val="-2"/>
        </w:rPr>
        <w:t>决策，公司管理层在董事会的授权范围内，负责公司的日常生产经营活动，管理层和董事会之间责权关系明确。公司的各项</w:t>
      </w:r>
      <w:r>
        <w:rPr>
          <w:spacing w:val="-66"/>
        </w:rPr>
        <w:t> </w:t>
      </w:r>
      <w:r>
        <w:rPr>
          <w:spacing w:val="-66"/>
        </w:rPr>
      </w:r>
      <w:r>
        <w:rPr>
          <w:spacing w:val="-2"/>
        </w:rPr>
        <w:t>内部控制制度健全，并将内控制度的检查融入了日常工作中，不断完善，以适应公司管理和发展的需要，有效保证了公司正</w:t>
      </w:r>
      <w:r>
        <w:rPr>
          <w:spacing w:val="-66"/>
        </w:rPr>
        <w:t> </w:t>
      </w:r>
      <w:r>
        <w:rPr>
          <w:spacing w:val="-66"/>
        </w:rPr>
      </w:r>
      <w:r>
        <w:rPr>
          <w:spacing w:val="-2"/>
        </w:rPr>
        <w:t>常的生产经营和规范化运作。董事会下属的审计委员会和审计部认真履行职责，通过内部审计发现问题，预防风险，通过对</w:t>
      </w:r>
      <w:r>
        <w:rPr>
          <w:spacing w:val="-66"/>
        </w:rPr>
        <w:t> </w:t>
      </w:r>
      <w:r>
        <w:rPr>
          <w:spacing w:val="-66"/>
        </w:rPr>
      </w:r>
      <w:r>
        <w:rPr>
          <w:spacing w:val="-2"/>
        </w:rPr>
        <w:t>内部财务数据和工作流程的审计，规范内部运作，提高财务信息披露质量，保证了公司日常生产经营的合法性和规范化。公</w:t>
      </w:r>
      <w:r>
        <w:rPr>
          <w:spacing w:val="-66"/>
        </w:rPr>
        <w:t> </w:t>
      </w:r>
      <w:r>
        <w:rPr>
          <w:spacing w:val="-66"/>
        </w:rPr>
      </w:r>
      <w:r>
        <w:rPr/>
        <w:t>司将在今后的工作中进一步完善内部控制制度，规范运作，为公司健康稳定的发展奠定基础。</w:t>
      </w:r>
    </w:p>
    <w:p>
      <w:pPr>
        <w:pStyle w:val="BodyText"/>
        <w:spacing w:line="240" w:lineRule="auto" w:before="59"/>
        <w:ind w:right="1121"/>
        <w:jc w:val="left"/>
      </w:pPr>
      <w:r>
        <w:rPr/>
        <w:t>公司治理的实际状况与中国证监会发布的有关上市公司治理的规范性文件是否存在重大差异</w:t>
      </w:r>
    </w:p>
    <w:p>
      <w:pPr>
        <w:pStyle w:val="BodyText"/>
        <w:spacing w:line="338" w:lineRule="auto" w:before="117"/>
        <w:ind w:right="35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1121"/>
        <w:jc w:val="left"/>
        <w:rPr>
          <w:b w:val="0"/>
          <w:bCs w:val="0"/>
        </w:rPr>
      </w:pPr>
      <w:bookmarkStart w:name="二、公司相对于控股股东在业务、人员、资产、机构、财务等方面的独立情况" w:id="131"/>
      <w:bookmarkEnd w:id="131"/>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21" w:firstLine="290"/>
        <w:jc w:val="left"/>
      </w:pPr>
      <w:r>
        <w:rPr>
          <w:spacing w:val="-1"/>
        </w:rPr>
        <w:t>公司具备完整、规范的产、供、销生产经营管理体制和运行机制，公司与主要股东在业务、人员、资产、机构、财务等</w:t>
      </w:r>
      <w:r>
        <w:rPr/>
        <w:t> 方面完全分开，具有独立完整的业务及自主经营能力。</w:t>
      </w:r>
    </w:p>
    <w:p>
      <w:pPr>
        <w:pStyle w:val="BodyText"/>
        <w:spacing w:line="319" w:lineRule="auto" w:before="56"/>
        <w:ind w:right="1122" w:firstLine="290"/>
        <w:jc w:val="left"/>
      </w:pPr>
      <w:r>
        <w:rPr>
          <w:spacing w:val="-2"/>
        </w:rPr>
        <w:t>（一）业务独立：公司具有完整的采购供应体系、完整的生产管理体系和独立的销售运作体系，</w:t>
      </w:r>
      <w:r>
        <w:rPr>
          <w:spacing w:val="-6"/>
        </w:rPr>
        <w:t> </w:t>
      </w:r>
      <w:r>
        <w:rPr>
          <w:spacing w:val="-2"/>
        </w:rPr>
        <w:t>独立开展业务，不依赖</w:t>
      </w:r>
      <w:r>
        <w:rPr/>
        <w:t> 于任何股东及关联方。</w:t>
      </w:r>
    </w:p>
    <w:p>
      <w:pPr>
        <w:pStyle w:val="BodyText"/>
        <w:spacing w:line="319" w:lineRule="auto" w:before="55"/>
        <w:ind w:right="1121" w:firstLine="290"/>
        <w:jc w:val="left"/>
      </w:pPr>
      <w:r>
        <w:rPr>
          <w:spacing w:val="-1"/>
        </w:rPr>
        <w:t>（二）人员独立：本公司董事、监事及高级管理人员严格按照《公司法》《公司章程》的有关规定产生；公司建有独立</w:t>
      </w:r>
      <w:r>
        <w:rPr/>
        <w:t> 的人事及工资管理系统；公司还制订了严格的《人力资源管理制度》，人员管理做到了制度化。</w:t>
      </w:r>
    </w:p>
    <w:p>
      <w:pPr>
        <w:pStyle w:val="BodyText"/>
        <w:spacing w:line="319" w:lineRule="auto" w:before="55"/>
        <w:ind w:right="1138" w:firstLine="434"/>
        <w:jc w:val="left"/>
      </w:pPr>
      <w:r>
        <w:rPr/>
        <w:t>（三）资产独立：本公司的主要资产包括主营业务所需的完整的生产设备、土地、厂房、办公用房、仓储用房、交通 工具和知识产权，具有完整的配套设施。上述资产产权清晰，完全独立于股东单位。</w:t>
      </w:r>
    </w:p>
    <w:p>
      <w:pPr>
        <w:pStyle w:val="BodyText"/>
        <w:spacing w:line="319" w:lineRule="auto" w:before="56"/>
        <w:ind w:right="1121" w:firstLine="290"/>
        <w:jc w:val="left"/>
      </w:pPr>
      <w:r>
        <w:rPr>
          <w:spacing w:val="-1"/>
        </w:rPr>
        <w:t>（四）机构独立：本公司设股东大会、董事会、监事会，按照《公司章程》的规定履行相关权利和义务。公司拥有独立</w:t>
      </w:r>
      <w:r>
        <w:rPr/>
        <w:t> 的组织机构，拥有独立的运作、管理和考核机制。公司总裁、副总裁等高级管理人员均在公司领取报酬。</w:t>
      </w:r>
    </w:p>
    <w:p>
      <w:pPr>
        <w:pStyle w:val="BodyText"/>
        <w:spacing w:line="319" w:lineRule="auto" w:before="55"/>
        <w:ind w:right="1121" w:firstLine="290"/>
        <w:jc w:val="left"/>
      </w:pPr>
      <w:r>
        <w:rPr>
          <w:spacing w:val="-1"/>
        </w:rPr>
        <w:t>（五）财务独立：公司设有独立的财务部门，建立独立的财务会计核算体系和财务管理制度，财务人员与股东单位完全</w:t>
      </w:r>
      <w:r>
        <w:rPr/>
        <w:t> 独立，不存在交叉任职情况。公司独立开设银行帐户，作为独立的纳税人依法独立纳税。</w:t>
      </w:r>
    </w:p>
    <w:p>
      <w:pPr>
        <w:spacing w:line="240" w:lineRule="auto" w:before="6"/>
        <w:rPr>
          <w:rFonts w:ascii="宋体" w:hAnsi="宋体" w:cs="宋体" w:eastAsia="宋体" w:hint="default"/>
          <w:sz w:val="20"/>
          <w:szCs w:val="20"/>
        </w:rPr>
      </w:pPr>
    </w:p>
    <w:p>
      <w:pPr>
        <w:pStyle w:val="Heading2"/>
        <w:spacing w:line="240" w:lineRule="auto"/>
        <w:ind w:right="1121"/>
        <w:jc w:val="left"/>
        <w:rPr>
          <w:b w:val="0"/>
          <w:bCs w:val="0"/>
        </w:rPr>
      </w:pPr>
      <w:bookmarkStart w:name="三、同业竞争情况" w:id="132"/>
      <w:bookmarkEnd w:id="132"/>
      <w:r>
        <w:rPr>
          <w:b w:val="0"/>
          <w:bCs w:val="0"/>
        </w:rPr>
      </w:r>
      <w:r>
        <w:rPr/>
        <w:t>三、同业竞争情况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21"/>
        <w:jc w:val="left"/>
        <w:rPr>
          <w:b w:val="0"/>
          <w:bCs w:val="0"/>
        </w:rPr>
      </w:pPr>
      <w:bookmarkStart w:name="四、报告期内召开的年度股东大会和临时股东大会的有关情况" w:id="133"/>
      <w:bookmarkEnd w:id="133"/>
      <w:r>
        <w:rPr>
          <w:b w:val="0"/>
          <w:bCs w:val="0"/>
        </w:rPr>
      </w:r>
      <w:r>
        <w:rPr/>
        <w:t>四、报告期内召开的年度股东大会和临时股东大会的有关情况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1"/>
        <w:jc w:val="left"/>
        <w:rPr>
          <w:b w:val="0"/>
          <w:bCs w:val="0"/>
        </w:rPr>
      </w:pPr>
      <w:bookmarkStart w:name="1、本报告期股东大会情况" w:id="134"/>
      <w:bookmarkEnd w:id="134"/>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240"/>
        <w:gridCol w:w="1560"/>
        <w:gridCol w:w="1559"/>
        <w:gridCol w:w="1559"/>
        <w:gridCol w:w="2041"/>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4"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61"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240"/>
        <w:gridCol w:w="1560"/>
        <w:gridCol w:w="1559"/>
        <w:gridCol w:w="1559"/>
        <w:gridCol w:w="2053"/>
      </w:tblGrid>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44.75%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6"/>
              <w:ind w:left="22" w:right="23"/>
              <w:jc w:val="both"/>
              <w:rPr>
                <w:rFonts w:ascii="宋体" w:hAnsi="宋体" w:cs="宋体" w:eastAsia="宋体" w:hint="default"/>
                <w:sz w:val="18"/>
                <w:szCs w:val="18"/>
              </w:rPr>
            </w:pPr>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http://www.cninfo.com.c</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n</w:t>
            </w:r>
            <w:r>
              <w:rPr>
                <w:rFonts w:ascii="宋体" w:hAnsi="宋体" w:cs="宋体" w:eastAsia="宋体" w:hint="default"/>
                <w:spacing w:val="-17"/>
                <w:sz w:val="18"/>
                <w:szCs w:val="18"/>
              </w:rPr>
              <w:t>）《</w:t>
            </w:r>
            <w:r>
              <w:rPr>
                <w:rFonts w:ascii="Times New Roman" w:hAnsi="Times New Roman" w:cs="Times New Roman" w:eastAsia="Times New Roman" w:hint="default"/>
                <w:spacing w:val="-17"/>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年度股东大会决 </w:t>
            </w:r>
            <w:r>
              <w:rPr>
                <w:rFonts w:ascii="宋体" w:hAnsi="宋体" w:cs="宋体" w:eastAsia="宋体" w:hint="default"/>
                <w:spacing w:val="-9"/>
                <w:sz w:val="18"/>
                <w:szCs w:val="18"/>
              </w:rPr>
              <w:t>议公告》，公告编号：</w:t>
            </w:r>
          </w:p>
          <w:p>
            <w:pPr>
              <w:pStyle w:val="TableParagraph"/>
              <w:spacing w:line="240" w:lineRule="auto" w:before="73"/>
              <w:ind w:left="22" w:right="0"/>
              <w:jc w:val="both"/>
              <w:rPr>
                <w:rFonts w:ascii="Times New Roman" w:hAnsi="Times New Roman" w:cs="Times New Roman" w:eastAsia="Times New Roman" w:hint="default"/>
                <w:sz w:val="18"/>
                <w:szCs w:val="18"/>
              </w:rPr>
            </w:pPr>
            <w:r>
              <w:rPr>
                <w:rFonts w:ascii="Times New Roman"/>
                <w:sz w:val="18"/>
              </w:rPr>
              <w:t>2018-011</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42.33%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7" w:lineRule="auto" w:before="76"/>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http://www.cninfo.com.c</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n</w:t>
            </w:r>
            <w:r>
              <w:rPr>
                <w:rFonts w:ascii="宋体" w:hAnsi="宋体" w:cs="宋体" w:eastAsia="宋体" w:hint="default"/>
                <w:spacing w:val="-17"/>
                <w:sz w:val="18"/>
                <w:szCs w:val="18"/>
              </w:rPr>
              <w:t>）《</w:t>
            </w:r>
            <w:r>
              <w:rPr>
                <w:rFonts w:ascii="Times New Roman" w:hAnsi="Times New Roman" w:cs="Times New Roman" w:eastAsia="Times New Roman" w:hint="default"/>
                <w:spacing w:val="-17"/>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 </w:t>
            </w:r>
            <w:r>
              <w:rPr>
                <w:rFonts w:ascii="宋体" w:hAnsi="宋体" w:cs="宋体" w:eastAsia="宋体" w:hint="default"/>
                <w:spacing w:val="-14"/>
                <w:sz w:val="18"/>
                <w:szCs w:val="18"/>
              </w:rPr>
              <w:t>东大会决议公告》，公告编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2018-023</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40.62%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7" w:lineRule="auto" w:before="76"/>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http://www.cninfo.com.c</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n</w:t>
            </w:r>
            <w:r>
              <w:rPr>
                <w:rFonts w:ascii="宋体" w:hAnsi="宋体" w:cs="宋体" w:eastAsia="宋体" w:hint="default"/>
                <w:spacing w:val="-17"/>
                <w:sz w:val="18"/>
                <w:szCs w:val="18"/>
              </w:rPr>
              <w:t>）《</w:t>
            </w:r>
            <w:r>
              <w:rPr>
                <w:rFonts w:ascii="Times New Roman" w:hAnsi="Times New Roman" w:cs="Times New Roman" w:eastAsia="Times New Roman" w:hint="default"/>
                <w:spacing w:val="-17"/>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 </w:t>
            </w:r>
            <w:r>
              <w:rPr>
                <w:rFonts w:ascii="宋体" w:hAnsi="宋体" w:cs="宋体" w:eastAsia="宋体" w:hint="default"/>
                <w:spacing w:val="-14"/>
                <w:sz w:val="18"/>
                <w:szCs w:val="18"/>
              </w:rPr>
              <w:t>东大会决议公告》，公告编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2018-032</w:t>
            </w:r>
          </w:p>
        </w:tc>
      </w:tr>
    </w:tbl>
    <w:p>
      <w:pPr>
        <w:spacing w:line="240" w:lineRule="auto" w:before="2"/>
        <w:rPr>
          <w:rFonts w:ascii="宋体" w:hAnsi="宋体" w:cs="宋体" w:eastAsia="宋体" w:hint="default"/>
          <w:b/>
          <w:bCs/>
          <w:sz w:val="19"/>
          <w:szCs w:val="19"/>
        </w:rPr>
      </w:pPr>
    </w:p>
    <w:p>
      <w:pPr>
        <w:pStyle w:val="Heading3"/>
        <w:spacing w:line="240" w:lineRule="auto" w:before="35"/>
        <w:ind w:right="1121"/>
        <w:jc w:val="left"/>
        <w:rPr>
          <w:b w:val="0"/>
          <w:bCs w:val="0"/>
        </w:rPr>
      </w:pPr>
      <w:bookmarkStart w:name="2、表决权恢复的优先股股东请求召开临时股东大会" w:id="135"/>
      <w:bookmarkEnd w:id="135"/>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21"/>
        <w:jc w:val="left"/>
        <w:rPr>
          <w:b w:val="0"/>
          <w:bCs w:val="0"/>
        </w:rPr>
      </w:pPr>
      <w:bookmarkStart w:name="五、报告期内独立董事履行职责的情况" w:id="136"/>
      <w:bookmarkEnd w:id="136"/>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1"/>
        <w:jc w:val="left"/>
        <w:rPr>
          <w:b w:val="0"/>
          <w:bCs w:val="0"/>
        </w:rPr>
      </w:pPr>
      <w:bookmarkStart w:name="1、独立董事出席董事会及股东大会的情况" w:id="137"/>
      <w:bookmarkEnd w:id="137"/>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郝纪勇</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万刚</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许斌</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360" w:lineRule="auto" w:before="51"/>
        <w:ind w:right="8052"/>
        <w:jc w:val="left"/>
      </w:pPr>
      <w:r>
        <w:rPr/>
        <w:t>连续两次未亲自出席董事会的说明 无</w:t>
      </w:r>
    </w:p>
    <w:p>
      <w:pPr>
        <w:spacing w:line="240" w:lineRule="auto" w:before="11"/>
        <w:rPr>
          <w:rFonts w:ascii="宋体" w:hAnsi="宋体" w:cs="宋体" w:eastAsia="宋体" w:hint="default"/>
          <w:sz w:val="19"/>
          <w:szCs w:val="19"/>
        </w:rPr>
      </w:pPr>
    </w:p>
    <w:p>
      <w:pPr>
        <w:pStyle w:val="Heading3"/>
        <w:spacing w:line="240" w:lineRule="auto"/>
        <w:ind w:right="1121"/>
        <w:jc w:val="left"/>
        <w:rPr>
          <w:b w:val="0"/>
          <w:bCs w:val="0"/>
        </w:rPr>
      </w:pPr>
      <w:bookmarkStart w:name="2、独立董事对公司有关事项提出异议的情况" w:id="138"/>
      <w:bookmarkEnd w:id="138"/>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1"/>
        <w:jc w:val="left"/>
      </w:pPr>
      <w:r>
        <w:rPr/>
        <w:t>独立董事对公司有关事项是否提出异议</w:t>
      </w:r>
    </w:p>
    <w:p>
      <w:pPr>
        <w:pStyle w:val="BodyText"/>
        <w:spacing w:line="338" w:lineRule="auto" w:before="116"/>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21"/>
        <w:jc w:val="left"/>
        <w:rPr>
          <w:b w:val="0"/>
          <w:bCs w:val="0"/>
        </w:rPr>
      </w:pPr>
      <w:bookmarkStart w:name="3、独立董事履行职责的其他说明" w:id="139"/>
      <w:bookmarkEnd w:id="139"/>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1"/>
        <w:jc w:val="left"/>
      </w:pPr>
      <w:r>
        <w:rPr/>
        <w:t>独立董事对公司有关建议是否被采纳</w:t>
      </w:r>
    </w:p>
    <w:p>
      <w:pPr>
        <w:pStyle w:val="BodyText"/>
        <w:spacing w:line="340" w:lineRule="auto" w:before="116"/>
        <w:ind w:right="6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39"/>
        <w:ind w:right="1043" w:firstLine="360"/>
        <w:jc w:val="both"/>
      </w:pPr>
      <w:r>
        <w:rPr>
          <w:spacing w:val="-2"/>
        </w:rPr>
        <w:t>报告期内，公司尊重独立董事提出的各项建议和意见，在信息披露、关联交易、财务审计、利润分配、重大投资决策等</w:t>
      </w:r>
      <w:r>
        <w:rPr/>
        <w:t> </w:t>
      </w:r>
      <w:r>
        <w:rPr>
          <w:spacing w:val="-4"/>
        </w:rPr>
        <w:t>方面，提请独立董事审议，确保独立董事能够全面和深入了解具体内容，为公司规范化治理的提高，起到了积极地推动作用。</w:t>
      </w:r>
    </w:p>
    <w:p>
      <w:pPr>
        <w:spacing w:line="240" w:lineRule="auto" w:before="10"/>
        <w:rPr>
          <w:rFonts w:ascii="宋体" w:hAnsi="宋体" w:cs="宋体" w:eastAsia="宋体" w:hint="default"/>
          <w:sz w:val="20"/>
          <w:szCs w:val="20"/>
        </w:rPr>
      </w:pPr>
    </w:p>
    <w:p>
      <w:pPr>
        <w:pStyle w:val="Heading2"/>
        <w:spacing w:line="240" w:lineRule="auto"/>
        <w:ind w:right="1121"/>
        <w:jc w:val="left"/>
        <w:rPr>
          <w:b w:val="0"/>
          <w:bCs w:val="0"/>
        </w:rPr>
      </w:pPr>
      <w:bookmarkStart w:name="六、董事会下设专门委员会在报告期内履行职责情况" w:id="140"/>
      <w:bookmarkEnd w:id="140"/>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1"/>
        <w:jc w:val="left"/>
        <w:rPr>
          <w:b w:val="0"/>
          <w:bCs w:val="0"/>
        </w:rPr>
      </w:pPr>
      <w:r>
        <w:rPr/>
        <w:t>（一）董事会审计委员会履职情况</w:t>
      </w:r>
      <w:r>
        <w:rPr>
          <w:b w:val="0"/>
          <w:bCs w:val="0"/>
        </w:rPr>
      </w:r>
    </w:p>
    <w:p>
      <w:pPr>
        <w:pStyle w:val="BodyText"/>
        <w:spacing w:line="300" w:lineRule="auto" w:before="62"/>
        <w:ind w:right="1139" w:firstLine="360"/>
        <w:jc w:val="both"/>
      </w:pPr>
      <w:r>
        <w:rPr>
          <w:rFonts w:ascii="Times New Roman" w:hAnsi="Times New Roman" w:cs="Times New Roman" w:eastAsia="Times New Roman" w:hint="default"/>
        </w:rPr>
        <w:t>1</w:t>
      </w:r>
      <w:r>
        <w:rPr/>
        <w:t>、审计委员会认真审议了公司编制的</w:t>
      </w:r>
      <w:r>
        <w:rPr>
          <w:rFonts w:ascii="Times New Roman" w:hAnsi="Times New Roman" w:cs="Times New Roman" w:eastAsia="Times New Roman" w:hint="default"/>
        </w:rPr>
        <w:t>2018</w:t>
      </w:r>
      <w:r>
        <w:rPr/>
        <w:t>年各期的财务报表，审议认为公司的财务报表符合会计准则和《企业会计制 度》的相关规定，能够如实反映企业的生产经营状况，财务数据准确无误，不存在重大遗漏或篡改财务数据的情况。</w:t>
      </w:r>
    </w:p>
    <w:p>
      <w:pPr>
        <w:pStyle w:val="BodyText"/>
        <w:spacing w:line="300" w:lineRule="auto" w:before="31"/>
        <w:ind w:right="1141" w:firstLine="360"/>
        <w:jc w:val="both"/>
      </w:pPr>
      <w:r>
        <w:rPr>
          <w:rFonts w:ascii="Times New Roman" w:hAnsi="Times New Roman" w:cs="Times New Roman" w:eastAsia="Times New Roman" w:hint="default"/>
        </w:rPr>
        <w:t>2</w:t>
      </w:r>
      <w:r>
        <w:rPr/>
        <w:t>、在瑞华会计师事务所对公司</w:t>
      </w:r>
      <w:r>
        <w:rPr>
          <w:rFonts w:ascii="Times New Roman" w:hAnsi="Times New Roman" w:cs="Times New Roman" w:eastAsia="Times New Roman" w:hint="default"/>
        </w:rPr>
        <w:t>2018</w:t>
      </w:r>
      <w:r>
        <w:rPr/>
        <w:t>年度财务状况的审计过程中，审计委员会按照《审计委员会年度财务报告审议工作 规则》的要求，在审计前审阅了公司编制的财务报表，并出具了</w:t>
      </w:r>
      <w:r>
        <w:rPr>
          <w:rFonts w:ascii="Times New Roman" w:hAnsi="Times New Roman" w:cs="Times New Roman" w:eastAsia="Times New Roman" w:hint="default"/>
        </w:rPr>
        <w:t>“</w:t>
      </w:r>
      <w:r>
        <w:rPr/>
        <w:t>公司编制的财务报表，符合会计准则的相关规定，反映了 公司的财务状况，不存在重大偏差或重大遗漏</w:t>
      </w:r>
      <w:r>
        <w:rPr>
          <w:rFonts w:ascii="Times New Roman" w:hAnsi="Times New Roman" w:cs="Times New Roman" w:eastAsia="Times New Roman" w:hint="default"/>
        </w:rPr>
        <w:t>”</w:t>
      </w:r>
      <w:r>
        <w:rPr/>
        <w:t>的审阅意见。</w:t>
      </w:r>
    </w:p>
    <w:p>
      <w:pPr>
        <w:pStyle w:val="BodyText"/>
        <w:spacing w:line="314" w:lineRule="auto" w:before="13"/>
        <w:ind w:right="1122" w:firstLine="360"/>
        <w:jc w:val="left"/>
      </w:pPr>
      <w:r>
        <w:rPr>
          <w:rFonts w:ascii="Times New Roman" w:hAnsi="Times New Roman" w:cs="Times New Roman" w:eastAsia="Times New Roman" w:hint="default"/>
        </w:rPr>
        <w:t>3</w:t>
      </w:r>
      <w:r>
        <w:rPr/>
        <w:t>、审计委员与会计师事务所的审计人员就审计计划和工作安排进行了沟通，确定了审计报告的出具日期。在审计过程 </w:t>
      </w:r>
      <w:r>
        <w:rPr>
          <w:spacing w:val="-2"/>
        </w:rPr>
        <w:t>中，审计委员会根据审计计划，督促会计师事务所在约定的时间内提交审计报告，并在审计会计师出具初步审计意见后和董</w:t>
      </w:r>
      <w:r>
        <w:rPr>
          <w:spacing w:val="-66"/>
        </w:rPr>
        <w:t> </w:t>
      </w:r>
      <w:r>
        <w:rPr>
          <w:spacing w:val="-66"/>
        </w:rPr>
      </w:r>
      <w:r>
        <w:rPr>
          <w:spacing w:val="-2"/>
        </w:rPr>
        <w:t>事会审议年报前，与注册会计师沟通，了解到在审计过程中未发现重大问题。通过审阅经会计师审计的公司财务报表，审计</w:t>
      </w:r>
      <w:r>
        <w:rPr>
          <w:spacing w:val="-66"/>
        </w:rPr>
        <w:t> </w:t>
      </w:r>
      <w:r>
        <w:rPr>
          <w:spacing w:val="-66"/>
        </w:rPr>
      </w:r>
      <w:r>
        <w:rPr/>
        <w:t>委员会认为公司在审计前编制的财务报表与审计后的财务报表没有重大出入，经审计的财务报表如实反映了公司的财务状 况。</w:t>
      </w:r>
    </w:p>
    <w:p>
      <w:pPr>
        <w:pStyle w:val="BodyText"/>
        <w:spacing w:line="309" w:lineRule="auto" w:before="20"/>
        <w:ind w:right="1130" w:firstLine="360"/>
        <w:jc w:val="both"/>
      </w:pPr>
      <w:r>
        <w:rPr>
          <w:rFonts w:ascii="Times New Roman" w:hAnsi="Times New Roman" w:cs="Times New Roman" w:eastAsia="Times New Roman" w:hint="default"/>
        </w:rPr>
        <w:t>4</w:t>
      </w:r>
      <w:r>
        <w:rPr/>
        <w:t>、审计委员会认为，经审计的</w:t>
      </w:r>
      <w:r>
        <w:rPr>
          <w:rFonts w:ascii="Times New Roman" w:hAnsi="Times New Roman" w:cs="Times New Roman" w:eastAsia="Times New Roman" w:hint="default"/>
        </w:rPr>
        <w:t>2018</w:t>
      </w:r>
      <w:r>
        <w:rPr/>
        <w:t>年度财务报表和公司财务报告符合会计准则和《企业会计制度》的相关规定，能够 </w:t>
      </w:r>
      <w:r>
        <w:rPr>
          <w:spacing w:val="-2"/>
        </w:rPr>
        <w:t>如实反映企业的生产经营状况，财务数据准确无误，不存在重大遗漏，同意提交董事会审议。审计委员会就会计师事务所的</w:t>
      </w:r>
      <w:r>
        <w:rPr>
          <w:spacing w:val="-66"/>
        </w:rPr>
        <w:t> </w:t>
      </w:r>
      <w:r>
        <w:rPr>
          <w:spacing w:val="-66"/>
        </w:rPr>
      </w:r>
      <w:r>
        <w:rPr/>
        <w:t>审计工作出具了总结报告，认为审计人员认真、尽责的完成了年度审计工作。</w:t>
      </w:r>
    </w:p>
    <w:p>
      <w:pPr>
        <w:spacing w:line="316" w:lineRule="auto" w:before="24"/>
        <w:ind w:left="514" w:right="3192" w:hanging="360"/>
        <w:jc w:val="left"/>
        <w:rPr>
          <w:rFonts w:ascii="宋体" w:hAnsi="宋体" w:cs="宋体" w:eastAsia="宋体" w:hint="default"/>
          <w:sz w:val="18"/>
          <w:szCs w:val="18"/>
        </w:rPr>
      </w:pPr>
      <w:r>
        <w:rPr>
          <w:rFonts w:ascii="宋体" w:hAnsi="宋体" w:cs="宋体" w:eastAsia="宋体" w:hint="default"/>
          <w:b/>
          <w:bCs/>
          <w:sz w:val="18"/>
          <w:szCs w:val="18"/>
        </w:rPr>
        <w:t>（二）董事会薪酬与考核委员会履职情况</w:t>
      </w:r>
      <w:r>
        <w:rPr>
          <w:rFonts w:ascii="宋体" w:hAnsi="宋体" w:cs="宋体" w:eastAsia="宋体" w:hint="default"/>
          <w:b/>
          <w:bCs/>
          <w:w w:val="99"/>
          <w:sz w:val="18"/>
          <w:szCs w:val="18"/>
        </w:rPr>
        <w:t> </w:t>
      </w:r>
      <w:r>
        <w:rPr>
          <w:rFonts w:ascii="宋体" w:hAnsi="宋体" w:cs="宋体" w:eastAsia="宋体" w:hint="default"/>
          <w:sz w:val="18"/>
          <w:szCs w:val="18"/>
        </w:rPr>
        <w:t>本年度薪酬与考核委员会对公司高级管理人员的工作情况进行了考核，并提出了奖励方案。</w:t>
      </w:r>
    </w:p>
    <w:p>
      <w:pPr>
        <w:spacing w:line="316" w:lineRule="auto" w:before="19"/>
        <w:ind w:left="514" w:right="1121" w:hanging="360"/>
        <w:jc w:val="left"/>
        <w:rPr>
          <w:rFonts w:ascii="宋体" w:hAnsi="宋体" w:cs="宋体" w:eastAsia="宋体" w:hint="default"/>
          <w:sz w:val="18"/>
          <w:szCs w:val="18"/>
        </w:rPr>
      </w:pPr>
      <w:r>
        <w:rPr>
          <w:rFonts w:ascii="宋体" w:hAnsi="宋体" w:cs="宋体" w:eastAsia="宋体" w:hint="default"/>
          <w:b/>
          <w:bCs/>
          <w:sz w:val="18"/>
          <w:szCs w:val="18"/>
        </w:rPr>
        <w:t>（三）董事会提名委员会履职情况</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报告期内，公司第五届董事会任期届满，董事会提名委员会对第六届董事会董事候选人任职资格进行了审议，并发表了</w:t>
      </w:r>
    </w:p>
    <w:p>
      <w:pPr>
        <w:pStyle w:val="BodyText"/>
        <w:spacing w:line="240" w:lineRule="auto" w:before="19"/>
        <w:ind w:right="1121"/>
        <w:jc w:val="left"/>
      </w:pPr>
      <w:r>
        <w:rPr/>
        <w:t>认可意见。第六届董事会成立后，董事会提名委员会对拟任的高级管理人员的任职资格进行了审议，并发表了认可意见。</w:t>
      </w:r>
    </w:p>
    <w:p>
      <w:pPr>
        <w:spacing w:line="240" w:lineRule="auto" w:before="2"/>
        <w:rPr>
          <w:rFonts w:ascii="宋体" w:hAnsi="宋体" w:cs="宋体" w:eastAsia="宋体" w:hint="default"/>
          <w:sz w:val="25"/>
          <w:szCs w:val="25"/>
        </w:rPr>
      </w:pPr>
    </w:p>
    <w:p>
      <w:pPr>
        <w:pStyle w:val="Heading2"/>
        <w:spacing w:line="240" w:lineRule="auto"/>
        <w:ind w:right="1121"/>
        <w:jc w:val="left"/>
        <w:rPr>
          <w:b w:val="0"/>
          <w:bCs w:val="0"/>
        </w:rPr>
      </w:pPr>
      <w:bookmarkStart w:name="七、监事会工作情况" w:id="141"/>
      <w:bookmarkEnd w:id="141"/>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1"/>
        <w:jc w:val="left"/>
      </w:pPr>
      <w:r>
        <w:rPr/>
        <w:t>监事会在报告期内的监督活动中发现公司是否存在风险</w:t>
      </w:r>
    </w:p>
    <w:p>
      <w:pPr>
        <w:pStyle w:val="BodyText"/>
        <w:spacing w:line="338" w:lineRule="auto" w:before="117"/>
        <w:ind w:right="76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1121"/>
        <w:jc w:val="left"/>
        <w:rPr>
          <w:b w:val="0"/>
          <w:bCs w:val="0"/>
        </w:rPr>
      </w:pPr>
      <w:bookmarkStart w:name="八、高级管理人员的考评及激励情况" w:id="142"/>
      <w:bookmarkEnd w:id="142"/>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1154" w:firstLine="345"/>
        <w:jc w:val="both"/>
      </w:pPr>
      <w:r>
        <w:rPr>
          <w:rFonts w:ascii="Times New Roman" w:hAnsi="Times New Roman" w:cs="Times New Roman" w:eastAsia="Times New Roman" w:hint="default"/>
        </w:rPr>
        <w:t>1</w:t>
      </w:r>
      <w:r>
        <w:rPr/>
        <w:t>、考评机制：公司董事会按年度对公司高级管理人员的业绩和履职情况进行考评，并根据工作业绩决定年度薪酬，以 考核结果作为下一年度的岗位安排、年薪档次、是否续聘及职位升降和下一届任免的依据。</w:t>
      </w:r>
    </w:p>
    <w:p>
      <w:pPr>
        <w:pStyle w:val="BodyText"/>
        <w:spacing w:line="309" w:lineRule="auto" w:before="68"/>
        <w:ind w:right="1131" w:firstLine="362"/>
        <w:jc w:val="both"/>
      </w:pPr>
      <w:r>
        <w:rPr>
          <w:rFonts w:ascii="Times New Roman" w:hAnsi="Times New Roman" w:cs="Times New Roman" w:eastAsia="Times New Roman" w:hint="default"/>
        </w:rPr>
        <w:t>2</w:t>
      </w:r>
      <w:r>
        <w:rPr/>
        <w:t>、激励机制：公司对高级管理人员实行年薪制，分为工资和奖金两部分。董事会根据公司近几年的经营状况和个人的 </w:t>
      </w:r>
      <w:r>
        <w:rPr>
          <w:spacing w:val="-2"/>
        </w:rPr>
        <w:t>岗位职责，确定年度工资额；每年年终董事会将根据高级管理人员本年度的工作业绩进行考评，并依据考评结果确定高管人</w:t>
      </w:r>
      <w:r>
        <w:rPr>
          <w:spacing w:val="-66"/>
        </w:rPr>
        <w:t> </w:t>
      </w:r>
      <w:r>
        <w:rPr>
          <w:spacing w:val="-66"/>
        </w:rPr>
      </w:r>
      <w:r>
        <w:rPr/>
        <w:t>员的奖金总额。</w:t>
      </w:r>
    </w:p>
    <w:p>
      <w:pPr>
        <w:spacing w:after="0" w:line="309" w:lineRule="auto"/>
        <w:jc w:val="both"/>
        <w:sectPr>
          <w:pgSz w:w="11910" w:h="16840"/>
          <w:pgMar w:header="747" w:footer="979" w:top="1060" w:bottom="1160" w:left="980" w:right="0"/>
        </w:sectPr>
      </w:pPr>
    </w:p>
    <w:p>
      <w:pPr>
        <w:spacing w:line="240" w:lineRule="auto" w:before="8"/>
        <w:rPr>
          <w:rFonts w:ascii="宋体" w:hAnsi="宋体" w:cs="宋体" w:eastAsia="宋体" w:hint="default"/>
          <w:sz w:val="23"/>
          <w:szCs w:val="23"/>
        </w:rPr>
      </w:pPr>
      <w:r>
        <w:rPr/>
        <w:pict>
          <v:shape style="position:absolute;margin-left:341.311005pt;margin-top:346.939972pt;width:193.6pt;height:31.2pt;mso-position-horizontal-relative:page;mso-position-vertical-relative:page;z-index:-706120" type="#_x0000_t202" filled="false" stroked="false">
            <v:textbox inset="0,0,0,0">
              <w:txbxContent>
                <w:p>
                  <w:pPr>
                    <w:pStyle w:val="BodyText"/>
                    <w:spacing w:line="240" w:lineRule="auto" w:before="51"/>
                    <w:ind w:left="0" w:right="0"/>
                    <w:jc w:val="left"/>
                  </w:pPr>
                  <w:r>
                    <w:rPr/>
                    <w:t>事、</w:t>
                  </w:r>
                </w:p>
              </w:txbxContent>
            </v:textbox>
            <w10:wrap type="none"/>
          </v:shape>
        </w:pict>
      </w:r>
      <w:r>
        <w:rPr/>
        <w:pict>
          <v:group style="position:absolute;margin-left:356.440002pt;margin-top:553.719971pt;width:178.5pt;height:31.2pt;mso-position-horizontal-relative:page;mso-position-vertical-relative:page;z-index:-706096" coordorigin="7129,11074" coordsize="3570,624">
            <v:shape style="position:absolute;left:7129;top:11074;width:3570;height:624" coordorigin="7129,11074" coordsize="3570,624" path="m7129,11698l10698,11698,10698,11074,7129,11074,7129,11698xe" filled="true" fillcolor="#ffffff" stroked="false">
              <v:path arrowok="t"/>
              <v:fill type="solid"/>
            </v:shape>
            <w10:wrap type="none"/>
          </v:group>
        </w:pict>
      </w:r>
      <w:r>
        <w:rPr/>
        <w:pict>
          <v:group style="position:absolute;margin-left:357.579987pt;margin-top:458.139984pt;width:176.2pt;height:15.6pt;mso-position-horizontal-relative:page;mso-position-vertical-relative:page;z-index:-706072" coordorigin="7152,9163" coordsize="3524,312">
            <v:shape style="position:absolute;left:7152;top:9163;width:3524;height:312" coordorigin="7152,9163" coordsize="3524,312" path="m7152,9475l10675,9475,10675,9163,7152,9163,7152,9475xe" filled="true" fillcolor="#ffffff" stroked="false">
              <v:path arrowok="t"/>
              <v:fill type="solid"/>
            </v:shape>
            <w10:wrap type="none"/>
          </v:group>
        </w:pict>
      </w:r>
      <w:r>
        <w:rPr/>
        <w:pict>
          <v:group style="position:absolute;margin-left:357.579987pt;margin-top:504.939972pt;width:176.2pt;height:15.6pt;mso-position-horizontal-relative:page;mso-position-vertical-relative:page;z-index:-706048" coordorigin="7152,10099" coordsize="3524,312">
            <v:shape style="position:absolute;left:7152;top:10099;width:3524;height:312" coordorigin="7152,10099" coordsize="3524,312" path="m7152,10411l10675,10411,10675,10099,7152,10099,7152,10411xe" filled="true" fillcolor="#ffffff" stroked="false">
              <v:path arrowok="t"/>
              <v:fill type="solid"/>
            </v:shape>
            <w10:wrap type="none"/>
          </v:group>
        </w:pict>
      </w:r>
      <w:r>
        <w:rPr/>
        <w:pict>
          <v:group style="position:absolute;margin-left:357.579987pt;margin-top:649.839966pt;width:176.2pt;height:15.6pt;mso-position-horizontal-relative:page;mso-position-vertical-relative:page;z-index:-706024" coordorigin="7152,12997" coordsize="3524,312">
            <v:shape style="position:absolute;left:7152;top:12997;width:3524;height:312" coordorigin="7152,12997" coordsize="3524,312" path="m7152,13309l10675,13309,10675,12997,7152,12997,7152,13309xe" filled="true" fillcolor="#ffffff" stroked="false">
              <v:path arrowok="t"/>
              <v:fill type="solid"/>
            </v:shape>
            <w10:wrap type="none"/>
          </v:group>
        </w:pict>
      </w:r>
    </w:p>
    <w:p>
      <w:pPr>
        <w:pStyle w:val="Heading2"/>
        <w:spacing w:line="240" w:lineRule="auto" w:before="26"/>
        <w:ind w:right="1121"/>
        <w:jc w:val="left"/>
        <w:rPr>
          <w:b w:val="0"/>
          <w:bCs w:val="0"/>
        </w:rPr>
      </w:pPr>
      <w:bookmarkStart w:name="九、内部控制评价报告" w:id="143"/>
      <w:bookmarkEnd w:id="143"/>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1"/>
        <w:jc w:val="left"/>
        <w:rPr>
          <w:b w:val="0"/>
          <w:bCs w:val="0"/>
        </w:rPr>
      </w:pPr>
      <w:bookmarkStart w:name="1、报告期内发现的内部控制重大缺陷的具体情况" w:id="144"/>
      <w:bookmarkEnd w:id="144"/>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1121"/>
        <w:jc w:val="left"/>
        <w:rPr>
          <w:b w:val="0"/>
          <w:bCs w:val="0"/>
        </w:rPr>
      </w:pPr>
      <w:bookmarkStart w:name="2、内控自我评价报告" w:id="145"/>
      <w:bookmarkEnd w:id="145"/>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410"/>
        <w:gridCol w:w="773"/>
        <w:gridCol w:w="2807"/>
        <w:gridCol w:w="3579"/>
      </w:tblGrid>
      <w:tr>
        <w:trPr>
          <w:trHeight w:val="402" w:hRule="exact"/>
        </w:trPr>
        <w:tc>
          <w:tcPr>
            <w:tcW w:w="31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请见在巨潮资讯网披露的《内部控制自我评价报告》</w:t>
            </w:r>
          </w:p>
        </w:tc>
      </w:tr>
      <w:tr>
        <w:trPr>
          <w:trHeight w:val="714" w:hRule="exact"/>
        </w:trPr>
        <w:tc>
          <w:tcPr>
            <w:tcW w:w="31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8"/>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8"/>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5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190" w:hRule="exact"/>
        </w:trPr>
        <w:tc>
          <w:tcPr>
            <w:tcW w:w="2410"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0" w:type="dxa"/>
            <w:gridSpan w:val="2"/>
            <w:vMerge w:val="restart"/>
            <w:tcBorders>
              <w:top w:val="single" w:sz="4" w:space="0" w:color="000000"/>
              <w:left w:val="single" w:sz="9" w:space="0" w:color="D2D2D2"/>
              <w:right w:val="single" w:sz="9" w:space="0" w:color="FFFFFF"/>
            </w:tcBorders>
          </w:tcPr>
          <w:p>
            <w:pPr>
              <w:pStyle w:val="TableParagraph"/>
              <w:spacing w:line="304" w:lineRule="auto" w:before="52"/>
              <w:ind w:left="17" w:right="-39"/>
              <w:jc w:val="left"/>
              <w:rPr>
                <w:rFonts w:ascii="宋体" w:hAnsi="宋体" w:cs="宋体" w:eastAsia="宋体" w:hint="default"/>
                <w:sz w:val="18"/>
                <w:szCs w:val="18"/>
              </w:rPr>
            </w:pPr>
            <w:r>
              <w:rPr>
                <w:rFonts w:ascii="宋体" w:hAnsi="宋体" w:cs="宋体" w:eastAsia="宋体" w:hint="default"/>
                <w:spacing w:val="-13"/>
                <w:sz w:val="18"/>
                <w:szCs w:val="18"/>
              </w:rPr>
              <w:t>财务报告重大缺陷的迹象包括：（</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）公司董</w:t>
            </w:r>
            <w:r>
              <w:rPr>
                <w:rFonts w:ascii="宋体" w:hAnsi="宋体" w:cs="宋体" w:eastAsia="宋体" w:hint="default"/>
                <w:sz w:val="18"/>
                <w:szCs w:val="18"/>
              </w:rPr>
              <w:t> </w:t>
            </w:r>
            <w:r>
              <w:rPr>
                <w:rFonts w:ascii="宋体" w:hAnsi="宋体" w:cs="宋体" w:eastAsia="宋体" w:hint="default"/>
                <w:spacing w:val="-9"/>
                <w:sz w:val="18"/>
                <w:szCs w:val="18"/>
              </w:rPr>
              <w:t>监事和高级管理人员的舞弊行为；（</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）公司更</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8"/>
                <w:sz w:val="18"/>
                <w:szCs w:val="18"/>
              </w:rPr>
              <w:t>正已公布的财务报告；（</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）注册会计师发现的</w:t>
            </w:r>
            <w:r>
              <w:rPr>
                <w:rFonts w:ascii="宋体" w:hAnsi="宋体" w:cs="宋体" w:eastAsia="宋体" w:hint="default"/>
                <w:sz w:val="18"/>
                <w:szCs w:val="18"/>
              </w:rPr>
              <w:t> 却未被公司内部控制识别的当期财务报告中 </w:t>
            </w:r>
            <w:r>
              <w:rPr>
                <w:rFonts w:ascii="宋体" w:hAnsi="宋体" w:cs="宋体" w:eastAsia="宋体" w:hint="default"/>
                <w:spacing w:val="-9"/>
                <w:sz w:val="18"/>
                <w:szCs w:val="18"/>
              </w:rPr>
              <w:t>的重大错报；（</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）审计委员会和审计部门对公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司的对外财务报告和财务报告内部控制监督 </w:t>
            </w:r>
            <w:r>
              <w:rPr>
                <w:rFonts w:ascii="宋体" w:hAnsi="宋体" w:cs="宋体" w:eastAsia="宋体" w:hint="default"/>
                <w:spacing w:val="-10"/>
                <w:sz w:val="18"/>
                <w:szCs w:val="18"/>
              </w:rPr>
              <w:t>无效。财务报告重要缺陷的迹象包括：（</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）未</w:t>
            </w:r>
            <w:r>
              <w:rPr>
                <w:rFonts w:ascii="宋体" w:hAnsi="宋体" w:cs="宋体" w:eastAsia="宋体" w:hint="default"/>
                <w:spacing w:val="-76"/>
                <w:sz w:val="18"/>
                <w:szCs w:val="18"/>
              </w:rPr>
              <w:t> </w:t>
            </w:r>
            <w:r>
              <w:rPr>
                <w:rFonts w:ascii="宋体" w:hAnsi="宋体" w:cs="宋体" w:eastAsia="宋体" w:hint="default"/>
                <w:spacing w:val="-6"/>
                <w:sz w:val="18"/>
                <w:szCs w:val="18"/>
              </w:rPr>
              <w:t>依照公认会计准则选择和应用会计政策；（</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w:t>
            </w:r>
            <w:r>
              <w:rPr>
                <w:rFonts w:ascii="宋体" w:hAnsi="宋体" w:cs="宋体" w:eastAsia="宋体" w:hint="default"/>
                <w:spacing w:val="-76"/>
                <w:sz w:val="18"/>
                <w:szCs w:val="18"/>
              </w:rPr>
              <w:t> </w:t>
            </w:r>
            <w:r>
              <w:rPr>
                <w:rFonts w:ascii="宋体" w:hAnsi="宋体" w:cs="宋体" w:eastAsia="宋体" w:hint="default"/>
                <w:spacing w:val="-8"/>
                <w:sz w:val="18"/>
                <w:szCs w:val="18"/>
              </w:rPr>
              <w:t>未建立反舞弊程序和控制措施；（</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）对于非常</w:t>
            </w:r>
            <w:r>
              <w:rPr>
                <w:rFonts w:ascii="宋体" w:hAnsi="宋体" w:cs="宋体" w:eastAsia="宋体" w:hint="default"/>
                <w:sz w:val="18"/>
                <w:szCs w:val="18"/>
              </w:rPr>
              <w:t> 规或特殊交易的账务处理没有建立相应的控 </w:t>
            </w:r>
            <w:r>
              <w:rPr>
                <w:rFonts w:ascii="宋体" w:hAnsi="宋体" w:cs="宋体" w:eastAsia="宋体" w:hint="default"/>
                <w:spacing w:val="-2"/>
                <w:sz w:val="18"/>
                <w:szCs w:val="18"/>
              </w:rPr>
              <w:t>制机制或没有实施且没有相应的补偿性控制；</w:t>
            </w:r>
            <w:r>
              <w:rPr>
                <w:rFonts w:ascii="宋体" w:hAnsi="宋体" w:cs="宋体" w:eastAsia="宋体" w:hint="default"/>
                <w:sz w:val="18"/>
                <w:szCs w:val="18"/>
              </w:rPr>
            </w:r>
          </w:p>
          <w:p>
            <w:pPr>
              <w:pStyle w:val="TableParagraph"/>
              <w:spacing w:line="312" w:lineRule="auto" w:before="28"/>
              <w:ind w:left="17" w:right="2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）对于期末财务报告过程的控制存在一项 或多项缺陷且不能合理保证编制的财务报表 达到真实、完整的目标。 一般缺陷是指除上 述重大缺陷、重要缺陷之外的其他控制缺陷</w:t>
            </w:r>
          </w:p>
        </w:tc>
        <w:tc>
          <w:tcPr>
            <w:tcW w:w="3579" w:type="dxa"/>
            <w:vMerge w:val="restart"/>
            <w:tcBorders>
              <w:top w:val="single" w:sz="4" w:space="0" w:color="000000"/>
              <w:left w:val="single" w:sz="9" w:space="0" w:color="FFFFFF"/>
              <w:right w:val="single" w:sz="4" w:space="0" w:color="000000"/>
            </w:tcBorders>
          </w:tcPr>
          <w:p>
            <w:pPr>
              <w:pStyle w:val="TableParagraph"/>
              <w:spacing w:line="624" w:lineRule="exact"/>
              <w:ind w:left="-7"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178.5pt;height:31.2pt;mso-position-horizontal-relative:char;mso-position-vertical-relative:line" coordorigin="0,0" coordsize="3570,624">
                  <v:group style="position:absolute;left:0;top:0;width:3570;height:624" coordorigin="0,0" coordsize="3570,624">
                    <v:shape style="position:absolute;left:0;top:0;width:3570;height:624" coordorigin="0,0" coordsize="3570,624" path="m0,624l3569,624,3569,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304" w:lineRule="auto" w:before="51"/>
              <w:ind w:left="16" w:right="20"/>
              <w:jc w:val="both"/>
              <w:rPr>
                <w:rFonts w:ascii="宋体" w:hAnsi="宋体" w:cs="宋体" w:eastAsia="宋体" w:hint="default"/>
                <w:sz w:val="18"/>
                <w:szCs w:val="18"/>
              </w:rPr>
            </w:pPr>
            <w:r>
              <w:rPr>
                <w:rFonts w:ascii="宋体" w:hAnsi="宋体" w:cs="宋体" w:eastAsia="宋体" w:hint="default"/>
                <w:sz w:val="18"/>
                <w:szCs w:val="18"/>
              </w:rPr>
              <w:t>非财务报告重大缺陷的迹象包括：</w:t>
            </w:r>
            <w:r>
              <w:rPr>
                <w:rFonts w:ascii="宋体" w:hAnsi="宋体" w:cs="宋体" w:eastAsia="宋体" w:hint="default"/>
                <w:spacing w:val="-49"/>
                <w:sz w:val="18"/>
                <w:szCs w:val="18"/>
              </w:rPr>
              <w:t> </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）违反</w:t>
            </w:r>
            <w:r>
              <w:rPr>
                <w:rFonts w:ascii="宋体" w:hAnsi="宋体" w:cs="宋体" w:eastAsia="宋体" w:hint="default"/>
                <w:sz w:val="18"/>
                <w:szCs w:val="18"/>
              </w:rPr>
              <w:t> 国家法律、法规或规范性文件；</w:t>
            </w:r>
            <w:r>
              <w:rPr>
                <w:rFonts w:ascii="宋体" w:hAnsi="宋体" w:cs="宋体" w:eastAsia="宋体" w:hint="default"/>
                <w:spacing w:val="-50"/>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）决策程</w:t>
            </w:r>
            <w:r>
              <w:rPr>
                <w:rFonts w:ascii="宋体" w:hAnsi="宋体" w:cs="宋体" w:eastAsia="宋体" w:hint="default"/>
                <w:sz w:val="18"/>
                <w:szCs w:val="18"/>
              </w:rPr>
              <w:t> 序不科学导致重大决策失误；</w:t>
            </w:r>
            <w:r>
              <w:rPr>
                <w:rFonts w:ascii="宋体" w:hAnsi="宋体" w:cs="宋体" w:eastAsia="宋体" w:hint="default"/>
                <w:spacing w:val="-50"/>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）重要业务</w:t>
            </w:r>
            <w:r>
              <w:rPr>
                <w:rFonts w:ascii="宋体" w:hAnsi="宋体" w:cs="宋体" w:eastAsia="宋体" w:hint="default"/>
                <w:sz w:val="18"/>
                <w:szCs w:val="18"/>
              </w:rPr>
              <w:t> 制度性缺失或系统性失效；</w:t>
            </w:r>
            <w:r>
              <w:rPr>
                <w:rFonts w:ascii="宋体" w:hAnsi="宋体" w:cs="宋体" w:eastAsia="宋体" w:hint="default"/>
                <w:spacing w:val="-48"/>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）重大或重要</w:t>
            </w:r>
            <w:r>
              <w:rPr>
                <w:rFonts w:ascii="宋体" w:hAnsi="宋体" w:cs="宋体" w:eastAsia="宋体" w:hint="default"/>
                <w:sz w:val="18"/>
                <w:szCs w:val="18"/>
              </w:rPr>
              <w:t> 缺陷不能得到有效整改；</w:t>
            </w:r>
            <w:r>
              <w:rPr>
                <w:rFonts w:ascii="宋体" w:hAnsi="宋体" w:cs="宋体" w:eastAsia="宋体" w:hint="default"/>
                <w:spacing w:val="-35"/>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）安全、环保事</w:t>
            </w:r>
            <w:r>
              <w:rPr>
                <w:rFonts w:ascii="宋体" w:hAnsi="宋体" w:cs="宋体" w:eastAsia="宋体" w:hint="default"/>
                <w:sz w:val="18"/>
                <w:szCs w:val="18"/>
              </w:rPr>
              <w:t> 故对公司造成重大负面影响的情形。 非财务 </w:t>
            </w:r>
            <w:r>
              <w:rPr>
                <w:rFonts w:ascii="宋体" w:hAnsi="宋体" w:cs="宋体" w:eastAsia="宋体" w:hint="default"/>
                <w:spacing w:val="-8"/>
                <w:sz w:val="18"/>
                <w:szCs w:val="18"/>
              </w:rPr>
              <w:t>报告内部控制重要缺陷包括：（</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）重要业务制</w:t>
            </w:r>
            <w:r>
              <w:rPr>
                <w:rFonts w:ascii="宋体" w:hAnsi="宋体" w:cs="宋体" w:eastAsia="宋体" w:hint="default"/>
                <w:sz w:val="18"/>
                <w:szCs w:val="18"/>
              </w:rPr>
              <w:t> </w:t>
            </w:r>
            <w:r>
              <w:rPr>
                <w:rFonts w:ascii="宋体" w:hAnsi="宋体" w:cs="宋体" w:eastAsia="宋体" w:hint="default"/>
                <w:spacing w:val="-8"/>
                <w:sz w:val="18"/>
                <w:szCs w:val="18"/>
              </w:rPr>
              <w:t>度或系统存在的缺陷；（</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）内部控制内部监督</w:t>
            </w:r>
            <w:r>
              <w:rPr>
                <w:rFonts w:ascii="宋体" w:hAnsi="宋体" w:cs="宋体" w:eastAsia="宋体" w:hint="default"/>
                <w:sz w:val="18"/>
                <w:szCs w:val="18"/>
              </w:rPr>
              <w:t> </w:t>
            </w:r>
            <w:r>
              <w:rPr>
                <w:rFonts w:ascii="宋体" w:hAnsi="宋体" w:cs="宋体" w:eastAsia="宋体" w:hint="default"/>
                <w:spacing w:val="-8"/>
                <w:sz w:val="18"/>
                <w:szCs w:val="18"/>
              </w:rPr>
              <w:t>发现的重要缺陷未及时整改；（</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）重要业务系</w:t>
            </w:r>
            <w:r>
              <w:rPr>
                <w:rFonts w:ascii="宋体" w:hAnsi="宋体" w:cs="宋体" w:eastAsia="宋体" w:hint="default"/>
                <w:sz w:val="18"/>
                <w:szCs w:val="18"/>
              </w:rPr>
              <w:t> </w:t>
            </w:r>
            <w:r>
              <w:rPr>
                <w:rFonts w:ascii="宋体" w:hAnsi="宋体" w:cs="宋体" w:eastAsia="宋体" w:hint="default"/>
                <w:spacing w:val="-4"/>
                <w:sz w:val="18"/>
                <w:szCs w:val="18"/>
              </w:rPr>
              <w:t>统运转效率低下。非财务报告内部控制一般缺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陷：一般业务制度或系统存在缺陷。</w:t>
            </w:r>
          </w:p>
          <w:p>
            <w:pPr>
              <w:pStyle w:val="TableParagraph"/>
              <w:spacing w:line="240" w:lineRule="auto" w:before="13"/>
              <w:ind w:right="0"/>
              <w:jc w:val="left"/>
              <w:rPr>
                <w:rFonts w:ascii="宋体" w:hAnsi="宋体" w:cs="宋体" w:eastAsia="宋体" w:hint="default"/>
                <w:b/>
                <w:bCs/>
                <w:sz w:val="25"/>
                <w:szCs w:val="2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91" w:hRule="exact"/>
        </w:trPr>
        <w:tc>
          <w:tcPr>
            <w:tcW w:w="24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580" w:type="dxa"/>
            <w:gridSpan w:val="2"/>
            <w:vMerge/>
            <w:tcBorders>
              <w:left w:val="single" w:sz="9" w:space="0" w:color="D2D2D2"/>
              <w:right w:val="single" w:sz="9" w:space="0" w:color="FFFFFF"/>
            </w:tcBorders>
          </w:tcPr>
          <w:p>
            <w:pPr/>
          </w:p>
        </w:tc>
        <w:tc>
          <w:tcPr>
            <w:tcW w:w="3579" w:type="dxa"/>
            <w:vMerge/>
            <w:tcBorders>
              <w:left w:val="single" w:sz="9" w:space="0" w:color="FFFFFF"/>
              <w:right w:val="single" w:sz="4" w:space="0" w:color="000000"/>
            </w:tcBorders>
          </w:tcPr>
          <w:p>
            <w:pPr/>
          </w:p>
        </w:tc>
      </w:tr>
      <w:tr>
        <w:trPr>
          <w:trHeight w:val="2189" w:hRule="exact"/>
        </w:trPr>
        <w:tc>
          <w:tcPr>
            <w:tcW w:w="2410" w:type="dxa"/>
            <w:tcBorders>
              <w:top w:val="nil" w:sz="6" w:space="0" w:color="auto"/>
              <w:left w:val="single" w:sz="4" w:space="0" w:color="000000"/>
              <w:bottom w:val="single" w:sz="4" w:space="0" w:color="000000"/>
              <w:right w:val="single" w:sz="4" w:space="0" w:color="000000"/>
            </w:tcBorders>
            <w:shd w:val="clear" w:color="auto" w:fill="D2D2D2"/>
          </w:tcPr>
          <w:p>
            <w:pPr/>
          </w:p>
        </w:tc>
        <w:tc>
          <w:tcPr>
            <w:tcW w:w="3580" w:type="dxa"/>
            <w:gridSpan w:val="2"/>
            <w:vMerge/>
            <w:tcBorders>
              <w:left w:val="single" w:sz="9" w:space="0" w:color="D2D2D2"/>
              <w:bottom w:val="single" w:sz="4" w:space="0" w:color="000000"/>
              <w:right w:val="single" w:sz="9" w:space="0" w:color="FFFFFF"/>
            </w:tcBorders>
          </w:tcPr>
          <w:p>
            <w:pPr/>
          </w:p>
        </w:tc>
        <w:tc>
          <w:tcPr>
            <w:tcW w:w="3579" w:type="dxa"/>
            <w:vMerge/>
            <w:tcBorders>
              <w:left w:val="single" w:sz="9" w:space="0" w:color="FFFFFF"/>
              <w:bottom w:val="single" w:sz="4" w:space="0" w:color="000000"/>
              <w:right w:val="single" w:sz="4" w:space="0" w:color="000000"/>
            </w:tcBorders>
          </w:tcPr>
          <w:p>
            <w:pPr/>
          </w:p>
        </w:tc>
      </w:tr>
      <w:tr>
        <w:trPr>
          <w:trHeight w:val="1546" w:hRule="exact"/>
        </w:trPr>
        <w:tc>
          <w:tcPr>
            <w:tcW w:w="2410"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0" w:type="dxa"/>
            <w:gridSpan w:val="2"/>
            <w:vMerge w:val="restart"/>
            <w:tcBorders>
              <w:top w:val="single" w:sz="4" w:space="0" w:color="000000"/>
              <w:left w:val="single" w:sz="9" w:space="0" w:color="D2D2D2"/>
              <w:right w:val="single" w:sz="9" w:space="0" w:color="FFFFFF"/>
            </w:tcBorders>
          </w:tcPr>
          <w:p>
            <w:pPr>
              <w:pStyle w:val="TableParagraph"/>
              <w:spacing w:line="312" w:lineRule="auto" w:before="52"/>
              <w:ind w:left="17" w:right="-39"/>
              <w:jc w:val="left"/>
              <w:rPr>
                <w:rFonts w:ascii="宋体" w:hAnsi="宋体" w:cs="宋体" w:eastAsia="宋体" w:hint="default"/>
                <w:sz w:val="18"/>
                <w:szCs w:val="18"/>
              </w:rPr>
            </w:pPr>
            <w:r>
              <w:rPr>
                <w:rFonts w:ascii="宋体" w:hAnsi="宋体" w:cs="宋体" w:eastAsia="宋体" w:hint="default"/>
                <w:sz w:val="18"/>
                <w:szCs w:val="18"/>
              </w:rPr>
              <w:t>内部控制缺陷可能导致或导致的损失与利润 </w:t>
            </w:r>
            <w:r>
              <w:rPr>
                <w:rFonts w:ascii="宋体" w:hAnsi="宋体" w:cs="宋体" w:eastAsia="宋体" w:hint="default"/>
                <w:spacing w:val="-4"/>
                <w:sz w:val="18"/>
                <w:szCs w:val="18"/>
              </w:rPr>
              <w:t>表相关的，以营业收入指标衡量。如果该缺陷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单独或连同其他缺陷可能导致的财务报告错 报金额小于营业收入的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 缺陷；如果超过营业收入的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60"/>
                <w:sz w:val="18"/>
                <w:szCs w:val="18"/>
              </w:rPr>
              <w:t> </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w:t>
            </w:r>
            <w:r>
              <w:rPr>
                <w:rFonts w:ascii="宋体" w:hAnsi="宋体" w:cs="宋体" w:eastAsia="宋体" w:hint="default"/>
                <w:spacing w:val="-35"/>
                <w:sz w:val="18"/>
                <w:szCs w:val="18"/>
              </w:rPr>
              <w:t> </w:t>
            </w:r>
            <w:r>
              <w:rPr>
                <w:rFonts w:ascii="宋体" w:hAnsi="宋体" w:cs="宋体" w:eastAsia="宋体" w:hint="default"/>
                <w:sz w:val="18"/>
                <w:szCs w:val="18"/>
              </w:rPr>
              <w:t>则为重要缺陷；如果超过营业收入的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 </w:t>
            </w:r>
            <w:r>
              <w:rPr>
                <w:rFonts w:ascii="宋体" w:hAnsi="宋体" w:cs="宋体" w:eastAsia="宋体" w:hint="default"/>
                <w:spacing w:val="-4"/>
                <w:sz w:val="18"/>
                <w:szCs w:val="18"/>
              </w:rPr>
              <w:t>认定为重大缺陷。内部控制缺陷可能导致或导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致的损失与资产管理相关的，以资产总额指标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衡量。如果该缺陷单独或连同其他缺陷可能导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致的财务报告错报金额小于资产总额的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，则认定为一般缺陷；如果超过资产总</w:t>
            </w:r>
          </w:p>
        </w:tc>
        <w:tc>
          <w:tcPr>
            <w:tcW w:w="3579" w:type="dxa"/>
            <w:vMerge w:val="restart"/>
            <w:tcBorders>
              <w:top w:val="single" w:sz="4" w:space="0" w:color="000000"/>
              <w:left w:val="single" w:sz="9" w:space="0" w:color="FFFFFF"/>
              <w:right w:val="single" w:sz="4" w:space="0" w:color="000000"/>
            </w:tcBorders>
          </w:tcPr>
          <w:p>
            <w:pPr>
              <w:pStyle w:val="TableParagraph"/>
              <w:spacing w:line="312" w:lineRule="auto" w:before="52"/>
              <w:ind w:left="16" w:right="21"/>
              <w:jc w:val="left"/>
              <w:rPr>
                <w:rFonts w:ascii="宋体" w:hAnsi="宋体" w:cs="宋体" w:eastAsia="宋体" w:hint="default"/>
                <w:sz w:val="18"/>
                <w:szCs w:val="18"/>
              </w:rPr>
            </w:pPr>
            <w:r>
              <w:rPr>
                <w:rFonts w:ascii="宋体" w:hAnsi="宋体" w:cs="宋体" w:eastAsia="宋体" w:hint="default"/>
                <w:sz w:val="18"/>
                <w:szCs w:val="18"/>
              </w:rPr>
              <w:t>内部控制缺陷可能导致或导致的损失与利润 </w:t>
            </w:r>
            <w:r>
              <w:rPr>
                <w:rFonts w:ascii="宋体" w:hAnsi="宋体" w:cs="宋体" w:eastAsia="宋体" w:hint="default"/>
                <w:spacing w:val="-4"/>
                <w:sz w:val="18"/>
                <w:szCs w:val="18"/>
              </w:rPr>
              <w:t>报表相关的，以营业收入指标衡量。如果该缺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陷单独或连同其他缺陷可能导致的财务报告 错报金额小于营业收入的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 </w:t>
            </w:r>
            <w:r>
              <w:rPr>
                <w:rFonts w:ascii="宋体" w:hAnsi="宋体" w:cs="宋体" w:eastAsia="宋体" w:hint="default"/>
                <w:spacing w:val="-5"/>
                <w:sz w:val="18"/>
                <w:szCs w:val="18"/>
              </w:rPr>
              <w:t>般缺陷；如果超过营业收入的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pacing w:val="-4"/>
                <w:sz w:val="18"/>
                <w:szCs w:val="18"/>
              </w:rPr>
              <w:t>认定为重要缺陷；如果超过税前利润营业收入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，则认定为重大缺陷。内部控制缺陷可 </w:t>
            </w:r>
            <w:r>
              <w:rPr>
                <w:rFonts w:ascii="宋体" w:hAnsi="宋体" w:cs="宋体" w:eastAsia="宋体" w:hint="default"/>
                <w:spacing w:val="-4"/>
                <w:sz w:val="18"/>
                <w:szCs w:val="18"/>
              </w:rPr>
              <w:t>能导致或导致的损失与资产管理相关的，以资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产总额指标衡量。如果该缺陷单独或连同其他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缺陷可能导致的财务报告错报金额小于资产 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，则认定为一般缺陷；如果超过</w:t>
            </w:r>
          </w:p>
        </w:tc>
      </w:tr>
      <w:tr>
        <w:trPr>
          <w:trHeight w:val="391" w:hRule="exact"/>
        </w:trPr>
        <w:tc>
          <w:tcPr>
            <w:tcW w:w="24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580" w:type="dxa"/>
            <w:gridSpan w:val="2"/>
            <w:vMerge/>
            <w:tcBorders>
              <w:left w:val="single" w:sz="9" w:space="0" w:color="D2D2D2"/>
              <w:right w:val="single" w:sz="9" w:space="0" w:color="FFFFFF"/>
            </w:tcBorders>
          </w:tcPr>
          <w:p>
            <w:pPr/>
          </w:p>
        </w:tc>
        <w:tc>
          <w:tcPr>
            <w:tcW w:w="3579" w:type="dxa"/>
            <w:vMerge/>
            <w:tcBorders>
              <w:left w:val="single" w:sz="9" w:space="0" w:color="FFFFFF"/>
              <w:right w:val="single" w:sz="4" w:space="0" w:color="000000"/>
            </w:tcBorders>
          </w:tcPr>
          <w:p>
            <w:pPr/>
          </w:p>
        </w:tc>
      </w:tr>
      <w:tr>
        <w:trPr>
          <w:trHeight w:val="1546" w:hRule="exact"/>
        </w:trPr>
        <w:tc>
          <w:tcPr>
            <w:tcW w:w="2410" w:type="dxa"/>
            <w:tcBorders>
              <w:top w:val="nil" w:sz="6" w:space="0" w:color="auto"/>
              <w:left w:val="single" w:sz="4" w:space="0" w:color="000000"/>
              <w:bottom w:val="single" w:sz="4" w:space="0" w:color="000000"/>
              <w:right w:val="single" w:sz="4" w:space="0" w:color="000000"/>
            </w:tcBorders>
            <w:shd w:val="clear" w:color="auto" w:fill="D2D2D2"/>
          </w:tcPr>
          <w:p>
            <w:pPr/>
          </w:p>
        </w:tc>
        <w:tc>
          <w:tcPr>
            <w:tcW w:w="3580" w:type="dxa"/>
            <w:gridSpan w:val="2"/>
            <w:vMerge/>
            <w:tcBorders>
              <w:left w:val="single" w:sz="9" w:space="0" w:color="D2D2D2"/>
              <w:bottom w:val="single" w:sz="4" w:space="0" w:color="000000"/>
              <w:right w:val="single" w:sz="9" w:space="0" w:color="FFFFFF"/>
            </w:tcBorders>
          </w:tcPr>
          <w:p>
            <w:pPr/>
          </w:p>
        </w:tc>
        <w:tc>
          <w:tcPr>
            <w:tcW w:w="3579" w:type="dxa"/>
            <w:vMerge/>
            <w:tcBorders>
              <w:left w:val="single" w:sz="9" w:space="0" w:color="FFFFFF"/>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8"/>
        <w:rPr>
          <w:rFonts w:ascii="宋体" w:hAnsi="宋体" w:cs="宋体" w:eastAsia="宋体" w:hint="default"/>
          <w:b/>
          <w:bCs/>
          <w:sz w:val="26"/>
          <w:szCs w:val="26"/>
        </w:rPr>
      </w:pPr>
    </w:p>
    <w:p>
      <w:pPr>
        <w:pStyle w:val="BodyText"/>
        <w:spacing w:line="240" w:lineRule="auto" w:before="44"/>
        <w:ind w:left="0" w:right="1140"/>
        <w:jc w:val="right"/>
      </w:pPr>
      <w:r>
        <w:rPr/>
        <w:pict>
          <v:shape style="position:absolute;margin-left:56.459999pt;margin-top:1.191743pt;width:479.2pt;height:114.6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10"/>
                    <w:gridCol w:w="3580"/>
                    <w:gridCol w:w="3579"/>
                  </w:tblGrid>
                  <w:tr>
                    <w:trPr>
                      <w:trHeight w:val="67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3" w:right="22"/>
                          <w:jc w:val="left"/>
                          <w:rPr>
                            <w:rFonts w:ascii="宋体" w:hAnsi="宋体" w:cs="宋体" w:eastAsia="宋体" w:hint="default"/>
                            <w:sz w:val="18"/>
                            <w:szCs w:val="18"/>
                          </w:rPr>
                        </w:pPr>
                        <w:r>
                          <w:rPr>
                            <w:rFonts w:ascii="宋体" w:hAnsi="宋体" w:cs="宋体" w:eastAsia="宋体" w:hint="default"/>
                            <w:sz w:val="18"/>
                            <w:szCs w:val="18"/>
                          </w:rPr>
                          <w:t>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认定为重要缺陷；如果超</w:t>
                        </w:r>
                        <w:r>
                          <w:rPr>
                            <w:rFonts w:ascii="宋体" w:hAnsi="宋体" w:cs="宋体" w:eastAsia="宋体" w:hint="default"/>
                            <w:sz w:val="18"/>
                            <w:szCs w:val="18"/>
                          </w:rPr>
                          <w:t> 过资产总额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w:t>
                        </w:r>
                      </w:p>
                    </w:tc>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19"/>
                          <w:jc w:val="left"/>
                          <w:rPr>
                            <w:rFonts w:ascii="宋体" w:hAnsi="宋体" w:cs="宋体" w:eastAsia="宋体" w:hint="default"/>
                            <w:sz w:val="18"/>
                            <w:szCs w:val="18"/>
                          </w:rPr>
                        </w:pPr>
                        <w:r>
                          <w:rPr>
                            <w:rFonts w:ascii="宋体" w:hAnsi="宋体" w:cs="宋体" w:eastAsia="宋体" w:hint="default"/>
                            <w:sz w:val="18"/>
                            <w:szCs w:val="18"/>
                          </w:rPr>
                          <w:t>资产总额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则认定为重要缺陷 如果超过资产总额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7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w:t>
                        </w:r>
                        <w:r>
                          <w:rPr>
                            <w:rFonts w:ascii="宋体" w:hAnsi="宋体" w:cs="宋体" w:eastAsia="宋体" w:hint="default"/>
                            <w:spacing w:val="-76"/>
                            <w:sz w:val="18"/>
                            <w:szCs w:val="18"/>
                          </w:rPr>
                          <w:t>量</w:t>
                        </w:r>
                        <w:r>
                          <w:rPr>
                            <w:rFonts w:ascii="宋体" w:hAnsi="宋体" w:cs="宋体" w:eastAsia="宋体" w:hint="default"/>
                            <w:sz w:val="18"/>
                            <w:szCs w:val="18"/>
                          </w:rPr>
                          <w:t>（个</w:t>
                        </w:r>
                      </w:p>
                    </w:tc>
                    <w:tc>
                      <w:tcPr>
                        <w:tcW w:w="3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35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7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w:t>
                        </w:r>
                        <w:r>
                          <w:rPr>
                            <w:rFonts w:ascii="宋体" w:hAnsi="宋体" w:cs="宋体" w:eastAsia="宋体" w:hint="default"/>
                            <w:spacing w:val="-76"/>
                            <w:sz w:val="18"/>
                            <w:szCs w:val="18"/>
                          </w:rPr>
                          <w:t>量</w:t>
                        </w:r>
                        <w:r>
                          <w:rPr>
                            <w:rFonts w:ascii="宋体" w:hAnsi="宋体" w:cs="宋体" w:eastAsia="宋体" w:hint="default"/>
                            <w:sz w:val="18"/>
                            <w:szCs w:val="18"/>
                          </w:rPr>
                          <w:t>（个</w:t>
                        </w:r>
                      </w:p>
                    </w:tc>
                    <w:tc>
                      <w:tcPr>
                        <w:tcW w:w="3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35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line="416" w:lineRule="exact"/>
        <w:ind w:left="256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356.35pt;height:20.85pt;mso-position-horizontal-relative:char;mso-position-vertical-relative:line" coordorigin="0,0" coordsize="7127,417">
            <v:group style="position:absolute;left:12;top:12;width:2;height:393" coordorigin="12,12" coordsize="2,393">
              <v:shape style="position:absolute;left:12;top:12;width:2;height:393" coordorigin="12,12" coordsize="0,393" path="m12,12l12,405e" filled="false" stroked="true" strokeweight="1.2pt" strokecolor="#ffffff">
                <v:path arrowok="t"/>
              </v:shape>
            </v:group>
            <v:group style="position:absolute;left:24;top:12;width:7103;height:393" coordorigin="24,12" coordsize="7103,393">
              <v:shape style="position:absolute;left:24;top:12;width:7103;height:393" coordorigin="24,12" coordsize="7103,393" path="m24,405l7126,405,7126,12,24,12,24,405xe" filled="true" fillcolor="#ffffff" stroked="false">
                <v:path arrowok="t"/>
                <v:fill type="solid"/>
              </v:shape>
            </v:group>
          </v:group>
        </w:pict>
      </w:r>
      <w:r>
        <w:rPr>
          <w:rFonts w:ascii="宋体" w:hAnsi="宋体" w:cs="宋体" w:eastAsia="宋体" w:hint="default"/>
          <w:position w:val="-7"/>
          <w:sz w:val="20"/>
          <w:szCs w:val="20"/>
        </w:rPr>
      </w:r>
    </w:p>
    <w:p>
      <w:pPr>
        <w:spacing w:line="240" w:lineRule="auto" w:before="9"/>
        <w:rPr>
          <w:rFonts w:ascii="宋体" w:hAnsi="宋体" w:cs="宋体" w:eastAsia="宋体" w:hint="default"/>
          <w:sz w:val="29"/>
          <w:szCs w:val="29"/>
        </w:rPr>
      </w:pPr>
    </w:p>
    <w:p>
      <w:pPr>
        <w:spacing w:line="416" w:lineRule="exact"/>
        <w:ind w:left="256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356.35pt;height:20.85pt;mso-position-horizontal-relative:char;mso-position-vertical-relative:line" coordorigin="0,0" coordsize="7127,417">
            <v:group style="position:absolute;left:12;top:12;width:2;height:393" coordorigin="12,12" coordsize="2,393">
              <v:shape style="position:absolute;left:12;top:12;width:2;height:393" coordorigin="12,12" coordsize="0,393" path="m12,12l12,404e" filled="false" stroked="true" strokeweight="1.2pt" strokecolor="#ffffff">
                <v:path arrowok="t"/>
              </v:shape>
            </v:group>
            <v:group style="position:absolute;left:24;top:12;width:7103;height:393" coordorigin="24,12" coordsize="7103,393">
              <v:shape style="position:absolute;left:24;top:12;width:7103;height:393" coordorigin="24,12" coordsize="7103,393" path="m24,404l7126,404,7126,12,24,12,24,404xe" filled="true" fillcolor="#ffffff" stroked="false">
                <v:path arrowok="t"/>
                <v:fill type="solid"/>
              </v:shape>
            </v:group>
          </v:group>
        </w:pict>
      </w:r>
      <w:r>
        <w:rPr>
          <w:rFonts w:ascii="宋体" w:hAnsi="宋体" w:cs="宋体" w:eastAsia="宋体" w:hint="default"/>
          <w:position w:val="-7"/>
          <w:sz w:val="20"/>
          <w:szCs w:val="20"/>
        </w:rPr>
      </w:r>
    </w:p>
    <w:p>
      <w:pPr>
        <w:spacing w:line="240" w:lineRule="auto" w:before="13"/>
        <w:rPr>
          <w:rFonts w:ascii="宋体" w:hAnsi="宋体" w:cs="宋体" w:eastAsia="宋体" w:hint="default"/>
          <w:sz w:val="17"/>
          <w:szCs w:val="17"/>
        </w:rPr>
      </w:pPr>
    </w:p>
    <w:p>
      <w:pPr>
        <w:pStyle w:val="Heading2"/>
        <w:spacing w:line="240" w:lineRule="auto" w:before="26"/>
        <w:ind w:right="1121"/>
        <w:jc w:val="left"/>
        <w:rPr>
          <w:b w:val="0"/>
          <w:bCs w:val="0"/>
        </w:rPr>
      </w:pPr>
      <w:bookmarkStart w:name="十、内部控制审计报告或鉴证报告" w:id="146"/>
      <w:bookmarkEnd w:id="146"/>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1"/>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我们认为，东港股份公司于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请见在巨潮资讯网披露的《内部控制鉴证报告》</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1121"/>
        <w:jc w:val="left"/>
      </w:pPr>
      <w:r>
        <w:rPr/>
        <w:t>会计师事务所是否出具非标准意见的内部控制鉴证报告</w:t>
      </w:r>
    </w:p>
    <w:p>
      <w:pPr>
        <w:pStyle w:val="BodyText"/>
        <w:spacing w:line="340" w:lineRule="auto" w:before="116"/>
        <w:ind w:right="46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0"/>
        <w:ind w:right="112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1121"/>
        <w:jc w:val="left"/>
        <w:rPr>
          <w:b w:val="0"/>
          <w:bCs w:val="0"/>
        </w:rPr>
      </w:pPr>
      <w:bookmarkStart w:name="第十节 公司债券相关情况" w:id="147"/>
      <w:bookmarkEnd w:id="147"/>
      <w:r>
        <w:rPr>
          <w:b w:val="0"/>
          <w:bCs w:val="0"/>
        </w:rPr>
      </w:r>
      <w:bookmarkStart w:name="_bookmark9" w:id="148"/>
      <w:bookmarkEnd w:id="148"/>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1121"/>
        <w:jc w:val="left"/>
        <w:rPr>
          <w:b w:val="0"/>
          <w:bCs w:val="0"/>
        </w:rPr>
      </w:pPr>
      <w:bookmarkStart w:name="第十一节 财务报告" w:id="149"/>
      <w:bookmarkEnd w:id="149"/>
      <w:r>
        <w:rPr>
          <w:b w:val="0"/>
          <w:bCs w:val="0"/>
        </w:rPr>
      </w:r>
      <w:bookmarkStart w:name="_bookmark10" w:id="150"/>
      <w:bookmarkEnd w:id="150"/>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21"/>
        <w:jc w:val="left"/>
        <w:rPr>
          <w:b w:val="0"/>
          <w:bCs w:val="0"/>
        </w:rPr>
      </w:pPr>
      <w:bookmarkStart w:name="一、审计报告" w:id="151"/>
      <w:bookmarkEnd w:id="151"/>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[2019]01570058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姜斌、安小梅</w:t>
            </w:r>
          </w:p>
        </w:tc>
      </w:tr>
    </w:tbl>
    <w:p>
      <w:pPr>
        <w:spacing w:line="240" w:lineRule="auto" w:before="11"/>
        <w:rPr>
          <w:rFonts w:ascii="宋体" w:hAnsi="宋体" w:cs="宋体" w:eastAsia="宋体" w:hint="default"/>
          <w:b/>
          <w:bCs/>
          <w:sz w:val="7"/>
          <w:szCs w:val="7"/>
        </w:rPr>
      </w:pPr>
    </w:p>
    <w:p>
      <w:pPr>
        <w:spacing w:before="7"/>
        <w:ind w:left="493" w:right="1469" w:firstLine="0"/>
        <w:jc w:val="center"/>
        <w:rPr>
          <w:rFonts w:ascii="宋体" w:hAnsi="宋体" w:cs="宋体" w:eastAsia="宋体" w:hint="default"/>
          <w:sz w:val="30"/>
          <w:szCs w:val="30"/>
        </w:rPr>
      </w:pPr>
      <w:r>
        <w:rPr>
          <w:rFonts w:ascii="宋体" w:hAnsi="宋体" w:cs="宋体" w:eastAsia="宋体" w:hint="default"/>
          <w:b/>
          <w:bCs/>
          <w:sz w:val="30"/>
          <w:szCs w:val="30"/>
        </w:rPr>
        <w:t>审计报告正文</w:t>
      </w:r>
      <w:r>
        <w:rPr>
          <w:rFonts w:ascii="宋体" w:hAnsi="宋体" w:cs="宋体" w:eastAsia="宋体" w:hint="default"/>
          <w:sz w:val="30"/>
          <w:szCs w:val="30"/>
        </w:rPr>
      </w:r>
    </w:p>
    <w:p>
      <w:pPr>
        <w:spacing w:line="240" w:lineRule="auto" w:before="8"/>
        <w:rPr>
          <w:rFonts w:ascii="宋体" w:hAnsi="宋体" w:cs="宋体" w:eastAsia="宋体" w:hint="default"/>
          <w:b/>
          <w:bCs/>
          <w:sz w:val="9"/>
          <w:szCs w:val="9"/>
        </w:rPr>
      </w:pPr>
    </w:p>
    <w:p>
      <w:pPr>
        <w:pStyle w:val="Heading4"/>
        <w:spacing w:line="240" w:lineRule="auto" w:before="44"/>
        <w:ind w:left="154" w:right="1121"/>
        <w:jc w:val="left"/>
        <w:rPr>
          <w:b w:val="0"/>
          <w:bCs w:val="0"/>
        </w:rPr>
      </w:pPr>
      <w:bookmarkStart w:name="东港股份有限公司全体股东：" w:id="152"/>
      <w:bookmarkEnd w:id="152"/>
      <w:r>
        <w:rPr>
          <w:b w:val="0"/>
          <w:bCs w:val="0"/>
        </w:rPr>
      </w:r>
      <w:r>
        <w:rPr/>
        <w:t>东港股份有限公司全体股东：</w:t>
      </w:r>
      <w:r>
        <w:rPr>
          <w:b w:val="0"/>
          <w:bCs w:val="0"/>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4"/>
          <w:szCs w:val="14"/>
        </w:rPr>
      </w:pPr>
    </w:p>
    <w:p>
      <w:pPr>
        <w:pStyle w:val="Heading4"/>
        <w:spacing w:line="240" w:lineRule="auto"/>
        <w:ind w:right="1121"/>
        <w:jc w:val="left"/>
        <w:rPr>
          <w:b w:val="0"/>
          <w:bCs w:val="0"/>
        </w:rPr>
      </w:pPr>
      <w:bookmarkStart w:name="一、审计意见" w:id="153"/>
      <w:bookmarkEnd w:id="153"/>
      <w:r>
        <w:rPr>
          <w:b w:val="0"/>
          <w:bCs w:val="0"/>
        </w:rPr>
      </w:r>
      <w:r>
        <w:rPr/>
        <w:t>一、审计意见</w:t>
      </w:r>
      <w:r>
        <w:rPr>
          <w:b w:val="0"/>
          <w:bCs w:val="0"/>
        </w:rPr>
      </w:r>
    </w:p>
    <w:p>
      <w:pPr>
        <w:pStyle w:val="BodyText"/>
        <w:spacing w:line="338" w:lineRule="auto" w:before="115"/>
        <w:ind w:right="1123" w:firstLine="360"/>
        <w:jc w:val="left"/>
      </w:pPr>
      <w:r>
        <w:rPr>
          <w:spacing w:val="-3"/>
        </w:rPr>
        <w:t>我们审计了东港股份有限公司（以下简称“东港股份公司”）财务报表，包括</w:t>
      </w:r>
      <w:r>
        <w:rPr>
          <w:spacing w:val="-40"/>
        </w:rPr>
        <w:t> </w:t>
      </w:r>
      <w:r>
        <w:rPr>
          <w:rFonts w:ascii="Arial" w:hAnsi="Arial" w:cs="Arial" w:eastAsia="Arial" w:hint="default"/>
          <w:spacing w:val="-1"/>
          <w:w w:val="99"/>
        </w:rPr>
        <w:t>2018</w:t>
      </w:r>
      <w:r>
        <w:rPr>
          <w:rFonts w:ascii="Arial" w:hAnsi="Arial" w:cs="Arial" w:eastAsia="Arial" w:hint="default"/>
          <w:w w:val="99"/>
        </w:rPr>
        <w:t> </w:t>
      </w:r>
      <w:r>
        <w:rPr/>
        <w:t>年</w:t>
      </w:r>
      <w:r>
        <w:rPr>
          <w:spacing w:val="-40"/>
        </w:rPr>
        <w:t> </w:t>
      </w:r>
      <w:r>
        <w:rPr>
          <w:rFonts w:ascii="Arial" w:hAnsi="Arial" w:cs="Arial" w:eastAsia="Arial" w:hint="default"/>
          <w:spacing w:val="-1"/>
          <w:w w:val="99"/>
        </w:rPr>
        <w:t>12 </w:t>
      </w:r>
      <w:r>
        <w:rPr/>
        <w:t>月</w:t>
      </w:r>
      <w:r>
        <w:rPr>
          <w:spacing w:val="-40"/>
        </w:rPr>
        <w:t> </w:t>
      </w:r>
      <w:r>
        <w:rPr>
          <w:rFonts w:ascii="Arial" w:hAnsi="Arial" w:cs="Arial" w:eastAsia="Arial" w:hint="default"/>
          <w:spacing w:val="-1"/>
          <w:w w:val="99"/>
        </w:rPr>
        <w:t>31 </w:t>
      </w:r>
      <w:r>
        <w:rPr/>
        <w:t>日的合并及公司资产负 债表，</w:t>
      </w:r>
      <w:r>
        <w:rPr>
          <w:rFonts w:ascii="Arial" w:hAnsi="Arial" w:cs="Arial" w:eastAsia="Arial" w:hint="default"/>
        </w:rPr>
        <w:t>2018</w:t>
      </w:r>
      <w:r>
        <w:rPr>
          <w:rFonts w:ascii="Arial" w:hAnsi="Arial" w:cs="Arial" w:eastAsia="Arial" w:hint="default"/>
          <w:spacing w:val="-7"/>
        </w:rPr>
        <w:t> </w:t>
      </w:r>
      <w:r>
        <w:rPr/>
        <w:t>年度的合并及公司利润表、合并及公司现金流量表、合并及公司股东权益变动表以及相关财务报表附注。</w:t>
      </w:r>
    </w:p>
    <w:p>
      <w:pPr>
        <w:pStyle w:val="BodyText"/>
        <w:spacing w:line="240" w:lineRule="auto" w:before="19"/>
        <w:ind w:left="514" w:right="0"/>
        <w:jc w:val="left"/>
        <w:rPr>
          <w:rFonts w:ascii="Arial" w:hAnsi="Arial" w:cs="Arial" w:eastAsia="Arial" w:hint="default"/>
        </w:rPr>
      </w:pPr>
      <w:r>
        <w:rPr/>
        <w:t>我们认为，后附的财务报表在所有重大方面按照企业会计准则的规定编制，公允反映了东港股份公司</w:t>
      </w:r>
      <w:r>
        <w:rPr>
          <w:spacing w:val="-52"/>
        </w:rPr>
        <w:t> </w:t>
      </w:r>
      <w:r>
        <w:rPr>
          <w:rFonts w:ascii="Arial" w:hAnsi="Arial" w:cs="Arial" w:eastAsia="Arial" w:hint="default"/>
        </w:rPr>
        <w:t>2018</w:t>
      </w:r>
      <w:r>
        <w:rPr>
          <w:rFonts w:ascii="Arial" w:hAnsi="Arial" w:cs="Arial" w:eastAsia="Arial" w:hint="default"/>
          <w:spacing w:val="-13"/>
        </w:rPr>
        <w:t> </w:t>
      </w:r>
      <w:r>
        <w:rPr/>
        <w:t>年</w:t>
      </w:r>
      <w:r>
        <w:rPr>
          <w:spacing w:val="-52"/>
        </w:rPr>
        <w:t> </w:t>
      </w:r>
      <w:r>
        <w:rPr>
          <w:rFonts w:ascii="Arial" w:hAnsi="Arial" w:cs="Arial" w:eastAsia="Arial" w:hint="default"/>
        </w:rPr>
        <w:t>12</w:t>
      </w:r>
      <w:r>
        <w:rPr>
          <w:rFonts w:ascii="Arial" w:hAnsi="Arial" w:cs="Arial" w:eastAsia="Arial" w:hint="default"/>
          <w:spacing w:val="-14"/>
        </w:rPr>
        <w:t> </w:t>
      </w:r>
      <w:r>
        <w:rPr/>
        <w:t>月</w:t>
      </w:r>
      <w:r>
        <w:rPr>
          <w:spacing w:val="-52"/>
        </w:rPr>
        <w:t> </w:t>
      </w:r>
      <w:r>
        <w:rPr>
          <w:rFonts w:ascii="Arial" w:hAnsi="Arial" w:cs="Arial" w:eastAsia="Arial" w:hint="default"/>
        </w:rPr>
        <w:t>31</w:t>
      </w:r>
    </w:p>
    <w:p>
      <w:pPr>
        <w:pStyle w:val="BodyText"/>
        <w:spacing w:line="240" w:lineRule="auto" w:before="102"/>
        <w:ind w:right="1121"/>
        <w:jc w:val="left"/>
      </w:pPr>
      <w:r>
        <w:rPr/>
        <w:t>日合并及公司的财务状况以及</w:t>
      </w:r>
      <w:r>
        <w:rPr>
          <w:spacing w:val="-46"/>
        </w:rPr>
        <w:t> </w:t>
      </w:r>
      <w:r>
        <w:rPr>
          <w:rFonts w:ascii="Arial" w:hAnsi="Arial" w:cs="Arial" w:eastAsia="Arial" w:hint="default"/>
        </w:rPr>
        <w:t>2018</w:t>
      </w:r>
      <w:r>
        <w:rPr>
          <w:rFonts w:ascii="Arial" w:hAnsi="Arial" w:cs="Arial" w:eastAsia="Arial" w:hint="default"/>
          <w:spacing w:val="-6"/>
        </w:rPr>
        <w:t> </w:t>
      </w:r>
      <w:r>
        <w:rPr/>
        <w:t>年度合并及公司的经营成果和现金流量。</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BodyText"/>
        <w:spacing w:line="357" w:lineRule="auto"/>
        <w:ind w:left="514" w:right="1121" w:firstLine="1"/>
        <w:jc w:val="left"/>
      </w:pPr>
      <w:bookmarkStart w:name="二、形成审计意见的基础" w:id="154"/>
      <w:bookmarkEnd w:id="154"/>
      <w:r>
        <w:rPr/>
      </w: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我们按照中国注册会计师审计准则的规定执行了审计工作。审计报告的“注册会计师对财务报表审计的责任”部分进一</w:t>
      </w:r>
    </w:p>
    <w:p>
      <w:pPr>
        <w:pStyle w:val="BodyText"/>
        <w:spacing w:line="357" w:lineRule="auto" w:before="26"/>
        <w:ind w:right="1121"/>
        <w:jc w:val="left"/>
      </w:pPr>
      <w:r>
        <w:rPr>
          <w:spacing w:val="-2"/>
        </w:rPr>
        <w:t>步阐述了我们在这些准则下的责任。按照中国注册会计师职业道德守则，我们独立于东港股份有限公司，并履行了职业道德</w:t>
      </w:r>
      <w:r>
        <w:rPr>
          <w:spacing w:val="-66"/>
        </w:rPr>
        <w:t> </w:t>
      </w:r>
      <w:r>
        <w:rPr>
          <w:spacing w:val="-66"/>
        </w:rPr>
      </w:r>
      <w:r>
        <w:rPr/>
        <w:t>方面的其他责任。我们相信，我们获取的审计证据是充分、适当的，为发表审计意见提供了基础。</w:t>
      </w:r>
    </w:p>
    <w:p>
      <w:pPr>
        <w:spacing w:line="240" w:lineRule="auto" w:before="9"/>
        <w:rPr>
          <w:rFonts w:ascii="宋体" w:hAnsi="宋体" w:cs="宋体" w:eastAsia="宋体" w:hint="default"/>
          <w:sz w:val="25"/>
          <w:szCs w:val="25"/>
        </w:rPr>
      </w:pPr>
    </w:p>
    <w:p>
      <w:pPr>
        <w:pStyle w:val="BodyText"/>
        <w:spacing w:line="357" w:lineRule="auto"/>
        <w:ind w:left="514" w:right="1121" w:firstLine="1"/>
        <w:jc w:val="left"/>
      </w:pPr>
      <w:bookmarkStart w:name="三、关键审计事项" w:id="155"/>
      <w:bookmarkEnd w:id="155"/>
      <w:r>
        <w:rPr/>
      </w: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357" w:lineRule="auto" w:before="26"/>
        <w:ind w:right="1114"/>
        <w:jc w:val="left"/>
      </w:pPr>
      <w:r>
        <w:rPr/>
        <w:t>审计并形成审计意见为背景，我们不对这些事项单独发表意见。</w:t>
      </w:r>
      <w:r>
        <w:rPr>
          <w:spacing w:val="8"/>
        </w:rPr>
        <w:t> </w:t>
      </w:r>
      <w:r>
        <w:rPr/>
        <w:t>我们确定下列事项是需要在审计报告中沟通的关键审计事</w:t>
      </w:r>
      <w:r>
        <w:rPr/>
        <w:t> 项。</w:t>
      </w:r>
    </w:p>
    <w:p>
      <w:pPr>
        <w:pStyle w:val="Heading4"/>
        <w:spacing w:line="240" w:lineRule="auto" w:before="26"/>
        <w:ind w:right="1121"/>
        <w:jc w:val="left"/>
        <w:rPr>
          <w:b w:val="0"/>
          <w:bCs w:val="0"/>
        </w:rPr>
      </w:pPr>
      <w:r>
        <w:rPr/>
        <w:t>（一）收入确认</w:t>
      </w:r>
      <w:r>
        <w:rPr>
          <w:b w:val="0"/>
          <w:bCs w:val="0"/>
        </w:rPr>
      </w:r>
    </w:p>
    <w:p>
      <w:pPr>
        <w:pStyle w:val="Heading4"/>
        <w:spacing w:line="240" w:lineRule="auto" w:before="113"/>
        <w:ind w:right="1121"/>
        <w:jc w:val="left"/>
        <w:rPr>
          <w:b w:val="0"/>
          <w:bCs w:val="0"/>
        </w:rPr>
      </w:pPr>
      <w:r>
        <w:rPr>
          <w:rFonts w:ascii="Times New Roman" w:hAnsi="Times New Roman" w:cs="Times New Roman" w:eastAsia="Times New Roman" w:hint="default"/>
        </w:rPr>
        <w:t>1</w:t>
      </w:r>
      <w:r>
        <w:rPr/>
        <w:t>、事项描述</w:t>
      </w:r>
      <w:r>
        <w:rPr>
          <w:b w:val="0"/>
          <w:bCs w:val="0"/>
        </w:rPr>
      </w:r>
    </w:p>
    <w:p>
      <w:pPr>
        <w:spacing w:before="101"/>
        <w:ind w:left="515" w:right="1121" w:firstLine="0"/>
        <w:jc w:val="left"/>
        <w:rPr>
          <w:rFonts w:ascii="宋体" w:hAnsi="宋体" w:cs="宋体" w:eastAsia="宋体" w:hint="default"/>
          <w:sz w:val="18"/>
          <w:szCs w:val="18"/>
        </w:rPr>
      </w:pPr>
      <w:r>
        <w:rPr>
          <w:rFonts w:ascii="宋体" w:hAnsi="宋体" w:cs="宋体" w:eastAsia="宋体" w:hint="default"/>
          <w:b/>
          <w:bCs/>
          <w:sz w:val="18"/>
          <w:szCs w:val="18"/>
        </w:rPr>
        <w:t>相关信息披露参见</w:t>
      </w:r>
      <w:r>
        <w:rPr>
          <w:rFonts w:ascii="宋体" w:hAnsi="宋体" w:cs="宋体" w:eastAsia="宋体" w:hint="default"/>
          <w:sz w:val="18"/>
          <w:szCs w:val="18"/>
        </w:rPr>
        <w:t>财务报表附注四、</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及附注七、</w:t>
      </w:r>
      <w:r>
        <w:rPr>
          <w:rFonts w:ascii="Times New Roman" w:hAnsi="Times New Roman" w:cs="Times New Roman" w:eastAsia="Times New Roman" w:hint="default"/>
          <w:sz w:val="18"/>
          <w:szCs w:val="18"/>
        </w:rPr>
        <w:t>28</w:t>
      </w:r>
      <w:r>
        <w:rPr>
          <w:rFonts w:ascii="宋体" w:hAnsi="宋体" w:cs="宋体" w:eastAsia="宋体" w:hint="default"/>
          <w:sz w:val="18"/>
          <w:szCs w:val="18"/>
        </w:rPr>
        <w:t>。</w:t>
      </w:r>
    </w:p>
    <w:p>
      <w:pPr>
        <w:pStyle w:val="BodyText"/>
        <w:spacing w:line="348" w:lineRule="auto" w:before="101"/>
        <w:ind w:right="1132" w:firstLine="360"/>
        <w:jc w:val="both"/>
      </w:pPr>
      <w:r>
        <w:rPr/>
        <w:t>东港股份公司</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年度实现营业收入</w:t>
      </w:r>
      <w:r>
        <w:rPr>
          <w:spacing w:val="-47"/>
        </w:rPr>
        <w:t> </w:t>
      </w:r>
      <w:r>
        <w:rPr>
          <w:rFonts w:ascii="Times New Roman" w:hAnsi="Times New Roman" w:cs="Times New Roman" w:eastAsia="Times New Roman" w:hint="default"/>
        </w:rPr>
        <w:t>1,545,650,437.20</w:t>
      </w:r>
      <w:r>
        <w:rPr>
          <w:rFonts w:ascii="Times New Roman" w:hAnsi="Times New Roman" w:cs="Times New Roman" w:eastAsia="Times New Roman" w:hint="default"/>
          <w:spacing w:val="-1"/>
        </w:rPr>
        <w:t> </w:t>
      </w:r>
      <w:r>
        <w:rPr>
          <w:spacing w:val="-3"/>
        </w:rPr>
        <w:t>元。公司以印刷及相关产品为主营业务，每年该类收入占整体收</w:t>
      </w:r>
      <w:r>
        <w:rPr/>
        <w:t> 入的</w:t>
      </w:r>
      <w:r>
        <w:rPr>
          <w:spacing w:val="30"/>
        </w:rPr>
        <w:t> </w:t>
      </w:r>
      <w:r>
        <w:rPr>
          <w:rFonts w:ascii="Times New Roman" w:hAnsi="Times New Roman" w:cs="Times New Roman" w:eastAsia="Times New Roman" w:hint="default"/>
        </w:rPr>
        <w:t>80%</w:t>
      </w:r>
      <w:r>
        <w:rPr/>
        <w:t>以上，并且该类销售业务交易发生频繁，涉及众多机构。根据销售合同的约定，通常以与货物所有权上的风险和</w:t>
      </w:r>
      <w:r>
        <w:rPr>
          <w:spacing w:val="-87"/>
        </w:rPr>
        <w:t> </w:t>
      </w:r>
      <w:r>
        <w:rPr>
          <w:spacing w:val="-87"/>
        </w:rPr>
      </w:r>
      <w:r>
        <w:rPr>
          <w:spacing w:val="-2"/>
        </w:rPr>
        <w:t>报酬转移作为收入的确认时点，由于收入是公司的关键业绩指标之一，同时由于部分客户的性质为政府部门、事业机关单位</w:t>
      </w:r>
      <w:r>
        <w:rPr>
          <w:spacing w:val="-66"/>
        </w:rPr>
        <w:t> </w:t>
      </w:r>
      <w:r>
        <w:rPr>
          <w:spacing w:val="-66"/>
        </w:rPr>
      </w:r>
      <w:r>
        <w:rPr>
          <w:spacing w:val="-2"/>
        </w:rPr>
        <w:t>或大型金融机构等，从而可能导致销售收入的确认时点不准确或计入不正确的会计期间的固有风险较高。因此，我们将收入</w:t>
      </w:r>
      <w:r>
        <w:rPr>
          <w:spacing w:val="-66"/>
        </w:rPr>
        <w:t> </w:t>
      </w:r>
      <w:r>
        <w:rPr>
          <w:spacing w:val="-66"/>
        </w:rPr>
      </w:r>
      <w:r>
        <w:rPr/>
        <w:t>确认识别为关键审计事项。</w:t>
      </w:r>
    </w:p>
    <w:p>
      <w:pPr>
        <w:pStyle w:val="Heading4"/>
        <w:spacing w:line="338" w:lineRule="auto" w:before="34"/>
        <w:ind w:right="6596"/>
        <w:jc w:val="left"/>
        <w:rPr>
          <w:b w:val="0"/>
          <w:bCs w:val="0"/>
        </w:rPr>
      </w:pPr>
      <w:r>
        <w:rPr>
          <w:rFonts w:ascii="Times New Roman" w:hAnsi="Times New Roman" w:cs="Times New Roman" w:eastAsia="Times New Roman" w:hint="default"/>
        </w:rPr>
        <w:t>2</w:t>
      </w:r>
      <w:r>
        <w:rPr/>
        <w:t>、审计应对</w:t>
      </w:r>
      <w:r>
        <w:rPr>
          <w:w w:val="99"/>
        </w:rPr>
        <w:t> </w:t>
      </w:r>
      <w:r>
        <w:rPr/>
        <w:t>针对收入确认，我们执行的主要审计程序包括：</w:t>
      </w:r>
      <w:r>
        <w:rPr>
          <w:b w:val="0"/>
          <w:bCs w:val="0"/>
        </w:rPr>
      </w:r>
    </w:p>
    <w:p>
      <w:pPr>
        <w:spacing w:after="0" w:line="338" w:lineRule="auto"/>
        <w:jc w:val="left"/>
        <w:sectPr>
          <w:pgSz w:w="11910" w:h="16840"/>
          <w:pgMar w:header="747" w:footer="979" w:top="1060" w:bottom="1160" w:left="980" w:right="0"/>
        </w:sectPr>
      </w:pPr>
    </w:p>
    <w:p>
      <w:pPr>
        <w:spacing w:line="240" w:lineRule="auto" w:before="10"/>
        <w:rPr>
          <w:rFonts w:ascii="宋体" w:hAnsi="宋体" w:cs="宋体" w:eastAsia="宋体" w:hint="default"/>
          <w:b/>
          <w:bCs/>
          <w:sz w:val="22"/>
          <w:szCs w:val="22"/>
        </w:rPr>
      </w:pPr>
    </w:p>
    <w:p>
      <w:pPr>
        <w:pStyle w:val="BodyText"/>
        <w:spacing w:line="240" w:lineRule="auto" w:before="44"/>
        <w:ind w:left="514" w:right="1121"/>
        <w:jc w:val="left"/>
      </w:pPr>
      <w:r>
        <w:rPr/>
        <w:t>（</w:t>
      </w:r>
      <w:r>
        <w:rPr>
          <w:rFonts w:ascii="Times New Roman" w:hAnsi="Times New Roman" w:cs="Times New Roman" w:eastAsia="Times New Roman" w:hint="default"/>
        </w:rPr>
        <w:t>1</w:t>
      </w:r>
      <w:r>
        <w:rPr/>
        <w:t>）评价、测试与收入确认相关的关键内部控制的设计和运行的有效性。</w:t>
      </w:r>
    </w:p>
    <w:p>
      <w:pPr>
        <w:pStyle w:val="BodyText"/>
        <w:spacing w:line="338" w:lineRule="auto" w:before="101"/>
        <w:ind w:right="1122" w:firstLine="360"/>
        <w:jc w:val="left"/>
      </w:pPr>
      <w:r>
        <w:rPr/>
        <w:t>（</w:t>
      </w:r>
      <w:r>
        <w:rPr>
          <w:rFonts w:ascii="Times New Roman" w:hAnsi="Times New Roman" w:cs="Times New Roman" w:eastAsia="Times New Roman" w:hint="default"/>
        </w:rPr>
        <w:t>2</w:t>
      </w:r>
      <w:r>
        <w:rPr/>
        <w:t>）选取样本检查签订的销售合同，识别与商品所有权相关的风险报酬转移的条款和条件，评价收入确认的时点是否 符合企业会计准则的要求。</w:t>
      </w:r>
    </w:p>
    <w:p>
      <w:pPr>
        <w:pStyle w:val="BodyText"/>
        <w:spacing w:line="338" w:lineRule="auto" w:before="40"/>
        <w:ind w:right="1122" w:firstLine="360"/>
        <w:jc w:val="left"/>
      </w:pPr>
      <w:r>
        <w:rPr/>
        <w:t>（</w:t>
      </w:r>
      <w:r>
        <w:rPr>
          <w:rFonts w:ascii="Times New Roman" w:hAnsi="Times New Roman" w:cs="Times New Roman" w:eastAsia="Times New Roman" w:hint="default"/>
        </w:rPr>
        <w:t>3</w:t>
      </w:r>
      <w:r>
        <w:rPr/>
        <w:t>）在本年账面记录的销售收入中选取样本，检查销售合同、货物发运单、验收单等评价收入的确认是否符合收入确 认的会计政策。</w:t>
      </w:r>
    </w:p>
    <w:p>
      <w:pPr>
        <w:pStyle w:val="BodyText"/>
        <w:spacing w:line="240" w:lineRule="auto" w:before="41"/>
        <w:ind w:left="514" w:right="1121"/>
        <w:jc w:val="left"/>
      </w:pPr>
      <w:r>
        <w:rPr/>
        <w:t>（</w:t>
      </w:r>
      <w:r>
        <w:rPr>
          <w:rFonts w:ascii="Times New Roman" w:hAnsi="Times New Roman" w:cs="Times New Roman" w:eastAsia="Times New Roman" w:hint="default"/>
        </w:rPr>
        <w:t>4</w:t>
      </w:r>
      <w:r>
        <w:rPr/>
        <w:t>）将出库记录与账面收入记录核对，检查收入记录是否完整。</w:t>
      </w:r>
    </w:p>
    <w:p>
      <w:pPr>
        <w:pStyle w:val="BodyText"/>
        <w:spacing w:line="240" w:lineRule="auto" w:before="101"/>
        <w:ind w:left="514" w:right="1121"/>
        <w:jc w:val="left"/>
      </w:pPr>
      <w:r>
        <w:rPr/>
        <w:t>（</w:t>
      </w:r>
      <w:r>
        <w:rPr>
          <w:rFonts w:ascii="Times New Roman" w:hAnsi="Times New Roman" w:cs="Times New Roman" w:eastAsia="Times New Roman" w:hint="default"/>
        </w:rPr>
        <w:t>5</w:t>
      </w:r>
      <w:r>
        <w:rPr/>
        <w:t>）向重要客户实施函证程序，询证本年发生的销售金额及往来款项余额。</w:t>
      </w:r>
    </w:p>
    <w:p>
      <w:pPr>
        <w:pStyle w:val="BodyText"/>
        <w:spacing w:line="240" w:lineRule="auto" w:before="101"/>
        <w:ind w:left="514" w:right="0"/>
        <w:jc w:val="left"/>
      </w:pPr>
      <w:r>
        <w:rPr/>
        <w:t>（</w:t>
      </w:r>
      <w:r>
        <w:rPr>
          <w:rFonts w:ascii="Times New Roman" w:hAnsi="Times New Roman" w:cs="Times New Roman" w:eastAsia="Times New Roman" w:hint="default"/>
        </w:rPr>
        <w:t>6</w:t>
      </w:r>
      <w:r>
        <w:rPr/>
        <w:t>）选取资产负债表日前后的收入确认交易样本，检查货物发运单等相关文件，评价收入是否记录在恰当的会计期间。</w:t>
      </w:r>
    </w:p>
    <w:p>
      <w:pPr>
        <w:pStyle w:val="Heading4"/>
        <w:spacing w:line="240" w:lineRule="auto" w:before="100"/>
        <w:ind w:right="1121"/>
        <w:jc w:val="left"/>
        <w:rPr>
          <w:b w:val="0"/>
          <w:bCs w:val="0"/>
        </w:rPr>
      </w:pPr>
      <w:r>
        <w:rPr/>
        <w:t>（二）应收票据及应收账款的坏账准备</w:t>
      </w:r>
      <w:r>
        <w:rPr>
          <w:b w:val="0"/>
          <w:bCs w:val="0"/>
        </w:rPr>
      </w:r>
    </w:p>
    <w:p>
      <w:pPr>
        <w:pStyle w:val="Heading4"/>
        <w:spacing w:line="240" w:lineRule="auto" w:before="115"/>
        <w:ind w:right="1121"/>
        <w:jc w:val="left"/>
        <w:rPr>
          <w:b w:val="0"/>
          <w:bCs w:val="0"/>
        </w:rPr>
      </w:pPr>
      <w:bookmarkStart w:name="1、事项描述" w:id="156"/>
      <w:bookmarkEnd w:id="156"/>
      <w:r>
        <w:rPr>
          <w:b w:val="0"/>
          <w:bCs w:val="0"/>
        </w:rPr>
      </w:r>
      <w:r>
        <w:rPr>
          <w:rFonts w:ascii="Arial" w:hAnsi="Arial" w:cs="Arial" w:eastAsia="Arial" w:hint="default"/>
        </w:rPr>
        <w:t>1</w:t>
      </w:r>
      <w:r>
        <w:rPr/>
        <w:t>、事项描述</w:t>
      </w:r>
      <w:r>
        <w:rPr>
          <w:b w:val="0"/>
          <w:bCs w:val="0"/>
        </w:rPr>
      </w:r>
    </w:p>
    <w:p>
      <w:pPr>
        <w:spacing w:before="102"/>
        <w:ind w:left="515" w:right="1121" w:firstLine="0"/>
        <w:jc w:val="left"/>
        <w:rPr>
          <w:rFonts w:ascii="宋体" w:hAnsi="宋体" w:cs="宋体" w:eastAsia="宋体" w:hint="default"/>
          <w:sz w:val="18"/>
          <w:szCs w:val="18"/>
        </w:rPr>
      </w:pPr>
      <w:r>
        <w:rPr>
          <w:rFonts w:ascii="宋体" w:hAnsi="宋体" w:cs="宋体" w:eastAsia="宋体" w:hint="default"/>
          <w:b/>
          <w:bCs/>
          <w:sz w:val="18"/>
          <w:szCs w:val="18"/>
        </w:rPr>
        <w:t>相关信息披露参见</w:t>
      </w:r>
      <w:r>
        <w:rPr>
          <w:rFonts w:ascii="宋体" w:hAnsi="宋体" w:cs="宋体" w:eastAsia="宋体" w:hint="default"/>
          <w:sz w:val="18"/>
          <w:szCs w:val="18"/>
        </w:rPr>
        <w:t>财务报表附注四、</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及附注七、</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pStyle w:val="BodyText"/>
        <w:spacing w:line="240" w:lineRule="auto" w:before="101"/>
        <w:ind w:left="514" w:right="0"/>
        <w:jc w:val="left"/>
      </w:pPr>
      <w:r>
        <w:rPr/>
        <w:t>东港股份公司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 </w:t>
      </w:r>
      <w:r>
        <w:rPr/>
        <w:t>日应收票据及应收账款余额为</w:t>
      </w:r>
      <w:r>
        <w:rPr>
          <w:spacing w:val="-45"/>
        </w:rPr>
        <w:t> </w:t>
      </w:r>
      <w:r>
        <w:rPr>
          <w:rFonts w:ascii="Times New Roman" w:hAnsi="Times New Roman" w:cs="Times New Roman" w:eastAsia="Times New Roman" w:hint="default"/>
        </w:rPr>
        <w:t>352,992,163.85 </w:t>
      </w:r>
      <w:r>
        <w:rPr/>
        <w:t>元，坏账准备为</w:t>
      </w:r>
      <w:r>
        <w:rPr>
          <w:spacing w:val="-45"/>
        </w:rPr>
        <w:t> </w:t>
      </w:r>
      <w:r>
        <w:rPr>
          <w:rFonts w:ascii="Times New Roman" w:hAnsi="Times New Roman" w:cs="Times New Roman" w:eastAsia="Times New Roman" w:hint="default"/>
        </w:rPr>
        <w:t>19,725,934.32 </w:t>
      </w:r>
      <w:r>
        <w:rPr/>
        <w:t>元，净值为</w:t>
      </w:r>
    </w:p>
    <w:p>
      <w:pPr>
        <w:pStyle w:val="BodyText"/>
        <w:spacing w:line="345" w:lineRule="auto" w:before="101"/>
        <w:ind w:right="1130"/>
        <w:jc w:val="both"/>
      </w:pPr>
      <w:r>
        <w:rPr>
          <w:rFonts w:ascii="Times New Roman" w:hAnsi="Times New Roman" w:cs="Times New Roman" w:eastAsia="Times New Roman" w:hint="default"/>
        </w:rPr>
        <w:t>333,266,229.53</w:t>
      </w:r>
      <w:r>
        <w:rPr>
          <w:rFonts w:ascii="Times New Roman" w:hAnsi="Times New Roman" w:cs="Times New Roman" w:eastAsia="Times New Roman" w:hint="default"/>
          <w:spacing w:val="8"/>
        </w:rPr>
        <w:t> </w:t>
      </w:r>
      <w:r>
        <w:rPr/>
        <w:t>元，占</w:t>
      </w:r>
      <w:r>
        <w:rPr>
          <w:spacing w:val="-3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年度营业收入的</w:t>
      </w:r>
      <w:r>
        <w:rPr>
          <w:spacing w:val="-37"/>
        </w:rPr>
        <w:t> </w:t>
      </w:r>
      <w:r>
        <w:rPr>
          <w:rFonts w:ascii="Times New Roman" w:hAnsi="Times New Roman" w:cs="Times New Roman" w:eastAsia="Times New Roman" w:hint="default"/>
        </w:rPr>
        <w:t>22.84%</w:t>
      </w:r>
      <w:r>
        <w:rPr/>
        <w:t>，占</w:t>
      </w:r>
      <w:r>
        <w:rPr>
          <w:spacing w:val="-3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年末资产总额的</w:t>
      </w:r>
      <w:r>
        <w:rPr>
          <w:spacing w:val="-37"/>
        </w:rPr>
        <w:t> </w:t>
      </w:r>
      <w:r>
        <w:rPr>
          <w:rFonts w:ascii="Times New Roman" w:hAnsi="Times New Roman" w:cs="Times New Roman" w:eastAsia="Times New Roman" w:hint="default"/>
        </w:rPr>
        <w:t>15.26%</w:t>
      </w:r>
      <w:r>
        <w:rPr/>
        <w:t>。由于东港股份公司管理层在确定应 </w:t>
      </w:r>
      <w:r>
        <w:rPr>
          <w:spacing w:val="-2"/>
        </w:rPr>
        <w:t>收票据及应收账款预计可收回金额时需要运用重要会计估计和判断，且应收票据及应收账款不能按期收回或者无法收回对财</w:t>
      </w:r>
      <w:r>
        <w:rPr>
          <w:spacing w:val="-63"/>
        </w:rPr>
        <w:t> </w:t>
      </w:r>
      <w:r>
        <w:rPr>
          <w:spacing w:val="-63"/>
        </w:rPr>
      </w:r>
      <w:r>
        <w:rPr/>
        <w:t>务报表的影响较为重大，因此我们将应收票据及应收账款的坏账准备识别为关键审计事项。</w:t>
      </w:r>
    </w:p>
    <w:p>
      <w:pPr>
        <w:pStyle w:val="Heading4"/>
        <w:spacing w:line="338" w:lineRule="auto" w:before="35"/>
        <w:ind w:right="4992"/>
        <w:jc w:val="left"/>
        <w:rPr>
          <w:b w:val="0"/>
          <w:bCs w:val="0"/>
        </w:rPr>
      </w:pPr>
      <w:bookmarkStart w:name="2、审计应对" w:id="157"/>
      <w:bookmarkEnd w:id="157"/>
      <w:r>
        <w:rPr>
          <w:b w:val="0"/>
          <w:bCs w:val="0"/>
        </w:rPr>
      </w:r>
      <w:r>
        <w:rPr>
          <w:rFonts w:ascii="Arial" w:hAnsi="Arial" w:cs="Arial" w:eastAsia="Arial" w:hint="default"/>
        </w:rPr>
        <w:t>2</w:t>
      </w:r>
      <w:r>
        <w:rPr/>
        <w:t>、审计应对</w:t>
      </w:r>
      <w:r>
        <w:rPr>
          <w:w w:val="99"/>
        </w:rPr>
        <w:t> </w:t>
      </w:r>
      <w:bookmarkStart w:name="针对应收票据及应收账款的坏账准备，我们执行的主要审计程序包括：" w:id="158"/>
      <w:bookmarkEnd w:id="158"/>
      <w:r>
        <w:rPr>
          <w:w w:val="95"/>
        </w:rPr>
        <w:t>针</w:t>
      </w:r>
      <w:r>
        <w:rPr>
          <w:w w:val="95"/>
        </w:rPr>
        <w:t>对应收票据及应收账款的坏账准备，我们执行的主要审计程序包括：</w:t>
      </w:r>
      <w:r>
        <w:rPr>
          <w:b w:val="0"/>
          <w:bCs w:val="0"/>
        </w:rPr>
      </w:r>
    </w:p>
    <w:p>
      <w:pPr>
        <w:pStyle w:val="BodyText"/>
        <w:spacing w:line="240" w:lineRule="auto" w:before="41"/>
        <w:ind w:left="514" w:right="1121"/>
        <w:jc w:val="left"/>
      </w:pPr>
      <w:r>
        <w:rPr/>
        <w:t>（</w:t>
      </w:r>
      <w:r>
        <w:rPr>
          <w:rFonts w:ascii="Times New Roman" w:hAnsi="Times New Roman" w:cs="Times New Roman" w:eastAsia="Times New Roman" w:hint="default"/>
        </w:rPr>
        <w:t>1</w:t>
      </w:r>
      <w:r>
        <w:rPr/>
        <w:t>）评价、测试与应收票据及应收账款管理相关的关键内部控制制度的设计和运行的有效性。</w:t>
      </w:r>
    </w:p>
    <w:p>
      <w:pPr>
        <w:pStyle w:val="BodyText"/>
        <w:spacing w:line="338" w:lineRule="auto" w:before="100"/>
        <w:ind w:right="1122" w:firstLine="360"/>
        <w:jc w:val="left"/>
      </w:pPr>
      <w:r>
        <w:rPr/>
        <w:t>（</w:t>
      </w:r>
      <w:r>
        <w:rPr>
          <w:rFonts w:ascii="Times New Roman" w:hAnsi="Times New Roman" w:cs="Times New Roman" w:eastAsia="Times New Roman" w:hint="default"/>
        </w:rPr>
        <w:t>2</w:t>
      </w:r>
      <w:r>
        <w:rPr/>
        <w:t>）通过查阅销售合同、检查以往货款的回收情况、与管理层沟通等程序了解和评价管理层对应收票据及应收账款坏 账准备计提的会计估计是否合理。</w:t>
      </w:r>
    </w:p>
    <w:p>
      <w:pPr>
        <w:pStyle w:val="BodyText"/>
        <w:spacing w:line="338" w:lineRule="auto" w:before="41"/>
        <w:ind w:right="1122" w:firstLine="360"/>
        <w:jc w:val="left"/>
      </w:pPr>
      <w:r>
        <w:rPr/>
        <w:t>（</w:t>
      </w:r>
      <w:r>
        <w:rPr>
          <w:rFonts w:ascii="Times New Roman" w:hAnsi="Times New Roman" w:cs="Times New Roman" w:eastAsia="Times New Roman" w:hint="default"/>
        </w:rPr>
        <w:t>3</w:t>
      </w:r>
      <w:r>
        <w:rPr/>
        <w:t>）复核东港股份公司对应收票据及应收账款坏账准备的计提过程，包括对按账龄分析法进行计提以及单项计提的坏 账准备。</w:t>
      </w:r>
    </w:p>
    <w:p>
      <w:pPr>
        <w:pStyle w:val="BodyText"/>
        <w:spacing w:line="240" w:lineRule="auto" w:before="41"/>
        <w:ind w:left="514" w:right="1121"/>
        <w:jc w:val="left"/>
      </w:pPr>
      <w:r>
        <w:rPr/>
        <w:t>（</w:t>
      </w:r>
      <w:r>
        <w:rPr>
          <w:rFonts w:ascii="Times New Roman" w:hAnsi="Times New Roman" w:cs="Times New Roman" w:eastAsia="Times New Roman" w:hint="default"/>
        </w:rPr>
        <w:t>4</w:t>
      </w:r>
      <w:r>
        <w:rPr/>
        <w:t>）对应收票据及应收账款期末余额选取样本执行函证程序。</w:t>
      </w:r>
    </w:p>
    <w:p>
      <w:pPr>
        <w:pStyle w:val="BodyText"/>
        <w:spacing w:line="240" w:lineRule="auto" w:before="100"/>
        <w:ind w:left="514" w:right="1121"/>
        <w:jc w:val="left"/>
      </w:pPr>
      <w:r>
        <w:rPr/>
        <w:t>（</w:t>
      </w:r>
      <w:r>
        <w:rPr>
          <w:rFonts w:ascii="Times New Roman" w:hAnsi="Times New Roman" w:cs="Times New Roman" w:eastAsia="Times New Roman" w:hint="default"/>
        </w:rPr>
        <w:t>5</w:t>
      </w:r>
      <w:r>
        <w:rPr/>
        <w:t>）对账龄较长的应收票据及应收账款分析是否存在减值迹象。</w:t>
      </w:r>
    </w:p>
    <w:p>
      <w:pPr>
        <w:pStyle w:val="BodyText"/>
        <w:spacing w:line="338" w:lineRule="auto" w:before="101"/>
        <w:ind w:right="1122" w:firstLine="360"/>
        <w:jc w:val="left"/>
      </w:pPr>
      <w:r>
        <w:rPr/>
        <w:t>（</w:t>
      </w:r>
      <w:r>
        <w:rPr>
          <w:rFonts w:ascii="Times New Roman" w:hAnsi="Times New Roman" w:cs="Times New Roman" w:eastAsia="Times New Roman" w:hint="default"/>
        </w:rPr>
        <w:t>6</w:t>
      </w:r>
      <w:r>
        <w:rPr/>
        <w:t>）比较前期坏账准备的计提数和实际发生数，对应收票据及应收账款余额进行期后收款测试，评价本期应收票据及 应收账款坏账准备计提的合理性。</w:t>
      </w:r>
    </w:p>
    <w:p>
      <w:pPr>
        <w:spacing w:line="240" w:lineRule="auto" w:before="10"/>
        <w:rPr>
          <w:rFonts w:ascii="宋体" w:hAnsi="宋体" w:cs="宋体" w:eastAsia="宋体" w:hint="default"/>
          <w:sz w:val="26"/>
          <w:szCs w:val="26"/>
        </w:rPr>
      </w:pPr>
    </w:p>
    <w:p>
      <w:pPr>
        <w:pStyle w:val="Heading4"/>
        <w:spacing w:line="240" w:lineRule="auto"/>
        <w:ind w:right="1121"/>
        <w:jc w:val="left"/>
        <w:rPr>
          <w:b w:val="0"/>
          <w:bCs w:val="0"/>
        </w:rPr>
      </w:pPr>
      <w:bookmarkStart w:name="四、其他信息" w:id="159"/>
      <w:bookmarkEnd w:id="159"/>
      <w:r>
        <w:rPr>
          <w:b w:val="0"/>
          <w:bCs w:val="0"/>
        </w:rPr>
      </w:r>
      <w:r>
        <w:rPr/>
        <w:t>四、其他信息</w:t>
      </w:r>
      <w:r>
        <w:rPr>
          <w:b w:val="0"/>
          <w:bCs w:val="0"/>
        </w:rPr>
      </w:r>
    </w:p>
    <w:p>
      <w:pPr>
        <w:pStyle w:val="BodyText"/>
        <w:spacing w:line="338" w:lineRule="auto" w:before="115"/>
        <w:ind w:right="1114" w:firstLine="360"/>
        <w:jc w:val="left"/>
      </w:pPr>
      <w:r>
        <w:rPr/>
        <w:t>东港股份公司管理层对其他信息负责。其他信息包括</w:t>
      </w:r>
      <w:r>
        <w:rPr>
          <w:spacing w:val="-61"/>
        </w:rPr>
        <w:t> </w:t>
      </w:r>
      <w:r>
        <w:rPr>
          <w:rFonts w:ascii="Arial" w:hAnsi="Arial" w:cs="Arial" w:eastAsia="Arial" w:hint="default"/>
        </w:rPr>
        <w:t>2018</w:t>
      </w:r>
      <w:r>
        <w:rPr>
          <w:rFonts w:ascii="Arial" w:hAnsi="Arial" w:cs="Arial" w:eastAsia="Arial" w:hint="default"/>
          <w:spacing w:val="-22"/>
        </w:rPr>
        <w:t> </w:t>
      </w:r>
      <w:r>
        <w:rPr/>
        <w:t>年年度报告中涵盖的信息，但不包括财务报表和我们的审计 报告。</w:t>
      </w:r>
    </w:p>
    <w:p>
      <w:pPr>
        <w:pStyle w:val="BodyText"/>
        <w:spacing w:line="357" w:lineRule="auto" w:before="41"/>
        <w:ind w:left="514" w:right="1121"/>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57" w:lineRule="auto" w:before="25"/>
        <w:ind w:left="514" w:right="1121" w:hanging="360"/>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26"/>
        <w:ind w:right="1121"/>
        <w:jc w:val="left"/>
      </w:pPr>
      <w:r>
        <w:rPr/>
        <w:t>报告。</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spacing w:line="355" w:lineRule="auto" w:before="0"/>
        <w:ind w:left="514" w:right="1121" w:firstLine="1"/>
        <w:jc w:val="left"/>
        <w:rPr>
          <w:rFonts w:ascii="宋体" w:hAnsi="宋体" w:cs="宋体" w:eastAsia="宋体" w:hint="default"/>
          <w:sz w:val="18"/>
          <w:szCs w:val="18"/>
        </w:rPr>
      </w:pPr>
      <w:bookmarkStart w:name="五、管理层和治理层对财务报表的责任" w:id="160"/>
      <w:bookmarkEnd w:id="160"/>
      <w:r>
        <w:rPr/>
      </w: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东港股份公司管理层（以下简称管理层）负责按照企业会计准则的规定编制财务报表，使其实现公允反映，并设计、执</w:t>
      </w:r>
    </w:p>
    <w:p>
      <w:pPr>
        <w:pStyle w:val="BodyText"/>
        <w:spacing w:line="357" w:lineRule="auto" w:before="28"/>
        <w:ind w:left="514" w:right="1121" w:hanging="360"/>
        <w:jc w:val="left"/>
      </w:pPr>
      <w:r>
        <w:rPr/>
        <w:t>行和维护必要的内部控制，以使财务报表不存在由于舞弊或错误导致的重大错报。 </w:t>
      </w:r>
      <w:r>
        <w:rPr>
          <w:spacing w:val="-2"/>
        </w:rPr>
        <w:t>在编制财务报表时，管理层负责评估东港股份公司的持续经营能力，披露与持续经营相关的事项（如适用），并运用持</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2"/>
          <w:szCs w:val="22"/>
        </w:rPr>
      </w:pPr>
    </w:p>
    <w:p>
      <w:pPr>
        <w:spacing w:line="357" w:lineRule="auto" w:before="44"/>
        <w:ind w:left="514" w:right="4092" w:hanging="360"/>
        <w:jc w:val="left"/>
        <w:rPr>
          <w:rFonts w:ascii="宋体" w:hAnsi="宋体" w:cs="宋体" w:eastAsia="宋体" w:hint="default"/>
          <w:sz w:val="18"/>
          <w:szCs w:val="18"/>
        </w:rPr>
      </w:pPr>
      <w:r>
        <w:rPr>
          <w:rFonts w:ascii="宋体" w:hAnsi="宋体" w:cs="宋体" w:eastAsia="宋体" w:hint="default"/>
          <w:sz w:val="18"/>
          <w:szCs w:val="18"/>
        </w:rPr>
        <w:t>续经营假设，除非管理层计划清算东港股份公司、终止运营或别无其他现实的选择。 治理层负责监督东港股份公司的财务报告过程。 </w:t>
      </w:r>
      <w:bookmarkStart w:name="六、注册会计师对财务报表审计的责任" w:id="161"/>
      <w:bookmarkEnd w:id="161"/>
      <w:r>
        <w:rPr>
          <w:rFonts w:ascii="宋体" w:hAnsi="宋体" w:cs="宋体" w:eastAsia="宋体" w:hint="default"/>
          <w:sz w:val="18"/>
          <w:szCs w:val="18"/>
        </w:rPr>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57" w:lineRule="auto" w:before="25"/>
        <w:ind w:right="1130" w:firstLine="290"/>
        <w:jc w:val="both"/>
      </w:pPr>
      <w:r>
        <w:rPr>
          <w:spacing w:val="-1"/>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或错误导致，如果合理预期错报单独或汇总起来可能影响财务报表使用者依据财务报表作出的经济决策，则通常认为错报是</w:t>
      </w:r>
      <w:r>
        <w:rPr>
          <w:spacing w:val="-63"/>
        </w:rPr>
        <w:t> </w:t>
      </w:r>
      <w:r>
        <w:rPr>
          <w:spacing w:val="-63"/>
        </w:rPr>
      </w:r>
      <w:r>
        <w:rPr/>
        <w:t>重大的。</w:t>
      </w:r>
    </w:p>
    <w:p>
      <w:pPr>
        <w:pStyle w:val="BodyText"/>
        <w:spacing w:line="240" w:lineRule="auto" w:before="26"/>
        <w:ind w:left="514" w:right="1121"/>
        <w:jc w:val="left"/>
      </w:pPr>
      <w:r>
        <w:rPr/>
        <w:t>在按照审计准则执行审计工作的过程中，我们运用职业判断，并保持职业怀疑。同时，我们也执行以下工作：</w:t>
      </w:r>
    </w:p>
    <w:p>
      <w:pPr>
        <w:pStyle w:val="BodyText"/>
        <w:spacing w:line="357" w:lineRule="auto" w:before="113"/>
        <w:ind w:right="1050" w:firstLine="360"/>
        <w:jc w:val="both"/>
      </w:pPr>
      <w:r>
        <w:rPr/>
        <w:t>（一）识别和评估由于舞弊或错误导致的财务报表重大错报风险，设计和实施审计程序以应对这些风险，并获取充分、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26"/>
        <w:ind w:left="514" w:right="1121"/>
        <w:jc w:val="left"/>
      </w:pPr>
      <w:r>
        <w:rPr/>
        <w:t>（二）了解与审计相关的内部控制，以设计恰当的审计程序，但目的并非对内部控制的有效性发表意见。</w:t>
      </w:r>
    </w:p>
    <w:p>
      <w:pPr>
        <w:pStyle w:val="BodyText"/>
        <w:spacing w:line="240" w:lineRule="auto" w:before="115"/>
        <w:ind w:left="514" w:right="1121"/>
        <w:jc w:val="left"/>
      </w:pPr>
      <w:r>
        <w:rPr/>
        <w:t>（三）评价管理层选用会计政策的恰当性和作出会计估计及相关披露的合理性。</w:t>
      </w:r>
    </w:p>
    <w:p>
      <w:pPr>
        <w:pStyle w:val="BodyText"/>
        <w:spacing w:line="357" w:lineRule="auto" w:before="113"/>
        <w:ind w:right="1121" w:firstLine="360"/>
        <w:jc w:val="left"/>
      </w:pPr>
      <w:r>
        <w:rPr>
          <w:spacing w:val="-2"/>
        </w:rPr>
        <w:t>（四）对管理层使用持续经营假设的恰当性得出结论。同时，根据获取的审计证据，就可能导致对东港股份公司持续经</w:t>
      </w:r>
      <w:r>
        <w:rPr/>
        <w:t> 营能力产生重大疑虑的事项或情况是否存在重大不确定性得出结论。如果我们得出结论认为存在重大不确定性，审计 </w:t>
      </w:r>
      <w:r>
        <w:rPr>
          <w:spacing w:val="-2"/>
        </w:rPr>
        <w:t>准则要求我们在审计报告中提请报表使用者注意财务报表中的相关披露；如果披露不充分，我们应当发表非无保留意见。我</w:t>
      </w:r>
      <w:r>
        <w:rPr>
          <w:spacing w:val="-66"/>
        </w:rPr>
        <w:t> </w:t>
      </w:r>
      <w:r>
        <w:rPr>
          <w:spacing w:val="-66"/>
        </w:rPr>
      </w:r>
      <w:r>
        <w:rPr/>
        <w:t>们的结论基于截至审计报告日可获得</w:t>
      </w:r>
    </w:p>
    <w:p>
      <w:pPr>
        <w:pStyle w:val="BodyText"/>
        <w:spacing w:line="240" w:lineRule="auto" w:before="26"/>
        <w:ind w:left="259" w:right="1121"/>
        <w:jc w:val="left"/>
      </w:pPr>
      <w:r>
        <w:rPr/>
        <w:t>的信息。然而，未来的事项或情况可能导致东港股份公司不能持续经营。</w:t>
      </w:r>
    </w:p>
    <w:p>
      <w:pPr>
        <w:pStyle w:val="BodyText"/>
        <w:spacing w:line="240" w:lineRule="auto" w:before="113"/>
        <w:ind w:left="514" w:right="1121"/>
        <w:jc w:val="left"/>
      </w:pPr>
      <w:r>
        <w:rPr/>
        <w:t>（五）评价财务报表的总体列报、结构和内容（包括披露</w:t>
      </w:r>
      <w:r>
        <w:rPr>
          <w:spacing w:val="-90"/>
        </w:rPr>
        <w:t>）</w:t>
      </w:r>
      <w:r>
        <w:rPr/>
        <w:t>，并评价财务报表是否公允反映相关交易和事项。</w:t>
      </w:r>
    </w:p>
    <w:p>
      <w:pPr>
        <w:pStyle w:val="BodyText"/>
        <w:spacing w:line="357" w:lineRule="auto" w:before="115"/>
        <w:ind w:right="1131" w:firstLine="360"/>
        <w:jc w:val="both"/>
      </w:pPr>
      <w:r>
        <w:rPr>
          <w:spacing w:val="-2"/>
        </w:rPr>
        <w:t>（六）就东港股份公司中实体或业务活动的财务信息获取充分、适当的审计证据，以对财务报表发表意见。我们负责指</w:t>
      </w:r>
      <w:r>
        <w:rPr/>
        <w:t> 导、监督和执行集团审计。我们对审计意见承担全部责任。</w:t>
      </w:r>
    </w:p>
    <w:p>
      <w:pPr>
        <w:pStyle w:val="BodyText"/>
        <w:spacing w:line="357" w:lineRule="auto" w:before="26"/>
        <w:ind w:right="1131"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57" w:lineRule="auto" w:before="25"/>
        <w:ind w:right="1131" w:firstLine="360"/>
        <w:jc w:val="both"/>
      </w:pPr>
      <w:r>
        <w:rPr/>
        <w:t>我们还就已遵守与独立性相关的职业道德要求向治理层提供声明</w:t>
      </w:r>
      <w:r>
        <w:rPr>
          <w:spacing w:val="-82"/>
        </w:rPr>
        <w:t>，</w:t>
      </w:r>
      <w:r>
        <w:rPr/>
        <w:t>并与治理层沟通可能被合理认为影响我们独立性的所</w:t>
      </w:r>
      <w:r>
        <w:rPr/>
        <w:t> 有关系和其他事项，以及相关的防范措施（如适用</w:t>
      </w:r>
      <w:r>
        <w:rPr>
          <w:spacing w:val="-90"/>
        </w:rPr>
        <w:t>）</w:t>
      </w:r>
      <w:r>
        <w:rPr/>
        <w:t>。</w:t>
      </w:r>
    </w:p>
    <w:p>
      <w:pPr>
        <w:pStyle w:val="BodyText"/>
        <w:spacing w:line="357" w:lineRule="auto" w:before="26"/>
        <w:ind w:right="1132"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spacing w:line="240" w:lineRule="auto" w:before="12"/>
        <w:rPr>
          <w:rFonts w:ascii="宋体" w:hAnsi="宋体" w:cs="宋体" w:eastAsia="宋体" w:hint="default"/>
          <w:sz w:val="29"/>
          <w:szCs w:val="29"/>
        </w:rPr>
      </w:pPr>
    </w:p>
    <w:tbl>
      <w:tblPr>
        <w:tblW w:w="0" w:type="auto"/>
        <w:jc w:val="left"/>
        <w:tblInd w:w="601" w:type="dxa"/>
        <w:tblLayout w:type="fixed"/>
        <w:tblCellMar>
          <w:top w:w="0" w:type="dxa"/>
          <w:left w:w="0" w:type="dxa"/>
          <w:bottom w:w="0" w:type="dxa"/>
          <w:right w:w="0" w:type="dxa"/>
        </w:tblCellMar>
        <w:tblLook w:val="01E0"/>
      </w:tblPr>
      <w:tblGrid>
        <w:gridCol w:w="3548"/>
        <w:gridCol w:w="3434"/>
      </w:tblGrid>
      <w:tr>
        <w:trPr>
          <w:trHeight w:val="1276"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180" w:lineRule="exact"/>
              <w:ind w:right="265"/>
              <w:jc w:val="center"/>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c>
          <w:tcPr>
            <w:tcW w:w="3434" w:type="dxa"/>
            <w:tcBorders>
              <w:top w:val="nil" w:sz="6" w:space="0" w:color="auto"/>
              <w:left w:val="nil" w:sz="6" w:space="0" w:color="auto"/>
              <w:bottom w:val="nil" w:sz="6" w:space="0" w:color="auto"/>
              <w:right w:val="nil" w:sz="6" w:space="0" w:color="auto"/>
            </w:tcBorders>
          </w:tcPr>
          <w:p>
            <w:pPr>
              <w:pStyle w:val="TableParagraph"/>
              <w:spacing w:line="180" w:lineRule="exact"/>
              <w:ind w:left="467" w:right="0"/>
              <w:jc w:val="left"/>
              <w:rPr>
                <w:rFonts w:ascii="宋体" w:hAnsi="宋体" w:cs="宋体" w:eastAsia="宋体" w:hint="default"/>
                <w:sz w:val="18"/>
                <w:szCs w:val="18"/>
              </w:rPr>
            </w:pPr>
            <w:r>
              <w:rPr>
                <w:rFonts w:ascii="宋体" w:hAnsi="宋体" w:cs="宋体" w:eastAsia="宋体" w:hint="default"/>
                <w:sz w:val="18"/>
                <w:szCs w:val="18"/>
              </w:rPr>
              <w:t>中国注册会计师</w:t>
            </w:r>
          </w:p>
          <w:p>
            <w:pPr>
              <w:pStyle w:val="TableParagraph"/>
              <w:tabs>
                <w:tab w:pos="3297" w:val="left" w:leader="none"/>
              </w:tabs>
              <w:spacing w:line="240" w:lineRule="auto" w:before="115"/>
              <w:ind w:left="46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（项目合伙人</w:t>
            </w:r>
            <w:r>
              <w:rPr>
                <w:rFonts w:ascii="宋体" w:hAnsi="宋体" w:cs="宋体" w:eastAsia="宋体" w:hint="default"/>
                <w:spacing w:val="-90"/>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pStyle w:val="TableParagraph"/>
              <w:spacing w:line="240" w:lineRule="auto" w:before="115"/>
              <w:ind w:right="714"/>
              <w:jc w:val="right"/>
              <w:rPr>
                <w:rFonts w:ascii="宋体" w:hAnsi="宋体" w:cs="宋体" w:eastAsia="宋体" w:hint="default"/>
                <w:sz w:val="18"/>
                <w:szCs w:val="18"/>
              </w:rPr>
            </w:pPr>
            <w:r>
              <w:rPr>
                <w:rFonts w:ascii="宋体" w:hAnsi="宋体" w:cs="宋体" w:eastAsia="宋体" w:hint="default"/>
                <w:sz w:val="18"/>
                <w:szCs w:val="18"/>
              </w:rPr>
              <w:t>姜斌</w:t>
            </w:r>
          </w:p>
        </w:tc>
      </w:tr>
      <w:tr>
        <w:trPr>
          <w:trHeight w:val="1371"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65"/>
              <w:jc w:val="center"/>
              <w:rPr>
                <w:rFonts w:ascii="宋体" w:hAnsi="宋体" w:cs="宋体" w:eastAsia="宋体" w:hint="default"/>
                <w:sz w:val="18"/>
                <w:szCs w:val="18"/>
              </w:rPr>
            </w:pPr>
            <w:r>
              <w:rPr>
                <w:rFonts w:ascii="宋体" w:hAnsi="宋体" w:cs="宋体" w:eastAsia="宋体" w:hint="default"/>
                <w:sz w:val="18"/>
                <w:szCs w:val="18"/>
              </w:rPr>
              <w:t>中国</w:t>
            </w:r>
            <w:r>
              <w:rPr>
                <w:rFonts w:ascii="Arial" w:hAnsi="Arial" w:cs="Arial" w:eastAsia="Arial" w:hint="default"/>
                <w:sz w:val="18"/>
                <w:szCs w:val="18"/>
              </w:rPr>
              <w:t>·</w:t>
            </w:r>
            <w:r>
              <w:rPr>
                <w:rFonts w:ascii="宋体" w:hAnsi="宋体" w:cs="宋体" w:eastAsia="宋体" w:hint="default"/>
                <w:sz w:val="18"/>
                <w:szCs w:val="18"/>
              </w:rPr>
              <w:t>北京</w:t>
            </w:r>
          </w:p>
        </w:tc>
        <w:tc>
          <w:tcPr>
            <w:tcW w:w="343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5"/>
                <w:szCs w:val="25"/>
              </w:rPr>
            </w:pPr>
          </w:p>
          <w:p>
            <w:pPr>
              <w:pStyle w:val="TableParagraph"/>
              <w:tabs>
                <w:tab w:pos="3297" w:val="left" w:leader="none"/>
              </w:tabs>
              <w:spacing w:line="240" w:lineRule="auto"/>
              <w:ind w:left="46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中国注册会计师： </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pStyle w:val="TableParagraph"/>
              <w:spacing w:line="240" w:lineRule="auto" w:before="115"/>
              <w:ind w:right="534"/>
              <w:jc w:val="right"/>
              <w:rPr>
                <w:rFonts w:ascii="宋体" w:hAnsi="宋体" w:cs="宋体" w:eastAsia="宋体" w:hint="default"/>
                <w:sz w:val="18"/>
                <w:szCs w:val="18"/>
              </w:rPr>
            </w:pPr>
            <w:r>
              <w:rPr>
                <w:rFonts w:ascii="宋体" w:hAnsi="宋体" w:cs="宋体" w:eastAsia="宋体" w:hint="default"/>
                <w:sz w:val="18"/>
                <w:szCs w:val="18"/>
              </w:rPr>
              <w:t>安小梅</w:t>
            </w:r>
          </w:p>
        </w:tc>
      </w:tr>
      <w:tr>
        <w:trPr>
          <w:trHeight w:val="634" w:hRule="exact"/>
        </w:trPr>
        <w:tc>
          <w:tcPr>
            <w:tcW w:w="3548" w:type="dxa"/>
            <w:tcBorders>
              <w:top w:val="nil" w:sz="6" w:space="0" w:color="auto"/>
              <w:left w:val="nil" w:sz="6" w:space="0" w:color="auto"/>
              <w:bottom w:val="nil" w:sz="6" w:space="0" w:color="auto"/>
              <w:right w:val="nil" w:sz="6" w:space="0" w:color="auto"/>
            </w:tcBorders>
          </w:tcPr>
          <w:p>
            <w:pPr/>
          </w:p>
        </w:tc>
        <w:tc>
          <w:tcPr>
            <w:tcW w:w="34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769"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10</w:t>
            </w:r>
            <w:r>
              <w:rPr>
                <w:rFonts w:ascii="Arial" w:hAnsi="Arial" w:cs="Arial" w:eastAsia="Arial" w:hint="default"/>
                <w:spacing w:val="-7"/>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2"/>
        <w:spacing w:line="240" w:lineRule="auto" w:before="26"/>
        <w:ind w:right="1121"/>
        <w:jc w:val="left"/>
        <w:rPr>
          <w:b w:val="0"/>
          <w:bCs w:val="0"/>
        </w:rPr>
      </w:pPr>
      <w:bookmarkStart w:name="二、财务报表" w:id="162"/>
      <w:bookmarkEnd w:id="162"/>
      <w:r>
        <w:rPr>
          <w:b w:val="0"/>
          <w:bCs w:val="0"/>
        </w:rPr>
      </w:r>
      <w:r>
        <w:rPr/>
        <w:t>二、财务报表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1"/>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1121"/>
        <w:jc w:val="left"/>
        <w:rPr>
          <w:b w:val="0"/>
          <w:bCs w:val="0"/>
        </w:rPr>
      </w:pPr>
      <w:bookmarkStart w:name="1、合并资产负债表" w:id="163"/>
      <w:bookmarkEnd w:id="163"/>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t>编制单位：东港股份有限公司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3" w:equalWidth="0">
            <w:col w:w="2495" w:space="158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793,811,459.31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750,485,287.89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333,266,229.53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326,813,509.51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998,180.50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1,897,710.98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332,268,049.03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324,915,798.53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23,772,705.94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20,058,995.81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47,741,689.91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30,169,102.20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106,983,342.62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145,155,182.61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26,309,913.88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45,042,516.75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1,331,885,341.19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1,317,724,594.77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29,163,943.11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31,858,561.26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701,049,206.02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719,239,192.58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111,599,031.54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38,797,314.79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99,049,283.33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91,366,720.35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14,065,263.59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20,790,575.78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2,485,097.93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2,574,277.78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16,921,287.54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7,898,358.57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6,498,381.74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6,561,213.36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980,831,494.80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919,086,214.47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2,312,716,835.99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2,236,810,809.24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353,236,891.36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387,083,574.59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150,646,639.28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154,611,118.82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42,193,707.76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39,847,678.01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36,467,615.38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22,941,229.27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35,210,990.42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39,188,047.69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14,034,237.43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15,543,845.16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631,790,081.63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659,215,493.54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13,120,027.74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27,366,464.93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9,485,278.32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11,363,315.38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30,706,849.34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20,736,220.48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53,312,155.40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59,466,000.79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685,102,237.03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718,681,494.33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363,777,614.00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363,777,614.00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249,782,710.21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249,782,710.21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250,675,235.33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213,992,518.70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762,396,515.29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687,822,672.89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407"/>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1,626,632,074.83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1,515,375,515.80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982,524.13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2,753,799.11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1,627,614,598.96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1,518,129,314.91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2,312,716,835.99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2,236,810,809.24</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741" w:val="left" w:leader="none"/>
        </w:tabs>
        <w:spacing w:line="240" w:lineRule="auto" w:before="44"/>
        <w:ind w:left="0" w:right="1229"/>
        <w:jc w:val="right"/>
      </w:pPr>
      <w:r>
        <w:rPr/>
        <w:t>法定代表人：王爱先</w:t>
        <w:tab/>
        <w:t>主管会计工作负责人：史建中</w:t>
        <w:tab/>
        <w:t>会计机构负责人：郑理</w:t>
      </w:r>
    </w:p>
    <w:p>
      <w:pPr>
        <w:spacing w:line="240" w:lineRule="auto" w:before="11"/>
        <w:rPr>
          <w:rFonts w:ascii="宋体" w:hAnsi="宋体" w:cs="宋体" w:eastAsia="宋体" w:hint="default"/>
          <w:sz w:val="26"/>
          <w:szCs w:val="26"/>
        </w:rPr>
      </w:pPr>
    </w:p>
    <w:p>
      <w:pPr>
        <w:pStyle w:val="Heading3"/>
        <w:spacing w:line="240" w:lineRule="auto"/>
        <w:ind w:right="1121"/>
        <w:jc w:val="left"/>
        <w:rPr>
          <w:b w:val="0"/>
          <w:bCs w:val="0"/>
        </w:rPr>
      </w:pPr>
      <w:bookmarkStart w:name="2、母公司资产负债表" w:id="164"/>
      <w:bookmarkEnd w:id="164"/>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747,482,533.77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640,765,537.07</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240,466,941.44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212,570,109.67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832,839.49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1,897,710.98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239,634,101.95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210,672,398.69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10,827,327.52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15,009,734.30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78,010,380.99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96,237,862.03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50,710,229.32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65,455,734.37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21,145,555.85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40,294,949.30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1,148,642,968.89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1,070,333,926.74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576,226,791.39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514,918,380.39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347,754,415.71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349,948,184.26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111,393,903.32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38,687,118.47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57,972,316.59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48,887,567.79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5,576,399.25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13,869,023.41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1,993,123.64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2,486,443.30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3,935,170.87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3,584,879.72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1,104,852,120.77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972,381,597.34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2,253,495,089.66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2,042,715,524.08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263,317,187.87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294,544,685.81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104,546,132.12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108,610,902.84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21,160,049.96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19,927,848.36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19,904,945.60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9,126,710.19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288,846,017.26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140,563,064.02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13,130,000.00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710,904,332.81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585,913,211.22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13,120,027.74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26,250,022.28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792,740.00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914,700.06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13,912,767.74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27,164,722.34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724,817,100.55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613,077,933.56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363,777,614.00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363,777,614.00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378,000,186.04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378,000,186.04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250,675,235.33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213,992,518.70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536,224,953.74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473,867,271.78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1,528,677,989.11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1,429,637,590.52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2,253,495,089.66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2,042,715,524.08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121"/>
        <w:jc w:val="left"/>
        <w:rPr>
          <w:b w:val="0"/>
          <w:bCs w:val="0"/>
        </w:rPr>
      </w:pPr>
      <w:bookmarkStart w:name="3、合并利润表" w:id="165"/>
      <w:bookmarkEnd w:id="165"/>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089"/>
        <w:gridCol w:w="2740"/>
        <w:gridCol w:w="2729"/>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7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1,545,650,437.20</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1,429,501,112.10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7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1,545,650,437.20</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1,429,501,112.10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740" w:type="dxa"/>
            <w:tcBorders>
              <w:top w:val="single" w:sz="4" w:space="0" w:color="000000"/>
              <w:left w:val="single" w:sz="10" w:space="0" w:color="D2D2D2"/>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740" w:type="dxa"/>
            <w:tcBorders>
              <w:top w:val="single" w:sz="4" w:space="0" w:color="000000"/>
              <w:left w:val="single" w:sz="10" w:space="0" w:color="D2D2D2"/>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740" w:type="dxa"/>
            <w:tcBorders>
              <w:top w:val="single" w:sz="4" w:space="0" w:color="000000"/>
              <w:left w:val="single" w:sz="10" w:space="0" w:color="D2D2D2"/>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7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1,273,187,281.25</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1,198,904,964.68</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7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943,649,953.84</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862,473,070.44</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740" w:type="dxa"/>
            <w:tcBorders>
              <w:top w:val="single" w:sz="4" w:space="0" w:color="000000"/>
              <w:left w:val="single" w:sz="10" w:space="0" w:color="D2D2D2"/>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740" w:type="dxa"/>
            <w:tcBorders>
              <w:top w:val="single" w:sz="4" w:space="0" w:color="000000"/>
              <w:left w:val="single" w:sz="10" w:space="0" w:color="D2D2D2"/>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740" w:type="dxa"/>
            <w:tcBorders>
              <w:top w:val="single" w:sz="4" w:space="0" w:color="000000"/>
              <w:left w:val="single" w:sz="10" w:space="0" w:color="D2D2D2"/>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740" w:type="dxa"/>
            <w:tcBorders>
              <w:top w:val="single" w:sz="4" w:space="0" w:color="000000"/>
              <w:left w:val="single" w:sz="10" w:space="0" w:color="D2D2D2"/>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740" w:type="dxa"/>
            <w:tcBorders>
              <w:top w:val="single" w:sz="4" w:space="0" w:color="000000"/>
              <w:left w:val="single" w:sz="10" w:space="0" w:color="D2D2D2"/>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112"/>
        <w:gridCol w:w="2728"/>
        <w:gridCol w:w="2729"/>
      </w:tblGrid>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728" w:type="dxa"/>
            <w:tcBorders>
              <w:top w:val="single" w:sz="4" w:space="0" w:color="000000"/>
              <w:left w:val="single" w:sz="4" w:space="0" w:color="000000"/>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728" w:type="dxa"/>
            <w:tcBorders>
              <w:top w:val="single" w:sz="4" w:space="0" w:color="000000"/>
              <w:left w:val="single" w:sz="4" w:space="0" w:color="000000"/>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23,368,554.83</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21,916,780.74</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117,266,552.50</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121,406,391.91</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102,077,220.01</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106,488,229.58</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91,371,286.08</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85,987,899.00</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-6,960,381.66</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-916,595.23</w:t>
            </w:r>
            <w:r>
              <w:rPr>
                <w:rFonts w:ascii="Times New Roman"/>
                <w:sz w:val="18"/>
              </w:rPr>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119,241.74</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262,258.98</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5"/>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7,572,699.07</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1,836,209.17</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2,414,095.65</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1,549,188.24</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10,691,948.04</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12,424,611.09</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13,243,641.17</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19,917,291.14</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728" w:type="dxa"/>
            <w:tcBorders>
              <w:top w:val="single" w:sz="4" w:space="0" w:color="000000"/>
              <w:left w:val="single" w:sz="4" w:space="0" w:color="000000"/>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28" w:type="dxa"/>
            <w:tcBorders>
              <w:top w:val="single" w:sz="4" w:space="0" w:color="000000"/>
              <w:left w:val="single" w:sz="4" w:space="0" w:color="000000"/>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28" w:type="dxa"/>
            <w:tcBorders>
              <w:top w:val="single" w:sz="4" w:space="0" w:color="000000"/>
              <w:left w:val="single" w:sz="4" w:space="0" w:color="000000"/>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-65,610.75</w:t>
            </w:r>
            <w:r>
              <w:rPr>
                <w:rFonts w:ascii="Times New Roman"/>
                <w:sz w:val="18"/>
              </w:rPr>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36,995.80</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296,333,134.41</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262,975,045.45</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2,795,446.39</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8,961,118.47</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212,351.23</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578,673.61</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298,916,229.57</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271,357,490.31</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41,263,729.85</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40,534,761.98</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257,652,499.72</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230,822,728.33</w:t>
            </w:r>
          </w:p>
        </w:tc>
      </w:tr>
      <w:tr>
        <w:trPr>
          <w:trHeight w:val="402" w:hRule="exact"/>
        </w:trPr>
        <w:tc>
          <w:tcPr>
            <w:tcW w:w="4112"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49"/>
              <w:jc w:val="righ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28"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257,652,499.72</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230,822,728.33</w:t>
            </w:r>
          </w:p>
        </w:tc>
      </w:tr>
      <w:tr>
        <w:trPr>
          <w:trHeight w:val="402" w:hRule="exact"/>
        </w:trPr>
        <w:tc>
          <w:tcPr>
            <w:tcW w:w="4112"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49"/>
              <w:jc w:val="righ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28" w:type="dxa"/>
            <w:tcBorders>
              <w:top w:val="single" w:sz="4" w:space="0" w:color="000000"/>
              <w:left w:val="single" w:sz="9" w:space="0" w:color="FFFFFF"/>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256,767,604.63</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232,105,571.41</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884,895.09</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-1,282,843.08</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728" w:type="dxa"/>
            <w:tcBorders>
              <w:top w:val="single" w:sz="4" w:space="0" w:color="000000"/>
              <w:left w:val="single" w:sz="4" w:space="0" w:color="000000"/>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728" w:type="dxa"/>
            <w:tcBorders>
              <w:top w:val="single" w:sz="4" w:space="0" w:color="000000"/>
              <w:left w:val="single" w:sz="4" w:space="0" w:color="000000"/>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728" w:type="dxa"/>
            <w:tcBorders>
              <w:top w:val="single" w:sz="4" w:space="0" w:color="000000"/>
              <w:left w:val="single" w:sz="4" w:space="0" w:color="000000"/>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728" w:type="dxa"/>
            <w:tcBorders>
              <w:top w:val="single" w:sz="4" w:space="0" w:color="000000"/>
              <w:left w:val="single" w:sz="4" w:space="0" w:color="000000"/>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728" w:type="dxa"/>
            <w:tcBorders>
              <w:top w:val="single" w:sz="4" w:space="0" w:color="000000"/>
              <w:left w:val="single" w:sz="4" w:space="0" w:color="000000"/>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728" w:type="dxa"/>
            <w:tcBorders>
              <w:top w:val="single" w:sz="4" w:space="0" w:color="000000"/>
              <w:left w:val="single" w:sz="4" w:space="0" w:color="000000"/>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728" w:type="dxa"/>
            <w:tcBorders>
              <w:top w:val="single" w:sz="4" w:space="0" w:color="000000"/>
              <w:left w:val="single" w:sz="4" w:space="0" w:color="000000"/>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728" w:type="dxa"/>
            <w:tcBorders>
              <w:top w:val="single" w:sz="4" w:space="0" w:color="000000"/>
              <w:left w:val="single" w:sz="4" w:space="0" w:color="000000"/>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089"/>
        <w:gridCol w:w="2740"/>
        <w:gridCol w:w="2729"/>
      </w:tblGrid>
      <w:tr>
        <w:trPr>
          <w:trHeight w:val="714"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融资产损益</w:t>
            </w:r>
          </w:p>
        </w:tc>
        <w:tc>
          <w:tcPr>
            <w:tcW w:w="2740" w:type="dxa"/>
            <w:tcBorders>
              <w:top w:val="single" w:sz="4" w:space="0" w:color="000000"/>
              <w:left w:val="single" w:sz="10" w:space="0" w:color="D2D2D2"/>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740" w:type="dxa"/>
            <w:tcBorders>
              <w:top w:val="single" w:sz="4" w:space="0" w:color="000000"/>
              <w:left w:val="single" w:sz="10" w:space="0" w:color="D2D2D2"/>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740" w:type="dxa"/>
            <w:tcBorders>
              <w:top w:val="single" w:sz="4" w:space="0" w:color="000000"/>
              <w:left w:val="single" w:sz="10" w:space="0" w:color="D2D2D2"/>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740" w:type="dxa"/>
            <w:tcBorders>
              <w:top w:val="single" w:sz="4" w:space="0" w:color="000000"/>
              <w:left w:val="single" w:sz="10" w:space="0" w:color="D2D2D2"/>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740" w:type="dxa"/>
            <w:tcBorders>
              <w:top w:val="single" w:sz="4" w:space="0" w:color="000000"/>
              <w:left w:val="single" w:sz="10" w:space="0" w:color="D2D2D2"/>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7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257,652,499.72</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230,822,728.33</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7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256,767,604.63</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232,105,571.41</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7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884,895.09</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-1,282,843.08</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7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0.7058</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0.6380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7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0.7058</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0.6380</w:t>
            </w:r>
          </w:p>
        </w:tc>
      </w:tr>
    </w:tbl>
    <w:p>
      <w:pPr>
        <w:pStyle w:val="BodyText"/>
        <w:tabs>
          <w:tab w:pos="3664" w:val="left" w:leader="none"/>
          <w:tab w:pos="7895" w:val="left" w:leader="none"/>
        </w:tabs>
        <w:spacing w:line="592" w:lineRule="auto" w:before="51"/>
        <w:ind w:right="1229"/>
        <w:jc w:val="left"/>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 </w:t>
      </w:r>
      <w:r>
        <w:rPr/>
        <w:t>元，上期被合并方实现的净利润为：</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 法定代表人：王爱先</w:t>
        <w:tab/>
        <w:t>主管会计工作负责人：史建中</w:t>
        <w:tab/>
        <w:t>会计机构负责人：郑理 </w:t>
      </w:r>
      <w:bookmarkStart w:name="4、母公司利润表" w:id="166"/>
      <w:bookmarkEnd w:id="16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231"/>
        <w:gridCol w:w="2668"/>
        <w:gridCol w:w="2658"/>
      </w:tblGrid>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1,123,666,525.88</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913,085,051.74</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858,733,246.31</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677,885,953.02</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10,478,558.64</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11,085,716.51</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56,171,213.71</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60,637,722.13</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49,470,109.45</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46,068,096.34</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33,226,448.33</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28,636,169.68</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-7,081,970.33</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-1,195,934.54</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668" w:type="dxa"/>
            <w:tcBorders>
              <w:top w:val="single" w:sz="4" w:space="0" w:color="000000"/>
              <w:left w:val="single" w:sz="13" w:space="0" w:color="D2D2D2"/>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595"/>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7,420,335.60</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1,715,432.99</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2,651,133.44</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2,948,648.73</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2,888,955.66</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1,016,695.67</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141,766,710.76</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123,106,455.49</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7"/>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668" w:type="dxa"/>
            <w:tcBorders>
              <w:top w:val="single" w:sz="4" w:space="0" w:color="000000"/>
              <w:left w:val="single" w:sz="13" w:space="0" w:color="D2D2D2"/>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67"/>
              <w:jc w:val="right"/>
              <w:rPr>
                <w:rFonts w:ascii="宋体" w:hAnsi="宋体" w:cs="宋体" w:eastAsia="宋体" w:hint="default"/>
                <w:sz w:val="18"/>
                <w:szCs w:val="18"/>
              </w:rPr>
            </w:pPr>
            <w:r>
              <w:rPr>
                <w:rFonts w:ascii="宋体" w:hAnsi="宋体" w:cs="宋体" w:eastAsia="宋体" w:hint="default"/>
                <w:spacing w:val="-1"/>
                <w:sz w:val="18"/>
                <w:szCs w:val="18"/>
              </w:rPr>
              <w:t>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668" w:type="dxa"/>
            <w:tcBorders>
              <w:top w:val="single" w:sz="4" w:space="0" w:color="000000"/>
              <w:left w:val="single" w:sz="13" w:space="0" w:color="D2D2D2"/>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68" w:type="dxa"/>
            <w:tcBorders>
              <w:top w:val="single" w:sz="4" w:space="0" w:color="000000"/>
              <w:left w:val="single" w:sz="13" w:space="0" w:color="D2D2D2"/>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264,673,452.75</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211,141,831.03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231"/>
        <w:gridCol w:w="2668"/>
        <w:gridCol w:w="2658"/>
      </w:tblGrid>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2,072,958.07</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1,179,750.44</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31,433.53</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259,431.90</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266,714,977.29</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212,062,149.57</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22,163,533.10</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15,338,744.69</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244,551,444.19</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196,723,404.88</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244,551,444.19</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196,723,404.88</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68" w:type="dxa"/>
            <w:tcBorders>
              <w:top w:val="single" w:sz="4" w:space="0" w:color="000000"/>
              <w:left w:val="single" w:sz="13" w:space="0" w:color="D2D2D2"/>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668" w:type="dxa"/>
            <w:tcBorders>
              <w:top w:val="single" w:sz="4" w:space="0" w:color="000000"/>
              <w:left w:val="single" w:sz="13" w:space="0" w:color="D2D2D2"/>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668" w:type="dxa"/>
            <w:tcBorders>
              <w:top w:val="single" w:sz="4" w:space="0" w:color="000000"/>
              <w:left w:val="single" w:sz="13" w:space="0" w:color="D2D2D2"/>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668" w:type="dxa"/>
            <w:tcBorders>
              <w:top w:val="single" w:sz="4" w:space="0" w:color="000000"/>
              <w:left w:val="single" w:sz="13" w:space="0" w:color="D2D2D2"/>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668" w:type="dxa"/>
            <w:tcBorders>
              <w:top w:val="single" w:sz="4" w:space="0" w:color="000000"/>
              <w:left w:val="single" w:sz="13" w:space="0" w:color="D2D2D2"/>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668" w:type="dxa"/>
            <w:tcBorders>
              <w:top w:val="single" w:sz="4" w:space="0" w:color="000000"/>
              <w:left w:val="single" w:sz="13" w:space="0" w:color="D2D2D2"/>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668" w:type="dxa"/>
            <w:tcBorders>
              <w:top w:val="single" w:sz="4" w:space="0" w:color="000000"/>
              <w:left w:val="single" w:sz="13" w:space="0" w:color="D2D2D2"/>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668" w:type="dxa"/>
            <w:tcBorders>
              <w:top w:val="single" w:sz="4" w:space="0" w:color="000000"/>
              <w:left w:val="single" w:sz="13" w:space="0" w:color="D2D2D2"/>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资产损益</w:t>
            </w:r>
          </w:p>
        </w:tc>
        <w:tc>
          <w:tcPr>
            <w:tcW w:w="2668" w:type="dxa"/>
            <w:tcBorders>
              <w:top w:val="single" w:sz="4" w:space="0" w:color="000000"/>
              <w:left w:val="single" w:sz="13" w:space="0" w:color="D2D2D2"/>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668" w:type="dxa"/>
            <w:tcBorders>
              <w:top w:val="single" w:sz="4" w:space="0" w:color="000000"/>
              <w:left w:val="single" w:sz="13" w:space="0" w:color="D2D2D2"/>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668" w:type="dxa"/>
            <w:tcBorders>
              <w:top w:val="single" w:sz="4" w:space="0" w:color="000000"/>
              <w:left w:val="single" w:sz="13" w:space="0" w:color="D2D2D2"/>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668" w:type="dxa"/>
            <w:tcBorders>
              <w:top w:val="single" w:sz="4" w:space="0" w:color="000000"/>
              <w:left w:val="single" w:sz="13" w:space="0" w:color="D2D2D2"/>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244,551,444.19</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196,723,404.88</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6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5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0.6723</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0.5408</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0.6723</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0.5408</w:t>
            </w:r>
          </w:p>
        </w:tc>
      </w:tr>
    </w:tbl>
    <w:p>
      <w:pPr>
        <w:spacing w:line="240" w:lineRule="auto" w:before="2"/>
        <w:rPr>
          <w:rFonts w:ascii="宋体" w:hAnsi="宋体" w:cs="宋体" w:eastAsia="宋体" w:hint="default"/>
          <w:sz w:val="19"/>
          <w:szCs w:val="19"/>
        </w:rPr>
      </w:pPr>
    </w:p>
    <w:p>
      <w:pPr>
        <w:pStyle w:val="Heading3"/>
        <w:spacing w:line="240" w:lineRule="auto" w:before="35"/>
        <w:ind w:right="1121"/>
        <w:jc w:val="left"/>
        <w:rPr>
          <w:b w:val="0"/>
          <w:bCs w:val="0"/>
        </w:rPr>
      </w:pPr>
      <w:bookmarkStart w:name="5、合并现金流量表" w:id="167"/>
      <w:bookmarkEnd w:id="167"/>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39"/>
        <w:gridCol w:w="3165"/>
        <w:gridCol w:w="3154"/>
      </w:tblGrid>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1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60" w:right="0"/>
              <w:jc w:val="left"/>
              <w:rPr>
                <w:rFonts w:ascii="Times New Roman" w:hAnsi="Times New Roman" w:cs="Times New Roman" w:eastAsia="Times New Roman" w:hint="default"/>
                <w:sz w:val="18"/>
                <w:szCs w:val="18"/>
              </w:rPr>
            </w:pPr>
            <w:r>
              <w:rPr>
                <w:rFonts w:ascii="Times New Roman"/>
                <w:sz w:val="18"/>
              </w:rPr>
              <w:t>1,764,003,103.97</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1" w:right="0"/>
              <w:jc w:val="left"/>
              <w:rPr>
                <w:rFonts w:ascii="Times New Roman" w:hAnsi="Times New Roman" w:cs="Times New Roman" w:eastAsia="Times New Roman" w:hint="default"/>
                <w:sz w:val="18"/>
                <w:szCs w:val="18"/>
              </w:rPr>
            </w:pPr>
            <w:r>
              <w:rPr>
                <w:rFonts w:ascii="Times New Roman"/>
                <w:sz w:val="18"/>
              </w:rPr>
              <w:t>1,684,654,900.98</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3165" w:type="dxa"/>
            <w:tcBorders>
              <w:top w:val="single" w:sz="4" w:space="0" w:color="000000"/>
              <w:left w:val="single" w:sz="13" w:space="0" w:color="D2D2D2"/>
              <w:bottom w:val="single" w:sz="4" w:space="0" w:color="000000"/>
              <w:right w:val="single" w:sz="4" w:space="0" w:color="000000"/>
            </w:tcBorders>
          </w:tcPr>
          <w:p>
            <w:pPr/>
          </w:p>
        </w:tc>
        <w:tc>
          <w:tcPr>
            <w:tcW w:w="31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165" w:type="dxa"/>
            <w:tcBorders>
              <w:top w:val="single" w:sz="4" w:space="0" w:color="000000"/>
              <w:left w:val="single" w:sz="13" w:space="0" w:color="D2D2D2"/>
              <w:bottom w:val="single" w:sz="4" w:space="0" w:color="000000"/>
              <w:right w:val="single" w:sz="4" w:space="0" w:color="000000"/>
            </w:tcBorders>
          </w:tcPr>
          <w:p>
            <w:pPr/>
          </w:p>
        </w:tc>
        <w:tc>
          <w:tcPr>
            <w:tcW w:w="31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3165" w:type="dxa"/>
            <w:tcBorders>
              <w:top w:val="single" w:sz="4" w:space="0" w:color="000000"/>
              <w:left w:val="single" w:sz="13" w:space="0" w:color="D2D2D2"/>
              <w:bottom w:val="single" w:sz="4" w:space="0" w:color="000000"/>
              <w:right w:val="single" w:sz="4" w:space="0" w:color="000000"/>
            </w:tcBorders>
          </w:tcPr>
          <w:p>
            <w:pPr/>
          </w:p>
        </w:tc>
        <w:tc>
          <w:tcPr>
            <w:tcW w:w="31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165" w:type="dxa"/>
            <w:tcBorders>
              <w:top w:val="single" w:sz="4" w:space="0" w:color="000000"/>
              <w:left w:val="single" w:sz="13" w:space="0" w:color="D2D2D2"/>
              <w:bottom w:val="single" w:sz="4" w:space="0" w:color="000000"/>
              <w:right w:val="single" w:sz="4" w:space="0" w:color="000000"/>
            </w:tcBorders>
          </w:tcPr>
          <w:p>
            <w:pPr/>
          </w:p>
        </w:tc>
        <w:tc>
          <w:tcPr>
            <w:tcW w:w="31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165" w:type="dxa"/>
            <w:tcBorders>
              <w:top w:val="single" w:sz="4" w:space="0" w:color="000000"/>
              <w:left w:val="single" w:sz="13" w:space="0" w:color="D2D2D2"/>
              <w:bottom w:val="single" w:sz="4" w:space="0" w:color="000000"/>
              <w:right w:val="single" w:sz="4" w:space="0" w:color="000000"/>
            </w:tcBorders>
          </w:tcPr>
          <w:p>
            <w:pPr/>
          </w:p>
        </w:tc>
        <w:tc>
          <w:tcPr>
            <w:tcW w:w="31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39"/>
        <w:gridCol w:w="3165"/>
        <w:gridCol w:w="3154"/>
      </w:tblGrid>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165" w:type="dxa"/>
            <w:tcBorders>
              <w:top w:val="single" w:sz="4" w:space="0" w:color="000000"/>
              <w:left w:val="single" w:sz="13" w:space="0" w:color="D2D2D2"/>
              <w:bottom w:val="single" w:sz="4" w:space="0" w:color="000000"/>
              <w:right w:val="single" w:sz="4" w:space="0" w:color="000000"/>
            </w:tcBorders>
          </w:tcPr>
          <w:p>
            <w:pPr/>
          </w:p>
        </w:tc>
        <w:tc>
          <w:tcPr>
            <w:tcW w:w="31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5"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 当期损益的金融资产净增加额</w:t>
            </w:r>
          </w:p>
        </w:tc>
        <w:tc>
          <w:tcPr>
            <w:tcW w:w="3165" w:type="dxa"/>
            <w:tcBorders>
              <w:top w:val="single" w:sz="4" w:space="0" w:color="000000"/>
              <w:left w:val="single" w:sz="13" w:space="0" w:color="D2D2D2"/>
              <w:bottom w:val="single" w:sz="4" w:space="0" w:color="000000"/>
              <w:right w:val="single" w:sz="4" w:space="0" w:color="000000"/>
            </w:tcBorders>
          </w:tcPr>
          <w:p>
            <w:pPr/>
          </w:p>
        </w:tc>
        <w:tc>
          <w:tcPr>
            <w:tcW w:w="31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165" w:type="dxa"/>
            <w:tcBorders>
              <w:top w:val="single" w:sz="4" w:space="0" w:color="000000"/>
              <w:left w:val="single" w:sz="13" w:space="0" w:color="D2D2D2"/>
              <w:bottom w:val="single" w:sz="4" w:space="0" w:color="000000"/>
              <w:right w:val="single" w:sz="4" w:space="0" w:color="000000"/>
            </w:tcBorders>
          </w:tcPr>
          <w:p>
            <w:pPr/>
          </w:p>
        </w:tc>
        <w:tc>
          <w:tcPr>
            <w:tcW w:w="31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165" w:type="dxa"/>
            <w:tcBorders>
              <w:top w:val="single" w:sz="4" w:space="0" w:color="000000"/>
              <w:left w:val="single" w:sz="13" w:space="0" w:color="D2D2D2"/>
              <w:bottom w:val="single" w:sz="4" w:space="0" w:color="000000"/>
              <w:right w:val="single" w:sz="4" w:space="0" w:color="000000"/>
            </w:tcBorders>
          </w:tcPr>
          <w:p>
            <w:pPr/>
          </w:p>
        </w:tc>
        <w:tc>
          <w:tcPr>
            <w:tcW w:w="31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165" w:type="dxa"/>
            <w:tcBorders>
              <w:top w:val="single" w:sz="4" w:space="0" w:color="000000"/>
              <w:left w:val="single" w:sz="13" w:space="0" w:color="D2D2D2"/>
              <w:bottom w:val="single" w:sz="4" w:space="0" w:color="000000"/>
              <w:right w:val="single" w:sz="4" w:space="0" w:color="000000"/>
            </w:tcBorders>
          </w:tcPr>
          <w:p>
            <w:pPr/>
          </w:p>
        </w:tc>
        <w:tc>
          <w:tcPr>
            <w:tcW w:w="31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1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1,593,416.95</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5,507.40</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1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204,333,716.40</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238,814,378.34</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1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1,969,930,237.32</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1,923,474,786.72</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1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978,716,902.07</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849,602,927.22</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165" w:type="dxa"/>
            <w:tcBorders>
              <w:top w:val="single" w:sz="4" w:space="0" w:color="000000"/>
              <w:left w:val="single" w:sz="13" w:space="0" w:color="D2D2D2"/>
              <w:bottom w:val="single" w:sz="4" w:space="0" w:color="000000"/>
              <w:right w:val="single" w:sz="4" w:space="0" w:color="000000"/>
            </w:tcBorders>
          </w:tcPr>
          <w:p>
            <w:pPr/>
          </w:p>
        </w:tc>
        <w:tc>
          <w:tcPr>
            <w:tcW w:w="31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3165" w:type="dxa"/>
            <w:tcBorders>
              <w:top w:val="single" w:sz="4" w:space="0" w:color="000000"/>
              <w:left w:val="single" w:sz="13" w:space="0" w:color="D2D2D2"/>
              <w:bottom w:val="single" w:sz="4" w:space="0" w:color="000000"/>
              <w:right w:val="single" w:sz="4" w:space="0" w:color="000000"/>
            </w:tcBorders>
          </w:tcPr>
          <w:p>
            <w:pPr/>
          </w:p>
        </w:tc>
        <w:tc>
          <w:tcPr>
            <w:tcW w:w="31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165" w:type="dxa"/>
            <w:tcBorders>
              <w:top w:val="single" w:sz="4" w:space="0" w:color="000000"/>
              <w:left w:val="single" w:sz="13" w:space="0" w:color="D2D2D2"/>
              <w:bottom w:val="single" w:sz="4" w:space="0" w:color="000000"/>
              <w:right w:val="single" w:sz="4" w:space="0" w:color="000000"/>
            </w:tcBorders>
          </w:tcPr>
          <w:p>
            <w:pPr/>
          </w:p>
        </w:tc>
        <w:tc>
          <w:tcPr>
            <w:tcW w:w="31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165" w:type="dxa"/>
            <w:tcBorders>
              <w:top w:val="single" w:sz="4" w:space="0" w:color="000000"/>
              <w:left w:val="single" w:sz="13" w:space="0" w:color="D2D2D2"/>
              <w:bottom w:val="single" w:sz="4" w:space="0" w:color="000000"/>
              <w:right w:val="single" w:sz="4" w:space="0" w:color="000000"/>
            </w:tcBorders>
          </w:tcPr>
          <w:p>
            <w:pPr/>
          </w:p>
        </w:tc>
        <w:tc>
          <w:tcPr>
            <w:tcW w:w="31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165" w:type="dxa"/>
            <w:tcBorders>
              <w:top w:val="single" w:sz="4" w:space="0" w:color="000000"/>
              <w:left w:val="single" w:sz="13" w:space="0" w:color="D2D2D2"/>
              <w:bottom w:val="single" w:sz="4" w:space="0" w:color="000000"/>
              <w:right w:val="single" w:sz="4" w:space="0" w:color="000000"/>
            </w:tcBorders>
          </w:tcPr>
          <w:p>
            <w:pPr/>
          </w:p>
        </w:tc>
        <w:tc>
          <w:tcPr>
            <w:tcW w:w="31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31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195,837,440.17</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202,776,341.60</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1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142,907,898.77</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167,984,034.23</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1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336,778,839.98</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377,536,957.98</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1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1,654,241,080.99</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1,597,900,261.03</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1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315,689,156.33</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325,574,525.69</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1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1,657,000,204.45</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2,560,000,000.00</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1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13,259,295.94</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20,784,438.45</w:t>
            </w:r>
          </w:p>
        </w:tc>
      </w:tr>
      <w:tr>
        <w:trPr>
          <w:trHeight w:val="714"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w:t>
            </w:r>
            <w:r>
              <w:rPr>
                <w:rFonts w:ascii="宋体" w:hAnsi="宋体" w:cs="宋体" w:eastAsia="宋体" w:hint="default"/>
                <w:sz w:val="18"/>
                <w:szCs w:val="18"/>
              </w:rPr>
              <w:t> 资产收回的现金净额</w:t>
            </w:r>
          </w:p>
        </w:tc>
        <w:tc>
          <w:tcPr>
            <w:tcW w:w="31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80,159.93</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206,191.97</w:t>
            </w:r>
          </w:p>
        </w:tc>
      </w:tr>
      <w:tr>
        <w:trPr>
          <w:trHeight w:val="714"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 现金净额</w:t>
            </w:r>
          </w:p>
        </w:tc>
        <w:tc>
          <w:tcPr>
            <w:tcW w:w="3165" w:type="dxa"/>
            <w:tcBorders>
              <w:top w:val="single" w:sz="4" w:space="0" w:color="000000"/>
              <w:left w:val="single" w:sz="13" w:space="0" w:color="D2D2D2"/>
              <w:bottom w:val="single" w:sz="4" w:space="0" w:color="000000"/>
              <w:right w:val="single" w:sz="4" w:space="0" w:color="000000"/>
            </w:tcBorders>
          </w:tcPr>
          <w:p>
            <w:pPr/>
          </w:p>
        </w:tc>
        <w:tc>
          <w:tcPr>
            <w:tcW w:w="31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1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101,073.20</w:t>
            </w:r>
          </w:p>
        </w:tc>
        <w:tc>
          <w:tcPr>
            <w:tcW w:w="31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1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1,670,440,733.52</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2,580,990,630.42</w:t>
            </w:r>
          </w:p>
        </w:tc>
      </w:tr>
      <w:tr>
        <w:trPr>
          <w:trHeight w:val="714"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购建固定资产、无形资产和其他长期</w:t>
            </w:r>
            <w:r>
              <w:rPr>
                <w:rFonts w:ascii="宋体" w:hAnsi="宋体" w:cs="宋体" w:eastAsia="宋体" w:hint="default"/>
                <w:sz w:val="18"/>
                <w:szCs w:val="18"/>
              </w:rPr>
              <w:t> 资产支付的现金</w:t>
            </w:r>
          </w:p>
        </w:tc>
        <w:tc>
          <w:tcPr>
            <w:tcW w:w="31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130,191,140.58</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158,725,302.36</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1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1,617,000,204.45</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2,010,000,000.00</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165" w:type="dxa"/>
            <w:tcBorders>
              <w:top w:val="single" w:sz="4" w:space="0" w:color="000000"/>
              <w:left w:val="single" w:sz="13" w:space="0" w:color="D2D2D2"/>
              <w:bottom w:val="single" w:sz="4" w:space="0" w:color="000000"/>
              <w:right w:val="single" w:sz="4" w:space="0" w:color="000000"/>
            </w:tcBorders>
          </w:tcPr>
          <w:p>
            <w:pPr/>
          </w:p>
        </w:tc>
        <w:tc>
          <w:tcPr>
            <w:tcW w:w="31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 现金净额</w:t>
            </w:r>
          </w:p>
        </w:tc>
        <w:tc>
          <w:tcPr>
            <w:tcW w:w="3165" w:type="dxa"/>
            <w:tcBorders>
              <w:top w:val="single" w:sz="4" w:space="0" w:color="000000"/>
              <w:left w:val="single" w:sz="13" w:space="0" w:color="D2D2D2"/>
              <w:bottom w:val="single" w:sz="4" w:space="0" w:color="000000"/>
              <w:right w:val="single" w:sz="4" w:space="0" w:color="000000"/>
            </w:tcBorders>
          </w:tcPr>
          <w:p>
            <w:pP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1,886,579.38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39"/>
        <w:gridCol w:w="3165"/>
        <w:gridCol w:w="3154"/>
      </w:tblGrid>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1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2,620,922.74</w:t>
            </w:r>
          </w:p>
        </w:tc>
        <w:tc>
          <w:tcPr>
            <w:tcW w:w="31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1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1,749,812,267.77</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2,170,611,881.74</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1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-79,371,534.25</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410,378,748.68</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165" w:type="dxa"/>
            <w:tcBorders>
              <w:top w:val="single" w:sz="4" w:space="0" w:color="000000"/>
              <w:left w:val="single" w:sz="13" w:space="0" w:color="D2D2D2"/>
              <w:bottom w:val="single" w:sz="4" w:space="0" w:color="000000"/>
              <w:right w:val="single" w:sz="4" w:space="0" w:color="000000"/>
            </w:tcBorders>
          </w:tcPr>
          <w:p>
            <w:pPr/>
          </w:p>
        </w:tc>
        <w:tc>
          <w:tcPr>
            <w:tcW w:w="31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其中：子公司吸收少数股东投资收到</w:t>
            </w:r>
            <w:r>
              <w:rPr>
                <w:rFonts w:ascii="宋体" w:hAnsi="宋体" w:cs="宋体" w:eastAsia="宋体" w:hint="default"/>
                <w:sz w:val="18"/>
                <w:szCs w:val="18"/>
              </w:rPr>
              <w:t> 的现金</w:t>
            </w:r>
          </w:p>
        </w:tc>
        <w:tc>
          <w:tcPr>
            <w:tcW w:w="3165" w:type="dxa"/>
            <w:tcBorders>
              <w:top w:val="single" w:sz="4" w:space="0" w:color="000000"/>
              <w:left w:val="single" w:sz="13" w:space="0" w:color="D2D2D2"/>
              <w:bottom w:val="single" w:sz="4" w:space="0" w:color="000000"/>
              <w:right w:val="single" w:sz="4" w:space="0" w:color="000000"/>
            </w:tcBorders>
          </w:tcPr>
          <w:p>
            <w:pPr/>
          </w:p>
        </w:tc>
        <w:tc>
          <w:tcPr>
            <w:tcW w:w="31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165" w:type="dxa"/>
            <w:tcBorders>
              <w:top w:val="single" w:sz="4" w:space="0" w:color="000000"/>
              <w:left w:val="single" w:sz="13" w:space="0" w:color="D2D2D2"/>
              <w:bottom w:val="single" w:sz="4" w:space="0" w:color="000000"/>
              <w:right w:val="single" w:sz="4" w:space="0" w:color="000000"/>
            </w:tcBorders>
          </w:tcPr>
          <w:p>
            <w:pPr/>
          </w:p>
        </w:tc>
        <w:tc>
          <w:tcPr>
            <w:tcW w:w="31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165" w:type="dxa"/>
            <w:tcBorders>
              <w:top w:val="single" w:sz="4" w:space="0" w:color="000000"/>
              <w:left w:val="single" w:sz="13" w:space="0" w:color="D2D2D2"/>
              <w:bottom w:val="single" w:sz="4" w:space="0" w:color="000000"/>
              <w:right w:val="single" w:sz="4" w:space="0" w:color="000000"/>
            </w:tcBorders>
          </w:tcPr>
          <w:p>
            <w:pPr/>
          </w:p>
        </w:tc>
        <w:tc>
          <w:tcPr>
            <w:tcW w:w="31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1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65,679,010.45</w:t>
            </w:r>
          </w:p>
        </w:tc>
        <w:tc>
          <w:tcPr>
            <w:tcW w:w="31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1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65,679,010.45</w:t>
            </w:r>
          </w:p>
        </w:tc>
        <w:tc>
          <w:tcPr>
            <w:tcW w:w="31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165" w:type="dxa"/>
            <w:tcBorders>
              <w:top w:val="single" w:sz="4" w:space="0" w:color="000000"/>
              <w:left w:val="single" w:sz="13" w:space="0" w:color="D2D2D2"/>
              <w:bottom w:val="single" w:sz="4" w:space="0" w:color="000000"/>
              <w:right w:val="single" w:sz="4" w:space="0" w:color="000000"/>
            </w:tcBorders>
          </w:tcPr>
          <w:p>
            <w:pPr/>
          </w:p>
        </w:tc>
        <w:tc>
          <w:tcPr>
            <w:tcW w:w="31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1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145,630,287.34</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129,501,123.92</w:t>
            </w:r>
          </w:p>
        </w:tc>
      </w:tr>
      <w:tr>
        <w:trPr>
          <w:trHeight w:val="714"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5"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 利、利润</w:t>
            </w:r>
          </w:p>
        </w:tc>
        <w:tc>
          <w:tcPr>
            <w:tcW w:w="3165" w:type="dxa"/>
            <w:tcBorders>
              <w:top w:val="single" w:sz="4" w:space="0" w:color="000000"/>
              <w:left w:val="single" w:sz="13" w:space="0" w:color="D2D2D2"/>
              <w:bottom w:val="single" w:sz="4" w:space="0" w:color="000000"/>
              <w:right w:val="single" w:sz="4" w:space="0" w:color="000000"/>
            </w:tcBorders>
          </w:tcPr>
          <w:p>
            <w:pP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20,367,839.72</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1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77,297,310.49</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138,415,384.90</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1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222,927,597.83</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267,916,508.82</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1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-157,248,587.38</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-267,916,508.82</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2"/>
                <w:sz w:val="18"/>
                <w:szCs w:val="18"/>
              </w:rPr>
              <w:t>四、汇率变动对现金及现金等价物的影响</w:t>
            </w:r>
          </w:p>
        </w:tc>
        <w:tc>
          <w:tcPr>
            <w:tcW w:w="31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972.59</w:t>
            </w:r>
          </w:p>
        </w:tc>
        <w:tc>
          <w:tcPr>
            <w:tcW w:w="31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1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79,070,007.29</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468,036,765.55</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1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697,294,526.92</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229,257,761.37</w:t>
            </w:r>
          </w:p>
        </w:tc>
      </w:tr>
      <w:tr>
        <w:trPr>
          <w:trHeight w:val="40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1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776,364,534.21</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697,294,526.92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121"/>
        <w:jc w:val="left"/>
        <w:rPr>
          <w:b w:val="0"/>
          <w:bCs w:val="0"/>
        </w:rPr>
      </w:pPr>
      <w:bookmarkStart w:name="6、母公司现金流量表" w:id="168"/>
      <w:bookmarkEnd w:id="168"/>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1,263,222,882.29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1,070,833,298.78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38,006.79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5,507.40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745,315,889.92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822,132,114.54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2,008,576,779.00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1,892,970,920.72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1,077,715,072.16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849,840,830.58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75,627,611.85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91,464,089.01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60,056,621.97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79,712,601.71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507,593,686.76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744,818,901.32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1,720,992,992.74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1,765,836,422.62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287,583,786.26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127,134,498.10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1,659,807,659.71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145,964,549.70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123,973,602.80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101,073.20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1,805,888,282.61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2,683,973,602.80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110,255,229.88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109,452,526.53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1,698,308,405.54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2,148,609,977.72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1,808,563,635.42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2,258,062,504.25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-2,675,352.81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425,911,098.55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65,679,010.45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65,679,010.45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145,511,045.60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109,133,284.20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62,732,315.95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210,407.18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208,243,361.55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109,343,691.38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-142,564,351.10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-109,343,691.38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972.59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142,345,054.94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443,701,905.27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591,690,553.73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147,988,648.46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734,035,608.67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591,690,553.73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121"/>
        <w:jc w:val="left"/>
        <w:rPr>
          <w:b w:val="0"/>
          <w:bCs w:val="0"/>
        </w:rPr>
      </w:pPr>
      <w:bookmarkStart w:name="7、合并所有者权益变动表" w:id="169"/>
      <w:bookmarkEnd w:id="169"/>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21"/>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363,77</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7,614.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249,782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,710.21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213,992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,518.70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687,822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,672.89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2,753,7</w:t>
            </w:r>
          </w:p>
          <w:p>
            <w:pPr>
              <w:pStyle w:val="TableParagraph"/>
              <w:spacing w:line="240" w:lineRule="auto" w:before="106"/>
              <w:ind w:left="208" w:right="0"/>
              <w:jc w:val="center"/>
              <w:rPr>
                <w:rFonts w:ascii="Times New Roman" w:hAnsi="Times New Roman" w:cs="Times New Roman" w:eastAsia="Times New Roman" w:hint="default"/>
                <w:sz w:val="18"/>
                <w:szCs w:val="18"/>
              </w:rPr>
            </w:pPr>
            <w:r>
              <w:rPr>
                <w:rFonts w:ascii="Times New Roman"/>
                <w:sz w:val="18"/>
              </w:rPr>
              <w:t>99.11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29,314.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91</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363,77</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7,614.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249,782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,710.21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213,992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,518.70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687,822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,672.89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2,753,7</w:t>
            </w:r>
          </w:p>
          <w:p>
            <w:pPr>
              <w:pStyle w:val="TableParagraph"/>
              <w:spacing w:line="240" w:lineRule="auto" w:before="106"/>
              <w:ind w:left="208" w:right="0"/>
              <w:jc w:val="center"/>
              <w:rPr>
                <w:rFonts w:ascii="Times New Roman" w:hAnsi="Times New Roman" w:cs="Times New Roman" w:eastAsia="Times New Roman" w:hint="default"/>
                <w:sz w:val="18"/>
                <w:szCs w:val="18"/>
              </w:rPr>
            </w:pPr>
            <w:r>
              <w:rPr>
                <w:rFonts w:ascii="Times New Roman"/>
                <w:sz w:val="18"/>
              </w:rPr>
              <w:t>99.11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29,314.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91</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36,682,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716.63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74,573,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842.40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-1,771,2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74.98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109,485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,284.05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256,767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,604.63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884,895</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257,652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,499.72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-2,656,1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70.07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-2,656,1</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70.07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-2,656,1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70.07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-2,656,1</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70.07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36,682,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716.63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-182,19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3,762.2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-145,51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1,045.6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36,682,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716.63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-36,682,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716.63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-145,51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1,045.6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-145,51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1,045.6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363,77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7,614.</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249,782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,710.21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250,675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,235.33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762,396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,515.29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982,524</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.13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1,627,6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14,598.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96</w:t>
            </w:r>
          </w:p>
        </w:tc>
      </w:tr>
    </w:tbl>
    <w:p>
      <w:pPr>
        <w:pStyle w:val="BodyText"/>
        <w:spacing w:line="240" w:lineRule="auto" w:before="51"/>
        <w:ind w:right="1121"/>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42"/>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1"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5"/>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5"/>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5"/>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5"/>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5"/>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5"/>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5"/>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403"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80" w:right="0"/>
              <w:jc w:val="left"/>
              <w:rPr>
                <w:rFonts w:ascii="宋体" w:hAnsi="宋体" w:cs="宋体" w:eastAsia="宋体" w:hint="default"/>
                <w:sz w:val="18"/>
                <w:szCs w:val="18"/>
              </w:rPr>
            </w:pPr>
            <w:r>
              <w:rPr>
                <w:rFonts w:ascii="宋体" w:hAnsi="宋体" w:cs="宋体" w:eastAsia="宋体" w:hint="default"/>
                <w:sz w:val="18"/>
                <w:szCs w:val="18"/>
              </w:rPr>
              <w:t>优先</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81"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5"/>
        <w:gridCol w:w="665"/>
        <w:gridCol w:w="678"/>
        <w:gridCol w:w="652"/>
        <w:gridCol w:w="659"/>
      </w:tblGrid>
      <w:tr>
        <w:trPr>
          <w:trHeight w:val="36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7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71" w:right="0"/>
              <w:jc w:val="left"/>
              <w:rPr>
                <w:rFonts w:ascii="宋体" w:hAnsi="宋体" w:cs="宋体" w:eastAsia="宋体" w:hint="default"/>
                <w:sz w:val="18"/>
                <w:szCs w:val="18"/>
              </w:rPr>
            </w:pPr>
            <w:r>
              <w:rPr>
                <w:rFonts w:ascii="宋体" w:hAnsi="宋体" w:cs="宋体" w:eastAsia="宋体" w:hint="default"/>
                <w:sz w:val="18"/>
                <w:szCs w:val="18"/>
              </w:rPr>
              <w:t>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363,77</w:t>
            </w:r>
          </w:p>
          <w:p>
            <w:pPr>
              <w:pStyle w:val="TableParagraph"/>
              <w:spacing w:line="240" w:lineRule="auto" w:before="104"/>
              <w:ind w:left="84" w:right="0"/>
              <w:jc w:val="left"/>
              <w:rPr>
                <w:rFonts w:ascii="Times New Roman" w:hAnsi="Times New Roman" w:cs="Times New Roman" w:eastAsia="Times New Roman" w:hint="default"/>
                <w:sz w:val="18"/>
                <w:szCs w:val="18"/>
              </w:rPr>
            </w:pPr>
            <w:r>
              <w:rPr>
                <w:rFonts w:ascii="Times New Roman"/>
                <w:sz w:val="18"/>
              </w:rPr>
              <w:t>7,614.</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379,181</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,058.58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184,484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,007.96</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594,647</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,151.10</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70,187,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878.86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1,592,2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77,710.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363,77</w:t>
            </w:r>
          </w:p>
          <w:p>
            <w:pPr>
              <w:pStyle w:val="TableParagraph"/>
              <w:spacing w:line="240" w:lineRule="auto" w:before="104"/>
              <w:ind w:left="84" w:right="0"/>
              <w:jc w:val="left"/>
              <w:rPr>
                <w:rFonts w:ascii="Times New Roman" w:hAnsi="Times New Roman" w:cs="Times New Roman" w:eastAsia="Times New Roman" w:hint="default"/>
                <w:sz w:val="18"/>
                <w:szCs w:val="18"/>
              </w:rPr>
            </w:pPr>
            <w:r>
              <w:rPr>
                <w:rFonts w:ascii="Times New Roman"/>
                <w:sz w:val="18"/>
              </w:rPr>
              <w:t>7,614.</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379,181</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,058.58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184,484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,007.96</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594,647</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,151.10</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70,187,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878.86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1,592,2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77,710.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-129,39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8,348.3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29,508,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510.74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93,175,</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521.79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-67,434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,079.75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-74,148,</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395.59</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232,105</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,571.41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-1,282,</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843.08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230,822</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,728.33</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-129,39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8,348.3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-288,25</w:t>
            </w:r>
          </w:p>
          <w:p>
            <w:pPr>
              <w:pStyle w:val="TableParagraph"/>
              <w:spacing w:line="240" w:lineRule="auto" w:before="105"/>
              <w:ind w:left="329" w:right="0"/>
              <w:jc w:val="left"/>
              <w:rPr>
                <w:rFonts w:ascii="Times New Roman" w:hAnsi="Times New Roman" w:cs="Times New Roman" w:eastAsia="Times New Roman" w:hint="default"/>
                <w:sz w:val="18"/>
                <w:szCs w:val="18"/>
              </w:rPr>
            </w:pPr>
            <w:r>
              <w:rPr>
                <w:rFonts w:ascii="Times New Roman"/>
                <w:sz w:val="18"/>
              </w:rPr>
              <w:t>4.68</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-45,783</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,396.95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-175,47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705"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-129,39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8,348.3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-288,25</w:t>
            </w:r>
          </w:p>
          <w:p>
            <w:pPr>
              <w:pStyle w:val="TableParagraph"/>
              <w:spacing w:line="240" w:lineRule="auto" w:before="105"/>
              <w:ind w:left="329" w:right="0"/>
              <w:jc w:val="left"/>
              <w:rPr>
                <w:rFonts w:ascii="Times New Roman" w:hAnsi="Times New Roman" w:cs="Times New Roman" w:eastAsia="Times New Roman" w:hint="default"/>
                <w:sz w:val="18"/>
                <w:szCs w:val="18"/>
              </w:rPr>
            </w:pPr>
            <w:r>
              <w:rPr>
                <w:rFonts w:ascii="Times New Roman"/>
                <w:sz w:val="18"/>
              </w:rPr>
              <w:t>4.68</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-45,783</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,396.95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-175,47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29,508,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510.74</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-138,64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1,794.9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-20,367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,839.72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-129,50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1,123.9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29,508,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510.74</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-29,508,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510.74</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-109,13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3,284.2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-20,367</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,839.72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1,123.9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363,77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7,614.</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249,782</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,710.21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213,992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,518.70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687,822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,672.89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2,753,7</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99.11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29,314.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121"/>
        <w:jc w:val="left"/>
        <w:rPr>
          <w:b w:val="0"/>
          <w:bCs w:val="0"/>
        </w:rPr>
      </w:pPr>
      <w:bookmarkStart w:name="8、母公司所有者权益变动表" w:id="170"/>
      <w:bookmarkEnd w:id="170"/>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21"/>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363,777,</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614.00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378,000,1</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86.04</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213,992,5</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18.70</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473,867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,271.78</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4" w:right="0"/>
              <w:jc w:val="center"/>
              <w:rPr>
                <w:rFonts w:ascii="Times New Roman" w:hAnsi="Times New Roman" w:cs="Times New Roman" w:eastAsia="Times New Roman" w:hint="default"/>
                <w:sz w:val="18"/>
                <w:szCs w:val="18"/>
              </w:rPr>
            </w:pPr>
            <w:r>
              <w:rPr>
                <w:rFonts w:ascii="Times New Roman"/>
                <w:sz w:val="18"/>
              </w:rPr>
              <w:t>1,429,637</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,590.52</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363,777,</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614.00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378,000,1</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86.04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213,992,5</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18.70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473,867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,271.78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1,429,637</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,590.52</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36,682,71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6.63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62,357,</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681.96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99,040,39</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8.59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244,551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,444.19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244,551,4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44.19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99"/>
              <w:ind w:left="44" w:right="0"/>
              <w:jc w:val="left"/>
              <w:rPr>
                <w:rFonts w:ascii="Times New Roman" w:hAnsi="Times New Roman" w:cs="Times New Roman" w:eastAsia="Times New Roman" w:hint="default"/>
                <w:sz w:val="18"/>
                <w:szCs w:val="18"/>
              </w:rPr>
            </w:pPr>
            <w:r>
              <w:rPr>
                <w:rFonts w:ascii="Times New Roman"/>
                <w:sz w:val="18"/>
              </w:rPr>
              <w:t>36.682,71</w:t>
            </w:r>
          </w:p>
          <w:p>
            <w:pPr>
              <w:pStyle w:val="TableParagraph"/>
              <w:spacing w:line="207" w:lineRule="exact"/>
              <w:ind w:left="449" w:right="0"/>
              <w:jc w:val="left"/>
              <w:rPr>
                <w:rFonts w:ascii="Times New Roman" w:hAnsi="Times New Roman" w:cs="Times New Roman" w:eastAsia="Times New Roman" w:hint="default"/>
                <w:sz w:val="18"/>
                <w:szCs w:val="18"/>
              </w:rPr>
            </w:pPr>
            <w:r>
              <w:rPr>
                <w:rFonts w:ascii="Times New Roman"/>
                <w:sz w:val="18"/>
              </w:rPr>
              <w:t>6.63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z w:val="18"/>
              </w:rPr>
              <w:t>-182,19</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3,762.2</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99"/>
              <w:ind w:left="41" w:right="0"/>
              <w:jc w:val="center"/>
              <w:rPr>
                <w:rFonts w:ascii="Times New Roman" w:hAnsi="Times New Roman" w:cs="Times New Roman" w:eastAsia="Times New Roman" w:hint="default"/>
                <w:sz w:val="18"/>
                <w:szCs w:val="18"/>
              </w:rPr>
            </w:pPr>
            <w:r>
              <w:rPr>
                <w:rFonts w:ascii="Times New Roman"/>
                <w:sz w:val="18"/>
              </w:rPr>
              <w:t>-145,511,</w:t>
            </w:r>
          </w:p>
          <w:p>
            <w:pPr>
              <w:pStyle w:val="TableParagraph"/>
              <w:spacing w:line="207" w:lineRule="exact"/>
              <w:ind w:left="230" w:right="0"/>
              <w:jc w:val="center"/>
              <w:rPr>
                <w:rFonts w:ascii="Times New Roman" w:hAnsi="Times New Roman" w:cs="Times New Roman" w:eastAsia="Times New Roman" w:hint="default"/>
                <w:sz w:val="18"/>
                <w:szCs w:val="18"/>
              </w:rPr>
            </w:pPr>
            <w:r>
              <w:rPr>
                <w:rFonts w:ascii="Times New Roman"/>
                <w:sz w:val="18"/>
              </w:rPr>
              <w:t>045.60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36.682,71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6.63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-36.682,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716.63</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-145,51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1,045.6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-145,511,</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045.60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363,777,</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614.00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378,000,1</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86.04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250,675,2</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35.33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536,224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,953.74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1,528,677</w:t>
            </w:r>
          </w:p>
          <w:p>
            <w:pPr>
              <w:pStyle w:val="TableParagraph"/>
              <w:spacing w:line="240" w:lineRule="auto" w:before="106"/>
              <w:ind w:left="191" w:right="0"/>
              <w:jc w:val="center"/>
              <w:rPr>
                <w:rFonts w:ascii="Times New Roman" w:hAnsi="Times New Roman" w:cs="Times New Roman" w:eastAsia="Times New Roman" w:hint="default"/>
                <w:sz w:val="18"/>
                <w:szCs w:val="18"/>
              </w:rPr>
            </w:pPr>
            <w:r>
              <w:rPr>
                <w:rFonts w:ascii="Times New Roman"/>
                <w:sz w:val="18"/>
              </w:rPr>
              <w:t>,989.11</w:t>
            </w:r>
          </w:p>
        </w:tc>
      </w:tr>
    </w:tbl>
    <w:p>
      <w:pPr>
        <w:pStyle w:val="BodyText"/>
        <w:spacing w:line="240" w:lineRule="auto" w:before="51"/>
        <w:ind w:right="1121"/>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363,777,</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614.00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378,000,1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86.04</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184,484,0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07.96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415,785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,661.84</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4" w:right="0"/>
              <w:jc w:val="center"/>
              <w:rPr>
                <w:rFonts w:ascii="Times New Roman" w:hAnsi="Times New Roman" w:cs="Times New Roman" w:eastAsia="Times New Roman" w:hint="default"/>
                <w:sz w:val="18"/>
                <w:szCs w:val="18"/>
              </w:rPr>
            </w:pPr>
            <w:r>
              <w:rPr>
                <w:rFonts w:ascii="Times New Roman"/>
                <w:sz w:val="18"/>
              </w:rPr>
              <w:t>1,342,047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,469.84</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363,777,</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614.00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378,000,1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86.04</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184,484,0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07.96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415,785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,661.84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1,342,047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,469.84</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29,508,51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0.74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58,081,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609.94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87,590,12</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0.68</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196,723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,404.88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196,723,4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04.88</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29,508,51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0.74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-138,64</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1,794.9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-109,133,</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284.20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29,508,51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0.74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-29,508,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510.74</w:t>
            </w:r>
          </w:p>
        </w:tc>
        <w:tc>
          <w:tcPr>
            <w:tcW w:w="781" w:type="dxa"/>
            <w:vMerge w:val="restart"/>
            <w:tcBorders>
              <w:top w:val="single" w:sz="4" w:space="0" w:color="000000"/>
              <w:left w:val="single" w:sz="4" w:space="0" w:color="000000"/>
              <w:right w:val="single" w:sz="4" w:space="0" w:color="000000"/>
            </w:tcBorders>
          </w:tcPr>
          <w:p>
            <w:pP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2"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3,284.2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-109,133,</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284.20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363,777,</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614.00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378,000,1</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86.04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213,992,5</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18.70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473,867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,271.78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1,429,637</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,590.52</w:t>
            </w:r>
          </w:p>
        </w:tc>
      </w:tr>
    </w:tbl>
    <w:p>
      <w:pPr>
        <w:spacing w:line="240" w:lineRule="auto" w:before="2"/>
        <w:rPr>
          <w:rFonts w:ascii="宋体" w:hAnsi="宋体" w:cs="宋体" w:eastAsia="宋体" w:hint="default"/>
          <w:sz w:val="18"/>
          <w:szCs w:val="18"/>
        </w:rPr>
      </w:pPr>
    </w:p>
    <w:p>
      <w:pPr>
        <w:pStyle w:val="Heading2"/>
        <w:spacing w:line="240" w:lineRule="auto" w:before="26"/>
        <w:ind w:right="1121"/>
        <w:jc w:val="left"/>
        <w:rPr>
          <w:b w:val="0"/>
          <w:bCs w:val="0"/>
        </w:rPr>
      </w:pPr>
      <w:bookmarkStart w:name="三、公司基本情况" w:id="171"/>
      <w:bookmarkEnd w:id="171"/>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132" w:firstLine="360"/>
        <w:jc w:val="both"/>
      </w:pPr>
      <w:r>
        <w:rPr>
          <w:spacing w:val="-1"/>
        </w:rPr>
        <w:t>东港股份有限公司（以下简称</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）是由香港喜多来集团有限公司、浪潮电子信息产业股份有限公司、北</w:t>
      </w:r>
      <w:r>
        <w:rPr/>
        <w:t> </w:t>
      </w:r>
      <w:r>
        <w:rPr>
          <w:spacing w:val="-2"/>
        </w:rPr>
        <w:t>京中嘉华信息技术有限公司、济南发展国有工业资产经营有限公司等公司共同发起设立的股份有限公司，注册地为中华人民</w:t>
      </w:r>
      <w:r>
        <w:rPr>
          <w:spacing w:val="-64"/>
        </w:rPr>
        <w:t> </w:t>
      </w:r>
      <w:r>
        <w:rPr>
          <w:spacing w:val="-64"/>
        </w:rPr>
      </w:r>
      <w:r>
        <w:rPr/>
        <w:t>共和国山东省济南市。公司于</w:t>
      </w:r>
      <w:r>
        <w:rPr>
          <w:rFonts w:ascii="Times New Roman" w:hAnsi="Times New Roman" w:cs="Times New Roman" w:eastAsia="Times New Roman" w:hint="default"/>
        </w:rPr>
        <w:t>1996</w:t>
      </w:r>
      <w:r>
        <w:rPr/>
        <w:t>年经山东省工商行政管理局核准登记，统一社会信用代码为：</w:t>
      </w:r>
      <w:r>
        <w:rPr>
          <w:rFonts w:ascii="Times New Roman" w:hAnsi="Times New Roman" w:cs="Times New Roman" w:eastAsia="Times New Roman" w:hint="default"/>
        </w:rPr>
        <w:t>91370000613207311A</w:t>
      </w:r>
      <w:r>
        <w:rPr/>
        <w:t>。</w:t>
      </w:r>
    </w:p>
    <w:p>
      <w:pPr>
        <w:pStyle w:val="BodyText"/>
        <w:spacing w:line="309" w:lineRule="auto" w:before="5"/>
        <w:ind w:right="1032" w:firstLine="360"/>
        <w:jc w:val="left"/>
      </w:pPr>
      <w:r>
        <w:rPr/>
        <w:t>本公司前身为济南东港安全印务有限公司，</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日在该公司基础上改制为股份有限公司。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日经中 </w:t>
      </w:r>
      <w:r>
        <w:rPr>
          <w:spacing w:val="-2"/>
        </w:rPr>
        <w:t>国证券监督管理委员会证监发行字</w:t>
      </w:r>
      <w:r>
        <w:rPr>
          <w:rFonts w:ascii="Times New Roman" w:hAnsi="Times New Roman" w:cs="Times New Roman" w:eastAsia="Times New Roman" w:hint="default"/>
          <w:spacing w:val="-2"/>
        </w:rPr>
        <w:t>[2007]24</w:t>
      </w:r>
      <w:r>
        <w:rPr>
          <w:spacing w:val="-2"/>
        </w:rPr>
        <w:t>号文核准，本公司于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8</w:t>
      </w:r>
      <w:r>
        <w:rPr>
          <w:spacing w:val="-2"/>
        </w:rPr>
        <w:t>日向社会发行人民币普通股股票</w:t>
      </w:r>
      <w:r>
        <w:rPr>
          <w:rFonts w:ascii="Times New Roman" w:hAnsi="Times New Roman" w:cs="Times New Roman" w:eastAsia="Times New Roman" w:hint="default"/>
          <w:spacing w:val="-2"/>
        </w:rPr>
        <w:t>2,800</w:t>
      </w:r>
      <w:r>
        <w:rPr>
          <w:spacing w:val="-2"/>
        </w:rPr>
        <w:t>万股，发行</w:t>
      </w:r>
      <w:r>
        <w:rPr>
          <w:spacing w:val="-33"/>
        </w:rPr>
        <w:t> </w:t>
      </w:r>
      <w:r>
        <w:rPr>
          <w:spacing w:val="-33"/>
        </w:rPr>
      </w:r>
      <w:r>
        <w:rPr>
          <w:spacing w:val="-3"/>
        </w:rPr>
        <w:t>后累计注册资本金额为人民币</w:t>
      </w:r>
      <w:r>
        <w:rPr>
          <w:rFonts w:ascii="Times New Roman" w:hAnsi="Times New Roman" w:cs="Times New Roman" w:eastAsia="Times New Roman" w:hint="default"/>
          <w:spacing w:val="-3"/>
        </w:rPr>
        <w:t>110,000,000.00</w:t>
      </w:r>
      <w:r>
        <w:rPr>
          <w:spacing w:val="-3"/>
        </w:rPr>
        <w:t>元，股本为人民币</w:t>
      </w:r>
      <w:r>
        <w:rPr>
          <w:rFonts w:ascii="Times New Roman" w:hAnsi="Times New Roman" w:cs="Times New Roman" w:eastAsia="Times New Roman" w:hint="default"/>
          <w:spacing w:val="-3"/>
        </w:rPr>
        <w:t>110,000,000.00</w:t>
      </w:r>
      <w:r>
        <w:rPr>
          <w:spacing w:val="-3"/>
        </w:rPr>
        <w:t>元，股票面值为每股人民币</w:t>
      </w:r>
      <w:r>
        <w:rPr>
          <w:rFonts w:ascii="Times New Roman" w:hAnsi="Times New Roman" w:cs="Times New Roman" w:eastAsia="Times New Roman" w:hint="default"/>
          <w:spacing w:val="-3"/>
        </w:rPr>
        <w:t>1</w:t>
      </w:r>
      <w:r>
        <w:rPr>
          <w:spacing w:val="-3"/>
        </w:rPr>
        <w:t>元。公司注册地址：</w:t>
      </w:r>
      <w:r>
        <w:rPr>
          <w:spacing w:val="-57"/>
        </w:rPr>
        <w:t> </w:t>
      </w:r>
      <w:r>
        <w:rPr>
          <w:spacing w:val="-57"/>
        </w:rPr>
      </w:r>
      <w:r>
        <w:rPr/>
        <w:t>山东省济南市山大北路</w:t>
      </w:r>
      <w:r>
        <w:rPr>
          <w:rFonts w:ascii="Times New Roman" w:hAnsi="Times New Roman" w:cs="Times New Roman" w:eastAsia="Times New Roman" w:hint="default"/>
        </w:rPr>
        <w:t>23</w:t>
      </w:r>
      <w:r>
        <w:rPr/>
        <w:t>号。法定代表人：王爱先。注册资本：</w:t>
      </w:r>
      <w:r>
        <w:rPr>
          <w:rFonts w:ascii="Times New Roman" w:hAnsi="Times New Roman" w:cs="Times New Roman" w:eastAsia="Times New Roman" w:hint="default"/>
        </w:rPr>
        <w:t>363,777,614.00</w:t>
      </w:r>
      <w:r>
        <w:rPr/>
        <w:t>元人民币。经营范围：</w:t>
      </w:r>
      <w:r>
        <w:rPr>
          <w:spacing w:val="-30"/>
        </w:rPr>
        <w:t> </w:t>
      </w:r>
      <w:r>
        <w:rPr/>
        <w:t>出版物、包装装潢印</w:t>
      </w:r>
      <w:r>
        <w:rPr/>
        <w:t> 刷品及其他印刷品印刷（有效期以许可证为准）；办公用纸、纸制品的生产；高档纸张的防伪处理，磁卡、</w:t>
      </w:r>
      <w:r>
        <w:rPr>
          <w:rFonts w:ascii="Times New Roman" w:hAnsi="Times New Roman" w:cs="Times New Roman" w:eastAsia="Times New Roman" w:hint="default"/>
        </w:rPr>
        <w:t>IC</w:t>
      </w:r>
      <w:r>
        <w:rPr/>
        <w:t>卡、智能卡、 </w:t>
      </w:r>
      <w:r>
        <w:rPr>
          <w:spacing w:val="-2"/>
        </w:rPr>
        <w:t>识别卡和智能标签、印刷器材、电子设备及产品、办公自动化设备及产品、电子元器件、软件产品的开发、生产，销售本公</w:t>
      </w:r>
      <w:r>
        <w:rPr>
          <w:spacing w:val="-72"/>
        </w:rPr>
        <w:t> </w:t>
      </w:r>
      <w:r>
        <w:rPr>
          <w:spacing w:val="-72"/>
        </w:rPr>
      </w:r>
      <w:r>
        <w:rPr>
          <w:spacing w:val="-4"/>
        </w:rPr>
        <w:t>司生产的产品；信息系统集成工程及技术服务，数据及信息处理服务，科技信息咨询服务；从事上述产品的批发；图书期刊、</w:t>
      </w:r>
      <w:r>
        <w:rPr>
          <w:spacing w:val="-44"/>
        </w:rPr>
        <w:t> </w:t>
      </w:r>
      <w:r>
        <w:rPr>
          <w:spacing w:val="-44"/>
        </w:rPr>
      </w:r>
      <w:r>
        <w:rPr>
          <w:spacing w:val="-2"/>
        </w:rPr>
        <w:t>音像制品、电子出版物的批发及网络销售（凭许可证经营）；档案存储及数字化加工服务，档案管理、咨询服务；代理广告</w:t>
      </w:r>
      <w:r>
        <w:rPr>
          <w:spacing w:val="-72"/>
        </w:rPr>
        <w:t> </w:t>
      </w:r>
      <w:r>
        <w:rPr>
          <w:spacing w:val="-72"/>
        </w:rPr>
      </w:r>
      <w:r>
        <w:rPr>
          <w:spacing w:val="-2"/>
        </w:rPr>
        <w:t>业务；接受金融机构委托从事金融业务流程外包；技术进出口，自有房屋租赁；经国家密码管理机构批准的商用密码产品开</w:t>
      </w:r>
      <w:r>
        <w:rPr>
          <w:spacing w:val="-66"/>
        </w:rPr>
        <w:t> </w:t>
      </w:r>
      <w:r>
        <w:rPr>
          <w:spacing w:val="-66"/>
        </w:rPr>
      </w:r>
      <w:r>
        <w:rPr>
          <w:spacing w:val="-4"/>
        </w:rPr>
        <w:t>发、生产，销售经国家密码管理局批准并通过指定检测机构产品质量检测的商用密码产品（以上两项有效期以许可证为准）；</w:t>
      </w:r>
      <w:r>
        <w:rPr>
          <w:spacing w:val="-46"/>
        </w:rPr>
        <w:t> </w:t>
      </w:r>
      <w:r>
        <w:rPr>
          <w:spacing w:val="-46"/>
        </w:rPr>
      </w:r>
      <w:r>
        <w:rPr/>
        <w:t>自助终端设备的开发、生产、销售</w:t>
      </w:r>
      <w:r>
        <w:rPr>
          <w:rFonts w:ascii="Times New Roman" w:hAnsi="Times New Roman" w:cs="Times New Roman" w:eastAsia="Times New Roman" w:hint="default"/>
        </w:rPr>
        <w:t>;</w:t>
      </w:r>
      <w:r>
        <w:rPr/>
        <w:t>普通货运（凭许可证经营）；仓储服务（不含危险品）；物流配送；标牌制作，</w:t>
      </w:r>
      <w:r>
        <w:rPr>
          <w:rFonts w:ascii="Times New Roman" w:hAnsi="Times New Roman" w:cs="Times New Roman" w:eastAsia="Times New Roman" w:hint="default"/>
        </w:rPr>
        <w:t>RFID</w:t>
      </w:r>
      <w:r>
        <w:rPr/>
        <w:t>产 品的研发、生产及销售。（依法须经批准的项目，经相关部门批准后方可开展经营活动）。 本财务报表业经本公司董事会于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日决议批准报出。</w:t>
      </w:r>
    </w:p>
    <w:p>
      <w:pPr>
        <w:spacing w:after="0" w:line="30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本公司</w:t>
      </w:r>
      <w:r>
        <w:rPr>
          <w:rFonts w:ascii="Times New Roman" w:hAnsi="Times New Roman" w:cs="Times New Roman" w:eastAsia="Times New Roman" w:hint="default"/>
        </w:rPr>
        <w:t>2018</w:t>
      </w:r>
      <w:r>
        <w:rPr/>
        <w:t>年度纳入合并范围的子公司共</w:t>
      </w:r>
      <w:r>
        <w:rPr>
          <w:rFonts w:ascii="Times New Roman" w:hAnsi="Times New Roman" w:cs="Times New Roman" w:eastAsia="Times New Roman" w:hint="default"/>
        </w:rPr>
        <w:t>10</w:t>
      </w:r>
      <w:r>
        <w:rPr/>
        <w:t>户，详见本附注八</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bookmarkStart w:name="四、财务报表的编制基础" w:id="172"/>
      <w:bookmarkEnd w:id="172"/>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编制基础" w:id="173"/>
      <w:bookmarkEnd w:id="173"/>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spacing w:val="-4"/>
        </w:rPr>
        <w:t>本公司财务报表以持续经营假设为基础，根据实际发生的交易和事项，按照财政部发布的《企业会计准则——基本准则》</w:t>
      </w:r>
    </w:p>
    <w:p>
      <w:pPr>
        <w:pStyle w:val="BodyText"/>
        <w:spacing w:line="316" w:lineRule="auto" w:before="76"/>
        <w:ind w:right="1133"/>
        <w:jc w:val="both"/>
      </w:pPr>
      <w:r>
        <w:rPr/>
        <w:t>（财政部令第</w:t>
      </w:r>
      <w:r>
        <w:rPr>
          <w:rFonts w:ascii="宋体" w:hAnsi="宋体" w:cs="宋体" w:eastAsia="宋体" w:hint="default"/>
        </w:rPr>
        <w:t>33</w:t>
      </w:r>
      <w:r>
        <w:rPr/>
        <w:t>号发布、财政部令第</w:t>
      </w:r>
      <w:r>
        <w:rPr>
          <w:rFonts w:ascii="宋体" w:hAnsi="宋体" w:cs="宋体" w:eastAsia="宋体" w:hint="default"/>
        </w:rPr>
        <w:t>76</w:t>
      </w:r>
      <w:r>
        <w:rPr/>
        <w:t>号修订）、于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15</w:t>
      </w:r>
      <w:r>
        <w:rPr/>
        <w:t>日及其后颁布和修订的</w:t>
      </w:r>
      <w:r>
        <w:rPr>
          <w:rFonts w:ascii="宋体" w:hAnsi="宋体" w:cs="宋体" w:eastAsia="宋体" w:hint="default"/>
        </w:rPr>
        <w:t>42</w:t>
      </w:r>
      <w:r>
        <w:rPr/>
        <w:t>项具体会计准则、企业会计准则 </w:t>
      </w:r>
      <w:r>
        <w:rPr>
          <w:spacing w:val="-2"/>
        </w:rPr>
        <w:t>应用指南、企业会计准则解释及其他相关规定（以下合称“企业会计准则”），以及中国证券监督管理委员会《公开发行证</w:t>
      </w:r>
      <w:r>
        <w:rPr>
          <w:spacing w:val="-72"/>
        </w:rPr>
        <w:t> </w:t>
      </w:r>
      <w:r>
        <w:rPr>
          <w:spacing w:val="-72"/>
        </w:rPr>
      </w:r>
      <w:r>
        <w:rPr/>
        <w:t>券的公司信息披露编报规则第</w:t>
      </w:r>
      <w:r>
        <w:rPr>
          <w:rFonts w:ascii="宋体" w:hAnsi="宋体" w:cs="宋体" w:eastAsia="宋体" w:hint="default"/>
        </w:rPr>
        <w:t>15</w:t>
      </w:r>
      <w:r>
        <w:rPr/>
        <w:t>号——财务报告的一般规定》（</w:t>
      </w:r>
      <w:r>
        <w:rPr>
          <w:rFonts w:ascii="宋体" w:hAnsi="宋体" w:cs="宋体" w:eastAsia="宋体" w:hint="default"/>
        </w:rPr>
        <w:t>2014</w:t>
      </w:r>
      <w:r>
        <w:rPr/>
        <w:t>年修订）的披露规定编制。</w:t>
      </w:r>
    </w:p>
    <w:p>
      <w:pPr>
        <w:pStyle w:val="BodyText"/>
        <w:spacing w:line="316" w:lineRule="auto" w:before="19"/>
        <w:ind w:right="1131" w:firstLine="360"/>
        <w:jc w:val="both"/>
      </w:pPr>
      <w:r>
        <w:rPr>
          <w:spacing w:val="-2"/>
        </w:rPr>
        <w:t>根据企业会计准则的相关规定，本公司会计核算以权责发生制为基础。除某些金融工具，本财务报表均以历史成本为计</w:t>
      </w:r>
      <w:r>
        <w:rPr/>
        <w:t> </w:t>
      </w:r>
      <w:r>
        <w:rPr>
          <w:spacing w:val="-2"/>
        </w:rPr>
        <w:t>量基础。持有待售的非流动资产，按公允价值减去预计费用后的金额，以及符合持有待售条件时的原账面价值，取两者孰低</w:t>
      </w:r>
      <w:r>
        <w:rPr>
          <w:spacing w:val="-66"/>
        </w:rPr>
        <w:t> </w:t>
      </w:r>
      <w:r>
        <w:rPr>
          <w:spacing w:val="-66"/>
        </w:rPr>
      </w:r>
      <w:r>
        <w:rPr/>
        <w:t>计价。资产如果发生减值，则按照相关规定计提相应的减值准备。</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持续经营" w:id="174"/>
      <w:bookmarkEnd w:id="174"/>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1121"/>
        <w:jc w:val="left"/>
      </w:pPr>
      <w:r>
        <w:rPr/>
        <w:t>本公司自报告期末起后的</w:t>
      </w:r>
      <w:r>
        <w:rPr>
          <w:rFonts w:ascii="Times New Roman" w:hAnsi="Times New Roman" w:cs="Times New Roman" w:eastAsia="Times New Roman" w:hint="default"/>
        </w:rPr>
        <w:t>12</w:t>
      </w:r>
      <w:r>
        <w:rPr/>
        <w:t>个月具有持续经营能力，无影响持续经营能力的重大事项。</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bookmarkStart w:name="五、重要会计政策及会计估计" w:id="175"/>
      <w:bookmarkEnd w:id="175"/>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357" w:lineRule="auto" w:before="26"/>
        <w:ind w:left="514" w:right="1121" w:hanging="360"/>
        <w:jc w:val="left"/>
      </w:pPr>
      <w:r>
        <w:rPr/>
        <w:t>具体会计政策和会计估计提示： </w:t>
      </w:r>
      <w:r>
        <w:rPr>
          <w:spacing w:val="-2"/>
        </w:rPr>
        <w:t>本公司及各子公司从事票证印刷、智能卡生产、数据外包服务、档案存储等经营活动。本公司及各子公司根据实际生产</w:t>
      </w:r>
    </w:p>
    <w:p>
      <w:pPr>
        <w:pStyle w:val="BodyText"/>
        <w:spacing w:line="224" w:lineRule="exact"/>
        <w:ind w:right="0"/>
        <w:jc w:val="both"/>
      </w:pPr>
      <w:r>
        <w:rPr/>
        <w:t>经营特点，依据相关企业会计准则的规定，对收入确认、研究和开发支出等交易和事项制定了若干项具体会计政策和会计估</w:t>
      </w:r>
    </w:p>
    <w:p>
      <w:pPr>
        <w:pStyle w:val="BodyText"/>
        <w:spacing w:line="300" w:lineRule="auto" w:before="76"/>
        <w:ind w:right="1142"/>
        <w:jc w:val="left"/>
      </w:pPr>
      <w:r>
        <w:rPr/>
        <w:t>计，详见本附注五、</w:t>
      </w:r>
      <w:r>
        <w:rPr>
          <w:rFonts w:ascii="Times New Roman" w:hAnsi="Times New Roman" w:cs="Times New Roman" w:eastAsia="Times New Roman" w:hint="default"/>
        </w:rPr>
        <w:t>2</w:t>
      </w:r>
      <w:r>
        <w:rPr>
          <w:rFonts w:ascii="宋体" w:hAnsi="宋体" w:cs="宋体" w:eastAsia="宋体" w:hint="default"/>
        </w:rPr>
        <w:t>5</w:t>
      </w:r>
      <w:r>
        <w:rPr>
          <w:rFonts w:ascii="Times New Roman" w:hAnsi="Times New Roman" w:cs="Times New Roman" w:eastAsia="Times New Roman" w:hint="default"/>
        </w:rPr>
        <w:t>“</w:t>
      </w:r>
      <w:r>
        <w:rPr/>
        <w:t>收入</w:t>
      </w:r>
      <w:r>
        <w:rPr>
          <w:rFonts w:ascii="Times New Roman" w:hAnsi="Times New Roman" w:cs="Times New Roman" w:eastAsia="Times New Roman" w:hint="default"/>
        </w:rPr>
        <w:t>”</w:t>
      </w:r>
      <w:r>
        <w:rPr/>
        <w:t>、附注五、</w:t>
      </w:r>
      <w:r>
        <w:rPr>
          <w:rFonts w:ascii="Times New Roman" w:hAnsi="Times New Roman" w:cs="Times New Roman" w:eastAsia="Times New Roman" w:hint="default"/>
        </w:rPr>
        <w:t>18</w:t>
      </w:r>
      <w:r>
        <w:rPr/>
        <w:t>、（</w:t>
      </w:r>
      <w:r>
        <w:rPr>
          <w:rFonts w:ascii="Times New Roman" w:hAnsi="Times New Roman" w:cs="Times New Roman" w:eastAsia="Times New Roman" w:hint="default"/>
        </w:rPr>
        <w:t>2</w:t>
      </w:r>
      <w:r>
        <w:rPr/>
        <w:t>）等各项描述。关于管理层所作出的重大会计判断和估计的说明，请参阅 附注五、</w:t>
      </w:r>
      <w:r>
        <w:rPr>
          <w:rFonts w:ascii="Times New Roman" w:hAnsi="Times New Roman" w:cs="Times New Roman" w:eastAsia="Times New Roman" w:hint="default"/>
        </w:rPr>
        <w:t>31“</w:t>
      </w:r>
      <w:r>
        <w:rPr/>
        <w:t>重大会计判断和估计</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bookmarkStart w:name="1、遵循企业会计准则的声明" w:id="176"/>
      <w:bookmarkEnd w:id="176"/>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360"/>
        <w:jc w:val="both"/>
      </w:pPr>
      <w:r>
        <w:rPr>
          <w:spacing w:val="-2"/>
        </w:rPr>
        <w:t>本公司编制的财务报表符合企业会计准则的要求，真实、完整地反映了本公司</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日的财务状况及</w:t>
      </w:r>
      <w:r>
        <w:rPr>
          <w:rFonts w:ascii="宋体" w:hAnsi="宋体" w:cs="宋体" w:eastAsia="宋体" w:hint="default"/>
          <w:spacing w:val="-2"/>
        </w:rPr>
        <w:t>2018</w:t>
      </w:r>
      <w:r>
        <w:rPr>
          <w:spacing w:val="-2"/>
        </w:rPr>
        <w:t>年度的</w:t>
      </w:r>
      <w:r>
        <w:rPr/>
        <w:t> </w:t>
      </w:r>
      <w:r>
        <w:rPr>
          <w:spacing w:val="-2"/>
        </w:rPr>
        <w:t>经营成果和现金流量等有关信息。此外，本公司的财务报表在所有重大方面符合中国证券监督管理委员会</w:t>
      </w:r>
      <w:r>
        <w:rPr>
          <w:rFonts w:ascii="宋体" w:hAnsi="宋体" w:cs="宋体" w:eastAsia="宋体" w:hint="default"/>
          <w:spacing w:val="-2"/>
        </w:rPr>
        <w:t>2014</w:t>
      </w:r>
      <w:r>
        <w:rPr>
          <w:spacing w:val="-2"/>
        </w:rPr>
        <w:t>年修订的《公</w:t>
      </w:r>
      <w:r>
        <w:rPr>
          <w:spacing w:val="-61"/>
        </w:rPr>
        <w:t> </w:t>
      </w:r>
      <w:r>
        <w:rPr>
          <w:spacing w:val="-61"/>
        </w:rPr>
      </w:r>
      <w:r>
        <w:rPr/>
        <w:t>开发行证券的公司信息披露编报规则第</w:t>
      </w:r>
      <w:r>
        <w:rPr>
          <w:rFonts w:ascii="宋体" w:hAnsi="宋体" w:cs="宋体" w:eastAsia="宋体" w:hint="default"/>
        </w:rPr>
        <w:t>15</w:t>
      </w:r>
      <w:r>
        <w:rPr/>
        <w:t>号－财务报告的一般规定》有关财务报表及其附注的披露要求。</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会计期间" w:id="177"/>
      <w:bookmarkEnd w:id="177"/>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2" w:firstLine="290"/>
        <w:jc w:val="both"/>
      </w:pPr>
      <w:r>
        <w:rPr/>
        <w:t>本公司的会计期间分为年度和中期，会计中期指短于一个完整的会计年度的报告期间。本公司会计年度采用公历年度， 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3"/>
        <w:rPr>
          <w:rFonts w:ascii="宋体" w:hAnsi="宋体" w:cs="宋体" w:eastAsia="宋体" w:hint="default"/>
          <w:sz w:val="20"/>
          <w:szCs w:val="20"/>
        </w:rPr>
      </w:pPr>
    </w:p>
    <w:p>
      <w:pPr>
        <w:pStyle w:val="Heading3"/>
        <w:spacing w:line="240" w:lineRule="auto"/>
        <w:ind w:right="0"/>
        <w:jc w:val="both"/>
        <w:rPr>
          <w:b w:val="0"/>
          <w:bCs w:val="0"/>
        </w:rPr>
      </w:pPr>
      <w:bookmarkStart w:name="3、营业周期" w:id="178"/>
      <w:bookmarkEnd w:id="178"/>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282" w:firstLine="290"/>
        <w:jc w:val="left"/>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个月作为一个营业周 期，并以其作为资产和负债的流动性划分标准。</w:t>
      </w:r>
    </w:p>
    <w:p>
      <w:pPr>
        <w:spacing w:after="0" w:line="30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21"/>
        <w:jc w:val="left"/>
        <w:rPr>
          <w:b w:val="0"/>
          <w:bCs w:val="0"/>
        </w:rPr>
      </w:pPr>
      <w:bookmarkStart w:name="4、记账本位币" w:id="179"/>
      <w:bookmarkEnd w:id="179"/>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290"/>
        <w:jc w:val="both"/>
      </w:pPr>
      <w:r>
        <w:rPr>
          <w:spacing w:val="-1"/>
        </w:rPr>
        <w:t>人民币为本公司及境内子公司经营所处的主要经济环境中的货币，本公司及境内子公司以人民币为记账本位币。本公司</w:t>
      </w:r>
      <w:r>
        <w:rPr/>
        <w:t> 编制本财务报表时所采用的货币为人民币。</w:t>
      </w:r>
    </w:p>
    <w:p>
      <w:pPr>
        <w:spacing w:line="240" w:lineRule="auto" w:before="7"/>
        <w:rPr>
          <w:rFonts w:ascii="宋体" w:hAnsi="宋体" w:cs="宋体" w:eastAsia="宋体" w:hint="default"/>
          <w:sz w:val="22"/>
          <w:szCs w:val="22"/>
        </w:rPr>
      </w:pPr>
    </w:p>
    <w:p>
      <w:pPr>
        <w:pStyle w:val="Heading3"/>
        <w:spacing w:line="240" w:lineRule="auto"/>
        <w:ind w:right="1121"/>
        <w:jc w:val="left"/>
        <w:rPr>
          <w:b w:val="0"/>
          <w:bCs w:val="0"/>
        </w:rPr>
      </w:pPr>
      <w:bookmarkStart w:name="5、同一控制下和非同一控制下企业合并的会计处理方法" w:id="180"/>
      <w:bookmarkEnd w:id="180"/>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6" w:right="1131" w:firstLine="360"/>
        <w:jc w:val="both"/>
      </w:pPr>
      <w:r>
        <w:rPr>
          <w:spacing w:val="-2"/>
        </w:rPr>
        <w:t>企业合并，是指将两个或两个以上单独的企业合并形成一个报告主体的交易或事项。企业合并分为同一控制下企业合并</w:t>
      </w:r>
      <w:r>
        <w:rPr/>
        <w:t> 和非同一控制下企业合并。</w:t>
      </w:r>
    </w:p>
    <w:p>
      <w:pPr>
        <w:pStyle w:val="BodyText"/>
        <w:spacing w:line="300" w:lineRule="auto" w:before="19"/>
        <w:ind w:left="514" w:right="1121"/>
        <w:jc w:val="left"/>
      </w:pPr>
      <w:r>
        <w:rPr/>
        <w:t>（</w:t>
      </w: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参与合并的企业在合并前后均受同一方或相同的多方最终控制，且该控制并非暂时性的，为同一控制下的企业合并。同</w:t>
      </w:r>
    </w:p>
    <w:p>
      <w:pPr>
        <w:pStyle w:val="BodyText"/>
        <w:spacing w:line="316" w:lineRule="auto" w:before="31"/>
        <w:ind w:right="0"/>
        <w:jc w:val="left"/>
      </w:pPr>
      <w:r>
        <w:rPr>
          <w:spacing w:val="-4"/>
        </w:rPr>
        <w:t>一控制下的企业合并，在合并日取得对其他参与合并企业控制权的一方为合并方，参与合并的其他企业为被合并方。合并日，</w:t>
      </w:r>
      <w:r>
        <w:rPr>
          <w:spacing w:val="-44"/>
        </w:rPr>
        <w:t> </w:t>
      </w:r>
      <w:r>
        <w:rPr>
          <w:spacing w:val="-44"/>
        </w:rPr>
      </w:r>
      <w:r>
        <w:rPr/>
        <w:t>是指合并方实际取得对被合并方控制权的日期。</w:t>
      </w:r>
    </w:p>
    <w:p>
      <w:pPr>
        <w:pStyle w:val="BodyText"/>
        <w:spacing w:line="316" w:lineRule="auto" w:before="19"/>
        <w:ind w:right="1050" w:firstLine="360"/>
        <w:jc w:val="both"/>
      </w:pPr>
      <w:r>
        <w:rPr>
          <w:spacing w:val="-2"/>
        </w:rPr>
        <w:t>合并方取得的资产和负债均按合并日在被合并方的账面价值计量。合并方取得的净资产账面价值与支付的合并对价账面</w:t>
      </w:r>
      <w:r>
        <w:rPr/>
        <w:t> 价值（或发行股份面值总额）的差额，调整资本公积（股本溢价）；资本公积（股本溢价）不足以冲减的，调整留存收益。</w:t>
      </w:r>
    </w:p>
    <w:p>
      <w:pPr>
        <w:pStyle w:val="BodyText"/>
        <w:spacing w:line="240" w:lineRule="auto" w:before="19"/>
        <w:ind w:left="514" w:right="1121"/>
        <w:jc w:val="left"/>
      </w:pPr>
      <w:r>
        <w:rPr/>
        <w:t>合并方为进行企业合并发生的各项直接费用，于发生时计入当期损益。</w:t>
      </w:r>
    </w:p>
    <w:p>
      <w:pPr>
        <w:pStyle w:val="BodyText"/>
        <w:spacing w:line="300" w:lineRule="auto" w:before="76"/>
        <w:ind w:left="514" w:right="1121"/>
        <w:jc w:val="left"/>
      </w:pPr>
      <w:r>
        <w:rPr/>
        <w:t>（</w:t>
      </w:r>
      <w:r>
        <w:rPr>
          <w:rFonts w:ascii="Times New Roman" w:hAnsi="Times New Roman" w:cs="Times New Roman" w:eastAsia="Times New Roman" w:hint="default"/>
        </w:rPr>
        <w:t>2</w:t>
      </w:r>
      <w:r>
        <w:rPr/>
        <w:t>）非同一控制下企业合并 </w:t>
      </w:r>
      <w:r>
        <w:rPr>
          <w:spacing w:val="-2"/>
        </w:rPr>
        <w:t>参与合并的企业在合并前后不受同一方或相同的多方最终控制的，为非同一控制下的企业合并。非同一控制下的企业合</w:t>
      </w:r>
    </w:p>
    <w:p>
      <w:pPr>
        <w:pStyle w:val="BodyText"/>
        <w:spacing w:line="316" w:lineRule="auto" w:before="31"/>
        <w:ind w:right="1121"/>
        <w:jc w:val="left"/>
      </w:pPr>
      <w:r>
        <w:rPr>
          <w:spacing w:val="-2"/>
        </w:rPr>
        <w:t>并，在购买日取得对其他参与合并企业控制权的一方为购买方，参与合并的其他企业为被购买方。购买日，是指为购买方实</w:t>
      </w:r>
      <w:r>
        <w:rPr>
          <w:spacing w:val="-66"/>
        </w:rPr>
        <w:t> </w:t>
      </w:r>
      <w:r>
        <w:rPr>
          <w:spacing w:val="-66"/>
        </w:rPr>
      </w:r>
      <w:r>
        <w:rPr/>
        <w:t>际取得对被购买方控制权的日期。</w:t>
      </w:r>
    </w:p>
    <w:p>
      <w:pPr>
        <w:pStyle w:val="BodyText"/>
        <w:spacing w:line="316" w:lineRule="auto" w:before="19"/>
        <w:ind w:right="1131" w:firstLine="360"/>
        <w:jc w:val="both"/>
      </w:pPr>
      <w:r>
        <w:rPr>
          <w:spacing w:val="-2"/>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6"/>
        </w:rPr>
        <w:t> </w:t>
      </w:r>
      <w:r>
        <w:rPr>
          <w:spacing w:val="-66"/>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w:t>
      </w:r>
      <w:r>
        <w:rPr>
          <w:spacing w:val="-62"/>
        </w:rPr>
        <w:t> </w:t>
      </w:r>
      <w:r>
        <w:rPr>
          <w:spacing w:val="-2"/>
        </w:rPr>
        <w:t>步证据而需要调整或有对价的，相应调整合并商誉。购买方发生的合并成本及在合并中取得的可辨认净资产按购买日的公允</w:t>
      </w:r>
      <w:r>
        <w:rPr>
          <w:spacing w:val="-64"/>
        </w:rPr>
        <w:t> </w:t>
      </w:r>
      <w:r>
        <w:rPr>
          <w:spacing w:val="-64"/>
        </w:rPr>
      </w:r>
      <w:r>
        <w:rPr>
          <w:spacing w:val="-2"/>
        </w:rPr>
        <w:t>价值计量。合并成本大于合并中取得的被购买方于购买日可辨认净资产公允价值份额的差额，确认为商誉。合并成本小于合</w:t>
      </w:r>
      <w:r>
        <w:rPr>
          <w:spacing w:val="-66"/>
        </w:rPr>
        <w:t> </w:t>
      </w:r>
      <w:r>
        <w:rPr>
          <w:spacing w:val="-66"/>
        </w:rPr>
      </w:r>
      <w:r>
        <w:rPr>
          <w:spacing w:val="-2"/>
        </w:rPr>
        <w:t>并中取得的被购买方可辨认净资产公允价值份额的，首先对取得的被购买方各项可辨认资产、负债及或有负债的公允价值以</w:t>
      </w:r>
      <w:r>
        <w:rPr>
          <w:spacing w:val="-64"/>
        </w:rPr>
        <w:t> </w:t>
      </w:r>
      <w:r>
        <w:rPr>
          <w:spacing w:val="-64"/>
        </w:rPr>
      </w:r>
      <w:r>
        <w:rPr>
          <w:spacing w:val="-2"/>
        </w:rPr>
        <w:t>及合并成本的计量进行复核，复核后合并成本仍小于合并中取得的被购买方可辨认净资产公允价值份额的，其差额计入当期</w:t>
      </w:r>
      <w:r>
        <w:rPr>
          <w:spacing w:val="-64"/>
        </w:rPr>
        <w:t> </w:t>
      </w:r>
      <w:r>
        <w:rPr>
          <w:spacing w:val="-64"/>
        </w:rPr>
      </w:r>
      <w:r>
        <w:rPr/>
        <w:t>损益。</w:t>
      </w:r>
    </w:p>
    <w:p>
      <w:pPr>
        <w:pStyle w:val="BodyText"/>
        <w:spacing w:line="312" w:lineRule="auto" w:before="19"/>
        <w:ind w:right="1128" w:firstLine="360"/>
        <w:jc w:val="both"/>
      </w:pPr>
      <w:r>
        <w:rPr/>
        <w:t>购买方取得被购买方的可抵扣暂时性差异，在购买日因不符合递延所得税资产确认条件而未予确认的，在购买日后</w:t>
      </w:r>
      <w:r>
        <w:rPr>
          <w:rFonts w:ascii="Times New Roman" w:hAnsi="Times New Roman" w:cs="Times New Roman" w:eastAsia="Times New Roman" w:hint="default"/>
        </w:rPr>
        <w:t>12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6"/>
        </w:rPr>
        <w:t> </w:t>
      </w:r>
      <w:r>
        <w:rPr>
          <w:spacing w:val="-66"/>
        </w:rPr>
      </w:r>
      <w:r>
        <w:rPr/>
        <w:t>以外，确认与企业合并相关的递延所得税资产的，计入当期损益。</w:t>
      </w:r>
    </w:p>
    <w:p>
      <w:pPr>
        <w:pStyle w:val="BodyText"/>
        <w:spacing w:line="300" w:lineRule="auto" w:before="22"/>
        <w:ind w:right="0" w:firstLine="360"/>
        <w:jc w:val="left"/>
      </w:pPr>
      <w:r>
        <w:rPr>
          <w:spacing w:val="-5"/>
        </w:rPr>
        <w:t>通过多次交易分步实现的非同一控制下企业合并，根据《财政部关于印发企业会计准则解释第</w:t>
      </w:r>
      <w:r>
        <w:rPr>
          <w:rFonts w:ascii="Times New Roman" w:hAnsi="Times New Roman" w:cs="Times New Roman" w:eastAsia="Times New Roman" w:hint="default"/>
          <w:spacing w:val="-5"/>
        </w:rPr>
        <w:t>5</w:t>
      </w:r>
      <w:r>
        <w:rPr>
          <w:spacing w:val="-5"/>
        </w:rPr>
        <w:t>号的通知》（财会〔</w:t>
      </w:r>
      <w:r>
        <w:rPr>
          <w:rFonts w:ascii="Times New Roman" w:hAnsi="Times New Roman" w:cs="Times New Roman" w:eastAsia="Times New Roman" w:hint="default"/>
          <w:spacing w:val="-5"/>
        </w:rPr>
        <w:t>2012</w:t>
      </w:r>
      <w:r>
        <w:rPr>
          <w:spacing w:val="-5"/>
        </w:rPr>
        <w:t>〕</w:t>
      </w:r>
      <w:r>
        <w:rPr/>
        <w:t> </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的判断标准（参见本附注四、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 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的，参考本部分前面各段描述及本附注四、</w:t>
      </w:r>
      <w:r>
        <w:rPr>
          <w:rFonts w:ascii="Times New Roman" w:hAnsi="Times New Roman" w:cs="Times New Roman" w:eastAsia="Times New Roman" w:hint="default"/>
        </w:rPr>
        <w:t>13“</w:t>
      </w:r>
      <w:r>
        <w:rPr/>
        <w:t>长期股权投资</w:t>
      </w:r>
      <w:r>
        <w:rPr>
          <w:rFonts w:ascii="Times New Roman" w:hAnsi="Times New Roman" w:cs="Times New Roman" w:eastAsia="Times New Roman" w:hint="default"/>
        </w:rPr>
        <w:t>”</w:t>
      </w:r>
      <w:r>
        <w:rPr/>
        <w:t>进 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的，区分个别财务报表和合并财务报表进行相关会计处理：</w:t>
      </w:r>
    </w:p>
    <w:p>
      <w:pPr>
        <w:pStyle w:val="BodyText"/>
        <w:spacing w:line="319" w:lineRule="auto" w:before="13"/>
        <w:ind w:right="1132" w:firstLine="360"/>
        <w:jc w:val="both"/>
      </w:pPr>
      <w:r>
        <w:rPr>
          <w:spacing w:val="-2"/>
        </w:rPr>
        <w:t>在个别财务报表中，以购买日之前所持被购买方的股权投资的账面价值与购买日新增投资成本之和，作为该项投资的初</w:t>
      </w:r>
      <w:r>
        <w:rPr/>
        <w:t> </w:t>
      </w:r>
      <w:r>
        <w:rPr>
          <w:spacing w:val="-2"/>
        </w:rPr>
        <w:t>始投资成本；购买日之前持有的被购买方的股权涉及其他综合收益的，在处置该项投资时将与其相关的其他综合收益采用与</w:t>
      </w:r>
      <w:r>
        <w:rPr>
          <w:spacing w:val="-64"/>
        </w:rPr>
        <w:t> </w:t>
      </w:r>
      <w:r>
        <w:rPr>
          <w:spacing w:val="-64"/>
        </w:rPr>
      </w:r>
      <w:r>
        <w:rPr>
          <w:spacing w:val="-2"/>
        </w:rPr>
        <w:t>被购买方直接处置相关资产或负债相同的基础进行会计处理（即，除了按照权益法核算的在被购买方重新计量设定受益计划</w:t>
      </w:r>
      <w:r>
        <w:rPr>
          <w:spacing w:val="-64"/>
        </w:rPr>
        <w:t> </w:t>
      </w:r>
      <w:r>
        <w:rPr>
          <w:spacing w:val="-64"/>
        </w:rPr>
      </w:r>
      <w:r>
        <w:rPr/>
        <w:t>净负债或净资产导致的变动中的相应份额以外，其余转入当期投资收益）。</w:t>
      </w:r>
    </w:p>
    <w:p>
      <w:pPr>
        <w:pStyle w:val="BodyText"/>
        <w:spacing w:line="316" w:lineRule="auto" w:before="17"/>
        <w:ind w:right="1132" w:firstLine="290"/>
        <w:jc w:val="both"/>
      </w:pPr>
      <w:r>
        <w:rPr>
          <w:spacing w:val="-1"/>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与其账面价值的差额计入当期投资收益；购买日之前持有的被购买方的股权涉及其他综合收益的，与其相关的其他综合收益</w:t>
      </w:r>
      <w:r>
        <w:rPr>
          <w:spacing w:val="-64"/>
        </w:rPr>
        <w:t> </w:t>
      </w:r>
      <w:r>
        <w:rPr>
          <w:spacing w:val="-64"/>
        </w:rPr>
      </w:r>
      <w:r>
        <w:rPr>
          <w:spacing w:val="-2"/>
        </w:rPr>
        <w:t>应当采用与被购买方直接处置相关资产或负债相同的基础进行会计处理（即，除了按照权益法核算的在被购买方重新计量设</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121"/>
        <w:jc w:val="left"/>
      </w:pPr>
      <w:r>
        <w:rPr/>
        <w:t>定受益计划净负债或净资产导致的变动中的相应份额以外，其余转为购买日所属当期投资收益）。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1121"/>
        <w:jc w:val="left"/>
        <w:rPr>
          <w:b w:val="0"/>
          <w:bCs w:val="0"/>
        </w:rPr>
      </w:pPr>
      <w:bookmarkStart w:name="6、合并财务报表的编制方法" w:id="181"/>
      <w:bookmarkEnd w:id="181"/>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1121"/>
        <w:jc w:val="left"/>
      </w:pPr>
      <w:r>
        <w:rPr/>
        <w:t>（</w:t>
      </w: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合并财务报表的合并范围以控制为基础予以确定。控制是指本公司拥有对被投资方的权力，通过参与被投资方的相关活</w:t>
      </w:r>
    </w:p>
    <w:p>
      <w:pPr>
        <w:pStyle w:val="BodyText"/>
        <w:spacing w:line="316" w:lineRule="auto" w:before="31"/>
        <w:ind w:right="1121"/>
        <w:jc w:val="left"/>
      </w:pPr>
      <w:r>
        <w:rPr>
          <w:spacing w:val="-2"/>
        </w:rPr>
        <w:t>动而享有可变回报，并且有能力运用对被投资方的权力影响该回报金额。合并范围包括本公司及全部子公司。子公司，是指</w:t>
      </w:r>
      <w:r>
        <w:rPr>
          <w:spacing w:val="-66"/>
        </w:rPr>
        <w:t> </w:t>
      </w:r>
      <w:r>
        <w:rPr>
          <w:spacing w:val="-66"/>
        </w:rPr>
      </w:r>
      <w:r>
        <w:rPr/>
        <w:t>被本公司控制的主体。</w:t>
      </w:r>
    </w:p>
    <w:p>
      <w:pPr>
        <w:pStyle w:val="BodyText"/>
        <w:spacing w:line="240" w:lineRule="auto" w:before="19"/>
        <w:ind w:left="514" w:right="1121"/>
        <w:jc w:val="left"/>
      </w:pPr>
      <w:r>
        <w:rPr/>
        <w:t>一旦相关事实和情况的变化导致上述控制定义涉及的相关要素发生了变化，本公司将进行重新评估。</w:t>
      </w:r>
    </w:p>
    <w:p>
      <w:pPr>
        <w:pStyle w:val="BodyText"/>
        <w:spacing w:line="300" w:lineRule="auto" w:before="76"/>
        <w:ind w:left="514" w:right="1121"/>
        <w:jc w:val="left"/>
      </w:pPr>
      <w:r>
        <w:rPr/>
        <w:t>（</w:t>
      </w: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从取得子公司的净资产和生产经营决策的实际控制权之日起，本公司开始将其纳入合并范围；从丧失实际控制权之日起</w:t>
      </w:r>
    </w:p>
    <w:p>
      <w:pPr>
        <w:pStyle w:val="BodyText"/>
        <w:spacing w:line="316" w:lineRule="auto" w:before="31"/>
        <w:ind w:right="0"/>
        <w:jc w:val="left"/>
      </w:pPr>
      <w:r>
        <w:rPr>
          <w:spacing w:val="-4"/>
        </w:rPr>
        <w:t>停止纳入合并范围。对于处置的子公司，处置日前的经营成果和现金流量已经适当地包括在合并利润表和合并现金流量表中；</w:t>
      </w:r>
      <w:r>
        <w:rPr>
          <w:spacing w:val="-44"/>
        </w:rPr>
        <w:t> </w:t>
      </w:r>
      <w:r>
        <w:rPr>
          <w:spacing w:val="-44"/>
        </w:rPr>
      </w:r>
      <w:r>
        <w:rPr>
          <w:spacing w:val="-2"/>
        </w:rPr>
        <w:t>当期处置的子公司，不调整合并资产负债表的期初数。非同一控制下企业合并增加的子公司，其购买日后的经营成果及现金</w:t>
      </w:r>
      <w:r>
        <w:rPr>
          <w:spacing w:val="-66"/>
        </w:rPr>
        <w:t> </w:t>
      </w:r>
      <w:r>
        <w:rPr>
          <w:spacing w:val="-66"/>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加的子公司，其自合并当期期初至合并日的经营成果和现金流量已经适当地包括在合并利润表和合并现金流量表中，并且同</w:t>
      </w:r>
      <w:r>
        <w:rPr>
          <w:spacing w:val="-64"/>
        </w:rPr>
        <w:t> </w:t>
      </w:r>
      <w:r>
        <w:rPr>
          <w:spacing w:val="-64"/>
        </w:rPr>
      </w:r>
      <w:r>
        <w:rPr/>
        <w:t>时调整合并财务报表的对比数。</w:t>
      </w:r>
    </w:p>
    <w:p>
      <w:pPr>
        <w:pStyle w:val="BodyText"/>
        <w:spacing w:line="316" w:lineRule="auto" w:before="19"/>
        <w:ind w:right="1132"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316" w:lineRule="auto" w:before="19"/>
        <w:ind w:left="514" w:right="1121"/>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300" w:lineRule="auto" w:before="19"/>
        <w:ind w:right="1132"/>
        <w:jc w:val="both"/>
      </w:pP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w:t>
      </w:r>
      <w:r>
        <w:rPr>
          <w:spacing w:val="-76"/>
        </w:rPr>
        <w:t> </w:t>
      </w:r>
      <w:r>
        <w:rPr/>
        <w:t>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项目列示。少数股东分担的子公司的亏损超过了少数股东在该子公司期初股东权益中所享有的份额，仍冲减少数</w:t>
      </w:r>
      <w:r>
        <w:rPr>
          <w:spacing w:val="-77"/>
        </w:rPr>
        <w:t> </w:t>
      </w:r>
      <w:r>
        <w:rPr>
          <w:spacing w:val="-77"/>
        </w:rPr>
      </w:r>
      <w:r>
        <w:rPr/>
        <w:t>股东权益。</w:t>
      </w:r>
    </w:p>
    <w:p>
      <w:pPr>
        <w:pStyle w:val="BodyText"/>
        <w:spacing w:line="312" w:lineRule="auto" w:before="31"/>
        <w:ind w:right="1132" w:firstLine="360"/>
        <w:jc w:val="both"/>
      </w:pPr>
      <w:r>
        <w:rPr>
          <w:spacing w:val="-2"/>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64"/>
        </w:rPr>
        <w:t> </w:t>
      </w:r>
      <w:r>
        <w:rPr>
          <w:spacing w:val="-64"/>
        </w:rPr>
      </w:r>
      <w:r>
        <w:rPr>
          <w:spacing w:val="-2"/>
        </w:rPr>
        <w:t>计算的净资产的份额之间的差额，计入丧失控制权当期的投资收益。与原有子公司股权投资相关的其他综合收益，在丧失控</w:t>
      </w:r>
      <w:r>
        <w:rPr>
          <w:spacing w:val="-66"/>
        </w:rPr>
        <w:t> </w:t>
      </w:r>
      <w:r>
        <w:rPr>
          <w:spacing w:val="-66"/>
        </w:rPr>
      </w:r>
      <w:r>
        <w:rPr>
          <w:spacing w:val="-2"/>
        </w:rPr>
        <w:t>制权时采用与被购买方直接处置相关资产或负债相同的基础进行会计处理（即，除了在该原有子公司重新计量设定受益计划</w:t>
      </w:r>
      <w:r>
        <w:rPr>
          <w:spacing w:val="-64"/>
        </w:rPr>
        <w:t> </w:t>
      </w:r>
      <w:r>
        <w:rPr>
          <w:spacing w:val="-64"/>
        </w:rPr>
      </w:r>
      <w:r>
        <w:rPr/>
        <w:t>净负债或净资产导致的变动以外，其余一并转为当期投资收益）。其后，对该部分剩余股权按照《企业会计准则第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 </w:t>
      </w:r>
      <w:r>
        <w:rPr/>
        <w:t>长期股权投资》或《企业会计准则第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金融工具确认和计量》等相关规定进行后续计量，详见本附注四、</w:t>
      </w:r>
      <w:r>
        <w:rPr>
          <w:rFonts w:ascii="Times New Roman" w:hAnsi="Times New Roman" w:cs="Times New Roman" w:eastAsia="Times New Roman" w:hint="default"/>
        </w:rPr>
        <w:t>13“</w:t>
      </w:r>
      <w:r>
        <w:rPr/>
        <w:t>长期股</w:t>
      </w:r>
      <w:r>
        <w:rPr>
          <w:w w:val="100"/>
        </w:rPr>
        <w:t> </w:t>
      </w:r>
      <w:r>
        <w:rPr/>
        <w:t>权投资</w:t>
      </w:r>
      <w:r>
        <w:rPr>
          <w:rFonts w:ascii="Times New Roman" w:hAnsi="Times New Roman" w:cs="Times New Roman" w:eastAsia="Times New Roman" w:hint="default"/>
        </w:rPr>
        <w:t>”</w:t>
      </w:r>
      <w:r>
        <w:rPr/>
        <w:t>或本附注四、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pStyle w:val="BodyText"/>
        <w:spacing w:line="312" w:lineRule="auto" w:before="3"/>
        <w:ind w:right="1032" w:firstLine="290"/>
        <w:jc w:val="left"/>
      </w:pPr>
      <w:r>
        <w:rPr/>
        <w:t>本公司通过多次交易分步处置对子公司股权投资直至丧失控制权的，需区分处置对子公司股权投资直至丧失控制权的各 </w:t>
      </w:r>
      <w:r>
        <w:rPr>
          <w:spacing w:val="-2"/>
        </w:rPr>
        <w:t>项交易是否属于一揽子交易。处置对子公司股权投资的各项交易的条款、条件以及经济影响符合以下一种或多种情况，通常</w:t>
      </w:r>
      <w:r>
        <w:rPr>
          <w:spacing w:val="-66"/>
        </w:rPr>
        <w:t> </w:t>
      </w:r>
      <w:r>
        <w:rPr>
          <w:spacing w:val="-66"/>
        </w:rPr>
      </w:r>
      <w:r>
        <w:rPr>
          <w:spacing w:val="-2"/>
        </w:rPr>
        <w:t>表明应将多次交易事项作为一揽子交易进行会计处理：①这些交易是同时或者在考虑了彼此影响的情况下订立的；②这些交</w:t>
      </w:r>
      <w:r>
        <w:rPr>
          <w:spacing w:val="-64"/>
        </w:rPr>
        <w:t> </w:t>
      </w:r>
      <w:r>
        <w:rPr>
          <w:spacing w:val="-64"/>
        </w:rPr>
      </w:r>
      <w:r>
        <w:rPr/>
        <w:t>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w:t>
      </w:r>
      <w:r>
        <w:rPr>
          <w:spacing w:val="-75"/>
        </w:rPr>
        <w:t> </w:t>
      </w:r>
      <w:r>
        <w:rPr>
          <w:spacing w:val="-75"/>
        </w:rPr>
      </w:r>
      <w:r>
        <w:rPr/>
        <w:t>部分处置对子公司的长期股权投资</w:t>
      </w:r>
      <w:r>
        <w:rPr>
          <w:rFonts w:ascii="Times New Roman" w:hAnsi="Times New Roman" w:cs="Times New Roman" w:eastAsia="Times New Roman" w:hint="default"/>
        </w:rPr>
        <w:t>”</w:t>
      </w:r>
      <w:r>
        <w:rPr/>
        <w:t>（详见本附注四、</w:t>
      </w:r>
      <w:r>
        <w:rPr>
          <w:rFonts w:ascii="Times New Roman" w:hAnsi="Times New Roman" w:cs="Times New Roman" w:eastAsia="Times New Roman" w:hint="default"/>
        </w:rPr>
        <w:t>13</w:t>
      </w:r>
      <w:r>
        <w:rPr/>
        <w:t>、（</w:t>
      </w:r>
      <w:r>
        <w:rPr>
          <w:rFonts w:ascii="Times New Roman" w:hAnsi="Times New Roman" w:cs="Times New Roman" w:eastAsia="Times New Roman" w:hint="default"/>
        </w:rPr>
        <w:t>2</w:t>
      </w:r>
      <w:r>
        <w:rPr/>
        <w:t>）④）和</w:t>
      </w:r>
      <w:r>
        <w:rPr>
          <w:rFonts w:ascii="Times New Roman" w:hAnsi="Times New Roman" w:cs="Times New Roman" w:eastAsia="Times New Roman" w:hint="default"/>
        </w:rPr>
        <w:t>“</w:t>
      </w:r>
      <w:r>
        <w:rPr/>
        <w:t>因处置部分股权投资或其他原因丧失了对原有子公</w:t>
      </w:r>
      <w:r>
        <w:rPr>
          <w:spacing w:val="-68"/>
        </w:rPr>
        <w:t> </w:t>
      </w:r>
      <w:r>
        <w:rPr>
          <w:spacing w:val="-68"/>
        </w:rPr>
      </w:r>
      <w:r>
        <w:rPr>
          <w:spacing w:val="-2"/>
        </w:rPr>
        <w:t>司的控制权</w:t>
      </w:r>
      <w:r>
        <w:rPr>
          <w:rFonts w:ascii="Times New Roman" w:hAnsi="Times New Roman" w:cs="Times New Roman" w:eastAsia="Times New Roman" w:hint="default"/>
          <w:spacing w:val="-2"/>
        </w:rPr>
        <w:t>”</w:t>
      </w:r>
      <w:r>
        <w:rPr>
          <w:spacing w:val="-2"/>
        </w:rPr>
        <w:t>（详见前段）适用的原则进行会计处理。处置对子公司股权投资直至丧失控制权的各项交易属于一揽子交易的，</w:t>
      </w:r>
      <w:r>
        <w:rPr>
          <w:spacing w:val="-52"/>
        </w:rPr>
        <w:t> </w:t>
      </w:r>
      <w:r>
        <w:rPr>
          <w:spacing w:val="-52"/>
        </w:rPr>
      </w:r>
      <w:r>
        <w:rPr>
          <w:spacing w:val="-2"/>
        </w:rPr>
        <w:t>将各项交易作为一项处置子公司并丧失控制权的交易进行会计处理；但是，在丧失控制权之前每一次处置价款与处置投资对</w:t>
      </w:r>
      <w:r>
        <w:rPr>
          <w:spacing w:val="-64"/>
        </w:rPr>
        <w:t> </w:t>
      </w:r>
      <w:r>
        <w:rPr>
          <w:spacing w:val="-64"/>
        </w:rPr>
      </w:r>
      <w:r>
        <w:rPr>
          <w:spacing w:val="-2"/>
        </w:rPr>
        <w:t>应的享有该子公司净资产份额的差额，在合并财务报表中确认为其他综合收益，在丧失控制权时一并转入丧失控制权当期的</w:t>
      </w:r>
      <w:r>
        <w:rPr>
          <w:spacing w:val="-64"/>
        </w:rPr>
        <w:t> </w:t>
      </w:r>
      <w:r>
        <w:rPr>
          <w:spacing w:val="-64"/>
        </w:rPr>
      </w:r>
      <w:r>
        <w:rPr/>
        <w:t>损益。</w:t>
      </w:r>
    </w:p>
    <w:p>
      <w:pPr>
        <w:spacing w:after="0" w:line="312"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7、合营安排分类及共同经营会计处理方法" w:id="182"/>
      <w:bookmarkEnd w:id="182"/>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2" w:firstLine="360"/>
        <w:jc w:val="left"/>
      </w:pPr>
      <w:r>
        <w:rPr/>
        <w:t>合营安排，是指一项由两个或两个以上的参与方共同控制的安排。本公司根据在合营安排中享有的权利和承担的义务， </w:t>
      </w:r>
      <w:r>
        <w:rPr>
          <w:spacing w:val="-2"/>
        </w:rPr>
        <w:t>将合营安排分为共同经营和合营企业。共同经营，是指本公司享有该安排相关资产且承担该安排相关负债的合营安排。合营</w:t>
      </w:r>
      <w:r>
        <w:rPr>
          <w:spacing w:val="-66"/>
        </w:rPr>
        <w:t> </w:t>
      </w:r>
      <w:r>
        <w:rPr>
          <w:spacing w:val="-66"/>
        </w:rPr>
      </w:r>
      <w:r>
        <w:rPr/>
        <w:t>企业，是指本公司仅对该安排的净资产享有权利的合营安排。</w:t>
      </w:r>
    </w:p>
    <w:p>
      <w:pPr>
        <w:pStyle w:val="BodyText"/>
        <w:spacing w:line="300" w:lineRule="auto" w:before="17"/>
        <w:ind w:right="1129" w:firstLine="360"/>
        <w:jc w:val="both"/>
      </w:pPr>
      <w:r>
        <w:rPr/>
        <w:t>本公司对合营企业的投资采用权益法核算，按照本附注四、</w:t>
      </w:r>
      <w:r>
        <w:rPr>
          <w:rFonts w:ascii="Times New Roman" w:hAnsi="Times New Roman" w:cs="Times New Roman" w:eastAsia="Times New Roman" w:hint="default"/>
        </w:rPr>
        <w:t>13</w:t>
      </w:r>
      <w:r>
        <w:rPr/>
        <w:t>（</w:t>
      </w:r>
      <w:r>
        <w:rPr>
          <w:rFonts w:ascii="Times New Roman" w:hAnsi="Times New Roman" w:cs="Times New Roman" w:eastAsia="Times New Roman" w:hint="default"/>
        </w:rPr>
        <w:t>2</w:t>
      </w:r>
      <w:r>
        <w:rPr/>
        <w:t>）②</w:t>
      </w:r>
      <w:r>
        <w:rPr>
          <w:spacing w:val="-57"/>
        </w:rPr>
        <w:t> </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r>
        <w:rPr/>
        <w:t>中所述的会计政策 处理。</w:t>
      </w:r>
    </w:p>
    <w:p>
      <w:pPr>
        <w:pStyle w:val="BodyText"/>
        <w:spacing w:line="316" w:lineRule="auto" w:before="31"/>
        <w:ind w:right="1132" w:firstLine="360"/>
        <w:jc w:val="both"/>
      </w:pPr>
      <w:r>
        <w:rPr>
          <w:spacing w:val="-2"/>
        </w:rPr>
        <w:t>本公司作为合营方对共同经营，确认本公司单独持有的资产、单独所承担的负债，以及按本公司份额确认共同持有的资</w:t>
      </w:r>
      <w:r>
        <w:rPr/>
        <w:t> </w:t>
      </w:r>
      <w:r>
        <w:rPr>
          <w:spacing w:val="-2"/>
        </w:rPr>
        <w:t>产和共同承担的负债；确认出售本公司享有的共同经营产出份额所产生的收入；按本公司份额确认共同经营因出售产出所产</w:t>
      </w:r>
      <w:r>
        <w:rPr>
          <w:spacing w:val="-64"/>
        </w:rPr>
        <w:t> </w:t>
      </w:r>
      <w:r>
        <w:rPr>
          <w:spacing w:val="-64"/>
        </w:rPr>
      </w:r>
      <w:r>
        <w:rPr/>
        <w:t>生的收入；确认本公司单独所发生的费用，以及按本公司份额确认共同经营发生的费用。</w:t>
      </w:r>
    </w:p>
    <w:p>
      <w:pPr>
        <w:pStyle w:val="BodyText"/>
        <w:spacing w:line="312" w:lineRule="auto" w:before="19"/>
        <w:ind w:right="1131" w:firstLine="217"/>
        <w:jc w:val="both"/>
      </w:pPr>
      <w:r>
        <w:rPr/>
        <w:t>当本公司作为合营方向共同经营投出或出售资产（该资产不构成业务，下同）、或者自共同经营购买资产时，在该等资 </w:t>
      </w:r>
      <w:r>
        <w:rPr>
          <w:spacing w:val="-2"/>
        </w:rPr>
        <w:t>产出售给第三方之前，本公司仅确认因该交易产生的损益中归属于共同经营其他参与方的部分。该等资产发生符合《企业会</w:t>
      </w:r>
      <w:r>
        <w:rPr>
          <w:spacing w:val="-66"/>
        </w:rPr>
        <w:t> </w:t>
      </w:r>
      <w:r>
        <w:rPr>
          <w:spacing w:val="-66"/>
        </w:rPr>
      </w:r>
      <w:r>
        <w:rPr/>
        <w:t>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资产减值》等规定的资产减值损失的，对于由本公司向共同经营投出或出售资产的情况，本公司全额确认</w:t>
      </w:r>
      <w:r>
        <w:rPr>
          <w:spacing w:val="-83"/>
        </w:rPr>
        <w:t> </w:t>
      </w:r>
      <w:r>
        <w:rPr>
          <w:spacing w:val="-83"/>
        </w:rPr>
      </w:r>
      <w:r>
        <w:rPr/>
        <w:t>该损失；对于本公司自共同经营购买资产的情况，本公司按承担的份额确认该损失。</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8、现金及现金等价物的确定标准" w:id="183"/>
      <w:bookmarkEnd w:id="183"/>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290"/>
        <w:jc w:val="both"/>
      </w:pPr>
      <w:r>
        <w:rPr>
          <w:spacing w:val="-1"/>
        </w:rPr>
        <w:t>本公司现金及现金等价物包括库存现金、可以随时用于支付的存款以及本公司持有的期限短（一般为从购买日起三个月</w:t>
      </w:r>
      <w:r>
        <w:rPr/>
        <w:t> 内到期）、流动性强、易于转换为已知金额现金、价值变动风险很小的投资。</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9、外币业务和外币报表折算" w:id="184"/>
      <w:bookmarkEnd w:id="184"/>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0"/>
        <w:jc w:val="left"/>
      </w:pPr>
      <w:r>
        <w:rPr/>
        <w:t>（</w:t>
      </w:r>
      <w:r>
        <w:rPr>
          <w:rFonts w:ascii="Times New Roman" w:hAnsi="Times New Roman" w:cs="Times New Roman" w:eastAsia="Times New Roman" w:hint="default"/>
        </w:rPr>
        <w:t>1</w:t>
      </w:r>
      <w:r>
        <w:rPr/>
        <w:t>）外币交易的折算方法 </w:t>
      </w:r>
      <w:r>
        <w:rPr>
          <w:spacing w:val="-4"/>
        </w:rPr>
        <w:t>本公司发生的外币交易在初始确认时，按交易日的即期汇率（通常指中国人民银行公布的当日外汇牌价的中间价，下同）</w:t>
      </w:r>
    </w:p>
    <w:p>
      <w:pPr>
        <w:pStyle w:val="BodyText"/>
        <w:spacing w:line="316" w:lineRule="auto" w:before="31"/>
        <w:ind w:right="1132"/>
        <w:jc w:val="both"/>
      </w:pPr>
      <w:r>
        <w:rPr>
          <w:spacing w:val="-2"/>
        </w:rPr>
        <w:t>折算为记账本位币金额，但公司发生的外币兑换业务或涉及外币兑换的交易事项，按照实际采用的汇率折算为记账本位币金</w:t>
      </w:r>
      <w:r>
        <w:rPr>
          <w:spacing w:val="-64"/>
        </w:rPr>
        <w:t> </w:t>
      </w:r>
      <w:r>
        <w:rPr>
          <w:spacing w:val="-64"/>
        </w:rPr>
      </w:r>
      <w:r>
        <w:rPr/>
        <w:t>额。</w:t>
      </w:r>
    </w:p>
    <w:p>
      <w:pPr>
        <w:pStyle w:val="BodyText"/>
        <w:spacing w:line="300" w:lineRule="auto" w:before="19"/>
        <w:ind w:left="514" w:right="1121"/>
        <w:jc w:val="left"/>
      </w:pPr>
      <w:r>
        <w:rPr/>
        <w:t>（</w:t>
      </w:r>
      <w:r>
        <w:rPr>
          <w:rFonts w:ascii="Times New Roman" w:hAnsi="Times New Roman" w:cs="Times New Roman" w:eastAsia="Times New Roman" w:hint="default"/>
        </w:rPr>
        <w:t>2</w:t>
      </w:r>
      <w:r>
        <w:rPr/>
        <w:t>）对于外币货币性项目和外币非货币性项目的折算方法 </w:t>
      </w:r>
      <w:r>
        <w:rPr>
          <w:spacing w:val="-2"/>
        </w:rPr>
        <w:t>资产负债表日，对于外币货币性项目采用资产负债表日即期汇率折算，由此产生的汇兑差额，除：①属于与购建符合资</w:t>
      </w:r>
    </w:p>
    <w:p>
      <w:pPr>
        <w:pStyle w:val="BodyText"/>
        <w:spacing w:line="316" w:lineRule="auto" w:before="31"/>
        <w:ind w:right="1131"/>
        <w:jc w:val="both"/>
      </w:pPr>
      <w:r>
        <w:rPr>
          <w:spacing w:val="-2"/>
        </w:rPr>
        <w:t>本化条件的资产相关的外币专门借款产生的汇兑差额按照借款费用资本化的原则处理；②可供出售的外币货币性项目除摊余</w:t>
      </w:r>
      <w:r>
        <w:rPr>
          <w:spacing w:val="-64"/>
        </w:rPr>
        <w:t> </w:t>
      </w:r>
      <w:r>
        <w:rPr>
          <w:spacing w:val="-64"/>
        </w:rPr>
      </w:r>
      <w:r>
        <w:rPr/>
        <w:t>成本之外的其他账面余额变动产生的汇兑差额计入其他综合收益之外，均计入当期损益。</w:t>
      </w:r>
    </w:p>
    <w:p>
      <w:pPr>
        <w:pStyle w:val="BodyText"/>
        <w:spacing w:line="316" w:lineRule="auto" w:before="19"/>
        <w:ind w:right="1132" w:firstLine="360"/>
        <w:jc w:val="both"/>
      </w:pPr>
      <w:r>
        <w:rPr>
          <w:spacing w:val="-2"/>
        </w:rPr>
        <w:t>以历史成本计量的外币非货币性项目，仍采用交易发生日的即期汇率折算的记账本位币金额计量。以公允价值计量的外</w:t>
      </w:r>
      <w:r>
        <w:rPr/>
        <w:t> </w:t>
      </w:r>
      <w:r>
        <w:rPr>
          <w:spacing w:val="-2"/>
        </w:rPr>
        <w:t>币非货币性项目，采用公允价值确定日的即期汇率折算，折算后的记账本位币金额与原记账本位币金额的差额，作为公允价</w:t>
      </w:r>
      <w:r>
        <w:rPr>
          <w:spacing w:val="-66"/>
        </w:rPr>
        <w:t> </w:t>
      </w:r>
      <w:r>
        <w:rPr>
          <w:spacing w:val="-66"/>
        </w:rPr>
      </w:r>
      <w:r>
        <w:rPr/>
        <w:t>值变动（含汇率变动）处理，计入当期损益或确认为其他综合收益。</w:t>
      </w:r>
    </w:p>
    <w:p>
      <w:pPr>
        <w:pStyle w:val="BodyText"/>
        <w:spacing w:line="300" w:lineRule="auto" w:before="19"/>
        <w:ind w:left="514" w:right="1121"/>
        <w:jc w:val="left"/>
      </w:pPr>
      <w:r>
        <w:rPr/>
        <w:t>（</w:t>
      </w:r>
      <w:r>
        <w:rPr>
          <w:rFonts w:ascii="Times New Roman" w:hAnsi="Times New Roman" w:cs="Times New Roman" w:eastAsia="Times New Roman" w:hint="default"/>
        </w:rPr>
        <w:t>3</w:t>
      </w:r>
      <w:r>
        <w:rPr/>
        <w:t>）外币财务报表的折算方法 </w:t>
      </w:r>
      <w:r>
        <w:rPr>
          <w:spacing w:val="-2"/>
        </w:rPr>
        <w:t>编制合并财务报表涉及境外经营的，如有实质上构成对境外经营净投资的外币货币性项目，因汇率变动而产生的汇兑差</w:t>
      </w:r>
    </w:p>
    <w:p>
      <w:pPr>
        <w:pStyle w:val="BodyText"/>
        <w:spacing w:line="300" w:lineRule="auto" w:before="31"/>
        <w:ind w:left="514" w:right="1121" w:hanging="360"/>
        <w:jc w:val="left"/>
      </w:pPr>
      <w:r>
        <w:rPr/>
        <w:t>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确认为其他综合收益；处置境外经营时，计入处置当期损益。 </w:t>
      </w:r>
      <w:r>
        <w:rPr>
          <w:spacing w:val="-2"/>
        </w:rPr>
        <w:t>境外经营的外币财务报表按以下方法折算为人民币报表：资产负债表中的资产和负债项目，采用资产负债表日的即期汇</w:t>
      </w:r>
    </w:p>
    <w:p>
      <w:pPr>
        <w:pStyle w:val="BodyText"/>
        <w:spacing w:line="314" w:lineRule="auto" w:before="31"/>
        <w:ind w:right="1131"/>
        <w:jc w:val="both"/>
      </w:pPr>
      <w:r>
        <w:rPr>
          <w:spacing w:val="-2"/>
        </w:rPr>
        <w:t>率折算；股东权益类项目除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w:t>
      </w:r>
      <w:r>
        <w:rPr>
          <w:spacing w:val="-44"/>
        </w:rPr>
        <w:t> </w:t>
      </w:r>
      <w:r>
        <w:rPr>
          <w:spacing w:val="-44"/>
        </w:rPr>
      </w:r>
      <w:r>
        <w:rPr>
          <w:spacing w:val="-2"/>
        </w:rPr>
        <w:t>交易发生日的即期汇率折算。年初未分配利润为上一年折算后的年末未分配利润；年末未分配利润按折算后的利润分配各项</w:t>
      </w:r>
      <w:r>
        <w:rPr>
          <w:spacing w:val="-64"/>
        </w:rPr>
        <w:t> </w:t>
      </w:r>
      <w:r>
        <w:rPr>
          <w:spacing w:val="-64"/>
        </w:rPr>
      </w:r>
      <w:r>
        <w:rPr>
          <w:spacing w:val="-2"/>
        </w:rPr>
        <w:t>目计算列示；折算后资产类项目与负债类项目和股东权益类项目合计数的差额，作为外币报表折算差额，确认为其他综合收</w:t>
      </w:r>
      <w:r>
        <w:rPr>
          <w:spacing w:val="-66"/>
        </w:rPr>
        <w:t> </w:t>
      </w:r>
      <w:r>
        <w:rPr>
          <w:spacing w:val="-66"/>
        </w:rPr>
      </w:r>
      <w:r>
        <w:rPr>
          <w:spacing w:val="-2"/>
        </w:rPr>
        <w:t>益。处置境外经营并丧失控制权时，将资产负债表中股东权益项目下列示的、与该境外经营相关的外币报表折算差额，全部</w:t>
      </w:r>
      <w:r>
        <w:rPr>
          <w:spacing w:val="-66"/>
        </w:rPr>
        <w:t> </w:t>
      </w:r>
      <w:r>
        <w:rPr>
          <w:spacing w:val="-66"/>
        </w:rPr>
      </w:r>
      <w:r>
        <w:rPr/>
        <w:t>或按处置该境外经营的比例转入处置当期损益。</w:t>
      </w:r>
    </w:p>
    <w:p>
      <w:pPr>
        <w:pStyle w:val="BodyText"/>
        <w:spacing w:line="316" w:lineRule="auto" w:before="20"/>
        <w:ind w:right="1133" w:firstLine="360"/>
        <w:jc w:val="both"/>
      </w:pPr>
      <w:r>
        <w:rPr>
          <w:spacing w:val="-2"/>
        </w:rPr>
        <w:t>外币现金流量，采用现金流量发生日的即期汇率折算。汇率变动对现金的影响额作为调节项目，在现金流量表中单独列</w:t>
      </w:r>
      <w:r>
        <w:rPr/>
        <w:t> 报。</w:t>
      </w:r>
    </w:p>
    <w:p>
      <w:pPr>
        <w:pStyle w:val="BodyText"/>
        <w:spacing w:line="240" w:lineRule="auto" w:before="19"/>
        <w:ind w:left="514" w:right="1121"/>
        <w:jc w:val="left"/>
      </w:pPr>
      <w:r>
        <w:rPr/>
        <w:t>年初数和上年实际数按照上年财务报表折算后的数额列示。</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50" w:firstLine="360"/>
        <w:jc w:val="both"/>
      </w:pPr>
      <w:r>
        <w:rPr>
          <w:spacing w:val="-2"/>
        </w:rPr>
        <w:t>在处置本公司在境外经营的全部所有者权益或因处置部分股权投资或其他原因丧失了对境外经营控制权时，将资产负债</w:t>
      </w:r>
      <w:r>
        <w:rPr/>
        <w:t> 表中股东权益项目下列示的、与该境外经营相关的归属于母公司所有者权益的外币报表折算差额，全部转入处置当期损益。</w:t>
      </w:r>
    </w:p>
    <w:p>
      <w:pPr>
        <w:pStyle w:val="BodyText"/>
        <w:spacing w:line="319" w:lineRule="auto" w:before="19"/>
        <w:ind w:right="1032" w:firstLine="290"/>
        <w:jc w:val="left"/>
      </w:pPr>
      <w:r>
        <w:rPr/>
        <w:t>在处置部分股权投资或其他原因导致持有境外经营权益比例降低但不丧失对境外经营控制权时，与该境外经营处置部分 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spacing w:line="240" w:lineRule="auto" w:before="5"/>
        <w:rPr>
          <w:rFonts w:ascii="宋体" w:hAnsi="宋体" w:cs="宋体" w:eastAsia="宋体" w:hint="default"/>
          <w:sz w:val="22"/>
          <w:szCs w:val="22"/>
        </w:rPr>
      </w:pPr>
    </w:p>
    <w:p>
      <w:pPr>
        <w:pStyle w:val="Heading3"/>
        <w:spacing w:line="240" w:lineRule="auto"/>
        <w:ind w:right="1121"/>
        <w:jc w:val="left"/>
        <w:rPr>
          <w:b w:val="0"/>
          <w:bCs w:val="0"/>
        </w:rPr>
      </w:pPr>
      <w:bookmarkStart w:name="10、金融工具" w:id="185"/>
      <w:bookmarkEnd w:id="185"/>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360"/>
        <w:jc w:val="both"/>
      </w:pPr>
      <w:r>
        <w:rPr/>
        <w:t>在本公司成为金融工具合同的一方时确认一项金融资产或金融负债。金融资产和金融负债在初始确认时以公允价值计 </w:t>
      </w:r>
      <w:r>
        <w:rPr>
          <w:spacing w:val="-2"/>
        </w:rPr>
        <w:t>量。对于以公允价值计量且其变动计入当期损益的金融资产和金融负债，相关的交易费用直接计入损益；对于其他类别的金</w:t>
      </w:r>
      <w:r>
        <w:rPr>
          <w:spacing w:val="-66"/>
        </w:rPr>
        <w:t> </w:t>
      </w:r>
      <w:r>
        <w:rPr>
          <w:spacing w:val="-66"/>
        </w:rPr>
      </w:r>
      <w:r>
        <w:rPr/>
        <w:t>融资产和金融负债，相关交易费用计入初始确认金额。</w:t>
      </w:r>
    </w:p>
    <w:p>
      <w:pPr>
        <w:pStyle w:val="BodyText"/>
        <w:spacing w:line="300" w:lineRule="auto" w:before="19"/>
        <w:ind w:left="514" w:right="1121"/>
        <w:jc w:val="left"/>
      </w:pPr>
      <w:r>
        <w:rPr/>
        <w:t>（</w:t>
      </w:r>
      <w:r>
        <w:rPr>
          <w:rFonts w:ascii="Times New Roman" w:hAnsi="Times New Roman" w:cs="Times New Roman" w:eastAsia="Times New Roman" w:hint="default"/>
        </w:rPr>
        <w:t>1</w:t>
      </w:r>
      <w:r>
        <w:rPr/>
        <w:t>）金融资产和金融负债的公允价值确定方法 </w:t>
      </w:r>
      <w:r>
        <w:rPr>
          <w:spacing w:val="-2"/>
        </w:rPr>
        <w:t>公允价值，是指市场参与者在计量日发生的有序交易中，出售一项资产所能收到或者转移一项负债所需支付的价格。金</w:t>
      </w:r>
    </w:p>
    <w:p>
      <w:pPr>
        <w:pStyle w:val="BodyText"/>
        <w:spacing w:line="316" w:lineRule="auto" w:before="31"/>
        <w:ind w:right="1032"/>
        <w:jc w:val="left"/>
      </w:pPr>
      <w:r>
        <w:rPr>
          <w:spacing w:val="-4"/>
        </w:rPr>
        <w:t>融工具存在活跃市场的，本公司采用活跃市场中的报价确定其公允价值。活跃市场中的报价是指易于定期从交易所、经纪商、</w:t>
      </w:r>
      <w:r>
        <w:rPr>
          <w:spacing w:val="-44"/>
        </w:rPr>
        <w:t> </w:t>
      </w:r>
      <w:r>
        <w:rPr>
          <w:spacing w:val="-44"/>
        </w:rPr>
      </w:r>
      <w:r>
        <w:rPr/>
        <w:t>行业协会、定价服务机构等获得的价格，且代表了在公平交易中实际发生的市场交易的价格。金融工具不存在活跃市场的， </w:t>
      </w:r>
      <w:r>
        <w:rPr>
          <w:spacing w:val="-2"/>
        </w:rPr>
        <w:t>本公司采用估值技术确定其公允价值。估值技术包括参考熟悉情况并自愿交易的各方最近进行的市场交易中使用的价格、参</w:t>
      </w:r>
      <w:r>
        <w:rPr>
          <w:spacing w:val="-64"/>
        </w:rPr>
        <w:t> </w:t>
      </w:r>
      <w:r>
        <w:rPr>
          <w:spacing w:val="-64"/>
        </w:rPr>
      </w:r>
      <w:r>
        <w:rPr/>
        <w:t>照实质上相同的其他金融工具当前的公允价值、现金流量折现法和期权定价模型等。</w:t>
      </w:r>
    </w:p>
    <w:p>
      <w:pPr>
        <w:pStyle w:val="BodyText"/>
        <w:spacing w:line="300" w:lineRule="auto" w:before="19"/>
        <w:ind w:left="514" w:right="1121"/>
        <w:jc w:val="left"/>
      </w:pPr>
      <w:r>
        <w:rPr/>
        <w:t>（</w:t>
      </w:r>
      <w:r>
        <w:rPr>
          <w:rFonts w:ascii="Times New Roman" w:hAnsi="Times New Roman" w:cs="Times New Roman" w:eastAsia="Times New Roman" w:hint="default"/>
        </w:rPr>
        <w:t>2</w:t>
      </w:r>
      <w:r>
        <w:rPr/>
        <w:t>）金融资产的分类、确认和计量 </w:t>
      </w:r>
      <w:r>
        <w:rPr>
          <w:spacing w:val="-2"/>
        </w:rPr>
        <w:t>以常规方式买卖金融资产，按交易日进行会计确认和终止确认。金融资产在初始确认时划分为以公允价值计量且其变动</w:t>
      </w:r>
    </w:p>
    <w:p>
      <w:pPr>
        <w:pStyle w:val="BodyText"/>
        <w:spacing w:line="240" w:lineRule="auto" w:before="31"/>
        <w:ind w:right="1121"/>
        <w:jc w:val="left"/>
      </w:pPr>
      <w:r>
        <w:rPr/>
        <w:t>计入当期损益的金融资产、持有至到期投资、贷款和应收款项以及可供出售金融资产。</w:t>
      </w:r>
    </w:p>
    <w:p>
      <w:pPr>
        <w:pStyle w:val="BodyText"/>
        <w:spacing w:line="319" w:lineRule="auto" w:before="76"/>
        <w:ind w:left="514" w:right="1121"/>
        <w:jc w:val="left"/>
      </w:pPr>
      <w:r>
        <w:rPr/>
        <w:t>①</w:t>
      </w:r>
      <w:r>
        <w:rPr>
          <w:spacing w:val="-18"/>
        </w:rPr>
        <w:t> </w:t>
      </w:r>
      <w:r>
        <w:rPr/>
        <w:t>以公允价值计量且其变动计入当期损益的金融资产</w:t>
      </w:r>
      <w:r>
        <w:rPr/>
        <w:t> 包括交易性金融资产和指定为以公允价值计量且其变动计入当期损益的金融资产。 </w:t>
      </w:r>
      <w:r>
        <w:rPr>
          <w:spacing w:val="-2"/>
        </w:rPr>
        <w:t>交易性金融资产是指满足下列条件之一的金融资产：</w:t>
      </w:r>
      <w:r>
        <w:rPr>
          <w:rFonts w:ascii="Times New Roman" w:hAnsi="Times New Roman" w:cs="Times New Roman" w:eastAsia="Times New Roman" w:hint="default"/>
          <w:spacing w:val="-2"/>
        </w:rPr>
        <w:t>A.</w:t>
      </w:r>
      <w:r>
        <w:rPr>
          <w:spacing w:val="-2"/>
        </w:rPr>
        <w:t>取得该金融资产的目的，主要是为了近期内出售；</w:t>
      </w:r>
      <w:r>
        <w:rPr>
          <w:rFonts w:ascii="Times New Roman" w:hAnsi="Times New Roman" w:cs="Times New Roman" w:eastAsia="Times New Roman" w:hint="default"/>
          <w:spacing w:val="-2"/>
        </w:rPr>
        <w:t>B.</w:t>
      </w:r>
      <w:r>
        <w:rPr>
          <w:spacing w:val="-2"/>
        </w:rPr>
        <w:t>属于进行集</w:t>
      </w:r>
    </w:p>
    <w:p>
      <w:pPr>
        <w:pStyle w:val="BodyText"/>
        <w:spacing w:line="309" w:lineRule="auto"/>
        <w:ind w:right="1130"/>
        <w:jc w:val="both"/>
      </w:pPr>
      <w:r>
        <w:rPr>
          <w:spacing w:val="-2"/>
        </w:rPr>
        <w:t>中管理的可辨认金融工具组合的一部分，且有客观证据表明本公司近期采用短期获利方式对该组合进行管理；</w:t>
      </w:r>
      <w:r>
        <w:rPr>
          <w:rFonts w:ascii="Times New Roman" w:hAnsi="Times New Roman" w:cs="Times New Roman" w:eastAsia="Times New Roman" w:hint="default"/>
          <w:spacing w:val="-2"/>
        </w:rPr>
        <w:t>C.</w:t>
      </w:r>
      <w:r>
        <w:rPr>
          <w:spacing w:val="-2"/>
        </w:rPr>
        <w:t>属于衍生工</w:t>
      </w:r>
      <w:r>
        <w:rPr>
          <w:spacing w:val="-48"/>
        </w:rPr>
        <w:t> </w:t>
      </w:r>
      <w:r>
        <w:rPr>
          <w:spacing w:val="-2"/>
        </w:rPr>
        <w:t>具，但是，被指定且为有效套期工具的衍生工具、属于财务担保合同的衍生工具、与在活跃市场中没有报价且其公允价值不</w:t>
      </w:r>
      <w:r>
        <w:rPr>
          <w:spacing w:val="-66"/>
        </w:rPr>
        <w:t> </w:t>
      </w:r>
      <w:r>
        <w:rPr>
          <w:spacing w:val="-66"/>
        </w:rPr>
      </w:r>
      <w:r>
        <w:rPr/>
        <w:t>能可靠计量的权益工具投资挂钩并须通过交付该权益工具结算的衍生工具除外。</w:t>
      </w:r>
    </w:p>
    <w:p>
      <w:pPr>
        <w:pStyle w:val="BodyText"/>
        <w:spacing w:line="307" w:lineRule="auto" w:before="24"/>
        <w:ind w:right="1130" w:firstLine="360"/>
        <w:jc w:val="both"/>
      </w:pPr>
      <w:r>
        <w:rPr>
          <w:spacing w:val="-2"/>
        </w:rPr>
        <w:t>符合下述条件之一的金融资产，在初始确认时可指定为以公允价值计量且其变动计入当期损益的金融资产：</w:t>
      </w:r>
      <w:r>
        <w:rPr>
          <w:rFonts w:ascii="Times New Roman" w:hAnsi="Times New Roman" w:cs="Times New Roman" w:eastAsia="Times New Roman" w:hint="default"/>
          <w:spacing w:val="-2"/>
        </w:rPr>
        <w:t>A.</w:t>
      </w:r>
      <w:r>
        <w:rPr>
          <w:spacing w:val="-2"/>
        </w:rPr>
        <w:t>该指定可</w:t>
      </w:r>
      <w:r>
        <w:rPr/>
        <w:t> </w:t>
      </w:r>
      <w:r>
        <w:rPr>
          <w:spacing w:val="-2"/>
        </w:rPr>
        <w:t>以消除或明显减少由于该金融资产的计量基础不同所导致的相关利得或损失在确认或计量方面不一致的情况；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本公司风险</w:t>
      </w:r>
      <w:r>
        <w:rPr>
          <w:spacing w:val="-47"/>
        </w:rPr>
        <w:t> </w:t>
      </w:r>
      <w:r>
        <w:rPr>
          <w:spacing w:val="-2"/>
        </w:rPr>
        <w:t>管理或投资策略的正式书面文件已载明，对该金融资产所在的金融资产组合或金融资产和金融负债组合以公允价值为基础进</w:t>
      </w:r>
      <w:r>
        <w:rPr>
          <w:spacing w:val="-64"/>
        </w:rPr>
        <w:t> </w:t>
      </w:r>
      <w:r>
        <w:rPr>
          <w:spacing w:val="-64"/>
        </w:rPr>
      </w:r>
      <w:r>
        <w:rPr/>
        <w:t>行管理、评价并向关键管理人员报告。</w:t>
      </w:r>
    </w:p>
    <w:p>
      <w:pPr>
        <w:pStyle w:val="BodyText"/>
        <w:spacing w:line="316" w:lineRule="auto" w:before="26"/>
        <w:ind w:right="1131" w:firstLine="360"/>
        <w:jc w:val="both"/>
      </w:pPr>
      <w:r>
        <w:rPr>
          <w:spacing w:val="-2"/>
        </w:rPr>
        <w:t>以公允价值计量且其变动计入当期损益的金融资产采用公允价值进行后续计量，公允价值变动形成的利得或损失以及与</w:t>
      </w:r>
      <w:r>
        <w:rPr/>
        <w:t> 该等金融资产相关的股利和利息收入计入当期损益。</w:t>
      </w:r>
    </w:p>
    <w:p>
      <w:pPr>
        <w:pStyle w:val="BodyText"/>
        <w:spacing w:line="316" w:lineRule="auto" w:before="19"/>
        <w:ind w:left="514" w:right="1121"/>
        <w:jc w:val="left"/>
      </w:pPr>
      <w:r>
        <w:rPr/>
        <w:t>②</w:t>
      </w:r>
      <w:r>
        <w:rPr>
          <w:spacing w:val="-17"/>
        </w:rPr>
        <w:t> </w:t>
      </w:r>
      <w:r>
        <w:rPr/>
        <w:t>持有至到期投资</w:t>
      </w:r>
      <w:r>
        <w:rPr/>
        <w:t> 是指到期日固定、回收金额固定或可确定，且本公司有明确意图和能力持有至到期的非衍生金融资产。 </w:t>
      </w:r>
      <w:r>
        <w:rPr>
          <w:spacing w:val="-2"/>
        </w:rPr>
        <w:t>持有至到期投资采用实际利率法，按摊余成本进行后续计量，在终止确认、发生减值或摊销时产生的利得或损失，计入</w:t>
      </w:r>
    </w:p>
    <w:p>
      <w:pPr>
        <w:pStyle w:val="BodyText"/>
        <w:spacing w:line="240" w:lineRule="auto" w:before="19"/>
        <w:ind w:right="1121"/>
        <w:jc w:val="left"/>
      </w:pPr>
      <w:r>
        <w:rPr/>
        <w:t>当期损益。</w:t>
      </w:r>
    </w:p>
    <w:p>
      <w:pPr>
        <w:pStyle w:val="BodyText"/>
        <w:spacing w:line="316" w:lineRule="auto" w:before="76"/>
        <w:ind w:right="1132" w:firstLine="360"/>
        <w:jc w:val="both"/>
      </w:pPr>
      <w:r>
        <w:rPr>
          <w:spacing w:val="-2"/>
        </w:rPr>
        <w:t>实际利率法是指按照金融资产或金融负债（含一组金融资产或金融负债）的实际利率计算其摊余成本及各期利息收入或</w:t>
      </w:r>
      <w:r>
        <w:rPr/>
        <w:t> </w:t>
      </w:r>
      <w:r>
        <w:rPr>
          <w:spacing w:val="-2"/>
        </w:rPr>
        <w:t>支出的方法。实际利率是指将金融资产或金融负债在预期存续期间或适用的更短期间内的未来现金流量，折现为该金融资产</w:t>
      </w:r>
      <w:r>
        <w:rPr>
          <w:spacing w:val="-64"/>
        </w:rPr>
        <w:t> </w:t>
      </w:r>
      <w:r>
        <w:rPr>
          <w:spacing w:val="-64"/>
        </w:rPr>
      </w:r>
      <w:r>
        <w:rPr/>
        <w:t>或金融负债当前账面价值所使用的利率。</w:t>
      </w:r>
    </w:p>
    <w:p>
      <w:pPr>
        <w:pStyle w:val="BodyText"/>
        <w:spacing w:line="319" w:lineRule="auto" w:before="19"/>
        <w:ind w:right="1131" w:firstLine="360"/>
        <w:jc w:val="both"/>
      </w:pPr>
      <w:r>
        <w:rPr>
          <w:spacing w:val="-2"/>
        </w:rPr>
        <w:t>在计算实际利率时，本公司将在考虑金融资产或金融负债所有合同条款的基础上预计未来现金流量（不考虑未来的信用</w:t>
      </w:r>
      <w:r>
        <w:rPr/>
        <w:t> </w:t>
      </w:r>
      <w:r>
        <w:rPr>
          <w:spacing w:val="-2"/>
        </w:rPr>
        <w:t>损失），同时还将考虑金融资产或金融负债合同各方之间支付或收取的、属于实际利率组成部分的各项收费、交易费用及折</w:t>
      </w:r>
      <w:r>
        <w:rPr>
          <w:spacing w:val="-66"/>
        </w:rPr>
        <w:t> </w:t>
      </w:r>
      <w:r>
        <w:rPr>
          <w:spacing w:val="-66"/>
        </w:rPr>
      </w:r>
      <w:r>
        <w:rPr/>
        <w:t>价或溢价等。</w:t>
      </w:r>
    </w:p>
    <w:p>
      <w:pPr>
        <w:pStyle w:val="BodyText"/>
        <w:spacing w:line="316" w:lineRule="auto" w:before="17"/>
        <w:ind w:left="514" w:right="1121"/>
        <w:jc w:val="left"/>
      </w:pPr>
      <w:r>
        <w:rPr/>
        <w:t>③</w:t>
      </w:r>
      <w:r>
        <w:rPr>
          <w:spacing w:val="-17"/>
        </w:rPr>
        <w:t> </w:t>
      </w:r>
      <w:r>
        <w:rPr/>
        <w:t>贷款和应收款项</w:t>
      </w:r>
      <w:r>
        <w:rPr/>
        <w:t> </w:t>
      </w:r>
      <w:r>
        <w:rPr>
          <w:spacing w:val="-2"/>
        </w:rPr>
        <w:t>是指在活跃市场中没有报价、回收金额固定或可确定的非衍生金融资产。本公司划分为贷款和应收款的金融资产包括应</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4" w:right="1121" w:hanging="360"/>
        <w:jc w:val="left"/>
      </w:pPr>
      <w:r>
        <w:rPr/>
        <w:t>收票据、应收账款、应收利息、应收股利及其他应收款等。 </w:t>
      </w:r>
      <w:r>
        <w:rPr>
          <w:spacing w:val="-2"/>
        </w:rPr>
        <w:t>贷款和应收款项采用实际利率法，按摊余成本进行后续计量，在终止确认、发生减值或摊销时产生的利得或损失，计入</w:t>
      </w:r>
    </w:p>
    <w:p>
      <w:pPr>
        <w:pStyle w:val="BodyText"/>
        <w:spacing w:line="240" w:lineRule="auto" w:before="19"/>
        <w:ind w:right="0"/>
        <w:jc w:val="both"/>
      </w:pPr>
      <w:r>
        <w:rPr/>
        <w:t>当期损益。</w:t>
      </w:r>
    </w:p>
    <w:p>
      <w:pPr>
        <w:pStyle w:val="BodyText"/>
        <w:spacing w:line="319" w:lineRule="auto" w:before="76"/>
        <w:ind w:left="514" w:right="1032"/>
        <w:jc w:val="left"/>
      </w:pPr>
      <w:r>
        <w:rPr/>
        <w:t>④</w:t>
      </w:r>
      <w:r>
        <w:rPr>
          <w:spacing w:val="-17"/>
        </w:rPr>
        <w:t> </w:t>
      </w:r>
      <w:r>
        <w:rPr/>
        <w:t>可供出售金融资产</w:t>
      </w:r>
      <w:r>
        <w:rPr/>
        <w:t> 包括初始确认时即被指定为可供出售的非衍生金融资产，以及除了以公允价值计量且其变动计入当期损益的金融资产、</w:t>
      </w:r>
    </w:p>
    <w:p>
      <w:pPr>
        <w:pStyle w:val="BodyText"/>
        <w:spacing w:line="316" w:lineRule="auto" w:before="17"/>
        <w:ind w:left="514" w:right="1121" w:hanging="360"/>
        <w:jc w:val="left"/>
      </w:pPr>
      <w:r>
        <w:rPr/>
        <w:t>贷款和应收款项、持有至到期投资以外的金融资产。 </w:t>
      </w:r>
      <w:r>
        <w:rPr>
          <w:spacing w:val="-2"/>
        </w:rPr>
        <w:t>可供出售债务工具投资的期末成本按照摊余成本法确定，即初始确认金额扣除已偿还的本金，加上或减去采用实际利率</w:t>
      </w:r>
    </w:p>
    <w:p>
      <w:pPr>
        <w:pStyle w:val="BodyText"/>
        <w:spacing w:line="316" w:lineRule="auto" w:before="19"/>
        <w:ind w:right="1132"/>
        <w:jc w:val="both"/>
      </w:pPr>
      <w:r>
        <w:rPr>
          <w:spacing w:val="-2"/>
        </w:rPr>
        <w:t>法将该初始确认金额与到期日金额之间的差额进行摊销形成的累计摊销额，并扣除已发生的减值损失后的金额。可供出售权</w:t>
      </w:r>
      <w:r>
        <w:rPr>
          <w:spacing w:val="-64"/>
        </w:rPr>
        <w:t> </w:t>
      </w:r>
      <w:r>
        <w:rPr>
          <w:spacing w:val="-64"/>
        </w:rPr>
      </w:r>
      <w:r>
        <w:rPr/>
        <w:t>益工具投资的期末成本为其初始取得成本。</w:t>
      </w:r>
    </w:p>
    <w:p>
      <w:pPr>
        <w:pStyle w:val="BodyText"/>
        <w:spacing w:line="316" w:lineRule="auto" w:before="19"/>
        <w:ind w:right="1131" w:firstLine="360"/>
        <w:jc w:val="both"/>
      </w:pPr>
      <w:r>
        <w:rPr>
          <w:spacing w:val="-2"/>
        </w:rPr>
        <w:t>可供出售金融资产采用公允价值进行后续计量，公允价值变动形成的利得或损失，除减值损失和外币货币性金融资产与</w:t>
      </w:r>
      <w:r>
        <w:rPr/>
        <w:t> </w:t>
      </w:r>
      <w:r>
        <w:rPr>
          <w:spacing w:val="-2"/>
        </w:rPr>
        <w:t>摊余成本相关的汇兑差额计入当期损益外，确认为其他综合收益，在该金融资产终止确认时转出，计入当期损益。但是，在</w:t>
      </w:r>
      <w:r>
        <w:rPr>
          <w:spacing w:val="-67"/>
        </w:rPr>
        <w:t> </w:t>
      </w:r>
      <w:r>
        <w:rPr>
          <w:spacing w:val="-67"/>
        </w:rPr>
      </w:r>
      <w:r>
        <w:rPr>
          <w:spacing w:val="-2"/>
        </w:rPr>
        <w:t>活跃市场中没有报价且其公允价值不能可靠计量的权益工具投资，以及与该权益工具挂钩并须通过交付该权益工具结算的衍</w:t>
      </w:r>
      <w:r>
        <w:rPr>
          <w:spacing w:val="-64"/>
        </w:rPr>
        <w:t> </w:t>
      </w:r>
      <w:r>
        <w:rPr>
          <w:spacing w:val="-64"/>
        </w:rPr>
      </w:r>
      <w:r>
        <w:rPr/>
        <w:t>生金融资产，按照成本进行后续计量。</w:t>
      </w:r>
    </w:p>
    <w:p>
      <w:pPr>
        <w:pStyle w:val="BodyText"/>
        <w:spacing w:line="240" w:lineRule="auto" w:before="19"/>
        <w:ind w:left="514" w:right="1121"/>
        <w:jc w:val="left"/>
      </w:pPr>
      <w:r>
        <w:rPr/>
        <w:t>可供出售金融资产持有期间取得的利息及被投资单位宣告发放的现金股利，计入投资收益。</w:t>
      </w:r>
    </w:p>
    <w:p>
      <w:pPr>
        <w:pStyle w:val="BodyText"/>
        <w:spacing w:line="300" w:lineRule="auto" w:before="76"/>
        <w:ind w:left="514" w:right="1121"/>
        <w:jc w:val="left"/>
      </w:pPr>
      <w:r>
        <w:rPr/>
        <w:t>（</w:t>
      </w:r>
      <w:r>
        <w:rPr>
          <w:rFonts w:ascii="Times New Roman" w:hAnsi="Times New Roman" w:cs="Times New Roman" w:eastAsia="Times New Roman" w:hint="default"/>
        </w:rPr>
        <w:t>3</w:t>
      </w:r>
      <w:r>
        <w:rPr/>
        <w:t>）金融资产减值 </w:t>
      </w:r>
      <w:r>
        <w:rPr>
          <w:spacing w:val="-2"/>
        </w:rPr>
        <w:t>除了以公允价值计量且其变动计入当期损益的金融资产外，本公司在每个资产负债表日对其他金融资产的账面价值进行</w:t>
      </w:r>
    </w:p>
    <w:p>
      <w:pPr>
        <w:pStyle w:val="BodyText"/>
        <w:spacing w:line="316" w:lineRule="auto" w:before="31"/>
        <w:ind w:left="514" w:right="1121" w:hanging="360"/>
        <w:jc w:val="left"/>
      </w:pPr>
      <w:r>
        <w:rPr/>
        <w:t>检查，有客观证据表明金融资产发生减值的，计提减值准备。 </w:t>
      </w:r>
      <w:r>
        <w:rPr>
          <w:spacing w:val="-2"/>
        </w:rPr>
        <w:t>本公司对单项金额重大的金融资产单独进行减值测试；对单项金额不重大的金融资产，单独进行减值测试或包括在具有</w:t>
      </w:r>
    </w:p>
    <w:p>
      <w:pPr>
        <w:pStyle w:val="BodyText"/>
        <w:spacing w:line="316" w:lineRule="auto" w:before="19"/>
        <w:ind w:right="1131"/>
        <w:jc w:val="both"/>
      </w:pPr>
      <w:r>
        <w:rPr>
          <w:spacing w:val="-2"/>
        </w:rPr>
        <w:t>类似信用风险特征的金融资产组合中进行减值测试。单独测试未发生减值的金融资产（包括单项金额重大和不重大的金融资</w:t>
      </w:r>
      <w:r>
        <w:rPr>
          <w:spacing w:val="-64"/>
        </w:rPr>
        <w:t> </w:t>
      </w:r>
      <w:r>
        <w:rPr>
          <w:spacing w:val="-64"/>
        </w:rPr>
      </w:r>
      <w:r>
        <w:rPr>
          <w:spacing w:val="-2"/>
        </w:rPr>
        <w:t>产），包括在具有类似信用风险特征的金融资产组合中再进行减值测试。已单项确认减值损失的金融资产，不包括在具有类</w:t>
      </w:r>
      <w:r>
        <w:rPr>
          <w:spacing w:val="-66"/>
        </w:rPr>
        <w:t> </w:t>
      </w:r>
      <w:r>
        <w:rPr>
          <w:spacing w:val="-66"/>
        </w:rPr>
      </w:r>
      <w:r>
        <w:rPr/>
        <w:t>似信用风险特征的金融资产组合中进行减值测试。</w:t>
      </w:r>
    </w:p>
    <w:p>
      <w:pPr>
        <w:pStyle w:val="BodyText"/>
        <w:spacing w:line="319" w:lineRule="auto" w:before="19"/>
        <w:ind w:left="514" w:right="1121"/>
        <w:jc w:val="left"/>
      </w:pPr>
      <w:r>
        <w:rPr/>
        <w:t>①</w:t>
      </w:r>
      <w:r>
        <w:rPr>
          <w:spacing w:val="-17"/>
        </w:rPr>
        <w:t> </w:t>
      </w:r>
      <w:r>
        <w:rPr/>
        <w:t>持有至到期投资、贷款和应收款项减值</w:t>
      </w:r>
      <w:r>
        <w:rPr/>
        <w:t> </w:t>
      </w:r>
      <w:r>
        <w:rPr>
          <w:spacing w:val="-2"/>
        </w:rPr>
        <w:t>以成本或摊余成本计量的金融资产将其账面价值减记至预计未来现金流量现值，减记金额确认为减值损失，计入当期损</w:t>
      </w:r>
    </w:p>
    <w:p>
      <w:pPr>
        <w:pStyle w:val="BodyText"/>
        <w:spacing w:line="316" w:lineRule="auto" w:before="17"/>
        <w:ind w:right="1131"/>
        <w:jc w:val="both"/>
      </w:pPr>
      <w:r>
        <w:rPr>
          <w:spacing w:val="-2"/>
        </w:rPr>
        <w:t>益。金融资产在确认减值损失后，如有客观证据表明该金融资产价值已恢复，且客观上与确认该损失后发生的事项有关，原</w:t>
      </w:r>
      <w:r>
        <w:rPr>
          <w:spacing w:val="-66"/>
        </w:rPr>
        <w:t> </w:t>
      </w:r>
      <w:r>
        <w:rPr>
          <w:spacing w:val="-66"/>
        </w:rPr>
      </w:r>
      <w:r>
        <w:rPr>
          <w:spacing w:val="-2"/>
        </w:rPr>
        <w:t>确认的减值损失予以转回，金融资产转回减值损失后的账面价值不超过假定不计提减值准备情况下该金融资产在转回日的摊</w:t>
      </w:r>
      <w:r>
        <w:rPr>
          <w:spacing w:val="-64"/>
        </w:rPr>
        <w:t> </w:t>
      </w:r>
      <w:r>
        <w:rPr>
          <w:spacing w:val="-64"/>
        </w:rPr>
      </w:r>
      <w:r>
        <w:rPr/>
        <w:t>余成本。</w:t>
      </w:r>
    </w:p>
    <w:p>
      <w:pPr>
        <w:pStyle w:val="BodyText"/>
        <w:spacing w:line="316" w:lineRule="auto" w:before="19"/>
        <w:ind w:left="514" w:right="1121"/>
        <w:jc w:val="left"/>
      </w:pPr>
      <w:r>
        <w:rPr/>
        <w:t>②</w:t>
      </w:r>
      <w:r>
        <w:rPr>
          <w:spacing w:val="-17"/>
        </w:rPr>
        <w:t> </w:t>
      </w:r>
      <w:r>
        <w:rPr/>
        <w:t>可供出售金融资产减值</w:t>
      </w:r>
      <w:r>
        <w:rPr/>
        <w:t> </w:t>
      </w:r>
      <w:r>
        <w:rPr>
          <w:spacing w:val="-2"/>
        </w:rPr>
        <w:t>当综合相关因素判断可供出售权益工具投资公允价值下跌是严重或非暂时性下跌时，表明该可供出售权益工具投资发生</w:t>
      </w:r>
    </w:p>
    <w:p>
      <w:pPr>
        <w:pStyle w:val="BodyText"/>
        <w:spacing w:line="300" w:lineRule="auto" w:before="19"/>
        <w:ind w:right="1130"/>
        <w:jc w:val="both"/>
      </w:pPr>
      <w:r>
        <w:rPr>
          <w:spacing w:val="-1"/>
        </w:rPr>
        <w:t>减值。其中</w:t>
      </w:r>
      <w:r>
        <w:rPr>
          <w:rFonts w:ascii="Times New Roman" w:hAnsi="Times New Roman" w:cs="Times New Roman" w:eastAsia="Times New Roman" w:hint="default"/>
          <w:spacing w:val="-1"/>
        </w:rPr>
        <w:t>“</w:t>
      </w:r>
      <w:r>
        <w:rPr>
          <w:spacing w:val="-1"/>
        </w:rPr>
        <w:t>严重下跌</w:t>
      </w:r>
      <w:r>
        <w:rPr>
          <w:rFonts w:ascii="Times New Roman" w:hAnsi="Times New Roman" w:cs="Times New Roman" w:eastAsia="Times New Roman" w:hint="default"/>
          <w:spacing w:val="-1"/>
        </w:rPr>
        <w:t>”</w:t>
      </w:r>
      <w:r>
        <w:rPr>
          <w:spacing w:val="-1"/>
        </w:rPr>
        <w:t>是指公允价值下跌幅度累计超过</w:t>
      </w:r>
      <w:r>
        <w:rPr>
          <w:rFonts w:ascii="Times New Roman" w:hAnsi="Times New Roman" w:cs="Times New Roman" w:eastAsia="Times New Roman" w:hint="default"/>
          <w:spacing w:val="-1"/>
        </w:rPr>
        <w:t>20%</w:t>
      </w:r>
      <w:r>
        <w:rPr>
          <w:spacing w:val="-1"/>
        </w:rPr>
        <w:t>；</w:t>
      </w:r>
      <w:r>
        <w:rPr>
          <w:rFonts w:ascii="Times New Roman" w:hAnsi="Times New Roman" w:cs="Times New Roman" w:eastAsia="Times New Roman" w:hint="default"/>
          <w:spacing w:val="-1"/>
        </w:rPr>
        <w:t>“</w:t>
      </w:r>
      <w:r>
        <w:rPr>
          <w:spacing w:val="-1"/>
        </w:rPr>
        <w:t>非暂时性下跌</w:t>
      </w:r>
      <w:r>
        <w:rPr>
          <w:rFonts w:ascii="Times New Roman" w:hAnsi="Times New Roman" w:cs="Times New Roman" w:eastAsia="Times New Roman" w:hint="default"/>
          <w:spacing w:val="-1"/>
        </w:rPr>
        <w:t>”</w:t>
      </w:r>
      <w:r>
        <w:rPr>
          <w:spacing w:val="-1"/>
        </w:rPr>
        <w:t>是指公允价值连续下跌时间超过</w:t>
      </w:r>
      <w:r>
        <w:rPr>
          <w:rFonts w:ascii="Times New Roman" w:hAnsi="Times New Roman" w:cs="Times New Roman" w:eastAsia="Times New Roman" w:hint="default"/>
          <w:spacing w:val="-1"/>
        </w:rPr>
        <w:t>12</w:t>
      </w:r>
      <w:r>
        <w:rPr>
          <w:spacing w:val="-1"/>
        </w:rPr>
        <w:t>个月，持续</w:t>
      </w:r>
      <w:r>
        <w:rPr>
          <w:spacing w:val="-46"/>
        </w:rPr>
        <w:t> </w:t>
      </w:r>
      <w:r>
        <w:rPr>
          <w:spacing w:val="-46"/>
        </w:rPr>
      </w:r>
      <w:r>
        <w:rPr/>
        <w:t>下跌期间的确定依据为该资产市价。</w:t>
      </w:r>
    </w:p>
    <w:p>
      <w:pPr>
        <w:pStyle w:val="BodyText"/>
        <w:spacing w:line="316" w:lineRule="auto" w:before="31"/>
        <w:ind w:right="1050" w:firstLine="360"/>
        <w:jc w:val="both"/>
      </w:pPr>
      <w:r>
        <w:rPr>
          <w:spacing w:val="-2"/>
        </w:rPr>
        <w:t>可供出售金融资产发生减值时，将原计入其他综合收益的因公允价值下降形成的累计损失予以转出并计入当期损益，该</w:t>
      </w:r>
      <w:r>
        <w:rPr/>
        <w:t> 转出的累计损失为该资产初始取得成本扣除已收回本金和已摊销金额、当前公允价值和原已计入损益的减值损失后的余额。</w:t>
      </w:r>
    </w:p>
    <w:p>
      <w:pPr>
        <w:pStyle w:val="BodyText"/>
        <w:spacing w:line="316" w:lineRule="auto" w:before="19"/>
        <w:ind w:right="1132" w:firstLine="360"/>
        <w:jc w:val="both"/>
      </w:pPr>
      <w:r>
        <w:rPr>
          <w:spacing w:val="-2"/>
        </w:rPr>
        <w:t>在确认减值损失后，期后如有客观证据表明该金融资产价值已恢复，且客观上与确认该损失后发生的事项有关，原确认</w:t>
      </w:r>
      <w:r>
        <w:rPr/>
        <w:t> </w:t>
      </w: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pStyle w:val="BodyText"/>
        <w:spacing w:line="316" w:lineRule="auto" w:before="19"/>
        <w:ind w:right="1131" w:firstLine="360"/>
        <w:jc w:val="both"/>
      </w:pPr>
      <w:r>
        <w:rPr>
          <w:spacing w:val="-2"/>
        </w:rPr>
        <w:t>在活跃市场中没有报价且其公允价值不能可靠计量的权益工具投资，或与该权益工具挂钩并须通过交付该权益工具结算</w:t>
      </w:r>
      <w:r>
        <w:rPr/>
        <w:t> 的衍生金融资产的减值损失，不予转回。</w:t>
      </w:r>
    </w:p>
    <w:p>
      <w:pPr>
        <w:pStyle w:val="BodyText"/>
        <w:spacing w:line="240" w:lineRule="auto" w:before="19"/>
        <w:ind w:left="514" w:right="1121"/>
        <w:jc w:val="left"/>
      </w:pPr>
      <w:r>
        <w:rPr/>
        <w:t>（</w:t>
      </w:r>
      <w:r>
        <w:rPr>
          <w:rFonts w:ascii="Times New Roman" w:hAnsi="Times New Roman" w:cs="Times New Roman" w:eastAsia="Times New Roman" w:hint="default"/>
        </w:rPr>
        <w:t>4</w:t>
      </w:r>
      <w:r>
        <w:rPr/>
        <w:t>）金融资产转移的确认依据和计量方法</w:t>
      </w:r>
    </w:p>
    <w:p>
      <w:pPr>
        <w:pStyle w:val="BodyText"/>
        <w:spacing w:line="319" w:lineRule="auto" w:before="63"/>
        <w:ind w:right="1085" w:firstLine="360"/>
        <w:jc w:val="both"/>
      </w:pPr>
      <w:r>
        <w:rPr/>
        <w:t>满足下列条件之一的金融资产，予以终止确认：① 收取该金融资产现金流量的合同权利终止；②</w:t>
      </w:r>
      <w:r>
        <w:rPr>
          <w:spacing w:val="-36"/>
        </w:rPr>
        <w:t> </w:t>
      </w:r>
      <w:r>
        <w:rPr/>
        <w:t>该金融资产已转移，</w:t>
      </w:r>
      <w:r>
        <w:rPr/>
        <w:t> </w:t>
      </w:r>
      <w:r>
        <w:rPr>
          <w:spacing w:val="-2"/>
        </w:rPr>
        <w:t>且将金融资产所有权上几乎所有的风险和报酬转移给转入方；③该金融资产已转移，虽然企业既没有转移也没有保留金融资</w:t>
      </w:r>
      <w:r>
        <w:rPr>
          <w:spacing w:val="-64"/>
        </w:rPr>
        <w:t> </w:t>
      </w:r>
      <w:r>
        <w:rPr>
          <w:spacing w:val="-64"/>
        </w:rPr>
      </w:r>
      <w:r>
        <w:rPr/>
        <w:t>产所有权上几乎所有的风险和报酬，但是放弃了对该金融资产的控制。</w:t>
      </w:r>
    </w:p>
    <w:p>
      <w:pPr>
        <w:pStyle w:val="BodyText"/>
        <w:spacing w:line="316" w:lineRule="auto" w:before="17"/>
        <w:ind w:right="1132" w:firstLine="360"/>
        <w:jc w:val="both"/>
      </w:pPr>
      <w:r>
        <w:rPr>
          <w:spacing w:val="-2"/>
        </w:rPr>
        <w:t>若企业既没有转移也没有保留金融资产所有权上几乎所有的风险和报酬，且未放弃对该金融资产的控制的，则按照继续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66"/>
        </w:rPr>
        <w:t> </w:t>
      </w:r>
      <w:r>
        <w:rPr>
          <w:spacing w:val="-66"/>
        </w:rPr>
      </w:r>
      <w:r>
        <w:rPr/>
        <w:t>值变动使企业面临的风险水平。</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360"/>
        <w:jc w:val="both"/>
      </w:pP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pStyle w:val="BodyText"/>
        <w:spacing w:line="319" w:lineRule="auto" w:before="19"/>
        <w:ind w:right="1131" w:firstLine="360"/>
        <w:jc w:val="both"/>
      </w:pPr>
      <w:r>
        <w:rPr>
          <w:spacing w:val="-2"/>
        </w:rPr>
        <w:t>金融资产部分转移满足终止确认条件的，将所转移金融资产的账面价值在终止确认及未终止确认部分之间按其相对的公</w:t>
      </w:r>
      <w:r>
        <w:rPr/>
        <w:t>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pStyle w:val="BodyText"/>
        <w:spacing w:line="316" w:lineRule="auto" w:before="17"/>
        <w:ind w:right="1131" w:firstLine="360"/>
        <w:jc w:val="both"/>
      </w:pPr>
      <w:r>
        <w:rPr>
          <w:spacing w:val="-2"/>
        </w:rPr>
        <w:t>本公司对采用附追索权方式出售的金融资产，或将持有的金融资产背书转让，需确定该金融资产所有权上几乎所有的风</w:t>
      </w:r>
      <w:r>
        <w:rPr/>
        <w:t> </w:t>
      </w:r>
      <w:r>
        <w:rPr>
          <w:spacing w:val="-2"/>
        </w:rPr>
        <w:t>险和报酬是否已经转移。已将该金融资产所有权上几乎所有的风险和报酬转移给转入方的，终止确认该金融资产；保留了金</w:t>
      </w:r>
      <w:r>
        <w:rPr>
          <w:spacing w:val="-66"/>
        </w:rPr>
        <w:t> </w:t>
      </w:r>
      <w:r>
        <w:rPr>
          <w:spacing w:val="-66"/>
        </w:rPr>
      </w:r>
      <w:r>
        <w:rPr>
          <w:spacing w:val="-2"/>
        </w:rPr>
        <w:t>融资产所有权上几乎所有的风险和报酬的，不终止确认该金融资产；既没有转移也没有保留金融资产所有权上几乎所有的风</w:t>
      </w:r>
      <w:r>
        <w:rPr>
          <w:spacing w:val="-64"/>
        </w:rPr>
        <w:t> </w:t>
      </w:r>
      <w:r>
        <w:rPr>
          <w:spacing w:val="-64"/>
        </w:rPr>
      </w:r>
      <w:r>
        <w:rPr/>
        <w:t>险和报酬的，则继续判断企业是否对该资产保留了控制，并根据前面各段所述的原则进行会计处理。</w:t>
      </w:r>
    </w:p>
    <w:p>
      <w:pPr>
        <w:pStyle w:val="BodyText"/>
        <w:spacing w:line="300" w:lineRule="auto" w:before="19"/>
        <w:ind w:left="514" w:right="1032"/>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金融负债在初始确认时划分为以公允价值计量且其变动计入当期损益的金融负债和其他金融负债。初始确认金融负债，</w:t>
      </w:r>
    </w:p>
    <w:p>
      <w:pPr>
        <w:pStyle w:val="BodyText"/>
        <w:spacing w:line="316" w:lineRule="auto" w:before="31"/>
        <w:ind w:right="1121"/>
        <w:jc w:val="left"/>
      </w:pPr>
      <w:r>
        <w:rPr>
          <w:spacing w:val="-2"/>
        </w:rPr>
        <w:t>以公允价值计量。对于以公允价值计量且其变动计入当期损益的金融负债，相关的交易费用直接计入当期损益；对于其他金</w:t>
      </w:r>
      <w:r>
        <w:rPr>
          <w:spacing w:val="-66"/>
        </w:rPr>
        <w:t> </w:t>
      </w:r>
      <w:r>
        <w:rPr>
          <w:spacing w:val="-66"/>
        </w:rPr>
      </w:r>
      <w:r>
        <w:rPr/>
        <w:t>融负债，相关交易费用计入初始确认金额。</w:t>
      </w:r>
    </w:p>
    <w:p>
      <w:pPr>
        <w:pStyle w:val="BodyText"/>
        <w:spacing w:line="316" w:lineRule="auto" w:before="19"/>
        <w:ind w:left="514" w:right="1212"/>
        <w:jc w:val="left"/>
      </w:pPr>
      <w:r>
        <w:rPr/>
        <w:t>①</w:t>
      </w:r>
      <w:r>
        <w:rPr>
          <w:spacing w:val="-18"/>
        </w:rPr>
        <w:t> </w:t>
      </w:r>
      <w:r>
        <w:rPr/>
        <w:t>以公允价值计量且其变动计入当期损益的金融负债</w:t>
      </w:r>
      <w:r>
        <w:rPr/>
        <w:t> 分类为交易性金融负债和在初始确认时指定为以公允价值计量且其变动计入当期损益的金融负债的条件与分类为交易</w:t>
      </w:r>
    </w:p>
    <w:p>
      <w:pPr>
        <w:pStyle w:val="BodyText"/>
        <w:spacing w:line="316" w:lineRule="auto" w:before="19"/>
        <w:ind w:left="514" w:right="1121" w:hanging="360"/>
        <w:jc w:val="left"/>
      </w:pPr>
      <w:r>
        <w:rPr/>
        <w:t>性金融资产和在初始确认时指定为以公允价值计量且其变动计入当期损益的金融资产的条件一致。 </w:t>
      </w:r>
      <w:r>
        <w:rPr>
          <w:spacing w:val="-2"/>
        </w:rPr>
        <w:t>以公允价值计量且其变动计入当期损益的金融负债采用公允价值进行后续计量，公允价值的变动形成的利得或损失以及</w:t>
      </w:r>
    </w:p>
    <w:p>
      <w:pPr>
        <w:pStyle w:val="BodyText"/>
        <w:spacing w:line="240" w:lineRule="auto" w:before="19"/>
        <w:ind w:right="1121"/>
        <w:jc w:val="left"/>
      </w:pPr>
      <w:r>
        <w:rPr/>
        <w:t>与该等金融负债相关的股利和利息支出计入当期损益。</w:t>
      </w:r>
    </w:p>
    <w:p>
      <w:pPr>
        <w:pStyle w:val="BodyText"/>
        <w:spacing w:line="316" w:lineRule="auto" w:before="76"/>
        <w:ind w:left="514" w:right="1121"/>
        <w:jc w:val="left"/>
      </w:pPr>
      <w:r>
        <w:rPr/>
        <w:t>②</w:t>
      </w:r>
      <w:r>
        <w:rPr>
          <w:spacing w:val="-17"/>
        </w:rPr>
        <w:t> </w:t>
      </w:r>
      <w:r>
        <w:rPr/>
        <w:t>其他金融负债</w:t>
      </w:r>
      <w:r>
        <w:rPr/>
        <w:t> </w:t>
      </w:r>
      <w:r>
        <w:rPr>
          <w:spacing w:val="-2"/>
        </w:rPr>
        <w:t>与在活跃市场中没有报价、公允价值不能可靠计量的权益工具挂钩并须通过交付该权益工具结算的衍生金融负债，按照</w:t>
      </w:r>
    </w:p>
    <w:p>
      <w:pPr>
        <w:pStyle w:val="BodyText"/>
        <w:spacing w:line="316" w:lineRule="auto" w:before="19"/>
        <w:ind w:right="1121"/>
        <w:jc w:val="left"/>
      </w:pPr>
      <w:r>
        <w:rPr>
          <w:spacing w:val="-2"/>
        </w:rPr>
        <w:t>成本进行后续计量。其他金融负债采用实际利率法，按摊余成本进行后续计量，终止确认或摊销产生的利得或损失计入当期</w:t>
      </w:r>
      <w:r>
        <w:rPr>
          <w:spacing w:val="-66"/>
        </w:rPr>
        <w:t> </w:t>
      </w:r>
      <w:r>
        <w:rPr>
          <w:spacing w:val="-66"/>
        </w:rPr>
      </w:r>
      <w:r>
        <w:rPr/>
        <w:t>损益。</w:t>
      </w:r>
    </w:p>
    <w:p>
      <w:pPr>
        <w:pStyle w:val="BodyText"/>
        <w:spacing w:line="316" w:lineRule="auto" w:before="19"/>
        <w:ind w:left="514" w:right="1121"/>
        <w:jc w:val="left"/>
      </w:pPr>
      <w:r>
        <w:rPr/>
        <w:t>③</w:t>
      </w:r>
      <w:r>
        <w:rPr>
          <w:spacing w:val="-17"/>
        </w:rPr>
        <w:t> </w:t>
      </w:r>
      <w:r>
        <w:rPr/>
        <w:t>财务担保合同</w:t>
      </w:r>
      <w:r>
        <w:rPr/>
        <w:t> </w:t>
      </w:r>
      <w:r>
        <w:rPr>
          <w:spacing w:val="-2"/>
        </w:rPr>
        <w:t>不属于指定为以公允价值计量且其变动计入当期损益的金融负债的财务担保合同，以公允价值进行初始确认，在初始确</w:t>
      </w:r>
    </w:p>
    <w:p>
      <w:pPr>
        <w:pStyle w:val="BodyText"/>
        <w:spacing w:line="300" w:lineRule="auto" w:before="19"/>
        <w:ind w:right="1121"/>
        <w:jc w:val="left"/>
      </w:pPr>
      <w:r>
        <w:rPr>
          <w:spacing w:val="-2"/>
        </w:rPr>
        <w:t>认后按照《企业会计准则第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或有事项》确定的金额和初始确认金额扣除按照《企业会计准则第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收入》的原则确</w:t>
      </w:r>
      <w:r>
        <w:rPr>
          <w:spacing w:val="-62"/>
        </w:rPr>
        <w:t> </w:t>
      </w:r>
      <w:r>
        <w:rPr>
          <w:spacing w:val="-62"/>
        </w:rPr>
      </w:r>
      <w:r>
        <w:rPr/>
        <w:t>定的累计摊销额后的余额之中的较高者进行后续计量。</w:t>
      </w:r>
    </w:p>
    <w:p>
      <w:pPr>
        <w:pStyle w:val="BodyText"/>
        <w:spacing w:line="300" w:lineRule="auto" w:before="31"/>
        <w:ind w:left="514" w:right="1121"/>
        <w:jc w:val="left"/>
      </w:pPr>
      <w:r>
        <w:rPr/>
        <w:t>（</w:t>
      </w:r>
      <w:r>
        <w:rPr>
          <w:rFonts w:ascii="Times New Roman" w:hAnsi="Times New Roman" w:cs="Times New Roman" w:eastAsia="Times New Roman" w:hint="default"/>
        </w:rPr>
        <w:t>6</w:t>
      </w:r>
      <w:r>
        <w:rPr/>
        <w:t>）金融负债的终止确认 </w:t>
      </w:r>
      <w:r>
        <w:rPr>
          <w:spacing w:val="-2"/>
        </w:rPr>
        <w:t>金融负债的现时义务全部或部分已经解除的，才能终止确认该金融负债或其一部分。本公司（债务人）与债权人之间签</w:t>
      </w:r>
    </w:p>
    <w:p>
      <w:pPr>
        <w:pStyle w:val="BodyText"/>
        <w:spacing w:line="316" w:lineRule="auto" w:before="31"/>
        <w:ind w:right="1121"/>
        <w:jc w:val="left"/>
      </w:pPr>
      <w:r>
        <w:rPr>
          <w:spacing w:val="-2"/>
        </w:rPr>
        <w:t>订协议，以承担新金融负债方式替换现存金融负债，且新金融负债与现存金融负债的合同条款实质上不同的，终止确认现存</w:t>
      </w:r>
      <w:r>
        <w:rPr>
          <w:spacing w:val="-66"/>
        </w:rPr>
        <w:t> </w:t>
      </w:r>
      <w:r>
        <w:rPr>
          <w:spacing w:val="-66"/>
        </w:rPr>
      </w:r>
      <w:r>
        <w:rPr/>
        <w:t>金融负债，并同时确认新金融负债。</w:t>
      </w:r>
    </w:p>
    <w:p>
      <w:pPr>
        <w:pStyle w:val="BodyText"/>
        <w:spacing w:line="316" w:lineRule="auto" w:before="19"/>
        <w:ind w:right="1132" w:firstLine="360"/>
        <w:jc w:val="both"/>
      </w:pPr>
      <w:r>
        <w:rPr>
          <w:spacing w:val="-2"/>
        </w:rPr>
        <w:t>金融负债全部或部分终止确认的，将终止确认部分的账面价值与支付的对价（包括转出的非现金资产或承担的新金融负</w:t>
      </w:r>
      <w:r>
        <w:rPr/>
        <w:t> 债）之间的差额，计入当期损益。</w:t>
      </w:r>
    </w:p>
    <w:p>
      <w:pPr>
        <w:pStyle w:val="BodyText"/>
        <w:spacing w:line="300" w:lineRule="auto" w:before="19"/>
        <w:ind w:left="514" w:right="1121"/>
        <w:jc w:val="left"/>
      </w:pPr>
      <w:r>
        <w:rPr/>
        <w:t>（</w:t>
      </w:r>
      <w:r>
        <w:rPr>
          <w:rFonts w:ascii="Times New Roman" w:hAnsi="Times New Roman" w:cs="Times New Roman" w:eastAsia="Times New Roman" w:hint="default"/>
        </w:rPr>
        <w:t>7</w:t>
      </w:r>
      <w:r>
        <w:rPr/>
        <w:t>）衍生工具及嵌入衍生工具 </w:t>
      </w:r>
      <w:r>
        <w:rPr>
          <w:spacing w:val="-2"/>
        </w:rPr>
        <w:t>衍生工具于相关合同签署日以公允价值进行初始计量，并以公允价值进行后续计量。除指定为套期工具且套期高度有效</w:t>
      </w:r>
    </w:p>
    <w:p>
      <w:pPr>
        <w:pStyle w:val="BodyText"/>
        <w:spacing w:line="316" w:lineRule="auto" w:before="31"/>
        <w:ind w:right="1121"/>
        <w:jc w:val="left"/>
      </w:pPr>
      <w:r>
        <w:rPr>
          <w:spacing w:val="-2"/>
        </w:rPr>
        <w:t>的衍生工具，其公允价值变动形成的利得或损失将根据套期关系的性质按照套期会计的要求确定计入损益的期间外，其余衍</w:t>
      </w:r>
      <w:r>
        <w:rPr>
          <w:spacing w:val="-64"/>
        </w:rPr>
        <w:t> </w:t>
      </w:r>
      <w:r>
        <w:rPr>
          <w:spacing w:val="-64"/>
        </w:rPr>
      </w:r>
      <w:r>
        <w:rPr/>
        <w:t>生工具的公允价值变动计入当期损益。</w:t>
      </w:r>
    </w:p>
    <w:p>
      <w:pPr>
        <w:pStyle w:val="BodyText"/>
        <w:spacing w:line="316" w:lineRule="auto" w:before="19"/>
        <w:ind w:right="0" w:firstLine="360"/>
        <w:jc w:val="left"/>
      </w:pPr>
      <w:r>
        <w:rPr>
          <w:spacing w:val="-2"/>
        </w:rPr>
        <w:t>对包含嵌入衍生工具的混合工具，如未指定为以公允价值计量且其变动计入当期损益的金融资产或金融负债，嵌入衍生</w:t>
      </w:r>
      <w:r>
        <w:rPr/>
        <w:t> </w:t>
      </w:r>
      <w:r>
        <w:rPr>
          <w:spacing w:val="-4"/>
        </w:rPr>
        <w:t>工具与该主合同在经济特征及风险方面不存在紧密关系，且与嵌入衍生工具条件相同，单独存在的工具符合衍生工具定义的，</w:t>
      </w:r>
      <w:r>
        <w:rPr>
          <w:spacing w:val="-44"/>
        </w:rPr>
        <w:t> </w:t>
      </w:r>
      <w:r>
        <w:rPr>
          <w:spacing w:val="-44"/>
        </w:rPr>
      </w:r>
      <w:r>
        <w:rPr>
          <w:spacing w:val="-2"/>
        </w:rPr>
        <w:t>嵌入衍生工具从混合工具中分拆，作为单独的衍生金融工具处理。如果无法在取得时或后续的资产负债表日对嵌入衍生工具</w:t>
      </w:r>
      <w:r>
        <w:rPr>
          <w:spacing w:val="-64"/>
        </w:rPr>
        <w:t> </w:t>
      </w:r>
      <w:r>
        <w:rPr>
          <w:spacing w:val="-64"/>
        </w:rPr>
      </w:r>
      <w:r>
        <w:rPr/>
        <w:t>进行单独计量，则将混合工具整体指定为以公允价值计量且其变动计入当期损益的金融资产或金融负债。</w:t>
      </w:r>
    </w:p>
    <w:p>
      <w:pPr>
        <w:pStyle w:val="BodyText"/>
        <w:spacing w:line="300" w:lineRule="auto" w:before="19"/>
        <w:ind w:left="514" w:right="1121"/>
        <w:jc w:val="left"/>
      </w:pPr>
      <w:r>
        <w:rPr/>
        <w:t>（</w:t>
      </w:r>
      <w:r>
        <w:rPr>
          <w:rFonts w:ascii="Times New Roman" w:hAnsi="Times New Roman" w:cs="Times New Roman" w:eastAsia="Times New Roman" w:hint="default"/>
        </w:rPr>
        <w:t>8</w:t>
      </w:r>
      <w:r>
        <w:rPr/>
        <w:t>）金融资产和金融负债的抵销 </w:t>
      </w:r>
      <w:r>
        <w:rPr>
          <w:spacing w:val="-2"/>
        </w:rPr>
        <w:t>当本公司具有抵销已确认金融资产和金融负债的法定权利，且目前可执行该种法定权利，同时本公司计划以净额结算或</w:t>
      </w:r>
    </w:p>
    <w:p>
      <w:pPr>
        <w:pStyle w:val="BodyText"/>
        <w:spacing w:line="316" w:lineRule="auto" w:before="31"/>
        <w:ind w:right="1121"/>
        <w:jc w:val="left"/>
      </w:pPr>
      <w:r>
        <w:rPr>
          <w:spacing w:val="-2"/>
        </w:rPr>
        <w:t>同时变现该金融资产和清偿该金融负债时，金融资产和金融负债以相互抵销后的金额在资产负债表内列示。除此以外，金融</w:t>
      </w:r>
      <w:r>
        <w:rPr>
          <w:spacing w:val="-66"/>
        </w:rPr>
        <w:t> </w:t>
      </w:r>
      <w:r>
        <w:rPr>
          <w:spacing w:val="-66"/>
        </w:rPr>
      </w:r>
      <w:r>
        <w:rPr/>
        <w:t>资产和金融负债在资产负债表内分别列示，不予相互抵销。</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14" w:right="1121"/>
        <w:jc w:val="left"/>
      </w:pPr>
      <w:r>
        <w:rPr/>
        <w:t>（</w:t>
      </w:r>
      <w:r>
        <w:rPr>
          <w:rFonts w:ascii="Times New Roman" w:hAnsi="Times New Roman" w:cs="Times New Roman" w:eastAsia="Times New Roman" w:hint="default"/>
        </w:rPr>
        <w:t>9</w:t>
      </w:r>
      <w:r>
        <w:rPr/>
        <w:t>）权益工具 </w:t>
      </w:r>
      <w:r>
        <w:rPr>
          <w:spacing w:val="-2"/>
        </w:rPr>
        <w:t>权益工具是指能证明拥有本公司在扣除所有负债后的资产中的剩余权益的合同。本公司发行（含再融资）、回购、出售</w:t>
      </w:r>
    </w:p>
    <w:p>
      <w:pPr>
        <w:pStyle w:val="BodyText"/>
        <w:spacing w:line="316" w:lineRule="auto" w:before="31"/>
        <w:ind w:left="444" w:right="0" w:hanging="291"/>
        <w:jc w:val="left"/>
      </w:pPr>
      <w:r>
        <w:rPr>
          <w:spacing w:val="-4"/>
        </w:rPr>
        <w:t>或注销权益工具作为权益的变动处理。本公司不确认权益工具的公允价值变动。与权益性交易相关的交易费用从权益中扣减。</w:t>
      </w:r>
      <w:r>
        <w:rPr>
          <w:spacing w:val="-44"/>
        </w:rPr>
        <w:t> </w:t>
      </w:r>
      <w:r>
        <w:rPr>
          <w:spacing w:val="-44"/>
        </w:rPr>
      </w:r>
      <w:r>
        <w:rPr/>
        <w:t>本公司对权益工具持有方的各种分配（不包括股票股利），减少股东权益。本公司不确认权益工具的公允价值变动额。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1121"/>
        <w:jc w:val="left"/>
        <w:rPr>
          <w:b w:val="0"/>
          <w:bCs w:val="0"/>
        </w:rPr>
      </w:pPr>
      <w:bookmarkStart w:name="11、应收票据及应收账款" w:id="186"/>
      <w:bookmarkEnd w:id="186"/>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1"/>
        <w:jc w:val="left"/>
        <w:rPr>
          <w:b w:val="0"/>
          <w:bCs w:val="0"/>
        </w:rPr>
      </w:pPr>
      <w:bookmarkStart w:name="（1）单项金额重大并单独计提坏账准备的应收款项" w:id="187"/>
      <w:bookmarkEnd w:id="187"/>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万元以上的应收款项确认为单项金 额重大的应收款项</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spacing w:line="240" w:lineRule="auto" w:before="2"/>
        <w:rPr>
          <w:rFonts w:ascii="宋体" w:hAnsi="宋体" w:cs="宋体" w:eastAsia="宋体" w:hint="default"/>
          <w:b/>
          <w:bCs/>
          <w:sz w:val="19"/>
          <w:szCs w:val="19"/>
        </w:rPr>
      </w:pPr>
    </w:p>
    <w:p>
      <w:pPr>
        <w:pStyle w:val="Heading3"/>
        <w:spacing w:line="240" w:lineRule="auto" w:before="35"/>
        <w:ind w:right="1121"/>
        <w:jc w:val="left"/>
        <w:rPr>
          <w:b w:val="0"/>
          <w:bCs w:val="0"/>
        </w:rPr>
      </w:pPr>
      <w:bookmarkStart w:name="（2）按信用风险特征组合计提坏账准备的应收款项" w:id="188"/>
      <w:bookmarkEnd w:id="188"/>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信用风险组合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1121"/>
        <w:jc w:val="left"/>
      </w:pPr>
      <w:r>
        <w:rPr/>
        <w:t>组合中，采用账龄分析法计提坏账准备的：</w:t>
      </w:r>
    </w:p>
    <w:p>
      <w:pPr>
        <w:pStyle w:val="BodyText"/>
        <w:spacing w:line="240" w:lineRule="auto" w:before="117"/>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bl>
    <w:p>
      <w:pPr>
        <w:pStyle w:val="BodyText"/>
        <w:spacing w:line="240" w:lineRule="auto" w:before="51"/>
        <w:ind w:right="1121"/>
        <w:jc w:val="left"/>
      </w:pPr>
      <w:r>
        <w:rPr/>
        <w:t>组合中，采用余额百分比法计提坏账准备的：</w:t>
      </w:r>
    </w:p>
    <w:p>
      <w:pPr>
        <w:pStyle w:val="BodyText"/>
        <w:spacing w:line="338" w:lineRule="auto" w:before="117"/>
        <w:ind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21"/>
        <w:jc w:val="left"/>
        <w:rPr>
          <w:b w:val="0"/>
          <w:bCs w:val="0"/>
        </w:rPr>
      </w:pPr>
      <w:bookmarkStart w:name="（3）单项金额不重大但单独计提坏账准备的应收款项" w:id="189"/>
      <w:bookmarkEnd w:id="189"/>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78"/>
        <w:gridCol w:w="6591"/>
      </w:tblGrid>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本集团对于单项金额虽不重大但具备以下特征的应收款项，单独进行减值测试，有</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978"/>
        <w:gridCol w:w="6591"/>
      </w:tblGrid>
      <w:tr>
        <w:trPr>
          <w:trHeight w:val="986"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6"/>
              <w:jc w:val="both"/>
              <w:rPr>
                <w:rFonts w:ascii="宋体" w:hAnsi="宋体" w:cs="宋体" w:eastAsia="宋体" w:hint="default"/>
                <w:sz w:val="18"/>
                <w:szCs w:val="18"/>
              </w:rPr>
            </w:pPr>
            <w:r>
              <w:rPr>
                <w:rFonts w:ascii="宋体" w:hAnsi="宋体" w:cs="宋体" w:eastAsia="宋体" w:hint="default"/>
                <w:sz w:val="18"/>
                <w:szCs w:val="18"/>
              </w:rPr>
              <w:t>客观证据表明其发生了减值的，根据其未来现金流量现值低于其账面价值的差额， 确认减值损失，计提坏账准备；与对方存在争议或涉及诉讼、仲裁的应收款项；已 有明显迹象表明债务人很可能无法履行还款义务的应收款项等。</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根据其未来现金流量现值低于其账面价值的差额，确认减值损失，计提坏账准备。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1121"/>
        <w:jc w:val="left"/>
        <w:rPr>
          <w:b w:val="0"/>
          <w:bCs w:val="0"/>
        </w:rPr>
      </w:pPr>
      <w:bookmarkStart w:name="12、存货" w:id="190"/>
      <w:bookmarkEnd w:id="190"/>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00" w:lineRule="auto" w:before="28"/>
        <w:ind w:left="514" w:right="4632"/>
        <w:jc w:val="left"/>
      </w:pPr>
      <w:r>
        <w:rPr/>
        <w:t>（</w:t>
      </w:r>
      <w:r>
        <w:rPr>
          <w:rFonts w:ascii="Times New Roman" w:hAnsi="Times New Roman" w:cs="Times New Roman" w:eastAsia="Times New Roman" w:hint="default"/>
        </w:rPr>
        <w:t>1</w:t>
      </w:r>
      <w:r>
        <w:rPr/>
        <w:t>）存货的分类 存货主要包括原材料、辅助材料、在产品、库存商品、委托加工物资等。</w:t>
      </w:r>
    </w:p>
    <w:p>
      <w:pPr>
        <w:pStyle w:val="BodyText"/>
        <w:spacing w:line="300" w:lineRule="auto" w:before="31"/>
        <w:ind w:left="514" w:right="1121"/>
        <w:jc w:val="left"/>
      </w:pPr>
      <w:r>
        <w:rPr/>
        <w:t>（</w:t>
      </w:r>
      <w:r>
        <w:rPr>
          <w:rFonts w:ascii="Times New Roman" w:hAnsi="Times New Roman" w:cs="Times New Roman" w:eastAsia="Times New Roman" w:hint="default"/>
        </w:rPr>
        <w:t>2</w:t>
      </w:r>
      <w:r>
        <w:rPr/>
        <w:t>）存货取得和发出的计价方法 </w:t>
      </w:r>
      <w:r>
        <w:rPr>
          <w:spacing w:val="-2"/>
        </w:rPr>
        <w:t>存货在取得时按实际成本计价，原材料成本包括采购成本、加工成本和其他成本。原材料以计划成本核算，对原材料的</w:t>
      </w:r>
    </w:p>
    <w:p>
      <w:pPr>
        <w:pStyle w:val="BodyText"/>
        <w:spacing w:line="316" w:lineRule="auto" w:before="31"/>
        <w:ind w:right="1121"/>
        <w:jc w:val="left"/>
      </w:pPr>
      <w:r>
        <w:rPr>
          <w:spacing w:val="-2"/>
        </w:rPr>
        <w:t>计划成本和实际成本之间的差异，通过材料成本差异科目核算，并按期结转发出存货应负担的成本差异，将计划成本调整为</w:t>
      </w:r>
      <w:r>
        <w:rPr>
          <w:spacing w:val="-66"/>
        </w:rPr>
        <w:t> </w:t>
      </w:r>
      <w:r>
        <w:rPr>
          <w:spacing w:val="-66"/>
        </w:rPr>
      </w:r>
      <w:r>
        <w:rPr/>
        <w:t>实际成本。</w:t>
      </w:r>
    </w:p>
    <w:p>
      <w:pPr>
        <w:pStyle w:val="BodyText"/>
        <w:spacing w:line="300" w:lineRule="auto" w:before="19"/>
        <w:ind w:left="514" w:right="1121"/>
        <w:jc w:val="left"/>
      </w:pPr>
      <w:r>
        <w:rPr/>
        <w:t>（</w:t>
      </w:r>
      <w:r>
        <w:rPr>
          <w:rFonts w:ascii="Times New Roman" w:hAnsi="Times New Roman" w:cs="Times New Roman" w:eastAsia="Times New Roman" w:hint="default"/>
        </w:rPr>
        <w:t>3</w:t>
      </w:r>
      <w:r>
        <w:rPr/>
        <w:t>）存货可变现净值的确认和跌价准备的计提方法 </w:t>
      </w:r>
      <w:r>
        <w:rPr>
          <w:spacing w:val="-2"/>
        </w:rPr>
        <w:t>可变现净值是指在日常活动中，存货的估计售价减去至完工时估计将要发生的成本、估计的销售费用以及相关税费后的</w:t>
      </w:r>
    </w:p>
    <w:p>
      <w:pPr>
        <w:pStyle w:val="BodyText"/>
        <w:spacing w:line="316" w:lineRule="auto" w:before="31"/>
        <w:ind w:left="514" w:right="1032" w:hanging="360"/>
        <w:jc w:val="left"/>
      </w:pPr>
      <w:r>
        <w:rPr/>
        <w:t>金额。在确定存货的可变现净值时，以取得的确凿证据为基础，同时考虑持有存货的目的以及资产负债表日后事项的影响。 </w:t>
      </w:r>
      <w:r>
        <w:rPr>
          <w:spacing w:val="-2"/>
        </w:rPr>
        <w:t>在资产负债表日，存货按照成本与可变现净值孰低计量。当其可变现净值低于成本时，提取存货跌价准备。存货跌价准</w:t>
      </w:r>
    </w:p>
    <w:p>
      <w:pPr>
        <w:pStyle w:val="BodyText"/>
        <w:spacing w:line="316" w:lineRule="auto" w:before="19"/>
        <w:ind w:left="514" w:right="1121" w:hanging="360"/>
        <w:jc w:val="left"/>
      </w:pPr>
      <w:r>
        <w:rPr/>
        <w:t>备按单个存货项目的成本高于其可变现净值的差额提取。 </w:t>
      </w:r>
      <w:r>
        <w:rPr>
          <w:spacing w:val="-2"/>
        </w:rPr>
        <w:t>计提存货跌价准备后，如果以前减记存货价值的影响因素已经消失，导致存货的可变现净值高于其账面价值的，在原已</w:t>
      </w:r>
    </w:p>
    <w:p>
      <w:pPr>
        <w:pStyle w:val="BodyText"/>
        <w:spacing w:line="240" w:lineRule="auto" w:before="19"/>
        <w:ind w:right="1121"/>
        <w:jc w:val="left"/>
      </w:pPr>
      <w:r>
        <w:rPr/>
        <w:t>计提的存货跌价准备金额内予以转回，转回的金额计入当期损益。</w:t>
      </w:r>
    </w:p>
    <w:p>
      <w:pPr>
        <w:pStyle w:val="BodyText"/>
        <w:spacing w:line="240" w:lineRule="auto" w:before="76"/>
        <w:ind w:left="514" w:right="1121"/>
        <w:jc w:val="left"/>
      </w:pPr>
      <w:r>
        <w:rPr/>
        <w:t>（</w:t>
      </w:r>
      <w:r>
        <w:rPr>
          <w:rFonts w:ascii="Times New Roman" w:hAnsi="Times New Roman" w:cs="Times New Roman" w:eastAsia="Times New Roman" w:hint="default"/>
        </w:rPr>
        <w:t>4</w:t>
      </w:r>
      <w:r>
        <w:rPr/>
        <w:t>）存货的盘存制度为永续盘存制。</w:t>
      </w:r>
    </w:p>
    <w:p>
      <w:pPr>
        <w:pStyle w:val="BodyText"/>
        <w:spacing w:line="340" w:lineRule="auto" w:before="63"/>
        <w:ind w:left="732" w:right="4054" w:hanging="219"/>
        <w:jc w:val="left"/>
      </w:pPr>
      <w:r>
        <w:rPr/>
        <w:t>（</w:t>
      </w:r>
      <w:r>
        <w:rPr>
          <w:rFonts w:ascii="Times New Roman" w:hAnsi="Times New Roman" w:cs="Times New Roman" w:eastAsia="Times New Roman" w:hint="default"/>
        </w:rPr>
        <w:t>5</w:t>
      </w:r>
      <w:r>
        <w:rPr/>
        <w:t>）低值易耗品和包装物的摊销方法 低值易耗品于领用时按一次摊销法摊销；包装物于领用时按一次摊销法摊销。</w:t>
      </w:r>
    </w:p>
    <w:p>
      <w:pPr>
        <w:spacing w:line="240" w:lineRule="auto" w:before="12"/>
        <w:rPr>
          <w:rFonts w:ascii="宋体" w:hAnsi="宋体" w:cs="宋体" w:eastAsia="宋体" w:hint="default"/>
          <w:sz w:val="20"/>
          <w:szCs w:val="20"/>
        </w:rPr>
      </w:pPr>
    </w:p>
    <w:p>
      <w:pPr>
        <w:pStyle w:val="Heading3"/>
        <w:spacing w:line="240" w:lineRule="auto"/>
        <w:ind w:right="1121"/>
        <w:jc w:val="left"/>
        <w:rPr>
          <w:b w:val="0"/>
          <w:bCs w:val="0"/>
        </w:rPr>
      </w:pPr>
      <w:bookmarkStart w:name="13、持有待售资产" w:id="191"/>
      <w:bookmarkEnd w:id="191"/>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8"/>
        <w:rPr>
          <w:rFonts w:ascii="宋体" w:hAnsi="宋体" w:cs="宋体" w:eastAsia="宋体" w:hint="default"/>
          <w:b/>
          <w:bCs/>
          <w:sz w:val="26"/>
          <w:szCs w:val="26"/>
        </w:rPr>
      </w:pPr>
    </w:p>
    <w:p>
      <w:pPr>
        <w:pStyle w:val="BodyText"/>
        <w:spacing w:line="314" w:lineRule="auto"/>
        <w:ind w:right="1132" w:firstLine="360"/>
        <w:jc w:val="both"/>
      </w:pPr>
      <w:r>
        <w:rPr>
          <w:spacing w:val="-2"/>
        </w:rPr>
        <w:t>本公司若主要通过出售（包括具有商业实质的非货币性资产交换，下同）而非持续使用一项非流动资产或处置组收回其</w:t>
      </w:r>
      <w:r>
        <w:rPr/>
        <w:t> </w:t>
      </w:r>
      <w:r>
        <w:rPr>
          <w:spacing w:val="-2"/>
        </w:rPr>
        <w:t>账面价值的，则将其划分为持有待售类别。具体标准为同时满足以下条件：某项非流动资产或处置组根据类似交易中出售此</w:t>
      </w:r>
      <w:r>
        <w:rPr>
          <w:spacing w:val="-66"/>
        </w:rPr>
        <w:t> </w:t>
      </w:r>
      <w:r>
        <w:rPr>
          <w:spacing w:val="-66"/>
        </w:rPr>
      </w:r>
      <w:r>
        <w:rPr>
          <w:spacing w:val="-2"/>
        </w:rPr>
        <w:t>类资产或处置组的惯例，在当前状况下即可立即出售；本公司已经就出售计划作出决议且获得确定的购买承诺；预计出售将</w:t>
      </w:r>
      <w:r>
        <w:rPr>
          <w:spacing w:val="-66"/>
        </w:rPr>
        <w:t> </w:t>
      </w:r>
      <w:r>
        <w:rPr>
          <w:spacing w:val="-66"/>
        </w:rPr>
      </w:r>
      <w:r>
        <w:rPr>
          <w:spacing w:val="-2"/>
        </w:rPr>
        <w:t>在一年内完成。其中，处置组是指在一项交易中作为整体通过出售或其他方式一并处置的一组资产，以及在该交易中转让的</w:t>
      </w:r>
      <w:r>
        <w:rPr>
          <w:spacing w:val="-66"/>
        </w:rPr>
        <w:t> </w:t>
      </w:r>
      <w:r>
        <w:rPr>
          <w:spacing w:val="-66"/>
        </w:rPr>
      </w:r>
      <w:r>
        <w:rPr/>
        <w:t>与这些资产直接相关的负债。处置组所属的资产组或资产组组合按照《企业会计准则第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号</w:t>
      </w:r>
      <w:r>
        <w:rPr>
          <w:rFonts w:ascii="Times New Roman" w:hAnsi="Times New Roman" w:cs="Times New Roman" w:eastAsia="Times New Roman" w:hint="default"/>
        </w:rPr>
        <w:t>——</w:t>
      </w:r>
      <w:r>
        <w:rPr/>
        <w:t>资产减值》分摊了企业合 并中取得的商誉的，该处置组应当包含分摊至处置组的商誉。</w:t>
      </w:r>
    </w:p>
    <w:p>
      <w:pPr>
        <w:pStyle w:val="BodyText"/>
        <w:spacing w:line="316" w:lineRule="auto" w:before="20"/>
        <w:ind w:right="1032" w:firstLine="360"/>
        <w:jc w:val="left"/>
      </w:pPr>
      <w:r>
        <w:rPr>
          <w:spacing w:val="-2"/>
        </w:rPr>
        <w:t>本公司初始计量或在资产负债表日重新计量划分为持有待售的非流动资产和处置组时，其账面价值高于公允价值减去出</w:t>
      </w:r>
      <w:r>
        <w:rPr/>
        <w:t> 售费用后的净额的，将账面价值减记至公允价值减去出售费用后的净额，减记的金额确认为资产减值损失，计入当期损益， </w:t>
      </w:r>
      <w:r>
        <w:rPr>
          <w:spacing w:val="-2"/>
        </w:rPr>
        <w:t>同时计提持有待售资产减值准备。对于处置组，所确认的资产减值损失先抵减处置组中商誉的账面价值，再按比例抵减该处</w:t>
      </w:r>
      <w:r>
        <w:rPr>
          <w:spacing w:val="-66"/>
        </w:rPr>
        <w:t> </w:t>
      </w:r>
      <w:r>
        <w:rPr>
          <w:spacing w:val="-66"/>
        </w:rPr>
      </w:r>
      <w:r>
        <w:rPr>
          <w:spacing w:val="-2"/>
        </w:rPr>
        <w:t>置组内适用《企业会计准则第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持有待售的非流动资产、处置组和终止经营》（以下简称</w:t>
      </w:r>
      <w:r>
        <w:rPr>
          <w:rFonts w:ascii="Times New Roman" w:hAnsi="Times New Roman" w:cs="Times New Roman" w:eastAsia="Times New Roman" w:hint="default"/>
          <w:spacing w:val="-2"/>
        </w:rPr>
        <w:t>“</w:t>
      </w:r>
      <w:r>
        <w:rPr>
          <w:spacing w:val="-2"/>
        </w:rPr>
        <w:t>持有待售准则</w:t>
      </w:r>
      <w:r>
        <w:rPr>
          <w:rFonts w:ascii="Times New Roman" w:hAnsi="Times New Roman" w:cs="Times New Roman" w:eastAsia="Times New Roman" w:hint="default"/>
          <w:spacing w:val="-2"/>
        </w:rPr>
        <w:t>”</w:t>
      </w:r>
      <w:r>
        <w:rPr>
          <w:spacing w:val="-2"/>
        </w:rPr>
        <w:t>）的计量规</w:t>
      </w:r>
      <w:r>
        <w:rPr>
          <w:spacing w:val="-42"/>
        </w:rPr>
        <w:t> </w:t>
      </w:r>
      <w:r>
        <w:rPr>
          <w:spacing w:val="-42"/>
        </w:rPr>
      </w:r>
      <w:r>
        <w:rPr>
          <w:spacing w:val="-2"/>
        </w:rPr>
        <w:t>定的各项非流动资产的账面价值。后续资产负债表日持有待售的处置组公允价值减去出售费用后的净额增加的，以前减记的</w:t>
      </w:r>
      <w:r>
        <w:rPr>
          <w:spacing w:val="-64"/>
        </w:rPr>
        <w:t> </w:t>
      </w:r>
      <w:r>
        <w:rPr>
          <w:spacing w:val="-64"/>
        </w:rPr>
      </w:r>
      <w:r>
        <w:rPr/>
        <w:t>金额应当予以恢复，并在划分为持有待售类别后适用持有待售准则计量规定的非流动资产确认的资产减值损失金额内转回， </w:t>
      </w:r>
      <w:r>
        <w:rPr>
          <w:spacing w:val="-2"/>
        </w:rPr>
        <w:t>转回金额计入当期损益，并根据处置组中除商誉外适用持有待售准则计量规定的各项非流动资产账面价值所占比重按比例增</w:t>
      </w:r>
      <w:r>
        <w:rPr>
          <w:spacing w:val="-64"/>
        </w:rPr>
        <w:t> </w:t>
      </w:r>
      <w:r>
        <w:rPr>
          <w:spacing w:val="-64"/>
        </w:rPr>
      </w:r>
      <w:r>
        <w:rPr>
          <w:spacing w:val="-2"/>
        </w:rPr>
        <w:t>加其账面价值；已抵减的商誉账面价值，以及适用持有待售准则计量规定的非流动资产在划分为持有待售类别前确认的资产</w:t>
      </w:r>
      <w:r>
        <w:rPr>
          <w:spacing w:val="-64"/>
        </w:rPr>
        <w:t> </w:t>
      </w:r>
      <w:r>
        <w:rPr>
          <w:spacing w:val="-64"/>
        </w:rPr>
      </w:r>
      <w:r>
        <w:rPr/>
        <w:t>减值损失不得转回。</w:t>
      </w:r>
    </w:p>
    <w:p>
      <w:pPr>
        <w:pStyle w:val="BodyText"/>
        <w:spacing w:line="240" w:lineRule="auto" w:before="19"/>
        <w:ind w:left="514" w:right="0"/>
        <w:jc w:val="left"/>
      </w:pPr>
      <w:r>
        <w:rPr/>
        <w:t>持有待售的非流动资产或处置组中的非流动资产不计提折旧或摊销</w:t>
      </w:r>
      <w:r>
        <w:rPr>
          <w:spacing w:val="-82"/>
        </w:rPr>
        <w:t>，</w:t>
      </w:r>
      <w:r>
        <w:rPr/>
        <w:t>持有待售的处置组中负债的利息和其他费用继续予</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before="44"/>
        <w:ind w:right="1122"/>
        <w:jc w:val="left"/>
      </w:pPr>
      <w:r>
        <w:rPr/>
        <w:t>以确认。 </w:t>
      </w:r>
      <w:r>
        <w:rPr>
          <w:spacing w:val="-2"/>
        </w:rPr>
        <w:t>非流动资产或处置组不再满足持有待售类别的划分条件时，本公司不再将其继续划分为持有待售类别或将非流动资产从持有</w:t>
      </w:r>
      <w:r>
        <w:rPr>
          <w:spacing w:val="-64"/>
        </w:rPr>
        <w:t> </w:t>
      </w:r>
      <w:r>
        <w:rPr>
          <w:spacing w:val="-64"/>
        </w:rPr>
      </w:r>
      <w:r>
        <w:rPr/>
        <w:t>待售的处置组中移除，并按照以下两者孰低计量：（</w:t>
      </w:r>
      <w:r>
        <w:rPr>
          <w:rFonts w:ascii="Times New Roman" w:hAnsi="Times New Roman" w:cs="Times New Roman" w:eastAsia="Times New Roman" w:hint="default"/>
        </w:rPr>
        <w:t>1</w:t>
      </w:r>
      <w:r>
        <w:rPr/>
        <w:t>）划分为持有待售类别前的账面价值，按照假定不划分为持有待售类</w:t>
      </w:r>
      <w:r>
        <w:rPr>
          <w:spacing w:val="-82"/>
        </w:rPr>
        <w:t> </w:t>
      </w:r>
      <w:r>
        <w:rPr>
          <w:spacing w:val="-82"/>
        </w:rPr>
      </w:r>
      <w:r>
        <w:rPr/>
        <w:t>别情况下本应确认的折旧、摊销或减值等进行调整后的金额；（</w:t>
      </w:r>
      <w:r>
        <w:rPr>
          <w:rFonts w:ascii="Times New Roman" w:hAnsi="Times New Roman" w:cs="Times New Roman" w:eastAsia="Times New Roman" w:hint="default"/>
        </w:rPr>
        <w:t>2</w:t>
      </w:r>
      <w:r>
        <w:rPr/>
        <w:t>）可收回金额。</w:t>
      </w:r>
    </w:p>
    <w:p>
      <w:pPr>
        <w:spacing w:line="240" w:lineRule="auto" w:before="4"/>
        <w:rPr>
          <w:rFonts w:ascii="宋体" w:hAnsi="宋体" w:cs="宋体" w:eastAsia="宋体" w:hint="default"/>
          <w:sz w:val="21"/>
          <w:szCs w:val="21"/>
        </w:rPr>
      </w:pPr>
    </w:p>
    <w:p>
      <w:pPr>
        <w:pStyle w:val="Heading3"/>
        <w:spacing w:line="240" w:lineRule="auto"/>
        <w:ind w:right="1121"/>
        <w:jc w:val="left"/>
        <w:rPr>
          <w:b w:val="0"/>
          <w:bCs w:val="0"/>
        </w:rPr>
      </w:pPr>
      <w:bookmarkStart w:name="14、长期股权投资" w:id="192"/>
      <w:bookmarkEnd w:id="192"/>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本部分所指的长期股权投资是指本公司对被投资单位具有控制、共同控制或重大影响的长期股权投资。本公司对被投资</w:t>
      </w:r>
      <w:r>
        <w:rPr/>
        <w:t> </w:t>
      </w:r>
      <w:r>
        <w:rPr>
          <w:spacing w:val="-2"/>
        </w:rPr>
        <w:t>单位不具有控制、共同控制或重大影响的长期股权投资，作为可供出售金融资产或以公允价值计量且其变动计入当期损益的</w:t>
      </w:r>
      <w:r>
        <w:rPr>
          <w:spacing w:val="-64"/>
        </w:rPr>
        <w:t> </w:t>
      </w:r>
      <w:r>
        <w:rPr>
          <w:spacing w:val="-64"/>
        </w:rPr>
      </w:r>
      <w:r>
        <w:rPr/>
        <w:t>金融资产核算，其会计政策详见附注四、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pStyle w:val="BodyText"/>
        <w:spacing w:line="316" w:lineRule="auto"/>
        <w:ind w:right="1132" w:firstLine="360"/>
        <w:jc w:val="both"/>
      </w:pPr>
      <w:r>
        <w:rPr>
          <w:spacing w:val="-2"/>
        </w:rPr>
        <w:t>共同控制，是指本公司按照相关约定对某项安排所共有的控制，并且该安排的相关活动必须经过分享控制权的参与方一</w:t>
      </w:r>
      <w:r>
        <w:rPr/>
        <w:t> </w:t>
      </w:r>
      <w:r>
        <w:rPr>
          <w:spacing w:val="-2"/>
        </w:rPr>
        <w:t>致同意后才能决策。重大影响，是指本公司对被投资单位的财务和经营政策有参与决策的权力，但并不能够控制或者与其他</w:t>
      </w:r>
      <w:r>
        <w:rPr>
          <w:spacing w:val="-66"/>
        </w:rPr>
        <w:t> </w:t>
      </w:r>
      <w:r>
        <w:rPr>
          <w:spacing w:val="-66"/>
        </w:rPr>
      </w:r>
      <w:r>
        <w:rPr/>
        <w:t>方一起共同控制这些政策的制定。</w:t>
      </w:r>
    </w:p>
    <w:p>
      <w:pPr>
        <w:pStyle w:val="BodyText"/>
        <w:spacing w:line="300" w:lineRule="auto" w:before="19"/>
        <w:ind w:left="514" w:right="1121"/>
        <w:jc w:val="left"/>
      </w:pPr>
      <w:r>
        <w:rPr/>
        <w:t>（</w:t>
      </w:r>
      <w:r>
        <w:rPr>
          <w:rFonts w:ascii="Times New Roman" w:hAnsi="Times New Roman" w:cs="Times New Roman" w:eastAsia="Times New Roman" w:hint="default"/>
        </w:rPr>
        <w:t>1</w:t>
      </w:r>
      <w:r>
        <w:rPr/>
        <w:t>）投资成本的确定 </w:t>
      </w:r>
      <w:r>
        <w:rPr>
          <w:spacing w:val="-2"/>
        </w:rPr>
        <w:t>对于同一控制下的企业合并取得的长期股权投资，在合并日按照被合并方股东权益在最终控制方合并财务报表中的账面</w:t>
      </w:r>
    </w:p>
    <w:p>
      <w:pPr>
        <w:pStyle w:val="BodyText"/>
        <w:spacing w:line="314" w:lineRule="auto" w:before="31"/>
        <w:ind w:right="1032"/>
        <w:jc w:val="left"/>
      </w:pPr>
      <w:r>
        <w:rPr>
          <w:spacing w:val="-2"/>
        </w:rPr>
        <w:t>价值的份额作为长期股权投资的初始投资成本。长期股权投资初始投资成本与支付的现金、转让的非现金资产以及所承担债</w:t>
      </w:r>
      <w:r>
        <w:rPr>
          <w:spacing w:val="-64"/>
        </w:rPr>
        <w:t> </w:t>
      </w:r>
      <w:r>
        <w:rPr>
          <w:spacing w:val="-64"/>
        </w:rPr>
      </w:r>
      <w:r>
        <w:rPr>
          <w:spacing w:val="-2"/>
        </w:rPr>
        <w:t>务账面价值之间的差额，调整资本公积；资本公积不足冲减的，调整留存收益。以发行权益性证券作为合并对价的，在合并</w:t>
      </w:r>
      <w:r>
        <w:rPr>
          <w:spacing w:val="-66"/>
        </w:rPr>
        <w:t> </w:t>
      </w:r>
      <w:r>
        <w:rPr>
          <w:spacing w:val="-66"/>
        </w:rPr>
      </w:r>
      <w:r>
        <w:rPr>
          <w:spacing w:val="-2"/>
        </w:rPr>
        <w:t>日按照被合并方股东权益在最终控制方合并财务报表中的账面价值的份额作为长期股权投资的初始投资成本，按照发行股份</w:t>
      </w:r>
      <w:r>
        <w:rPr>
          <w:spacing w:val="-64"/>
        </w:rPr>
        <w:t> </w:t>
      </w:r>
      <w:r>
        <w:rPr>
          <w:spacing w:val="-64"/>
        </w:rPr>
      </w:r>
      <w:r>
        <w:rPr>
          <w:spacing w:val="-4"/>
        </w:rPr>
        <w:t>的面值总额作为股本，长期股权投资初始投资成本与所发行股份面值总额之间的差额，调整资本公积；资本公积不足冲减的，</w:t>
      </w:r>
      <w:r>
        <w:rPr>
          <w:spacing w:val="-44"/>
        </w:rPr>
        <w:t> </w:t>
      </w:r>
      <w:r>
        <w:rPr>
          <w:spacing w:val="-44"/>
        </w:rPr>
      </w:r>
      <w:r>
        <w:rPr/>
        <w:t>调整留存收益。通过多次交易分步取得同一控制下被合并方的股权，最终形成同一控制下企业合并的，应分别是否属于</w:t>
      </w:r>
      <w:r>
        <w:rPr>
          <w:rFonts w:ascii="Times New Roman" w:hAnsi="Times New Roman" w:cs="Times New Roman" w:eastAsia="Times New Roman" w:hint="default"/>
        </w:rPr>
        <w:t>“</w:t>
      </w:r>
      <w:r>
        <w:rPr/>
        <w:t>一 </w:t>
      </w:r>
      <w:r>
        <w:rPr>
          <w:spacing w:val="-1"/>
        </w:rPr>
        <w:t>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的，将各项交易作为一项取得控制权的交易进行会计处理。不属于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w:t>
      </w:r>
      <w:r>
        <w:rPr>
          <w:spacing w:val="-66"/>
        </w:rPr>
        <w:t> </w:t>
      </w:r>
      <w:r>
        <w:rPr/>
        <w:t>在合并日按照应享有被合并方股东权益在最终控制方合并财务报表中的账面价值的份额作为长期股权投资的初始投资成本， 长期股权投资初始投资成本与达到合并前的长期股权投资账面价值加上合并日进一步取得股份新支付对价的账面价值之和</w:t>
      </w:r>
      <w:r>
        <w:rPr/>
        <w:t> </w:t>
      </w:r>
      <w:r>
        <w:rPr>
          <w:spacing w:val="-2"/>
        </w:rPr>
        <w:t>的差额，调整资本公积；资本公积不足冲减的，调整留存收益。合并日之前持有的股权投资因采用权益法核算或为可供出售</w:t>
      </w:r>
      <w:r>
        <w:rPr>
          <w:spacing w:val="-66"/>
        </w:rPr>
        <w:t> </w:t>
      </w:r>
      <w:r>
        <w:rPr>
          <w:spacing w:val="-66"/>
        </w:rPr>
      </w:r>
      <w:r>
        <w:rPr/>
        <w:t>金融资产而确认的其他综合收益，暂不进行会计处理。</w:t>
      </w:r>
    </w:p>
    <w:p>
      <w:pPr>
        <w:pStyle w:val="BodyText"/>
        <w:spacing w:line="312" w:lineRule="auto" w:before="20"/>
        <w:ind w:right="1130" w:firstLine="360"/>
        <w:jc w:val="both"/>
      </w:pPr>
      <w:r>
        <w:rPr>
          <w:spacing w:val="-2"/>
        </w:rPr>
        <w:t>对于非同一控制下的企业合并取得的长期股权投资，在购买日按照合并成本作为长期股权投资的初始投资成本，合并成</w:t>
      </w:r>
      <w:r>
        <w:rPr/>
        <w:t> </w:t>
      </w:r>
      <w:r>
        <w:rPr>
          <w:spacing w:val="-2"/>
        </w:rPr>
        <w:t>本包括包括购买方付出的资产、发生或承担的负债、发行的权益性证券的公允价值之和。通过多次交易分步取得被购买方的</w:t>
      </w:r>
      <w:r>
        <w:rPr>
          <w:spacing w:val="-66"/>
        </w:rPr>
        <w:t> </w:t>
      </w:r>
      <w:r>
        <w:rPr>
          <w:spacing w:val="-66"/>
        </w:rPr>
      </w:r>
      <w:r>
        <w:rPr>
          <w:spacing w:val="-1"/>
        </w:rPr>
        <w:t>股权，最终形成非同一控制下的企业合并的，应分别是否属于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w:t>
      </w:r>
      <w:r>
        <w:rPr>
          <w:spacing w:val="-78"/>
        </w:rPr>
        <w:t> </w:t>
      </w:r>
      <w:r>
        <w:rPr>
          <w:spacing w:val="-78"/>
        </w:rPr>
      </w:r>
      <w:r>
        <w:rPr>
          <w:spacing w:val="-2"/>
        </w:rPr>
        <w:t>为一项取得控制权的交易进行会计处理。不属于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的，按照原持有被购买方的股权投资账面价值加上新增投资成</w:t>
      </w:r>
      <w:r>
        <w:rPr>
          <w:spacing w:val="-44"/>
        </w:rPr>
        <w:t> </w:t>
      </w:r>
      <w:r>
        <w:rPr>
          <w:spacing w:val="-44"/>
        </w:rPr>
      </w:r>
      <w:r>
        <w:rPr>
          <w:spacing w:val="-2"/>
        </w:rPr>
        <w:t>本之和，作为改按成本法核算的长期股权投资的初始投资成本。原持有的股权采用权益法核算的，相关其他综合收益暂不进</w:t>
      </w:r>
      <w:r>
        <w:rPr>
          <w:spacing w:val="-66"/>
        </w:rPr>
        <w:t> </w:t>
      </w:r>
      <w:r>
        <w:rPr>
          <w:spacing w:val="-66"/>
        </w:rPr>
      </w:r>
      <w:r>
        <w:rPr>
          <w:spacing w:val="-2"/>
        </w:rPr>
        <w:t>行会计处理。原持有股权投资为可供出售金融资产的，其公允价值与账面价值之间的差额，以及原计入其他综合收益的累计</w:t>
      </w:r>
      <w:r>
        <w:rPr>
          <w:spacing w:val="-66"/>
        </w:rPr>
        <w:t> </w:t>
      </w:r>
      <w:r>
        <w:rPr>
          <w:spacing w:val="-66"/>
        </w:rPr>
      </w:r>
      <w:r>
        <w:rPr/>
        <w:t>公允价值变动转入当期损益。</w:t>
      </w:r>
    </w:p>
    <w:p>
      <w:pPr>
        <w:pStyle w:val="BodyText"/>
        <w:spacing w:line="316" w:lineRule="auto" w:before="22"/>
        <w:ind w:right="1133" w:firstLine="360"/>
        <w:jc w:val="both"/>
      </w:pPr>
      <w:r>
        <w:rPr>
          <w:spacing w:val="-2"/>
        </w:rPr>
        <w:t>合并方或购买方为企业合并发生的审计、法律服务、评估咨询等中介费用以及其他相关管理费用，于发生时计入当期损</w:t>
      </w:r>
      <w:r>
        <w:rPr/>
        <w:t> 益。</w:t>
      </w:r>
    </w:p>
    <w:p>
      <w:pPr>
        <w:pStyle w:val="BodyText"/>
        <w:spacing w:line="314" w:lineRule="auto" w:before="19"/>
        <w:ind w:right="1132" w:firstLine="360"/>
        <w:jc w:val="both"/>
      </w:pPr>
      <w:r>
        <w:rPr>
          <w:spacing w:val="-2"/>
        </w:rPr>
        <w:t>除企业合并形成的长期股权投资外的其他股权投资，按成本进行初始计量，该成本视长期股权投资取得方式的不同，分</w:t>
      </w:r>
      <w:r>
        <w:rPr/>
        <w:t> </w:t>
      </w:r>
      <w:r>
        <w:rPr>
          <w:spacing w:val="-2"/>
        </w:rPr>
        <w:t>别按照本公司实际支付的现金购买价款、本公司发行的权益性证券的公允价值、投资合同或协议约定的价值、非货币性资产</w:t>
      </w:r>
      <w:r>
        <w:rPr>
          <w:spacing w:val="-66"/>
        </w:rPr>
        <w:t> </w:t>
      </w:r>
      <w:r>
        <w:rPr>
          <w:spacing w:val="-66"/>
        </w:rPr>
      </w:r>
      <w:r>
        <w:rPr>
          <w:spacing w:val="-2"/>
        </w:rPr>
        <w:t>交换交易中换出资产的公允价值或原账面价值、该项长期股权投资自身的公允价值等方式确定。与取得长期股权投资直接相</w:t>
      </w:r>
      <w:r>
        <w:rPr>
          <w:spacing w:val="-64"/>
        </w:rPr>
        <w:t> </w:t>
      </w:r>
      <w:r>
        <w:rPr>
          <w:spacing w:val="-64"/>
        </w:rPr>
      </w:r>
      <w:r>
        <w:rPr>
          <w:spacing w:val="-2"/>
        </w:rPr>
        <w:t>关的费用、税金及其他必要支出也计入投资成本。对于因追加投资能够对被投资单位实施重大影响或实施共同控制但不构成</w:t>
      </w:r>
      <w:r>
        <w:rPr>
          <w:spacing w:val="-64"/>
        </w:rPr>
        <w:t> </w:t>
      </w:r>
      <w:r>
        <w:rPr>
          <w:spacing w:val="-64"/>
        </w:rPr>
      </w:r>
      <w:r>
        <w:rPr>
          <w:spacing w:val="-2"/>
        </w:rPr>
        <w:t>控制的，长期股权投资成本为按照《企业会计准则第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金融工具确认和计量》确定的原持有股权投资的公允价值加上</w:t>
      </w:r>
      <w:r>
        <w:rPr>
          <w:spacing w:val="-64"/>
        </w:rPr>
        <w:t> </w:t>
      </w:r>
      <w:r>
        <w:rPr>
          <w:spacing w:val="-64"/>
        </w:rPr>
      </w:r>
      <w:r>
        <w:rPr/>
        <w:t>新增投资成本之和。</w:t>
      </w:r>
    </w:p>
    <w:p>
      <w:pPr>
        <w:pStyle w:val="BodyText"/>
        <w:spacing w:line="300" w:lineRule="auto" w:before="21"/>
        <w:ind w:left="514" w:right="1121"/>
        <w:jc w:val="left"/>
      </w:pPr>
      <w:r>
        <w:rPr/>
        <w:t>（</w:t>
      </w:r>
      <w:r>
        <w:rPr>
          <w:rFonts w:ascii="Times New Roman" w:hAnsi="Times New Roman" w:cs="Times New Roman" w:eastAsia="Times New Roman" w:hint="default"/>
        </w:rPr>
        <w:t>2</w:t>
      </w:r>
      <w:r>
        <w:rPr/>
        <w:t>）后续计量及损益确认方法 </w:t>
      </w:r>
      <w:r>
        <w:rPr>
          <w:spacing w:val="-2"/>
        </w:rPr>
        <w:t>对被投资单位具有共同控制（构成共同经营者除外）或重大影响的长期股权投资，采用权益法核算。此外，公司财务报</w:t>
      </w:r>
    </w:p>
    <w:p>
      <w:pPr>
        <w:pStyle w:val="BodyText"/>
        <w:spacing w:line="240" w:lineRule="auto" w:before="31"/>
        <w:ind w:right="1121"/>
        <w:jc w:val="left"/>
      </w:pPr>
      <w:r>
        <w:rPr/>
        <w:t>表采用成本法核算能够对被投资单位实施控制的长期股权投资。</w:t>
      </w:r>
    </w:p>
    <w:p>
      <w:pPr>
        <w:pStyle w:val="BodyText"/>
        <w:spacing w:line="240" w:lineRule="auto" w:before="76"/>
        <w:ind w:left="514" w:right="1121"/>
        <w:jc w:val="left"/>
      </w:pPr>
      <w:r>
        <w:rPr/>
        <w:t>①</w:t>
      </w:r>
      <w:r>
        <w:rPr>
          <w:spacing w:val="-19"/>
        </w:rPr>
        <w:t> </w:t>
      </w:r>
      <w:r>
        <w:rPr/>
        <w:t>成本法核算的长期股权投资</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360"/>
        <w:jc w:val="both"/>
      </w:pPr>
      <w:r>
        <w:rPr>
          <w:spacing w:val="-2"/>
        </w:rPr>
        <w:t>采用成本法核算时，长期股权投资按初始投资成本计价，追加或收回投资调整长期股权投资的成本。除取得投资时实际</w:t>
      </w:r>
      <w:r>
        <w:rPr/>
        <w:t> </w:t>
      </w:r>
      <w:r>
        <w:rPr>
          <w:spacing w:val="-2"/>
        </w:rPr>
        <w:t>支付的价款或者对价中包含的已宣告但尚未发放的现金股利或者利润外，当期投资收益按照享有被投资单位宣告发放的现金</w:t>
      </w:r>
      <w:r>
        <w:rPr>
          <w:spacing w:val="-64"/>
        </w:rPr>
        <w:t> </w:t>
      </w:r>
      <w:r>
        <w:rPr>
          <w:spacing w:val="-64"/>
        </w:rPr>
      </w:r>
      <w:r>
        <w:rPr/>
        <w:t>股利或利润确认。</w:t>
      </w:r>
    </w:p>
    <w:p>
      <w:pPr>
        <w:pStyle w:val="BodyText"/>
        <w:spacing w:line="319" w:lineRule="auto" w:before="19"/>
        <w:ind w:left="514" w:right="1121"/>
        <w:jc w:val="left"/>
      </w:pPr>
      <w:r>
        <w:rPr/>
        <w:t>②</w:t>
      </w:r>
      <w:r>
        <w:rPr>
          <w:spacing w:val="-17"/>
        </w:rPr>
        <w:t> </w:t>
      </w:r>
      <w:r>
        <w:rPr/>
        <w:t>权益法核算的长期股权投资</w:t>
      </w:r>
      <w:r>
        <w:rPr/>
        <w:t> </w:t>
      </w:r>
      <w:r>
        <w:rPr>
          <w:spacing w:val="-2"/>
        </w:rPr>
        <w:t>采用权益法核算时，长期股权投资的初始投资成本大于投资时应享有被投资单位可辨认净资产公允价值份额的，不调整</w:t>
      </w:r>
    </w:p>
    <w:p>
      <w:pPr>
        <w:pStyle w:val="BodyText"/>
        <w:spacing w:line="316" w:lineRule="auto" w:before="17"/>
        <w:ind w:right="1121"/>
        <w:jc w:val="left"/>
      </w:pPr>
      <w:r>
        <w:rPr>
          <w:spacing w:val="-2"/>
        </w:rPr>
        <w:t>长期股权投资的初始投资成本；初始投资成本小于投资时应享有被投资单位可辨认净资产公允价值份额的，其差额计入当期</w:t>
      </w:r>
      <w:r>
        <w:rPr>
          <w:spacing w:val="-64"/>
        </w:rPr>
        <w:t> </w:t>
      </w:r>
      <w:r>
        <w:rPr>
          <w:spacing w:val="-64"/>
        </w:rPr>
      </w:r>
      <w:r>
        <w:rPr/>
        <w:t>损益，同时调整长期股权投资的成本。</w:t>
      </w:r>
    </w:p>
    <w:p>
      <w:pPr>
        <w:pStyle w:val="BodyText"/>
        <w:spacing w:line="316" w:lineRule="auto" w:before="19"/>
        <w:ind w:right="1032" w:firstLine="360"/>
        <w:jc w:val="left"/>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6"/>
        </w:rPr>
        <w:t> </w:t>
      </w:r>
      <w:r>
        <w:rPr>
          <w:spacing w:val="-66"/>
        </w:rPr>
      </w:r>
      <w:r>
        <w:rPr>
          <w:spacing w:val="-2"/>
        </w:rPr>
        <w:t>期股权投资的账面价值；对于被投资单位除净损益、其他综合收益和利润分配以外所有者权益的其他变动，调整长期股权投</w:t>
      </w:r>
      <w:r>
        <w:rPr>
          <w:spacing w:val="-66"/>
        </w:rPr>
        <w:t> </w:t>
      </w:r>
      <w:r>
        <w:rPr>
          <w:spacing w:val="-66"/>
        </w:rPr>
      </w:r>
      <w:r>
        <w:rPr>
          <w:spacing w:val="-2"/>
        </w:rPr>
        <w:t>资的账面价值并计入资本公积。在确认应享有被投资单位净损益的份额时，以取得投资时被投资单位各项可辨认资产等的公</w:t>
      </w:r>
      <w:r>
        <w:rPr>
          <w:spacing w:val="-64"/>
        </w:rPr>
        <w:t> </w:t>
      </w:r>
      <w:r>
        <w:rPr>
          <w:spacing w:val="-64"/>
        </w:rPr>
      </w:r>
      <w:r>
        <w:rPr>
          <w:spacing w:val="-2"/>
        </w:rPr>
        <w:t>允价值为基础，对被投资单位的净利润进行调整后确认。被投资单位采用的会计政策及会计期间与本公司不一致的，按照本</w:t>
      </w:r>
      <w:r>
        <w:rPr>
          <w:spacing w:val="-66"/>
        </w:rPr>
        <w:t> </w:t>
      </w:r>
      <w:r>
        <w:rPr>
          <w:spacing w:val="-66"/>
        </w:rPr>
      </w:r>
      <w:r>
        <w:rPr>
          <w:spacing w:val="-2"/>
        </w:rPr>
        <w:t>公司的会计政策及会计期间对被投资单位的财务报表进行调整，并据以确认投资收益和其他综合收益。对于本公司与联营企</w:t>
      </w:r>
      <w:r>
        <w:rPr>
          <w:spacing w:val="-64"/>
        </w:rPr>
        <w:t> </w:t>
      </w:r>
      <w:r>
        <w:rPr>
          <w:spacing w:val="-64"/>
        </w:rPr>
      </w:r>
      <w:r>
        <w:rPr>
          <w:spacing w:val="-2"/>
        </w:rPr>
        <w:t>业及合营企业之间发生的交易，投出或出售的资产不构成业务的，未实现内部交易损益按照享有的比例计算归属于本公司的</w:t>
      </w:r>
      <w:r>
        <w:rPr>
          <w:spacing w:val="-64"/>
        </w:rPr>
        <w:t> </w:t>
      </w:r>
      <w:r>
        <w:rPr>
          <w:spacing w:val="-64"/>
        </w:rPr>
      </w:r>
      <w:r>
        <w:rPr>
          <w:spacing w:val="-4"/>
        </w:rPr>
        <w:t>部分予以抵销，在此基础上确认投资损益。但本公司与被投资单位发生的未实现内部交易损失，属于所转让资产减值损失的，</w:t>
      </w:r>
      <w:r>
        <w:rPr>
          <w:spacing w:val="-43"/>
        </w:rPr>
        <w:t> </w:t>
      </w:r>
      <w:r>
        <w:rPr>
          <w:spacing w:val="-43"/>
        </w:rPr>
      </w:r>
      <w:r>
        <w:rPr>
          <w:spacing w:val="-2"/>
        </w:rPr>
        <w:t>不予以抵销。本公司向合营企业或联营企业投出的资产构成业务的，投资方因此取得长期股权投资但未取得控制权的，以投</w:t>
      </w:r>
      <w:r>
        <w:rPr>
          <w:spacing w:val="-66"/>
        </w:rPr>
        <w:t> </w:t>
      </w:r>
      <w:r>
        <w:rPr>
          <w:spacing w:val="-66"/>
        </w:rPr>
      </w:r>
      <w:r>
        <w:rPr/>
        <w:t>出业务的公允价值作为新增长期股权投资的初始投资成本，初始投资成本与投出业务的账面价值之差，全额计入当期损益。 </w:t>
      </w:r>
      <w:r>
        <w:rPr>
          <w:spacing w:val="-2"/>
        </w:rPr>
        <w:t>本公司向合营企业或联营企业出售的资产构成业务的，取得的对价与业务的账面价值之差，全额计入当期损益。本公司自联</w:t>
      </w:r>
      <w:r>
        <w:rPr>
          <w:spacing w:val="-66"/>
        </w:rPr>
        <w:t> </w:t>
      </w:r>
      <w:r>
        <w:rPr>
          <w:spacing w:val="-66"/>
        </w:rPr>
      </w:r>
      <w:r>
        <w:rPr>
          <w:spacing w:val="-2"/>
        </w:rPr>
        <w:t>营企业及合营企业购入的资产构成业务的，按《企业会计准则第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企业合并》的规定进行会计处理，全额确认与交易</w:t>
      </w:r>
      <w:r>
        <w:rPr>
          <w:spacing w:val="-64"/>
        </w:rPr>
        <w:t> </w:t>
      </w:r>
      <w:r>
        <w:rPr>
          <w:spacing w:val="-64"/>
        </w:rPr>
      </w:r>
      <w:r>
        <w:rPr/>
        <w:t>相关的利得或损失。</w:t>
      </w:r>
    </w:p>
    <w:p>
      <w:pPr>
        <w:pStyle w:val="BodyText"/>
        <w:spacing w:line="319" w:lineRule="auto" w:before="19"/>
        <w:ind w:right="1131" w:firstLine="360"/>
        <w:jc w:val="both"/>
      </w:pPr>
      <w:r>
        <w:rPr>
          <w:spacing w:val="-2"/>
        </w:rPr>
        <w:t>在确认应分担被投资单位发生的净亏损时，以长期股权投资的账面价值和其他实质上构成对被投资单位净投资的长期权</w:t>
      </w:r>
      <w:r>
        <w:rPr/>
        <w:t> </w:t>
      </w:r>
      <w:r>
        <w:rPr>
          <w:spacing w:val="-2"/>
        </w:rPr>
        <w:t>益减记至零为限。此外，如本公司对被投资单位负有承担额外损失的义务，则按预计承担的义务确认预计负债，计入当期投</w:t>
      </w:r>
      <w:r>
        <w:rPr>
          <w:spacing w:val="-66"/>
        </w:rPr>
        <w:t> </w:t>
      </w:r>
      <w:r>
        <w:rPr>
          <w:spacing w:val="-66"/>
        </w:rPr>
      </w:r>
      <w:r>
        <w:rPr/>
        <w:t>资损失。被投资单位以后期间实现净利润的，本公司在收益分享额弥补未确认的亏损分担额后，恢复确认收益分享额。</w:t>
      </w:r>
    </w:p>
    <w:p>
      <w:pPr>
        <w:pStyle w:val="BodyText"/>
        <w:spacing w:line="316" w:lineRule="auto" w:before="17"/>
        <w:ind w:right="1131" w:firstLine="360"/>
        <w:jc w:val="both"/>
      </w:pPr>
      <w:r>
        <w:rPr>
          <w:spacing w:val="-2"/>
        </w:rPr>
        <w:t>对于本公司首次执行新会计准则之前已经持有的对联营企业和合营企业的长期股权投资，如存在与该投资相关的股权投</w:t>
      </w:r>
      <w:r>
        <w:rPr/>
        <w:t> 资借方差额，按原剩余期限直线摊销的金额计入当期损益。</w:t>
      </w:r>
    </w:p>
    <w:p>
      <w:pPr>
        <w:pStyle w:val="BodyText"/>
        <w:spacing w:line="316" w:lineRule="auto" w:before="19"/>
        <w:ind w:left="514" w:right="1121"/>
        <w:jc w:val="left"/>
      </w:pPr>
      <w:r>
        <w:rPr/>
        <w:t>③</w:t>
      </w:r>
      <w:r>
        <w:rPr>
          <w:spacing w:val="-17"/>
        </w:rPr>
        <w:t> </w:t>
      </w:r>
      <w:r>
        <w:rPr/>
        <w:t>收购少数股权</w:t>
      </w:r>
      <w:r>
        <w:rPr/>
        <w:t> </w:t>
      </w:r>
      <w:r>
        <w:rPr>
          <w:spacing w:val="-2"/>
        </w:rPr>
        <w:t>在编制合并财务报表时，因购买少数股权新增的长期股权投资与按照新增持股比例计算应享有子公司自购买日（或合并</w:t>
      </w:r>
    </w:p>
    <w:p>
      <w:pPr>
        <w:pStyle w:val="BodyText"/>
        <w:spacing w:line="240" w:lineRule="auto" w:before="19"/>
        <w:ind w:right="1121"/>
        <w:jc w:val="left"/>
      </w:pPr>
      <w:r>
        <w:rPr/>
        <w:t>日）开始持续计算的净资产份额之间的差额，调整资本公积，资本公积不足冲减的，调整留存收益。</w:t>
      </w:r>
    </w:p>
    <w:p>
      <w:pPr>
        <w:pStyle w:val="BodyText"/>
        <w:spacing w:line="316" w:lineRule="auto" w:before="76"/>
        <w:ind w:left="514" w:right="1121"/>
        <w:jc w:val="left"/>
      </w:pPr>
      <w:r>
        <w:rPr/>
        <w:t>④</w:t>
      </w:r>
      <w:r>
        <w:rPr>
          <w:spacing w:val="-17"/>
        </w:rPr>
        <w:t> </w:t>
      </w:r>
      <w:r>
        <w:rPr/>
        <w:t>处置长期股权投资</w:t>
      </w:r>
      <w:r>
        <w:rPr/>
        <w:t> </w:t>
      </w:r>
      <w:r>
        <w:rPr>
          <w:spacing w:val="-2"/>
        </w:rPr>
        <w:t>在合并财务报表中，母公司在不丧失控制权的情况下部分处置对子公司的长期股权投资，处置价款与处置长期股权投资</w:t>
      </w:r>
    </w:p>
    <w:p>
      <w:pPr>
        <w:pStyle w:val="BodyText"/>
        <w:spacing w:line="316" w:lineRule="auto" w:before="19"/>
        <w:ind w:right="1121"/>
        <w:jc w:val="left"/>
      </w:pPr>
      <w:r>
        <w:rPr>
          <w:spacing w:val="-2"/>
        </w:rPr>
        <w:t>相对应享有子公司净资产的差额计入股东权益；母公司部分处置对子公司的长期股权投资导致丧失对子公司控制权的，按本</w:t>
      </w:r>
      <w:r>
        <w:rPr>
          <w:spacing w:val="-64"/>
        </w:rPr>
        <w:t> </w:t>
      </w:r>
      <w:r>
        <w:rPr>
          <w:spacing w:val="-64"/>
        </w:rPr>
      </w:r>
      <w:r>
        <w:rPr/>
        <w:t>附注四、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w:t>
      </w:r>
    </w:p>
    <w:p>
      <w:pPr>
        <w:pStyle w:val="BodyText"/>
        <w:spacing w:line="316" w:lineRule="auto"/>
        <w:ind w:left="514" w:right="1121"/>
        <w:jc w:val="left"/>
      </w:pPr>
      <w:r>
        <w:rPr/>
        <w:t>其他情形下的长期股权投资处置，对于处置的股权，其账面价值与实际取得价款的差额，计入当期损益。 </w:t>
      </w:r>
      <w:r>
        <w:rPr>
          <w:spacing w:val="-2"/>
        </w:rPr>
        <w:t>采用权益法核算的长期股权投资，处置后的剩余股权仍采用权益法核算的，在处置时将原计入股东权益的其他综合收益</w:t>
      </w:r>
    </w:p>
    <w:p>
      <w:pPr>
        <w:pStyle w:val="BodyText"/>
        <w:spacing w:line="316" w:lineRule="auto" w:before="19"/>
        <w:ind w:right="1121"/>
        <w:jc w:val="left"/>
      </w:pPr>
      <w:r>
        <w:rPr>
          <w:spacing w:val="-2"/>
        </w:rPr>
        <w:t>部分按相应的比例采用与被投资单位直接处置相关资产或负债相同的基础进行会计处理。因被投资方除净损益、其他综合收</w:t>
      </w:r>
      <w:r>
        <w:rPr>
          <w:spacing w:val="-64"/>
        </w:rPr>
        <w:t> </w:t>
      </w:r>
      <w:r>
        <w:rPr>
          <w:spacing w:val="-64"/>
        </w:rPr>
      </w:r>
      <w:r>
        <w:rPr/>
        <w:t>益和利润分配以外的其他所有者权益变动而确认的所有者权益，按比例结转入当期损益。</w:t>
      </w:r>
    </w:p>
    <w:p>
      <w:pPr>
        <w:pStyle w:val="BodyText"/>
        <w:spacing w:line="316" w:lineRule="auto" w:before="19"/>
        <w:ind w:right="1130" w:firstLine="360"/>
        <w:jc w:val="both"/>
      </w:pPr>
      <w:r>
        <w:rPr>
          <w:spacing w:val="-2"/>
        </w:rPr>
        <w:t>采用成本法核算的长期股权投资，处置后剩余股权仍采用成本法核算的，其在取得对被投资单位的控制之前因采用权益</w:t>
      </w:r>
      <w:r>
        <w:rPr/>
        <w:t> </w:t>
      </w:r>
      <w:r>
        <w:rPr>
          <w:spacing w:val="-2"/>
        </w:rPr>
        <w:t>法核算或金融工具确认和计量准则核算而确认的其他综合收益，采用与被投资单位直接处置相关资产或负债相同的基础进行</w:t>
      </w:r>
      <w:r>
        <w:rPr>
          <w:spacing w:val="-63"/>
        </w:rPr>
        <w:t> </w:t>
      </w:r>
      <w:r>
        <w:rPr>
          <w:spacing w:val="-63"/>
        </w:rPr>
      </w:r>
      <w:r>
        <w:rPr>
          <w:spacing w:val="-2"/>
        </w:rPr>
        <w:t>会计处理，并按比例结转当期损益；因采用权益法核算而确认的被投资单位净资产中除净损益、其他综合收益和利润分配以</w:t>
      </w:r>
      <w:r>
        <w:rPr>
          <w:spacing w:val="-66"/>
        </w:rPr>
        <w:t> </w:t>
      </w:r>
      <w:r>
        <w:rPr>
          <w:spacing w:val="-66"/>
        </w:rPr>
      </w:r>
      <w:r>
        <w:rPr/>
        <w:t>外的其他所有者权益变动按比例结转当期损益。</w:t>
      </w:r>
    </w:p>
    <w:p>
      <w:pPr>
        <w:pStyle w:val="BodyText"/>
        <w:spacing w:line="316" w:lineRule="auto" w:before="19"/>
        <w:ind w:right="1131" w:firstLine="360"/>
        <w:jc w:val="both"/>
      </w:pPr>
      <w:r>
        <w:rPr>
          <w:spacing w:val="-2"/>
        </w:rPr>
        <w:t>本公司因处置部分股权投资丧失了对被投资单位的控制的，在编制个别财务报表时，处置后的剩余股权能够对被投资单</w:t>
      </w:r>
      <w:r>
        <w:rPr/>
        <w:t> </w:t>
      </w:r>
      <w:r>
        <w:rPr>
          <w:spacing w:val="-2"/>
        </w:rPr>
        <w:t>位实施共同控制或施加重大影响的，改按权益法核算，并对该剩余股权视同自取得时即采用权益法核算进行调整；处置后的</w:t>
      </w:r>
      <w:r>
        <w:rPr>
          <w:spacing w:val="-66"/>
        </w:rPr>
        <w:t> </w:t>
      </w:r>
      <w:r>
        <w:rPr>
          <w:spacing w:val="-66"/>
        </w:rPr>
      </w:r>
      <w:r>
        <w:rPr>
          <w:spacing w:val="-2"/>
        </w:rPr>
        <w:t>剩余股权不能对被投资单位实施共同控制或施加重大影响的，改按金融工具确认和计量准则的有关规定进行会计处理，其在</w:t>
      </w:r>
      <w:r>
        <w:rPr>
          <w:spacing w:val="-64"/>
        </w:rPr>
        <w:t> </w:t>
      </w:r>
      <w:r>
        <w:rPr>
          <w:spacing w:val="-64"/>
        </w:rPr>
      </w:r>
      <w:r>
        <w:rPr>
          <w:spacing w:val="-2"/>
        </w:rPr>
        <w:t>丧失控制之日的公允价值与账面价值之间的差额计入当期损益。对于本公司取得对被投资单位的控制之前，因采用权益法核</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30"/>
        <w:jc w:val="both"/>
      </w:pPr>
      <w:r>
        <w:rPr>
          <w:spacing w:val="-2"/>
        </w:rPr>
        <w:t>算或金融工具确认和计量准则核算而确认的其他综合收益，在丧失对被投资单位控制时采用与被投资单位直接处置相关资产</w:t>
      </w:r>
      <w:r>
        <w:rPr>
          <w:spacing w:val="-64"/>
        </w:rPr>
        <w:t> </w:t>
      </w:r>
      <w:r>
        <w:rPr>
          <w:spacing w:val="-64"/>
        </w:rPr>
      </w:r>
      <w:r>
        <w:rPr>
          <w:spacing w:val="-2"/>
        </w:rPr>
        <w:t>或负债相同的基础进行会计处理，因采用权益法核算而确认的被投资单位净资产中除净损益、其他综合收益和利润分配以外</w:t>
      </w:r>
      <w:r>
        <w:rPr>
          <w:spacing w:val="-64"/>
        </w:rPr>
        <w:t> </w:t>
      </w:r>
      <w:r>
        <w:rPr>
          <w:spacing w:val="-64"/>
        </w:rPr>
      </w:r>
      <w:r>
        <w:rPr>
          <w:spacing w:val="-2"/>
        </w:rPr>
        <w:t>的其他所有者权益变动在丧失对被投资单位控制时结转入当期损益。其中，处置后的剩余股权采用权益法核算的，其他综合</w:t>
      </w:r>
      <w:r>
        <w:rPr>
          <w:spacing w:val="-66"/>
        </w:rPr>
        <w:t> </w:t>
      </w:r>
      <w:r>
        <w:rPr>
          <w:spacing w:val="-66"/>
        </w:rPr>
      </w:r>
      <w:r>
        <w:rPr>
          <w:spacing w:val="-2"/>
        </w:rPr>
        <w:t>收益和其他所有者权益按比例结转；处置后的剩余股权改按金融工具确认和计量准则进行会计处理的，其他综合收益和其他</w:t>
      </w:r>
      <w:r>
        <w:rPr>
          <w:spacing w:val="-63"/>
        </w:rPr>
        <w:t> </w:t>
      </w:r>
      <w:r>
        <w:rPr>
          <w:spacing w:val="-63"/>
        </w:rPr>
      </w:r>
      <w:r>
        <w:rPr/>
        <w:t>所有者权益全部结转。</w:t>
      </w:r>
    </w:p>
    <w:p>
      <w:pPr>
        <w:pStyle w:val="BodyText"/>
        <w:spacing w:line="316" w:lineRule="auto" w:before="17"/>
        <w:ind w:right="1032" w:firstLine="360"/>
        <w:jc w:val="left"/>
      </w:pPr>
      <w:r>
        <w:rPr>
          <w:spacing w:val="-2"/>
        </w:rPr>
        <w:t>本公司因处置部分股权投资丧失了对被投资单位的共同控制或重大影响的，处置后的剩余股权改按金融工具确认和计量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因被投资方除净损益、其他综合收益和利润分配以外的其他所有者权益变动而确认的所有者权益，在终止采用权益法时全部</w:t>
      </w:r>
      <w:r>
        <w:rPr>
          <w:spacing w:val="-64"/>
        </w:rPr>
        <w:t> </w:t>
      </w:r>
      <w:r>
        <w:rPr>
          <w:spacing w:val="-64"/>
        </w:rPr>
      </w:r>
      <w:r>
        <w:rPr/>
        <w:t>转入当期投资收益。</w:t>
      </w:r>
    </w:p>
    <w:p>
      <w:pPr>
        <w:pStyle w:val="BodyText"/>
        <w:spacing w:line="316" w:lineRule="auto" w:before="19"/>
        <w:ind w:right="1131" w:firstLine="290"/>
        <w:jc w:val="both"/>
      </w:pPr>
      <w:r>
        <w:rPr>
          <w:spacing w:val="-1"/>
        </w:rPr>
        <w:t>本公司通过多次交易分步处置对子公司股权投资直至丧失控制权，如果上述交易属于一揽子交易的，将各项交易作为一</w:t>
      </w:r>
      <w:r>
        <w:rPr/>
        <w:t> </w:t>
      </w:r>
      <w:r>
        <w:rPr>
          <w:spacing w:val="-2"/>
        </w:rPr>
        <w:t>项处置子公司股权投资并丧失控制权的交易进行会计处理，在丧失控制权之前每一次处置价款与所处置的股权对应的长期股</w:t>
      </w:r>
      <w:r>
        <w:rPr>
          <w:spacing w:val="-64"/>
        </w:rPr>
        <w:t> </w:t>
      </w:r>
      <w:r>
        <w:rPr>
          <w:spacing w:val="-64"/>
        </w:rPr>
      </w:r>
      <w:r>
        <w:rPr/>
        <w:t>权投资账面价值之间的差额，先确认为其他综合收益，到丧失控制权时再一并转入丧失控制权的当期损益。</w:t>
      </w:r>
    </w:p>
    <w:p>
      <w:pPr>
        <w:spacing w:line="240" w:lineRule="auto" w:before="7"/>
        <w:rPr>
          <w:rFonts w:ascii="宋体" w:hAnsi="宋体" w:cs="宋体" w:eastAsia="宋体" w:hint="default"/>
          <w:sz w:val="22"/>
          <w:szCs w:val="22"/>
        </w:rPr>
      </w:pPr>
    </w:p>
    <w:p>
      <w:pPr>
        <w:pStyle w:val="Heading3"/>
        <w:spacing w:line="240" w:lineRule="auto"/>
        <w:ind w:right="1121"/>
        <w:jc w:val="left"/>
        <w:rPr>
          <w:b w:val="0"/>
          <w:bCs w:val="0"/>
        </w:rPr>
      </w:pPr>
      <w:bookmarkStart w:name="15、投资性房地产" w:id="193"/>
      <w:bookmarkEnd w:id="193"/>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952"/>
        <w:jc w:val="left"/>
      </w:pPr>
      <w:r>
        <w:rPr/>
        <w:t>投资性房地产计量模式 成本法计量 折旧或摊销方法</w:t>
      </w:r>
    </w:p>
    <w:p>
      <w:pPr>
        <w:pStyle w:val="BodyText"/>
        <w:spacing w:line="319" w:lineRule="auto" w:before="25"/>
        <w:ind w:right="1148" w:firstLine="424"/>
        <w:jc w:val="left"/>
      </w:pPr>
      <w:r>
        <w:rPr/>
        <w:t>投资性房地产是指为赚取租金或资本增值，或两者兼有而持有的房地产。包括已出租的土地使用权、持有并准备增值 后转让的土地使用权、已出租的建筑物等。</w:t>
      </w:r>
    </w:p>
    <w:p>
      <w:pPr>
        <w:pStyle w:val="BodyText"/>
        <w:spacing w:line="319" w:lineRule="auto" w:before="55"/>
        <w:ind w:right="1148" w:firstLine="424"/>
        <w:jc w:val="left"/>
      </w:pPr>
      <w:r>
        <w:rPr/>
        <w:t>投资性房地产按成本进行初始计量。与投资性房地产有关的后续支出，如果与该资产有关的经济利益很可能流入且其 成本能可靠地计量，则计入投资性房地产成本。其他后续支出，在发生时计入当期损益。</w:t>
      </w:r>
    </w:p>
    <w:p>
      <w:pPr>
        <w:pStyle w:val="BodyText"/>
        <w:spacing w:line="319" w:lineRule="auto" w:before="56"/>
        <w:ind w:right="0" w:firstLine="424"/>
        <w:jc w:val="left"/>
      </w:pPr>
      <w:r>
        <w:rPr/>
        <w:t>投资性房地产的用途改变为自用时，自改变之日起，将该投资性房地产转换为固定资产或无形资产。自用房地产的用 </w:t>
      </w:r>
      <w:r>
        <w:rPr>
          <w:spacing w:val="-2"/>
        </w:rPr>
        <w:t>途改变为赚取租金或资本增值时，自改变之日起，将固定资产或无形资产转换为投资性房地产。发生转换时，转换为采用成</w:t>
      </w:r>
      <w:r>
        <w:rPr>
          <w:spacing w:val="-66"/>
        </w:rPr>
        <w:t> </w:t>
      </w:r>
      <w:r>
        <w:rPr>
          <w:spacing w:val="-66"/>
        </w:rPr>
      </w:r>
      <w:r>
        <w:rPr>
          <w:spacing w:val="-4"/>
        </w:rPr>
        <w:t>本模式计量的投资性房地产的，以转换前的账面价值作为转换后的入账价值；转换为以公允价值模式计量的投资性房地产的，</w:t>
      </w:r>
      <w:r>
        <w:rPr>
          <w:spacing w:val="-44"/>
        </w:rPr>
        <w:t> </w:t>
      </w:r>
      <w:r>
        <w:rPr>
          <w:spacing w:val="-44"/>
        </w:rPr>
      </w:r>
      <w:r>
        <w:rPr/>
        <w:t>以转换日的公允价值作为转换后的入账价值。</w:t>
      </w:r>
    </w:p>
    <w:p>
      <w:pPr>
        <w:pStyle w:val="BodyText"/>
        <w:spacing w:line="319" w:lineRule="auto" w:before="55"/>
        <w:ind w:right="1148" w:firstLine="424"/>
        <w:jc w:val="left"/>
      </w:pPr>
      <w:r>
        <w:rPr/>
        <w:t>当投资性房地产被处置、或者永久退出使用且预计不能从其处置中取得经济利益时，终止确认该项投资性房地产。投 资性房地产出售、转让、报废或毁损的处置收入扣除其账面价值和相关税费后计入当期损益。</w:t>
      </w:r>
    </w:p>
    <w:p>
      <w:pPr>
        <w:spacing w:line="240" w:lineRule="auto" w:before="3"/>
        <w:rPr>
          <w:rFonts w:ascii="宋体" w:hAnsi="宋体" w:cs="宋体" w:eastAsia="宋体" w:hint="default"/>
          <w:sz w:val="22"/>
          <w:szCs w:val="22"/>
        </w:rPr>
      </w:pPr>
    </w:p>
    <w:p>
      <w:pPr>
        <w:pStyle w:val="Heading3"/>
        <w:spacing w:line="240" w:lineRule="auto"/>
        <w:ind w:right="1121"/>
        <w:jc w:val="left"/>
        <w:rPr>
          <w:b w:val="0"/>
          <w:bCs w:val="0"/>
        </w:rPr>
      </w:pPr>
      <w:bookmarkStart w:name="16、固定资产" w:id="194"/>
      <w:bookmarkEnd w:id="194"/>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1"/>
        <w:jc w:val="left"/>
        <w:rPr>
          <w:b w:val="0"/>
          <w:bCs w:val="0"/>
        </w:rPr>
      </w:pPr>
      <w:bookmarkStart w:name="（1）确认条件" w:id="195"/>
      <w:bookmarkEnd w:id="195"/>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360"/>
        <w:jc w:val="both"/>
      </w:pPr>
      <w:r>
        <w:rPr>
          <w:spacing w:val="-2"/>
        </w:rPr>
        <w:t>固定资产是指为生产商品、提供劳务、出租或经营管理而持有的，使用寿命超过一个会计年度的有形资产。固定资产仅</w:t>
      </w:r>
      <w:r>
        <w:rPr/>
        <w:t> </w:t>
      </w:r>
      <w:r>
        <w:rPr>
          <w:spacing w:val="-2"/>
        </w:rPr>
        <w:t>在与其有关的经济利益很可能流入本公司，且其成本能够可靠地计量时才予以确认。固定资产按成本并考虑预计弃置费用因</w:t>
      </w:r>
      <w:r>
        <w:rPr>
          <w:spacing w:val="-64"/>
        </w:rPr>
        <w:t> </w:t>
      </w:r>
      <w:r>
        <w:rPr>
          <w:spacing w:val="-64"/>
        </w:rPr>
      </w:r>
      <w:r>
        <w:rPr/>
        <w:t>素的影响进行初始计量。</w:t>
      </w:r>
    </w:p>
    <w:p>
      <w:pPr>
        <w:spacing w:line="240" w:lineRule="auto" w:before="4"/>
        <w:rPr>
          <w:rFonts w:ascii="宋体" w:hAnsi="宋体" w:cs="宋体" w:eastAsia="宋体" w:hint="default"/>
          <w:sz w:val="22"/>
          <w:szCs w:val="22"/>
        </w:rPr>
      </w:pPr>
    </w:p>
    <w:p>
      <w:pPr>
        <w:pStyle w:val="Heading3"/>
        <w:spacing w:line="240" w:lineRule="auto"/>
        <w:ind w:right="1121"/>
        <w:jc w:val="left"/>
        <w:rPr>
          <w:b w:val="0"/>
          <w:bCs w:val="0"/>
        </w:rPr>
      </w:pPr>
      <w:bookmarkStart w:name="（2）折旧方法" w:id="196"/>
      <w:bookmarkEnd w:id="196"/>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2.25-4.50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2.25-18.00</w:t>
            </w:r>
          </w:p>
        </w:tc>
      </w:tr>
    </w:tbl>
    <w:p>
      <w:pPr>
        <w:pStyle w:val="BodyText"/>
        <w:spacing w:line="316" w:lineRule="auto" w:before="10"/>
        <w:ind w:right="1121" w:firstLine="290"/>
        <w:jc w:val="left"/>
      </w:pPr>
      <w:r>
        <w:rPr>
          <w:spacing w:val="-1"/>
        </w:rPr>
        <w:t>预计净残值是指假定固定资产预计使用寿命已满并处于使用寿命终了时的预期状态，本公司目前从该项资产处置中获得</w:t>
      </w:r>
      <w:r>
        <w:rPr/>
        <w:t> 的扣除预计处置费用后的金额。</w:t>
      </w:r>
    </w:p>
    <w:p>
      <w:pPr>
        <w:spacing w:line="240" w:lineRule="auto" w:before="7"/>
        <w:rPr>
          <w:rFonts w:ascii="宋体" w:hAnsi="宋体" w:cs="宋体" w:eastAsia="宋体" w:hint="default"/>
          <w:sz w:val="22"/>
          <w:szCs w:val="22"/>
        </w:rPr>
      </w:pPr>
    </w:p>
    <w:p>
      <w:pPr>
        <w:pStyle w:val="Heading3"/>
        <w:spacing w:line="240" w:lineRule="auto"/>
        <w:ind w:right="1121"/>
        <w:jc w:val="left"/>
        <w:rPr>
          <w:b w:val="0"/>
          <w:bCs w:val="0"/>
        </w:rPr>
      </w:pPr>
      <w:bookmarkStart w:name="（3）融资租入固定资产的认定依据、计价和折旧方法" w:id="197"/>
      <w:bookmarkEnd w:id="197"/>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630"/>
        <w:jc w:val="both"/>
      </w:pPr>
      <w:r>
        <w:rPr/>
        <w:t>融资租赁为实质上转移了与资产所有权有关的全部风险和报酬的租赁，其所有权最终可能转移，也可能不转移。以 </w:t>
      </w:r>
      <w:r>
        <w:rPr>
          <w:spacing w:val="-2"/>
        </w:rPr>
        <w:t>融资租赁方式租入的固定资产采用与自有固定资产一致的政策计提租赁资产折旧。能够合理确定租赁期届满时取得租赁资产</w:t>
      </w:r>
      <w:r>
        <w:rPr>
          <w:spacing w:val="-64"/>
        </w:rPr>
        <w:t> </w:t>
      </w:r>
      <w:r>
        <w:rPr>
          <w:spacing w:val="-64"/>
        </w:rPr>
      </w:r>
      <w:r>
        <w:rPr>
          <w:spacing w:val="-2"/>
        </w:rPr>
        <w:t>所有权的，在租赁资产使用寿命内计提折旧；无法合理确定租赁期届满能够取得租赁资产所有权的，在租赁期与租赁资产使</w:t>
      </w:r>
      <w:r>
        <w:rPr>
          <w:spacing w:val="-66"/>
        </w:rPr>
        <w:t> </w:t>
      </w:r>
      <w:r>
        <w:rPr>
          <w:spacing w:val="-66"/>
        </w:rPr>
      </w:r>
      <w:r>
        <w:rPr/>
        <w:t>用寿命两者中较短的期间内计提折旧。 与固定资产有关的后续支出，如果与该固定资产有关的经济利益很可能流入 </w:t>
      </w:r>
      <w:r>
        <w:rPr>
          <w:spacing w:val="-2"/>
        </w:rPr>
        <w:t>且其成本能可靠地计量，则计入固定资产成本，并终止确认被替换部分的账面价值。除此以外的其他后续支出，在发生时计</w:t>
      </w:r>
      <w:r>
        <w:rPr>
          <w:spacing w:val="-66"/>
        </w:rPr>
        <w:t> </w:t>
      </w:r>
      <w:r>
        <w:rPr>
          <w:spacing w:val="-66"/>
        </w:rPr>
      </w:r>
      <w:r>
        <w:rPr/>
        <w:t>入当期损益。</w:t>
      </w:r>
    </w:p>
    <w:p>
      <w:pPr>
        <w:pStyle w:val="BodyText"/>
        <w:spacing w:line="319" w:lineRule="auto" w:before="56"/>
        <w:ind w:right="1200" w:firstLine="372"/>
        <w:jc w:val="left"/>
      </w:pPr>
      <w:r>
        <w:rPr/>
        <w:t>当固定资产处于处置状态或预期通过使用或处置不能产生经济利益时，终止确认该固定资产。固定资产出售、转让、 报废或毁损的处置收入扣除其账面价值和相关税费后的差额计入当期损益。</w:t>
      </w:r>
    </w:p>
    <w:p>
      <w:pPr>
        <w:pStyle w:val="BodyText"/>
        <w:spacing w:line="240" w:lineRule="auto" w:before="55"/>
        <w:ind w:left="525" w:right="1121"/>
        <w:jc w:val="left"/>
      </w:pPr>
      <w:r>
        <w:rPr/>
        <w:t>本公司至少于年度终了对固定资产的使用寿命、预计净残值和折旧方法进行复核，如发生改变则作为会计估计变更处</w:t>
      </w:r>
    </w:p>
    <w:p>
      <w:pPr>
        <w:pStyle w:val="BodyText"/>
        <w:spacing w:line="240" w:lineRule="auto" w:before="77"/>
        <w:ind w:right="1121"/>
        <w:jc w:val="left"/>
      </w:pPr>
      <w:r>
        <w:rPr/>
        <w:t>理。</w:t>
      </w:r>
    </w:p>
    <w:p>
      <w:pPr>
        <w:spacing w:line="240" w:lineRule="auto" w:before="10"/>
        <w:rPr>
          <w:rFonts w:ascii="宋体" w:hAnsi="宋体" w:cs="宋体" w:eastAsia="宋体" w:hint="default"/>
          <w:sz w:val="26"/>
          <w:szCs w:val="26"/>
        </w:rPr>
      </w:pPr>
    </w:p>
    <w:p>
      <w:pPr>
        <w:pStyle w:val="Heading3"/>
        <w:spacing w:line="240" w:lineRule="auto"/>
        <w:ind w:right="1121"/>
        <w:jc w:val="left"/>
        <w:rPr>
          <w:b w:val="0"/>
          <w:bCs w:val="0"/>
        </w:rPr>
      </w:pPr>
      <w:bookmarkStart w:name="17、在建工程" w:id="198"/>
      <w:bookmarkEnd w:id="198"/>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16" w:lineRule="auto" w:before="28"/>
        <w:ind w:right="1132" w:firstLine="360"/>
        <w:jc w:val="both"/>
      </w:pPr>
      <w:r>
        <w:rPr>
          <w:spacing w:val="-2"/>
        </w:rPr>
        <w:t>在建工程成本按实际工程支出确定，包括在建期间发生的各项工程支出以及其他相关费用等。在建工程在达到预定可使</w:t>
      </w:r>
      <w:r>
        <w:rPr/>
        <w:t> 用状态后结转为固定资产。</w:t>
      </w:r>
    </w:p>
    <w:p>
      <w:pPr>
        <w:pStyle w:val="BodyText"/>
        <w:spacing w:line="240" w:lineRule="auto" w:before="19"/>
        <w:ind w:left="444" w:right="1121"/>
        <w:jc w:val="left"/>
      </w:pPr>
      <w:r>
        <w:rPr/>
        <w:t>在建工程的减值测试方法和减值准备计提方法详见附注四、</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5"/>
          <w:szCs w:val="25"/>
        </w:rPr>
      </w:pPr>
    </w:p>
    <w:p>
      <w:pPr>
        <w:pStyle w:val="Heading3"/>
        <w:spacing w:line="240" w:lineRule="auto"/>
        <w:ind w:right="1121"/>
        <w:jc w:val="left"/>
        <w:rPr>
          <w:b w:val="0"/>
          <w:bCs w:val="0"/>
        </w:rPr>
      </w:pPr>
      <w:bookmarkStart w:name="18、借款费用" w:id="199"/>
      <w:bookmarkEnd w:id="199"/>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借款费用包括借款利息、折价或溢价的摊销、辅助费用以及因外币借款而发生的汇兑差额等。可直接归属于符合资本化</w:t>
      </w:r>
      <w:r>
        <w:rPr/>
        <w:t> </w:t>
      </w:r>
      <w:r>
        <w:rPr>
          <w:spacing w:val="-2"/>
        </w:rPr>
        <w:t>条件的资产的购建或者生产的借款费用，在资产支出已经发生、借款费用已经发生、为使资产达到预定可使用或可销售状态</w:t>
      </w:r>
      <w:r>
        <w:rPr>
          <w:spacing w:val="-66"/>
        </w:rPr>
        <w:t> </w:t>
      </w:r>
      <w:r>
        <w:rPr>
          <w:spacing w:val="-66"/>
        </w:rPr>
      </w:r>
      <w:r>
        <w:rPr>
          <w:spacing w:val="-2"/>
        </w:rPr>
        <w:t>所必要的购建或生产活动已经开始时，开始资本化；构建或者生产的符合资本化条件的资产达到预定可使用状态或者可销售</w:t>
      </w:r>
      <w:r>
        <w:rPr>
          <w:spacing w:val="-64"/>
        </w:rPr>
        <w:t> </w:t>
      </w:r>
      <w:r>
        <w:rPr>
          <w:spacing w:val="-64"/>
        </w:rPr>
      </w:r>
      <w:r>
        <w:rPr/>
        <w:t>状态时，停止资本化。其余借款费用在发生当期确认为费用。</w:t>
      </w:r>
    </w:p>
    <w:p>
      <w:pPr>
        <w:pStyle w:val="BodyText"/>
        <w:spacing w:line="316" w:lineRule="auto" w:before="19"/>
        <w:ind w:right="1130" w:firstLine="360"/>
        <w:jc w:val="both"/>
      </w:pPr>
      <w:r>
        <w:rPr>
          <w:spacing w:val="-2"/>
        </w:rPr>
        <w:t>专门借款当期实际发生的利息费用，减去尚未动用的借款资金存入银行取得的利息收入或进行暂时性投资取得的投资收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率，确定资本化金额。资本化率根据一般借款的加权平均利率计算确定。</w:t>
      </w:r>
    </w:p>
    <w:p>
      <w:pPr>
        <w:pStyle w:val="BodyText"/>
        <w:spacing w:line="316" w:lineRule="auto" w:before="19"/>
        <w:ind w:left="514" w:right="1121"/>
        <w:jc w:val="left"/>
      </w:pPr>
      <w:r>
        <w:rPr/>
        <w:t>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w:t>
      </w:r>
    </w:p>
    <w:p>
      <w:pPr>
        <w:pStyle w:val="BodyText"/>
        <w:spacing w:line="316" w:lineRule="auto" w:before="19"/>
        <w:ind w:left="444" w:right="1121" w:hanging="291"/>
        <w:jc w:val="left"/>
      </w:pPr>
      <w:r>
        <w:rPr/>
        <w:t>性房地产和存货等资产。 如果符合资本化条件的资产在购建或生产过程中发生非正常中断、并且中断时间连续超过</w:t>
      </w:r>
      <w:r>
        <w:rPr>
          <w:rFonts w:ascii="Times New Roman" w:hAnsi="Times New Roman" w:cs="Times New Roman" w:eastAsia="Times New Roman" w:hint="default"/>
        </w:rPr>
        <w:t>3</w:t>
      </w:r>
      <w:r>
        <w:rPr/>
        <w:t>个月的，暂停借款费用的资</w:t>
      </w:r>
    </w:p>
    <w:p>
      <w:pPr>
        <w:pStyle w:val="BodyText"/>
        <w:spacing w:line="235" w:lineRule="exact"/>
        <w:ind w:right="1121"/>
        <w:jc w:val="left"/>
      </w:pPr>
      <w:r>
        <w:rPr/>
        <w:t>本化，直至资产的购建或生产活动重新开始。</w:t>
      </w:r>
    </w:p>
    <w:p>
      <w:pPr>
        <w:spacing w:after="0" w:line="235" w:lineRule="exact"/>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21"/>
        <w:jc w:val="left"/>
        <w:rPr>
          <w:b w:val="0"/>
          <w:bCs w:val="0"/>
        </w:rPr>
      </w:pPr>
      <w:bookmarkStart w:name="19、无形资产" w:id="200"/>
      <w:bookmarkEnd w:id="200"/>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1"/>
        <w:jc w:val="left"/>
        <w:rPr>
          <w:b w:val="0"/>
          <w:bCs w:val="0"/>
        </w:rPr>
      </w:pPr>
      <w:bookmarkStart w:name="（1）计价方法、使用寿命、减值测试" w:id="201"/>
      <w:bookmarkEnd w:id="201"/>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0"/>
        <w:jc w:val="left"/>
      </w:pPr>
      <w:r>
        <w:rPr/>
        <w:t>无形资产是指本公司拥有或者控制的没有实物形态的可辨认非货币性资产。 </w:t>
      </w:r>
      <w:r>
        <w:rPr>
          <w:spacing w:val="-4"/>
        </w:rPr>
        <w:t>无形资产按成本进行初始计量。与无形资产有关的支出，如果相关的经济利益很可能流入本公司且其成本能可靠地计量，</w:t>
      </w:r>
    </w:p>
    <w:p>
      <w:pPr>
        <w:pStyle w:val="BodyText"/>
        <w:spacing w:line="316" w:lineRule="auto" w:before="19"/>
        <w:ind w:left="514" w:right="1121" w:hanging="360"/>
        <w:jc w:val="left"/>
      </w:pPr>
      <w:r>
        <w:rPr/>
        <w:t>则计入无形资产成本。除此以外的其他项目的支出，在发生时计入当期损益。 </w:t>
      </w:r>
      <w:r>
        <w:rPr>
          <w:spacing w:val="-2"/>
        </w:rPr>
        <w:t>取得的土地使用权通常作为无形资产核算。自行开发建造厂房等建筑物，相关的土地使用权支出和建筑物建造成本则分</w:t>
      </w:r>
    </w:p>
    <w:p>
      <w:pPr>
        <w:pStyle w:val="BodyText"/>
        <w:spacing w:line="316" w:lineRule="auto" w:before="19"/>
        <w:ind w:right="1121"/>
        <w:jc w:val="left"/>
      </w:pPr>
      <w:r>
        <w:rPr>
          <w:spacing w:val="-2"/>
        </w:rPr>
        <w:t>别作为无形资产和固定资产核算。如为外购的房屋及建筑物，则将有关价款在土地使用权和建筑物之间进行分配，难以合理</w:t>
      </w:r>
      <w:r>
        <w:rPr>
          <w:spacing w:val="-66"/>
        </w:rPr>
        <w:t> </w:t>
      </w:r>
      <w:r>
        <w:rPr>
          <w:spacing w:val="-66"/>
        </w:rPr>
      </w:r>
      <w:r>
        <w:rPr/>
        <w:t>分配的，全部作为固定资产处理。</w:t>
      </w:r>
    </w:p>
    <w:p>
      <w:pPr>
        <w:pStyle w:val="BodyText"/>
        <w:spacing w:line="316" w:lineRule="auto" w:before="19"/>
        <w:ind w:right="1132" w:firstLine="360"/>
        <w:jc w:val="both"/>
      </w:pPr>
      <w:r>
        <w:rPr>
          <w:spacing w:val="-2"/>
        </w:rPr>
        <w:t>使用寿命有限的无形资产自可供使用时起，对其原值在其预计使用寿命内采用直线法分期平均摊销。使用寿命不确定的</w:t>
      </w:r>
      <w:r>
        <w:rPr/>
        <w:t> 无形资产不予摊销。</w:t>
      </w:r>
    </w:p>
    <w:p>
      <w:pPr>
        <w:pStyle w:val="BodyText"/>
        <w:spacing w:line="316" w:lineRule="auto" w:before="19"/>
        <w:ind w:right="1131" w:firstLine="290"/>
        <w:jc w:val="both"/>
      </w:pPr>
      <w:r>
        <w:rPr>
          <w:spacing w:val="-1"/>
        </w:rPr>
        <w:t>期末，对使用寿命有限的无形资产的使用寿命和摊销方法进行复核，如发生变更则作为会计估计变更处理。此外，还对</w:t>
      </w:r>
      <w:r>
        <w:rPr/>
        <w:t> </w:t>
      </w:r>
      <w:r>
        <w:rPr>
          <w:spacing w:val="-2"/>
        </w:rPr>
        <w:t>使用寿命不确定的无形资产的使用寿命进行复核，如果有证据表明该无形资产为企业带来经济利益的期限是可预见的，则估</w:t>
      </w:r>
      <w:r>
        <w:rPr>
          <w:spacing w:val="-64"/>
        </w:rPr>
        <w:t> </w:t>
      </w:r>
      <w:r>
        <w:rPr>
          <w:spacing w:val="-64"/>
        </w:rPr>
      </w:r>
      <w:r>
        <w:rPr/>
        <w:t>计其使用寿命并按照使用寿命有限的无形资产的摊销政策进行摊销。</w:t>
      </w:r>
    </w:p>
    <w:p>
      <w:pPr>
        <w:spacing w:line="240" w:lineRule="auto" w:before="7"/>
        <w:rPr>
          <w:rFonts w:ascii="宋体" w:hAnsi="宋体" w:cs="宋体" w:eastAsia="宋体" w:hint="default"/>
          <w:sz w:val="22"/>
          <w:szCs w:val="22"/>
        </w:rPr>
      </w:pPr>
    </w:p>
    <w:p>
      <w:pPr>
        <w:pStyle w:val="Heading3"/>
        <w:spacing w:line="240" w:lineRule="auto"/>
        <w:ind w:right="1121"/>
        <w:jc w:val="left"/>
        <w:rPr>
          <w:b w:val="0"/>
          <w:bCs w:val="0"/>
        </w:rPr>
      </w:pPr>
      <w:bookmarkStart w:name="（2）内部研究开发支出会计政策" w:id="202"/>
      <w:bookmarkEnd w:id="202"/>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1752"/>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19"/>
        <w:ind w:left="514" w:right="1121"/>
        <w:jc w:val="left"/>
      </w:pPr>
      <w:r>
        <w:rPr/>
        <w:t>①</w:t>
      </w:r>
      <w:r>
        <w:rPr>
          <w:spacing w:val="-19"/>
        </w:rPr>
        <w:t> </w:t>
      </w:r>
      <w:r>
        <w:rPr/>
        <w:t>完成该无形资产以使其能够使用或出售在技术上具有可行性；</w:t>
      </w:r>
    </w:p>
    <w:p>
      <w:pPr>
        <w:pStyle w:val="BodyText"/>
        <w:spacing w:line="240" w:lineRule="auto" w:before="77"/>
        <w:ind w:left="514" w:right="1121"/>
        <w:jc w:val="left"/>
      </w:pPr>
      <w:r>
        <w:rPr/>
        <w:t>②</w:t>
      </w:r>
      <w:r>
        <w:rPr>
          <w:spacing w:val="-19"/>
        </w:rPr>
        <w:t> </w:t>
      </w:r>
      <w:r>
        <w:rPr/>
        <w:t>具有完成该无形资产并使用或出售的意图；</w:t>
      </w:r>
    </w:p>
    <w:p>
      <w:pPr>
        <w:pStyle w:val="BodyText"/>
        <w:spacing w:line="316" w:lineRule="auto" w:before="76"/>
        <w:ind w:right="1158" w:firstLine="360"/>
        <w:jc w:val="both"/>
      </w:pPr>
      <w:r>
        <w:rPr/>
        <w:t>③</w:t>
      </w:r>
      <w:r>
        <w:rPr>
          <w:spacing w:val="-19"/>
        </w:rPr>
        <w:t> </w:t>
      </w:r>
      <w:r>
        <w:rPr/>
        <w:t>无形资产产生经济利益的方式，包括能够证明运用该无形资产生产的产品存在市场或无形资产自身存在市场，无形</w:t>
      </w:r>
      <w:r>
        <w:rPr/>
        <w:t> 资产将在内部使用的，能够证明其有用性；</w:t>
      </w:r>
    </w:p>
    <w:p>
      <w:pPr>
        <w:pStyle w:val="BodyText"/>
        <w:spacing w:line="240" w:lineRule="auto" w:before="19"/>
        <w:ind w:left="514" w:right="1121"/>
        <w:jc w:val="left"/>
      </w:pPr>
      <w:r>
        <w:rPr/>
        <w:t>④</w:t>
      </w:r>
      <w:r>
        <w:rPr>
          <w:spacing w:val="-19"/>
        </w:rPr>
        <w:t> </w:t>
      </w:r>
      <w:r>
        <w:rPr/>
        <w:t>有足够的技术、财务资源和其他资源支持，以完成该无形资产的开发，并有能力使用或出售该无形资产；</w:t>
      </w:r>
    </w:p>
    <w:p>
      <w:pPr>
        <w:pStyle w:val="BodyText"/>
        <w:spacing w:line="316" w:lineRule="auto" w:before="76"/>
        <w:ind w:left="514" w:right="3912"/>
        <w:jc w:val="left"/>
      </w:pPr>
      <w:r>
        <w:rPr/>
        <w:t>⑤</w:t>
      </w:r>
      <w:r>
        <w:rPr>
          <w:spacing w:val="-18"/>
        </w:rPr>
        <w:t> </w:t>
      </w:r>
      <w:r>
        <w:rPr/>
        <w:t>归属于该无形资产开发阶段的支出能够可靠地计量。</w:t>
      </w:r>
      <w:r>
        <w:rPr/>
        <w:t> 无法区分研究阶段支出和开发阶段支出的，将发生的研发支出全部计入当期损益。</w:t>
      </w:r>
    </w:p>
    <w:p>
      <w:pPr>
        <w:pStyle w:val="BodyText"/>
        <w:spacing w:line="300" w:lineRule="auto" w:before="19"/>
        <w:ind w:left="444" w:right="4182" w:firstLine="69"/>
        <w:jc w:val="left"/>
      </w:pPr>
      <w:r>
        <w:rPr/>
        <w:t>（</w:t>
      </w:r>
      <w:r>
        <w:rPr>
          <w:rFonts w:ascii="Times New Roman" w:hAnsi="Times New Roman" w:cs="Times New Roman" w:eastAsia="Times New Roman" w:hint="default"/>
        </w:rPr>
        <w:t>3</w:t>
      </w:r>
      <w:r>
        <w:rPr/>
        <w:t>）无形资产的减值测试方法及减值准备计提方法 无形资产的减值测试方法和减值准备计提方法详见附注四、</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2"/>
          <w:szCs w:val="22"/>
        </w:rPr>
      </w:pPr>
    </w:p>
    <w:p>
      <w:pPr>
        <w:pStyle w:val="Heading3"/>
        <w:spacing w:line="240" w:lineRule="auto"/>
        <w:ind w:right="1121"/>
        <w:jc w:val="left"/>
        <w:rPr>
          <w:b w:val="0"/>
          <w:bCs w:val="0"/>
        </w:rPr>
      </w:pPr>
      <w:bookmarkStart w:name="20、长期资产减值" w:id="203"/>
      <w:bookmarkEnd w:id="203"/>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对于固定资产、在建工程、使用寿命有限的无形资产、以成本模式计量的投资性房地产及对子公司、合营企业、联营企</w:t>
      </w:r>
      <w:r>
        <w:rPr/>
        <w:t> </w:t>
      </w:r>
      <w:r>
        <w:rPr>
          <w:spacing w:val="-2"/>
        </w:rPr>
        <w:t>业的长期股权投资等非流动非金融资产，本公司于资产负债表日判断是否存在减值迹象。如存在减值迹象的，则估计其可收</w:t>
      </w:r>
      <w:r>
        <w:rPr>
          <w:spacing w:val="-65"/>
        </w:rPr>
        <w:t> </w:t>
      </w:r>
      <w:r>
        <w:rPr>
          <w:spacing w:val="-65"/>
        </w:rPr>
      </w:r>
      <w:r>
        <w:rPr>
          <w:spacing w:val="-2"/>
        </w:rPr>
        <w:t>回金额，进行减值测试。商誉、使用寿命不确定的无形资产和尚未达到可使用状态的无形资产，无论是否存在减值迹象，每</w:t>
      </w:r>
      <w:r>
        <w:rPr>
          <w:spacing w:val="-66"/>
        </w:rPr>
        <w:t> </w:t>
      </w:r>
      <w:r>
        <w:rPr>
          <w:spacing w:val="-66"/>
        </w:rPr>
      </w:r>
      <w:r>
        <w:rPr/>
        <w:t>年均进行减值测试。</w:t>
      </w:r>
    </w:p>
    <w:p>
      <w:pPr>
        <w:pStyle w:val="BodyText"/>
        <w:spacing w:line="316" w:lineRule="auto" w:before="19"/>
        <w:ind w:right="0" w:firstLine="360"/>
        <w:jc w:val="left"/>
      </w:pPr>
      <w:r>
        <w:rPr>
          <w:spacing w:val="-2"/>
        </w:rPr>
        <w:t>减值测试结果表明资产的可收回金额低于其账面价值的，按其差额计提减值准备并计入减值损失。可收回金额为资产的</w:t>
      </w:r>
      <w:r>
        <w:rPr/>
        <w:t> </w:t>
      </w: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6"/>
        </w:rPr>
        <w:t> </w:t>
      </w:r>
      <w:r>
        <w:rPr>
          <w:spacing w:val="-66"/>
        </w:rPr>
      </w:r>
      <w:r>
        <w:rPr>
          <w:spacing w:val="-2"/>
        </w:rPr>
        <w:t>场的，则以可获取的最佳信息为基础估计资产的公允价值。处置费用包括与资产处置有关的法律费用、相关税费、搬运费以</w:t>
      </w:r>
      <w:r>
        <w:rPr>
          <w:spacing w:val="-66"/>
        </w:rPr>
        <w:t> </w:t>
      </w:r>
      <w:r>
        <w:rPr>
          <w:spacing w:val="-66"/>
        </w:rPr>
      </w:r>
      <w:r>
        <w:rPr>
          <w:spacing w:val="-2"/>
        </w:rPr>
        <w:t>及为使资产达到可销售状态所发生的直接费用。资产预计未来现金流量的现值，按照资产在持续使用过程中和最终处置时所</w:t>
      </w:r>
      <w:r>
        <w:rPr>
          <w:spacing w:val="-64"/>
        </w:rPr>
        <w:t> </w:t>
      </w:r>
      <w:r>
        <w:rPr>
          <w:spacing w:val="-64"/>
        </w:rPr>
      </w:r>
      <w:r>
        <w:rPr>
          <w:spacing w:val="-4"/>
        </w:rPr>
        <w:t>产生的预计未来现金流量，选择恰当的折现率对其进行折现后的金额加以确定。资产减值准备按单项资产为基础计算并确认，</w:t>
      </w:r>
      <w:r>
        <w:rPr>
          <w:spacing w:val="-44"/>
        </w:rPr>
        <w:t> </w:t>
      </w:r>
      <w:r>
        <w:rPr>
          <w:spacing w:val="-44"/>
        </w:rPr>
      </w: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0" w:firstLine="360"/>
        <w:jc w:val="both"/>
      </w:pPr>
      <w:r>
        <w:rPr>
          <w:spacing w:val="-2"/>
        </w:rPr>
        <w:t>在财务报表中单独列示的商誉，在进行减值测试时，将商誉的账面价值分摊至预期从企业合并的协同效应中受益的资产</w:t>
      </w:r>
      <w:r>
        <w:rPr/>
        <w:t> </w:t>
      </w:r>
      <w:r>
        <w:rPr>
          <w:spacing w:val="-2"/>
        </w:rPr>
        <w:t>组或资产组组合。测试结果表明包含分摊的商誉的资产组或资产组组合的可收回金额低于其账面价值的，确认相应的减值损</w:t>
      </w:r>
      <w:r>
        <w:rPr>
          <w:spacing w:val="-64"/>
        </w:rPr>
        <w:t> </w:t>
      </w:r>
      <w:r>
        <w:rPr>
          <w:spacing w:val="-64"/>
        </w:rPr>
      </w:r>
      <w:r>
        <w:rPr>
          <w:spacing w:val="-2"/>
        </w:rPr>
        <w:t>失。减值损失金额先抵减分摊至该资产组或资产组组合的商誉的账面价值，再根据资产组或资产组组合中除商誉以外的其他</w:t>
      </w:r>
      <w:r>
        <w:rPr>
          <w:spacing w:val="-64"/>
        </w:rPr>
        <w:t> </w:t>
      </w:r>
      <w:r>
        <w:rPr>
          <w:spacing w:val="-64"/>
        </w:rPr>
      </w:r>
      <w:r>
        <w:rPr/>
        <w:t>各项资产的账面价值所占比重，按比例抵减其他各项资产的账面价值。</w:t>
      </w:r>
    </w:p>
    <w:p>
      <w:pPr>
        <w:pStyle w:val="BodyText"/>
        <w:spacing w:line="240" w:lineRule="auto" w:before="19"/>
        <w:ind w:left="444" w:right="1121"/>
        <w:jc w:val="left"/>
      </w:pPr>
      <w:r>
        <w:rPr/>
        <w:t>上述资产减值损失一经确认，以后期间不予转回价值得以恢复的部分。</w:t>
      </w:r>
    </w:p>
    <w:p>
      <w:pPr>
        <w:spacing w:line="240" w:lineRule="auto" w:before="12"/>
        <w:rPr>
          <w:rFonts w:ascii="宋体" w:hAnsi="宋体" w:cs="宋体" w:eastAsia="宋体" w:hint="default"/>
          <w:sz w:val="26"/>
          <w:szCs w:val="26"/>
        </w:rPr>
      </w:pPr>
    </w:p>
    <w:p>
      <w:pPr>
        <w:pStyle w:val="Heading3"/>
        <w:spacing w:line="240" w:lineRule="auto"/>
        <w:ind w:right="1121"/>
        <w:jc w:val="left"/>
        <w:rPr>
          <w:b w:val="0"/>
          <w:bCs w:val="0"/>
        </w:rPr>
      </w:pPr>
      <w:bookmarkStart w:name="21、长期待摊费用" w:id="204"/>
      <w:bookmarkEnd w:id="204"/>
      <w:r>
        <w:rPr>
          <w:b w:val="0"/>
          <w:bCs w:val="0"/>
        </w:rPr>
      </w:r>
      <w:r>
        <w:rPr>
          <w:rFonts w:ascii="Times New Roman" w:hAnsi="Times New Roman" w:cs="Times New Roman" w:eastAsia="Times New Roman" w:hint="default"/>
        </w:rPr>
        <w:t>21</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1" w:firstLine="290"/>
        <w:jc w:val="left"/>
      </w:pPr>
      <w:r>
        <w:rPr>
          <w:spacing w:val="-1"/>
        </w:rPr>
        <w:t>长期待摊费用为已经发生但应由报告期和以后各期负担的分摊期限在一年以上的各项费用。长期待摊费用在预计受益期</w:t>
      </w:r>
      <w:r>
        <w:rPr/>
        <w:t> 间按直线法摊销。</w:t>
      </w:r>
    </w:p>
    <w:p>
      <w:pPr>
        <w:spacing w:line="240" w:lineRule="auto" w:before="7"/>
        <w:rPr>
          <w:rFonts w:ascii="宋体" w:hAnsi="宋体" w:cs="宋体" w:eastAsia="宋体" w:hint="default"/>
          <w:sz w:val="22"/>
          <w:szCs w:val="22"/>
        </w:rPr>
      </w:pPr>
    </w:p>
    <w:p>
      <w:pPr>
        <w:pStyle w:val="Heading3"/>
        <w:spacing w:line="240" w:lineRule="auto"/>
        <w:ind w:right="1121"/>
        <w:jc w:val="left"/>
        <w:rPr>
          <w:b w:val="0"/>
          <w:bCs w:val="0"/>
        </w:rPr>
      </w:pPr>
      <w:bookmarkStart w:name="22、职工薪酬" w:id="205"/>
      <w:bookmarkEnd w:id="205"/>
      <w:r>
        <w:rPr>
          <w:b w:val="0"/>
          <w:bCs w:val="0"/>
        </w:rPr>
      </w:r>
      <w:r>
        <w:rPr>
          <w:rFonts w:ascii="Times New Roman" w:hAnsi="Times New Roman" w:cs="Times New Roman" w:eastAsia="Times New Roman" w:hint="default"/>
        </w:rPr>
        <w:t>22</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1"/>
        <w:jc w:val="left"/>
        <w:rPr>
          <w:b w:val="0"/>
          <w:bCs w:val="0"/>
        </w:rPr>
      </w:pPr>
      <w:bookmarkStart w:name="（1）短期薪酬的会计处理方法" w:id="206"/>
      <w:bookmarkEnd w:id="206"/>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290"/>
        <w:jc w:val="left"/>
      </w:pPr>
      <w:r>
        <w:rPr/>
        <w:t>短期薪酬主要包括工资、奖金、津贴和补贴、职工福利费、医疗保险费、生育保险费、工伤保险费、住房公积金、工会 </w:t>
      </w:r>
      <w:r>
        <w:rPr>
          <w:spacing w:val="-4"/>
        </w:rPr>
        <w:t>经费和职工教育经费、非货币性福利等。本公司在职工为本公司提供服务的会计期间将实际发生的短期职工薪酬确认为负债，</w:t>
      </w:r>
      <w:r>
        <w:rPr>
          <w:spacing w:val="-44"/>
        </w:rPr>
        <w:t> </w:t>
      </w:r>
      <w:r>
        <w:rPr>
          <w:spacing w:val="-44"/>
        </w:rPr>
      </w:r>
      <w:r>
        <w:rPr/>
        <w:t>并计入当期损益或相关资产成本。其中非货币性福利按公允价值计量。</w:t>
      </w:r>
    </w:p>
    <w:p>
      <w:pPr>
        <w:spacing w:line="240" w:lineRule="auto" w:before="7"/>
        <w:rPr>
          <w:rFonts w:ascii="宋体" w:hAnsi="宋体" w:cs="宋体" w:eastAsia="宋体" w:hint="default"/>
          <w:sz w:val="22"/>
          <w:szCs w:val="22"/>
        </w:rPr>
      </w:pPr>
    </w:p>
    <w:p>
      <w:pPr>
        <w:pStyle w:val="Heading3"/>
        <w:spacing w:line="240" w:lineRule="auto"/>
        <w:ind w:right="1121"/>
        <w:jc w:val="left"/>
        <w:rPr>
          <w:b w:val="0"/>
          <w:bCs w:val="0"/>
        </w:rPr>
      </w:pPr>
      <w:bookmarkStart w:name="（2）离职后福利的会计处理方法" w:id="207"/>
      <w:bookmarkEnd w:id="207"/>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21" w:firstLine="290"/>
        <w:jc w:val="left"/>
      </w:pPr>
      <w:r>
        <w:rPr>
          <w:spacing w:val="-1"/>
        </w:rPr>
        <w:t>离职后福利主要包括基本养老保险、失业保险。离职后福利计划包括设定提存计划。采用设定提存计划的，相应的应缴</w:t>
      </w:r>
      <w:r>
        <w:rPr/>
        <w:t> 存金额于发生时计入相关资产成本或当期损益。</w:t>
      </w:r>
    </w:p>
    <w:p>
      <w:pPr>
        <w:spacing w:line="240" w:lineRule="auto" w:before="5"/>
        <w:rPr>
          <w:rFonts w:ascii="宋体" w:hAnsi="宋体" w:cs="宋体" w:eastAsia="宋体" w:hint="default"/>
          <w:sz w:val="22"/>
          <w:szCs w:val="22"/>
        </w:rPr>
      </w:pPr>
    </w:p>
    <w:p>
      <w:pPr>
        <w:pStyle w:val="Heading3"/>
        <w:spacing w:line="240" w:lineRule="auto"/>
        <w:ind w:right="1121"/>
        <w:jc w:val="left"/>
        <w:rPr>
          <w:b w:val="0"/>
          <w:bCs w:val="0"/>
        </w:rPr>
      </w:pPr>
      <w:bookmarkStart w:name="（3）辞退福利的会计处理方法" w:id="208"/>
      <w:bookmarkEnd w:id="208"/>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290"/>
        <w:jc w:val="left"/>
      </w:pPr>
      <w:r>
        <w:rPr/>
        <w:t>在职工劳动合同到期之前解除与职工的劳动关系，或为鼓励职工自愿接受裁减而提出给予补偿的建议，在本公司不能单 </w:t>
      </w:r>
      <w:r>
        <w:rPr>
          <w:spacing w:val="-2"/>
        </w:rPr>
        <w:t>方面撤回因解除劳动关系计划或裁减建议所提供的辞退福利时，和本公司确认与涉及支付辞退福利的重组相关的成本两者孰</w:t>
      </w:r>
      <w:r>
        <w:rPr>
          <w:spacing w:val="-64"/>
        </w:rPr>
        <w:t> </w:t>
      </w:r>
      <w:r>
        <w:rPr>
          <w:spacing w:val="-64"/>
        </w:rPr>
      </w:r>
      <w:r>
        <w:rPr>
          <w:spacing w:val="-4"/>
        </w:rPr>
        <w:t>早日，确认辞退福利产生的职工薪酬负债，并计入当期损益。但辞退福利预期在年度报告期结束后十二个月不能完全支付的，</w:t>
      </w:r>
      <w:r>
        <w:rPr>
          <w:spacing w:val="-44"/>
        </w:rPr>
        <w:t> </w:t>
      </w:r>
      <w:r>
        <w:rPr>
          <w:spacing w:val="-44"/>
        </w:rPr>
      </w:r>
      <w:r>
        <w:rPr/>
        <w:t>按照其他长期职工薪酬处理。</w:t>
      </w:r>
    </w:p>
    <w:p>
      <w:pPr>
        <w:spacing w:line="240" w:lineRule="auto" w:before="7"/>
        <w:rPr>
          <w:rFonts w:ascii="宋体" w:hAnsi="宋体" w:cs="宋体" w:eastAsia="宋体" w:hint="default"/>
          <w:sz w:val="22"/>
          <w:szCs w:val="22"/>
        </w:rPr>
      </w:pPr>
    </w:p>
    <w:p>
      <w:pPr>
        <w:pStyle w:val="Heading3"/>
        <w:spacing w:line="240" w:lineRule="auto"/>
        <w:ind w:right="1121"/>
        <w:jc w:val="left"/>
        <w:rPr>
          <w:b w:val="0"/>
          <w:bCs w:val="0"/>
        </w:rPr>
      </w:pPr>
      <w:bookmarkStart w:name="（4）其他长期职工福利的会计处理方法" w:id="209"/>
      <w:bookmarkEnd w:id="209"/>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1" w:firstLine="360"/>
        <w:jc w:val="left"/>
      </w:pPr>
      <w:r>
        <w:rPr>
          <w:spacing w:val="-2"/>
        </w:rPr>
        <w:t>职工内部退休计划采用与上述辞退福利相同的原则处理。本公司将自职工停止提供服务日至正常退休日的期间拟支付的</w:t>
      </w:r>
      <w:r>
        <w:rPr/>
        <w:t> 内退人员工资和缴纳的社会保险费等，在符合预计负债确认条件时，计入当期损益（辞退福利）。</w:t>
      </w:r>
    </w:p>
    <w:p>
      <w:pPr>
        <w:pStyle w:val="BodyText"/>
        <w:spacing w:line="316" w:lineRule="auto" w:before="19"/>
        <w:ind w:right="1121" w:firstLine="290"/>
        <w:jc w:val="left"/>
      </w:pPr>
      <w:r>
        <w:rPr>
          <w:spacing w:val="-1"/>
        </w:rPr>
        <w:t>本公司向职工提供的其他长期职工福利，符合设定提存计划的，按照设定提存计划进行会计处理，除此之外按照设定受</w:t>
      </w:r>
      <w:r>
        <w:rPr/>
        <w:t> 益计划进行会计处理。</w:t>
      </w:r>
    </w:p>
    <w:p>
      <w:pPr>
        <w:spacing w:line="240" w:lineRule="auto" w:before="7"/>
        <w:rPr>
          <w:rFonts w:ascii="宋体" w:hAnsi="宋体" w:cs="宋体" w:eastAsia="宋体" w:hint="default"/>
          <w:sz w:val="22"/>
          <w:szCs w:val="22"/>
        </w:rPr>
      </w:pPr>
    </w:p>
    <w:p>
      <w:pPr>
        <w:pStyle w:val="Heading3"/>
        <w:spacing w:line="240" w:lineRule="auto"/>
        <w:ind w:right="1121"/>
        <w:jc w:val="left"/>
        <w:rPr>
          <w:b w:val="0"/>
          <w:bCs w:val="0"/>
        </w:rPr>
      </w:pPr>
      <w:bookmarkStart w:name="23、预计负债" w:id="210"/>
      <w:bookmarkEnd w:id="210"/>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121" w:firstLine="360"/>
        <w:jc w:val="left"/>
      </w:pPr>
      <w:r>
        <w:rPr>
          <w:spacing w:val="-2"/>
        </w:rPr>
        <w:t>当与或有事项相关的义务同时符合以下条件，确认为预计负债：（</w:t>
      </w:r>
      <w:r>
        <w:rPr>
          <w:rFonts w:ascii="Times New Roman" w:hAnsi="Times New Roman" w:cs="Times New Roman" w:eastAsia="Times New Roman" w:hint="default"/>
          <w:spacing w:val="-2"/>
        </w:rPr>
        <w:t>1</w:t>
      </w:r>
      <w:r>
        <w:rPr>
          <w:spacing w:val="-2"/>
        </w:rPr>
        <w:t>）该义务是本公司承担的现时义务；（</w:t>
      </w:r>
      <w:r>
        <w:rPr>
          <w:rFonts w:ascii="Times New Roman" w:hAnsi="Times New Roman" w:cs="Times New Roman" w:eastAsia="Times New Roman" w:hint="default"/>
          <w:spacing w:val="-2"/>
        </w:rPr>
        <w:t>2</w:t>
      </w:r>
      <w:r>
        <w:rPr>
          <w:spacing w:val="-2"/>
        </w:rPr>
        <w:t>）履行该义</w:t>
      </w:r>
      <w:r>
        <w:rPr/>
        <w:t> 务很可能导致经济利益流出；（</w:t>
      </w:r>
      <w:r>
        <w:rPr>
          <w:rFonts w:ascii="Times New Roman" w:hAnsi="Times New Roman" w:cs="Times New Roman" w:eastAsia="Times New Roman" w:hint="default"/>
        </w:rPr>
        <w:t>3</w:t>
      </w:r>
      <w:r>
        <w:rPr/>
        <w:t>）该义务的金额能够可靠地计量。</w:t>
      </w:r>
    </w:p>
    <w:p>
      <w:pPr>
        <w:pStyle w:val="BodyText"/>
        <w:spacing w:line="316" w:lineRule="auto" w:before="13"/>
        <w:ind w:right="1121" w:firstLine="360"/>
        <w:jc w:val="left"/>
      </w:pPr>
      <w:r>
        <w:rPr>
          <w:spacing w:val="-2"/>
        </w:rPr>
        <w:t>在资产负债表日，考虑与或有事项有关的风险、不确定性和货币时间价值等因素，按照履行相关现时义务所需支出的最</w:t>
      </w:r>
      <w:r>
        <w:rPr/>
        <w:t> 佳估计数对预计负债进行计量。</w:t>
      </w:r>
    </w:p>
    <w:p>
      <w:pPr>
        <w:pStyle w:val="BodyText"/>
        <w:spacing w:line="240" w:lineRule="auto" w:before="19"/>
        <w:ind w:left="514" w:right="0"/>
        <w:jc w:val="left"/>
      </w:pPr>
      <w:r>
        <w:rPr/>
        <w:t>如果清偿预计负债所需支出全部或部分预期由第三方补偿的，补偿金额在基本确定能够收到时，作为资产单独确认，且</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确认的补偿金额不超过预计负债的账面价值。</w:t>
      </w:r>
    </w:p>
    <w:p>
      <w:pPr>
        <w:pStyle w:val="BodyText"/>
        <w:spacing w:line="300" w:lineRule="auto" w:before="76"/>
        <w:ind w:left="514" w:right="1121"/>
        <w:jc w:val="left"/>
      </w:pPr>
      <w:r>
        <w:rPr/>
        <w:t>（</w:t>
      </w:r>
      <w:r>
        <w:rPr>
          <w:rFonts w:ascii="Times New Roman" w:hAnsi="Times New Roman" w:cs="Times New Roman" w:eastAsia="Times New Roman" w:hint="default"/>
        </w:rPr>
        <w:t>1</w:t>
      </w:r>
      <w:r>
        <w:rPr/>
        <w:t>）亏损合同 </w:t>
      </w:r>
      <w:r>
        <w:rPr>
          <w:spacing w:val="-2"/>
        </w:rPr>
        <w:t>亏损合同是履行合同义务不可避免会发生的成本超过预期经济利益的合同。待执行合同变成亏损合同，且该亏损合同产</w:t>
      </w:r>
    </w:p>
    <w:p>
      <w:pPr>
        <w:pStyle w:val="BodyText"/>
        <w:spacing w:line="319" w:lineRule="auto" w:before="31"/>
        <w:ind w:right="1131"/>
        <w:jc w:val="both"/>
      </w:pPr>
      <w:r>
        <w:rPr>
          <w:spacing w:val="-2"/>
        </w:rPr>
        <w:t>生的义务满足上述预计负债的确认条件的，将合同预计损失超过合同标的资产已确认的减值损失（如有）的部分，确认为预</w:t>
      </w:r>
      <w:r>
        <w:rPr>
          <w:spacing w:val="-66"/>
        </w:rPr>
        <w:t> </w:t>
      </w:r>
      <w:r>
        <w:rPr>
          <w:spacing w:val="-66"/>
        </w:rPr>
      </w:r>
      <w:r>
        <w:rPr/>
        <w:t>计负债。</w:t>
      </w:r>
    </w:p>
    <w:p>
      <w:pPr>
        <w:pStyle w:val="BodyText"/>
        <w:spacing w:line="300" w:lineRule="auto" w:before="17"/>
        <w:ind w:left="444" w:right="1121" w:firstLine="69"/>
        <w:jc w:val="left"/>
      </w:pPr>
      <w:r>
        <w:rPr/>
        <w:t>（</w:t>
      </w:r>
      <w:r>
        <w:rPr>
          <w:rFonts w:ascii="Times New Roman" w:hAnsi="Times New Roman" w:cs="Times New Roman" w:eastAsia="Times New Roman" w:hint="default"/>
        </w:rPr>
        <w:t>2</w:t>
      </w:r>
      <w:r>
        <w:rPr/>
        <w:t>）重组义务 </w:t>
      </w:r>
      <w:r>
        <w:rPr>
          <w:spacing w:val="-1"/>
        </w:rPr>
        <w:t>对于有详细、正式并且已经对外公告的重组计划，在满足前述预计负债的确认条件的情况下，按照与重组有关的直接支</w:t>
      </w:r>
    </w:p>
    <w:p>
      <w:pPr>
        <w:pStyle w:val="BodyText"/>
        <w:spacing w:line="240" w:lineRule="auto" w:before="31"/>
        <w:ind w:right="0"/>
        <w:jc w:val="both"/>
      </w:pPr>
      <w:r>
        <w:rPr/>
        <w:t>出确定预计负债金额。</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24、股份支付" w:id="211"/>
      <w:bookmarkEnd w:id="211"/>
      <w:r>
        <w:rPr>
          <w:b w:val="0"/>
          <w:bCs w:val="0"/>
        </w:rPr>
      </w:r>
      <w:r>
        <w:rPr>
          <w:rFonts w:ascii="Times New Roman" w:hAnsi="Times New Roman" w:cs="Times New Roman" w:eastAsia="Times New Roman" w:hint="default"/>
        </w:rPr>
        <w:t>24</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1121"/>
        <w:jc w:val="left"/>
      </w:pPr>
      <w:r>
        <w:rPr/>
        <w:t>（</w:t>
      </w:r>
      <w:r>
        <w:rPr>
          <w:rFonts w:ascii="Times New Roman" w:hAnsi="Times New Roman" w:cs="Times New Roman" w:eastAsia="Times New Roman" w:hint="default"/>
        </w:rPr>
        <w:t>1</w:t>
      </w:r>
      <w:r>
        <w:rPr/>
        <w:t>）股份支付的会计处理方法 </w:t>
      </w:r>
      <w:r>
        <w:rPr>
          <w:spacing w:val="-2"/>
        </w:rPr>
        <w:t>股份支付是为了获取职工或其他方提供服务而授予权益工具或者承担以权益工具为基础确定的负债的交易。股份支付分</w:t>
      </w:r>
    </w:p>
    <w:p>
      <w:pPr>
        <w:pStyle w:val="BodyText"/>
        <w:spacing w:line="240" w:lineRule="auto" w:before="31"/>
        <w:ind w:right="0"/>
        <w:jc w:val="both"/>
      </w:pPr>
      <w:r>
        <w:rPr/>
        <w:t>为以权益结算的股份支付和以现金结算的股份支付。</w:t>
      </w:r>
    </w:p>
    <w:p>
      <w:pPr>
        <w:pStyle w:val="BodyText"/>
        <w:spacing w:line="316" w:lineRule="auto" w:before="76"/>
        <w:ind w:left="514" w:right="1121"/>
        <w:jc w:val="left"/>
      </w:pPr>
      <w:r>
        <w:rPr/>
        <w:t>①</w:t>
      </w:r>
      <w:r>
        <w:rPr>
          <w:spacing w:val="-17"/>
        </w:rPr>
        <w:t> </w:t>
      </w:r>
      <w:r>
        <w:rPr/>
        <w:t>以权益结算的股份支付</w:t>
      </w:r>
      <w:r>
        <w:rPr/>
        <w:t> </w:t>
      </w:r>
      <w:r>
        <w:rPr>
          <w:spacing w:val="-2"/>
        </w:rPr>
        <w:t>用以换取职工提供的服务的权益结算的股份支付，以授予职工权益工具在授予日的公允价值计量。该公允价值的金额在</w:t>
      </w:r>
    </w:p>
    <w:p>
      <w:pPr>
        <w:pStyle w:val="BodyText"/>
        <w:spacing w:line="316" w:lineRule="auto" w:before="19"/>
        <w:ind w:right="1130"/>
        <w:jc w:val="both"/>
      </w:pPr>
      <w:r>
        <w:rPr>
          <w:spacing w:val="-2"/>
        </w:rPr>
        <w:t>完成等待期内的服务或达到规定业绩条件才可行权的情况下，在等待期内以对可行权权益工具数量的最佳估计为基础，按直</w:t>
      </w:r>
      <w:r>
        <w:rPr>
          <w:spacing w:val="-63"/>
        </w:rPr>
        <w:t> </w:t>
      </w:r>
      <w:r>
        <w:rPr>
          <w:spacing w:val="-63"/>
        </w:rPr>
      </w:r>
      <w:r>
        <w:rPr/>
        <w:t>线法计算计入相关成本或费用，相应增加资本公积。</w:t>
      </w:r>
    </w:p>
    <w:p>
      <w:pPr>
        <w:pStyle w:val="BodyText"/>
        <w:spacing w:line="316" w:lineRule="auto" w:before="19"/>
        <w:ind w:right="1132" w:firstLine="360"/>
        <w:jc w:val="both"/>
      </w:pPr>
      <w:r>
        <w:rPr>
          <w:spacing w:val="-2"/>
        </w:rPr>
        <w:t>在等待期内每个资产负债表日，本公司根据最新取得的可行权职工人数变动等后续信息做出最佳估计，修正预计可行权</w:t>
      </w:r>
      <w:r>
        <w:rPr/>
        <w:t> 的权益工具数量。上述估计的影响计入当期相关成本或费用，并相应调整资本公积。</w:t>
      </w:r>
    </w:p>
    <w:p>
      <w:pPr>
        <w:pStyle w:val="BodyText"/>
        <w:spacing w:line="319" w:lineRule="auto" w:before="19"/>
        <w:ind w:right="1132" w:firstLine="360"/>
        <w:jc w:val="both"/>
      </w:pPr>
      <w:r>
        <w:rPr>
          <w:spacing w:val="-2"/>
        </w:rPr>
        <w:t>用以换取其他方服务的权益结算的股份支付，如果其他方服务的公允价值能够可靠计量，按照其他方服务在取得日的公</w:t>
      </w:r>
      <w:r>
        <w:rPr/>
        <w:t> </w:t>
      </w:r>
      <w:r>
        <w:rPr>
          <w:spacing w:val="-2"/>
        </w:rPr>
        <w:t>允价值计量，如果其他方服务的公允价值不能可靠计量，但权益工具的公允价值能够可靠计量的，按照权益工具在服务取得</w:t>
      </w:r>
      <w:r>
        <w:rPr>
          <w:spacing w:val="-66"/>
        </w:rPr>
        <w:t> </w:t>
      </w:r>
      <w:r>
        <w:rPr>
          <w:spacing w:val="-66"/>
        </w:rPr>
      </w:r>
      <w:r>
        <w:rPr/>
        <w:t>日的公允价值计量，计入相关成本或费用，相应增加股东权益。</w:t>
      </w:r>
    </w:p>
    <w:p>
      <w:pPr>
        <w:pStyle w:val="BodyText"/>
        <w:spacing w:line="316" w:lineRule="auto" w:before="17"/>
        <w:ind w:left="514" w:right="1121"/>
        <w:jc w:val="left"/>
      </w:pPr>
      <w:r>
        <w:rPr/>
        <w:t>②</w:t>
      </w:r>
      <w:r>
        <w:rPr>
          <w:spacing w:val="-17"/>
        </w:rPr>
        <w:t> </w:t>
      </w:r>
      <w:r>
        <w:rPr/>
        <w:t>以现金结算的股份支付</w:t>
      </w:r>
      <w:r>
        <w:rPr/>
        <w:t> </w:t>
      </w:r>
      <w:r>
        <w:rPr>
          <w:spacing w:val="-2"/>
        </w:rPr>
        <w:t>以现金结算的股份支付，按照本公司承担的以股份或其他权益工具为基础确定的负债的公允价值计量。如授予后立即可</w:t>
      </w:r>
    </w:p>
    <w:p>
      <w:pPr>
        <w:pStyle w:val="BodyText"/>
        <w:spacing w:line="316" w:lineRule="auto" w:before="19"/>
        <w:ind w:right="1131"/>
        <w:jc w:val="both"/>
      </w:pPr>
      <w:r>
        <w:rPr>
          <w:spacing w:val="-2"/>
        </w:rPr>
        <w:t>行权，在授予日计入相关成本或费用，相应增加负债；如须完成等待期内的服务或达到规定业绩条件以后才可行权，在等待</w:t>
      </w:r>
      <w:r>
        <w:rPr>
          <w:spacing w:val="-66"/>
        </w:rPr>
        <w:t> </w:t>
      </w:r>
      <w:r>
        <w:rPr>
          <w:spacing w:val="-66"/>
        </w:rPr>
      </w:r>
      <w:r>
        <w:rPr>
          <w:spacing w:val="-2"/>
        </w:rPr>
        <w:t>期的每个资产负债表日，以对可行权情况的最佳估计为基础，按照本公司承担负债的公允价值金额，将当期取得的服务计入</w:t>
      </w:r>
      <w:r>
        <w:rPr>
          <w:spacing w:val="-66"/>
        </w:rPr>
        <w:t> </w:t>
      </w:r>
      <w:r>
        <w:rPr>
          <w:spacing w:val="-66"/>
        </w:rPr>
      </w:r>
      <w:r>
        <w:rPr/>
        <w:t>成本或费用，相应增加负债。</w:t>
      </w:r>
    </w:p>
    <w:p>
      <w:pPr>
        <w:pStyle w:val="BodyText"/>
        <w:spacing w:line="240" w:lineRule="auto" w:before="19"/>
        <w:ind w:left="514" w:right="1121"/>
        <w:jc w:val="left"/>
      </w:pPr>
      <w:r>
        <w:rPr/>
        <w:t>在相关负债结算前的每个资产负债表日以及结算日，对负债的公允价值重新计量，其变动计入当期损益。</w:t>
      </w:r>
    </w:p>
    <w:p>
      <w:pPr>
        <w:pStyle w:val="BodyText"/>
        <w:spacing w:line="300" w:lineRule="auto" w:before="76"/>
        <w:ind w:left="514" w:right="1121"/>
        <w:jc w:val="left"/>
      </w:pPr>
      <w:r>
        <w:rPr/>
        <w:t>（</w:t>
      </w:r>
      <w:r>
        <w:rPr>
          <w:rFonts w:ascii="Times New Roman" w:hAnsi="Times New Roman" w:cs="Times New Roman" w:eastAsia="Times New Roman" w:hint="default"/>
        </w:rPr>
        <w:t>2</w:t>
      </w:r>
      <w:r>
        <w:rPr/>
        <w:t>）修改、终止股份支付计划的相关会计处理 </w:t>
      </w:r>
      <w:r>
        <w:rPr>
          <w:spacing w:val="-2"/>
        </w:rPr>
        <w:t>本公司对股份支付计划进行修改时，若修改增加了所授予权益工具的公允价值，按照权益工具公允价值的增加相应确认</w:t>
      </w:r>
    </w:p>
    <w:p>
      <w:pPr>
        <w:pStyle w:val="BodyText"/>
        <w:spacing w:line="316" w:lineRule="auto" w:before="31"/>
        <w:ind w:right="1132"/>
        <w:jc w:val="both"/>
      </w:pPr>
      <w:r>
        <w:rPr>
          <w:spacing w:val="-2"/>
        </w:rPr>
        <w:t>取得服务的增加。权益工具公允价值的增加是指修改前后的权益工具在修改日的公允价值之间的差额。若修改减少了股份支</w:t>
      </w:r>
      <w:r>
        <w:rPr>
          <w:spacing w:val="-64"/>
        </w:rPr>
        <w:t> </w:t>
      </w:r>
      <w:r>
        <w:rPr>
          <w:spacing w:val="-64"/>
        </w:rPr>
      </w:r>
      <w:r>
        <w:rPr>
          <w:spacing w:val="-2"/>
        </w:rPr>
        <w:t>付公允价值总额或采用了其他不利于职工的方式，则仍继续对取得的服务进行会计处理，视同该变更从未发生，除非本公司</w:t>
      </w:r>
      <w:r>
        <w:rPr>
          <w:spacing w:val="-66"/>
        </w:rPr>
        <w:t> </w:t>
      </w:r>
      <w:r>
        <w:rPr>
          <w:spacing w:val="-66"/>
        </w:rPr>
      </w:r>
      <w:r>
        <w:rPr/>
        <w:t>取消了部分或全部已授予的权益工具。</w:t>
      </w:r>
    </w:p>
    <w:p>
      <w:pPr>
        <w:pStyle w:val="BodyText"/>
        <w:spacing w:line="316" w:lineRule="auto" w:before="19"/>
        <w:ind w:right="1132" w:firstLine="360"/>
        <w:jc w:val="both"/>
      </w:pPr>
      <w:r>
        <w:rPr>
          <w:spacing w:val="-2"/>
        </w:rPr>
        <w:t>在等待期内，如果取消了授予的权益工具，本公司对取消所授予的权益性工具作为加速行权处理，将剩余等待期内应确</w:t>
      </w:r>
      <w:r>
        <w:rPr/>
        <w:t> </w:t>
      </w:r>
      <w:r>
        <w:rPr>
          <w:spacing w:val="-2"/>
        </w:rPr>
        <w:t>认的金额立即计入当期损益，同时确认资本公积。职工或其他方能够选择满足非可行权条件但在等待期内未满足的，本公司</w:t>
      </w:r>
      <w:r>
        <w:rPr>
          <w:spacing w:val="-66"/>
        </w:rPr>
        <w:t> </w:t>
      </w:r>
      <w:r>
        <w:rPr>
          <w:spacing w:val="-66"/>
        </w:rPr>
      </w:r>
      <w:r>
        <w:rPr/>
        <w:t>将其作为授予权益工具的取消处理。</w:t>
      </w:r>
    </w:p>
    <w:p>
      <w:pPr>
        <w:pStyle w:val="BodyText"/>
        <w:spacing w:line="300" w:lineRule="auto" w:before="19"/>
        <w:ind w:left="514" w:right="1121"/>
        <w:jc w:val="left"/>
      </w:pPr>
      <w:r>
        <w:rPr/>
        <w:t>（</w:t>
      </w:r>
      <w:r>
        <w:rPr>
          <w:rFonts w:ascii="Times New Roman" w:hAnsi="Times New Roman" w:cs="Times New Roman" w:eastAsia="Times New Roman" w:hint="default"/>
        </w:rPr>
        <w:t>3</w:t>
      </w:r>
      <w:r>
        <w:rPr/>
        <w:t>）涉及本公司与本公司股东或实际控制人的股份支付交易的会计处理 </w:t>
      </w:r>
      <w:r>
        <w:rPr>
          <w:spacing w:val="-2"/>
        </w:rPr>
        <w:t>涉及本公司与本公司股东或实际控制人的股份支付交易，结算企业与接受服务企业中其一在本公司内，另一在本公司外</w:t>
      </w:r>
    </w:p>
    <w:p>
      <w:pPr>
        <w:pStyle w:val="BodyText"/>
        <w:spacing w:line="240" w:lineRule="auto" w:before="31"/>
        <w:ind w:right="0"/>
        <w:jc w:val="both"/>
      </w:pPr>
      <w:r>
        <w:rPr/>
        <w:t>的，在本公司合并财务报表中按照以下规定进行会计处理：</w:t>
      </w:r>
    </w:p>
    <w:p>
      <w:pPr>
        <w:pStyle w:val="BodyText"/>
        <w:spacing w:line="316" w:lineRule="auto" w:before="77"/>
        <w:ind w:right="1158" w:firstLine="360"/>
        <w:jc w:val="both"/>
      </w:pPr>
      <w:r>
        <w:rPr/>
        <w:t>①</w:t>
      </w:r>
      <w:r>
        <w:rPr>
          <w:spacing w:val="-19"/>
        </w:rPr>
        <w:t> </w:t>
      </w:r>
      <w:r>
        <w:rPr/>
        <w:t>结算企业以其本身权益工具结算的，将该股份支付交易作为权益结算的股份支付处理；除此之外，作为现金结算的</w:t>
      </w:r>
      <w:r>
        <w:rPr/>
        <w:t> 股份支付处理。</w:t>
      </w:r>
    </w:p>
    <w:p>
      <w:pPr>
        <w:pStyle w:val="BodyText"/>
        <w:spacing w:line="316" w:lineRule="auto" w:before="19"/>
        <w:ind w:right="1130" w:firstLine="360"/>
        <w:jc w:val="both"/>
      </w:pPr>
      <w:r>
        <w:rPr>
          <w:spacing w:val="-2"/>
        </w:rPr>
        <w:t>结算企业是接受服务企业的投资者的，按照授予日权益工具的公允价值或应承担负债的公允价值确认为对接受服务企业</w:t>
      </w:r>
      <w:r>
        <w:rPr/>
        <w:t> 的长期股权投资，同时确认资本公积（其他资本公积）或负债。</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2" w:firstLine="360"/>
        <w:jc w:val="both"/>
      </w:pPr>
      <w:r>
        <w:rPr/>
        <w:t>②</w:t>
      </w:r>
      <w:r>
        <w:rPr>
          <w:spacing w:val="-19"/>
        </w:rPr>
        <w:t> </w:t>
      </w:r>
      <w:r>
        <w:rPr/>
        <w:t>接受服务企业没有结算义务或授予本企业职工的是其本身权益工具的，将该股份支付交易作为权益结算的股份支付</w:t>
      </w:r>
      <w:r>
        <w:rPr/>
        <w:t> </w:t>
      </w:r>
      <w:r>
        <w:rPr>
          <w:spacing w:val="-2"/>
        </w:rPr>
        <w:t>处理；接受服务企业具有结算义务且授予本企业职工的并非其本身权益工具的，将该股份支付交易作为现金结算的股份支付</w:t>
      </w:r>
      <w:r>
        <w:rPr>
          <w:spacing w:val="-64"/>
        </w:rPr>
        <w:t> </w:t>
      </w:r>
      <w:r>
        <w:rPr>
          <w:spacing w:val="-64"/>
        </w:rPr>
      </w:r>
      <w:r>
        <w:rPr/>
        <w:t>处理。</w:t>
      </w:r>
    </w:p>
    <w:p>
      <w:pPr>
        <w:pStyle w:val="BodyText"/>
        <w:spacing w:line="319" w:lineRule="auto" w:before="19"/>
        <w:ind w:right="1132" w:firstLine="290"/>
        <w:jc w:val="both"/>
      </w:pPr>
      <w:r>
        <w:rPr>
          <w:spacing w:val="-1"/>
        </w:rPr>
        <w:t>本公司内各企业之间发生的股份支付交易，接受服务企业和结算企业不是同一企业的，在接受服务企业和结算企业各自</w:t>
      </w:r>
      <w:r>
        <w:rPr/>
        <w:t> 的个别财务报表中对该股份支付交易的确认和计量，比照上述原则处理。</w:t>
      </w:r>
    </w:p>
    <w:p>
      <w:pPr>
        <w:spacing w:line="240" w:lineRule="auto" w:before="5"/>
        <w:rPr>
          <w:rFonts w:ascii="宋体" w:hAnsi="宋体" w:cs="宋体" w:eastAsia="宋体" w:hint="default"/>
          <w:sz w:val="22"/>
          <w:szCs w:val="22"/>
        </w:rPr>
      </w:pPr>
    </w:p>
    <w:p>
      <w:pPr>
        <w:pStyle w:val="Heading3"/>
        <w:spacing w:line="240" w:lineRule="auto"/>
        <w:ind w:right="1121"/>
        <w:jc w:val="left"/>
        <w:rPr>
          <w:b w:val="0"/>
          <w:bCs w:val="0"/>
        </w:rPr>
      </w:pPr>
      <w:bookmarkStart w:name="25、优先股、永续债等其他金融工具" w:id="212"/>
      <w:bookmarkEnd w:id="212"/>
      <w:r>
        <w:rPr>
          <w:b w:val="0"/>
          <w:bCs w:val="0"/>
        </w:rPr>
      </w:r>
      <w:r>
        <w:rPr>
          <w:rFonts w:ascii="Times New Roman" w:hAnsi="Times New Roman" w:cs="Times New Roman" w:eastAsia="Times New Roman" w:hint="default"/>
        </w:rPr>
        <w:t>25</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3912"/>
        <w:jc w:val="left"/>
      </w:pPr>
      <w:r>
        <w:rPr/>
        <w:t>（</w:t>
      </w:r>
      <w:r>
        <w:rPr>
          <w:rFonts w:ascii="Times New Roman" w:hAnsi="Times New Roman" w:cs="Times New Roman" w:eastAsia="Times New Roman" w:hint="default"/>
        </w:rPr>
        <w:t>1</w:t>
      </w:r>
      <w:r>
        <w:rPr/>
        <w:t>）永续债和优先股等的区分 本公司发行的永续债和优先股等金融工具，同时符合以下条件的，作为权益工具：</w:t>
      </w:r>
    </w:p>
    <w:p>
      <w:pPr>
        <w:pStyle w:val="BodyText"/>
        <w:spacing w:line="316" w:lineRule="auto" w:before="31"/>
        <w:ind w:right="1131" w:firstLine="360"/>
        <w:jc w:val="both"/>
      </w:pPr>
      <w:r>
        <w:rPr>
          <w:spacing w:val="-2"/>
        </w:rPr>
        <w:t>①该金融工具不包括交付现金或其他金融资产给其他方，或在潜在不利条件下与其他方交换金融资产或金融负债的合同</w:t>
      </w:r>
      <w:r>
        <w:rPr/>
        <w:t> 义务；</w:t>
      </w:r>
    </w:p>
    <w:p>
      <w:pPr>
        <w:pStyle w:val="BodyText"/>
        <w:spacing w:line="316" w:lineRule="auto" w:before="19"/>
        <w:ind w:right="1132" w:firstLine="360"/>
        <w:jc w:val="both"/>
      </w:pPr>
      <w:r>
        <w:rPr>
          <w:spacing w:val="-2"/>
        </w:rPr>
        <w:t>②如将来须用或可用企业自身权益工具结算该金融工具的，如该金融工具为非衍生工具，则不包括交付可变数量的自身</w:t>
      </w:r>
      <w:r>
        <w:rPr/>
        <w:t> </w:t>
      </w:r>
      <w:r>
        <w:rPr>
          <w:spacing w:val="-2"/>
        </w:rPr>
        <w:t>权益工具进行结算的合同义务；如为衍生工具，则本公司只能通过以固定数量的自身权益工具交换固定金额的现金或其他金</w:t>
      </w:r>
      <w:r>
        <w:rPr>
          <w:spacing w:val="-64"/>
        </w:rPr>
        <w:t> </w:t>
      </w:r>
      <w:r>
        <w:rPr>
          <w:spacing w:val="-64"/>
        </w:rPr>
      </w:r>
      <w:r>
        <w:rPr/>
        <w:t>融资产结算该金融工具。</w:t>
      </w:r>
    </w:p>
    <w:p>
      <w:pPr>
        <w:pStyle w:val="BodyText"/>
        <w:spacing w:line="316" w:lineRule="auto" w:before="19"/>
        <w:ind w:left="514" w:right="1121"/>
        <w:jc w:val="left"/>
      </w:pPr>
      <w:r>
        <w:rPr/>
        <w:t>除按上述条件可归类为权益工具的金融工具以外，本公司发行的其他金融工具应归类为金融负债。 </w:t>
      </w:r>
      <w:r>
        <w:rPr>
          <w:spacing w:val="-2"/>
        </w:rPr>
        <w:t>本公司发行的金融工具为复合金融工具的，按照负债成分的公允价值确认为一项负债，按实际收到的金额扣除负债成分</w:t>
      </w:r>
    </w:p>
    <w:p>
      <w:pPr>
        <w:pStyle w:val="BodyText"/>
        <w:spacing w:line="300" w:lineRule="auto" w:before="19"/>
        <w:ind w:right="1121"/>
        <w:jc w:val="left"/>
      </w:pPr>
      <w:r>
        <w:rPr>
          <w:spacing w:val="-2"/>
        </w:rPr>
        <w:t>的公允价值后的金额，确认为</w:t>
      </w:r>
      <w:r>
        <w:rPr>
          <w:rFonts w:ascii="Times New Roman" w:hAnsi="Times New Roman" w:cs="Times New Roman" w:eastAsia="Times New Roman" w:hint="default"/>
          <w:spacing w:val="-2"/>
        </w:rPr>
        <w:t>“</w:t>
      </w:r>
      <w:r>
        <w:rPr>
          <w:spacing w:val="-2"/>
        </w:rPr>
        <w:t>其他权益工具</w:t>
      </w:r>
      <w:r>
        <w:rPr>
          <w:rFonts w:ascii="Times New Roman" w:hAnsi="Times New Roman" w:cs="Times New Roman" w:eastAsia="Times New Roman" w:hint="default"/>
          <w:spacing w:val="-2"/>
        </w:rPr>
        <w:t>”</w:t>
      </w:r>
      <w:r>
        <w:rPr>
          <w:spacing w:val="-2"/>
        </w:rPr>
        <w:t>。发行复合金融工具发生的交易费用，在负债成分和权益成分之间按照各自占</w:t>
      </w:r>
      <w:r>
        <w:rPr>
          <w:spacing w:val="-45"/>
        </w:rPr>
        <w:t> </w:t>
      </w:r>
      <w:r>
        <w:rPr>
          <w:spacing w:val="-45"/>
        </w:rPr>
      </w:r>
      <w:r>
        <w:rPr/>
        <w:t>总发行价款的比例进行分摊。</w:t>
      </w:r>
    </w:p>
    <w:p>
      <w:pPr>
        <w:pStyle w:val="BodyText"/>
        <w:spacing w:line="300" w:lineRule="auto" w:before="31"/>
        <w:ind w:left="514" w:right="1121"/>
        <w:jc w:val="left"/>
      </w:pPr>
      <w:r>
        <w:rPr/>
        <w:t>（</w:t>
      </w:r>
      <w:r>
        <w:rPr>
          <w:rFonts w:ascii="Times New Roman" w:hAnsi="Times New Roman" w:cs="Times New Roman" w:eastAsia="Times New Roman" w:hint="default"/>
        </w:rPr>
        <w:t>2</w:t>
      </w:r>
      <w:r>
        <w:rPr/>
        <w:t>）永续债和优先股等的会计处理方法 </w:t>
      </w:r>
      <w:r>
        <w:rPr>
          <w:spacing w:val="-2"/>
        </w:rPr>
        <w:t>归类为金融负债的永续债和优先股等金融工具，其相关利息、股利（或股息）、利得或损失，以及赎回或再融资产生的</w:t>
      </w:r>
    </w:p>
    <w:p>
      <w:pPr>
        <w:pStyle w:val="BodyText"/>
        <w:spacing w:line="300" w:lineRule="auto" w:before="31"/>
        <w:ind w:left="514" w:right="1121" w:hanging="360"/>
        <w:jc w:val="left"/>
      </w:pPr>
      <w:r>
        <w:rPr/>
        <w:t>利得或损失等，除符合资本化条件的借款费用（参见本附注四、</w:t>
      </w:r>
      <w:r>
        <w:rPr>
          <w:rFonts w:ascii="Times New Roman" w:hAnsi="Times New Roman" w:cs="Times New Roman" w:eastAsia="Times New Roman" w:hint="default"/>
        </w:rPr>
        <w:t>17“</w:t>
      </w:r>
      <w:r>
        <w:rPr/>
        <w:t>借款费用</w:t>
      </w:r>
      <w:r>
        <w:rPr>
          <w:rFonts w:ascii="Times New Roman" w:hAnsi="Times New Roman" w:cs="Times New Roman" w:eastAsia="Times New Roman" w:hint="default"/>
        </w:rPr>
        <w:t>”</w:t>
      </w:r>
      <w:r>
        <w:rPr/>
        <w:t>）以外，均计入当期损益。 </w:t>
      </w:r>
      <w:r>
        <w:rPr>
          <w:spacing w:val="-2"/>
        </w:rPr>
        <w:t>归类为权益工具的永续债和优先股等金融工具，其发行（含再融资）、回购、出售或注销时，本公司作为权益的变动处</w:t>
      </w:r>
    </w:p>
    <w:p>
      <w:pPr>
        <w:pStyle w:val="BodyText"/>
        <w:spacing w:line="316" w:lineRule="auto" w:before="31"/>
        <w:ind w:left="444" w:right="3733" w:hanging="291"/>
        <w:jc w:val="left"/>
      </w:pPr>
      <w:r>
        <w:rPr/>
        <w:t>理，相关交易费用亦从权益中扣减。本公司对权益工具持有方的分配作为利润分配处理。 本公司不确认权益工具的公允价值变动。</w:t>
      </w:r>
    </w:p>
    <w:p>
      <w:pPr>
        <w:spacing w:line="240" w:lineRule="auto" w:before="7"/>
        <w:rPr>
          <w:rFonts w:ascii="宋体" w:hAnsi="宋体" w:cs="宋体" w:eastAsia="宋体" w:hint="default"/>
          <w:sz w:val="22"/>
          <w:szCs w:val="22"/>
        </w:rPr>
      </w:pPr>
    </w:p>
    <w:p>
      <w:pPr>
        <w:pStyle w:val="Heading3"/>
        <w:spacing w:line="240" w:lineRule="auto"/>
        <w:ind w:right="1121"/>
        <w:jc w:val="left"/>
        <w:rPr>
          <w:b w:val="0"/>
          <w:bCs w:val="0"/>
        </w:rPr>
      </w:pPr>
      <w:bookmarkStart w:name="26、收入" w:id="213"/>
      <w:bookmarkEnd w:id="213"/>
      <w:r>
        <w:rPr>
          <w:b w:val="0"/>
          <w:bCs w:val="0"/>
        </w:rPr>
      </w:r>
      <w:r>
        <w:rPr>
          <w:rFonts w:ascii="Times New Roman" w:hAnsi="Times New Roman" w:cs="Times New Roman" w:eastAsia="Times New Roman" w:hint="default"/>
        </w:rPr>
        <w:t>26</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00" w:lineRule="auto" w:before="28"/>
        <w:ind w:left="514" w:right="1121"/>
        <w:jc w:val="left"/>
      </w:pPr>
      <w:r>
        <w:rPr/>
        <w:t>（</w:t>
      </w:r>
      <w:r>
        <w:rPr>
          <w:rFonts w:ascii="Times New Roman" w:hAnsi="Times New Roman" w:cs="Times New Roman" w:eastAsia="Times New Roman" w:hint="default"/>
        </w:rPr>
        <w:t>1</w:t>
      </w:r>
      <w:r>
        <w:rPr/>
        <w:t>）商品销售收入 </w:t>
      </w:r>
      <w:r>
        <w:rPr>
          <w:spacing w:val="-2"/>
        </w:rPr>
        <w:t>在已将商品所有权上的主要风险和报酬转移给买方，既没有保留通常与所有权相联系的继续管理权，也没有对已售商品</w:t>
      </w:r>
    </w:p>
    <w:p>
      <w:pPr>
        <w:pStyle w:val="BodyText"/>
        <w:spacing w:line="316" w:lineRule="auto" w:before="31"/>
        <w:ind w:right="1121"/>
        <w:jc w:val="left"/>
      </w:pPr>
      <w:r>
        <w:rPr>
          <w:spacing w:val="-2"/>
        </w:rPr>
        <w:t>实施有效控制，收入的金额能够可靠地计量，相关的经济利益很可能流入企业，相关的已发生或将发生的成本能够可靠地计</w:t>
      </w:r>
      <w:r>
        <w:rPr>
          <w:spacing w:val="-66"/>
        </w:rPr>
        <w:t> </w:t>
      </w:r>
      <w:r>
        <w:rPr>
          <w:spacing w:val="-66"/>
        </w:rPr>
      </w:r>
      <w:r>
        <w:rPr/>
        <w:t>量时，确认商品销售收入的实现。</w:t>
      </w:r>
    </w:p>
    <w:p>
      <w:pPr>
        <w:pStyle w:val="BodyText"/>
        <w:spacing w:line="316" w:lineRule="auto" w:before="19"/>
        <w:ind w:left="514" w:right="1121" w:hanging="2"/>
        <w:jc w:val="left"/>
      </w:pPr>
      <w:r>
        <w:rPr/>
        <w:t>公司通常于商品发出完成后，提交开票申请并开具发票，确认主营业务收入。月底一次性结转主营业务成本。 </w:t>
      </w:r>
      <w:r>
        <w:rPr>
          <w:spacing w:val="-2"/>
        </w:rPr>
        <w:t>公司年末结合商品实际发货情况和库存商品在年末时点的库存情况，对已开具发票未实际发货部分，不确认相应的主营</w:t>
      </w:r>
    </w:p>
    <w:p>
      <w:pPr>
        <w:pStyle w:val="BodyText"/>
        <w:spacing w:line="240" w:lineRule="auto" w:before="19"/>
        <w:ind w:right="1121"/>
        <w:jc w:val="left"/>
      </w:pPr>
      <w:r>
        <w:rPr/>
        <w:t>业务收入及主营业务成本；对实际商品已发出但未开具发票部分，确认主营业务收入，同时结转主营业务成本。</w:t>
      </w:r>
    </w:p>
    <w:p>
      <w:pPr>
        <w:pStyle w:val="BodyText"/>
        <w:spacing w:line="300" w:lineRule="auto" w:before="76"/>
        <w:ind w:left="514" w:right="1121"/>
        <w:jc w:val="left"/>
      </w:pPr>
      <w:r>
        <w:rPr/>
        <w:t>（</w:t>
      </w:r>
      <w:r>
        <w:rPr>
          <w:rFonts w:ascii="Times New Roman" w:hAnsi="Times New Roman" w:cs="Times New Roman" w:eastAsia="Times New Roman" w:hint="default"/>
        </w:rPr>
        <w:t>2</w:t>
      </w:r>
      <w:r>
        <w:rPr/>
        <w:t>）提供劳务收入 </w:t>
      </w:r>
      <w:r>
        <w:rPr>
          <w:spacing w:val="-2"/>
        </w:rPr>
        <w:t>在提供劳务交易的结果能够可靠估计的情况下，于资产负债表日按照完工百分比法确认提供的劳务收入。劳务交易的完</w:t>
      </w:r>
    </w:p>
    <w:p>
      <w:pPr>
        <w:pStyle w:val="BodyText"/>
        <w:spacing w:line="319" w:lineRule="auto" w:before="31"/>
        <w:ind w:left="514" w:right="1032" w:hanging="360"/>
        <w:jc w:val="left"/>
      </w:pPr>
      <w:r>
        <w:rPr/>
        <w:t>工进度按已完工作的测量确定。 提供劳务交易的结果能够可靠估计是指同时满足：①收入的金额能够可靠地计量；②相关的经济利益很可能流入企业；</w:t>
      </w:r>
    </w:p>
    <w:p>
      <w:pPr>
        <w:pStyle w:val="BodyText"/>
        <w:spacing w:line="316" w:lineRule="auto" w:before="17"/>
        <w:ind w:left="514" w:right="1121" w:hanging="360"/>
        <w:jc w:val="left"/>
      </w:pPr>
      <w:r>
        <w:rPr/>
        <w:t>③交易的完工程度能够可靠地确定；④交易中已发生和将发生的成本能够可靠地计量。 </w:t>
      </w:r>
      <w:r>
        <w:rPr>
          <w:spacing w:val="-2"/>
        </w:rPr>
        <w:t>如果提供劳务交易的结果不能够可靠估计，则按已经发生并预计能够得到补偿的劳务成本金额确认提供的劳务收入，并</w:t>
      </w:r>
    </w:p>
    <w:p>
      <w:pPr>
        <w:pStyle w:val="BodyText"/>
        <w:spacing w:line="240" w:lineRule="auto" w:before="19"/>
        <w:ind w:right="1121"/>
        <w:jc w:val="left"/>
      </w:pPr>
      <w:r>
        <w:rPr/>
        <w:t>将已发生的劳务成本作为当期费用。已经发生的劳务成本如预计不能得到补偿的，则不确认收入。</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360"/>
        <w:jc w:val="both"/>
      </w:pPr>
      <w:r>
        <w:rPr>
          <w:spacing w:val="-2"/>
        </w:rPr>
        <w:t>本公司与其他企业签订的合同或协议包括销售商品和提供劳务时，如销售商品部分和提供劳务部分能够区分并单独计量</w:t>
      </w:r>
      <w:r>
        <w:rPr/>
        <w:t> </w:t>
      </w:r>
      <w:r>
        <w:rPr>
          <w:spacing w:val="-2"/>
        </w:rPr>
        <w:t>的，将销售商品部分和提供劳务部分分别处理；如销售商品部分和提供劳务部分不能够区分，或虽能区分但不能够单独计量</w:t>
      </w:r>
      <w:r>
        <w:rPr>
          <w:spacing w:val="-66"/>
        </w:rPr>
        <w:t> </w:t>
      </w:r>
      <w:r>
        <w:rPr>
          <w:spacing w:val="-66"/>
        </w:rPr>
      </w:r>
      <w:r>
        <w:rPr/>
        <w:t>的，将该合同全部作为销售商品处理。</w:t>
      </w:r>
    </w:p>
    <w:p>
      <w:pPr>
        <w:pStyle w:val="BodyText"/>
        <w:spacing w:line="300" w:lineRule="auto" w:before="19"/>
        <w:ind w:left="514" w:right="6612"/>
        <w:jc w:val="left"/>
      </w:pPr>
      <w:r>
        <w:rPr/>
        <w:t>（</w:t>
      </w:r>
      <w:r>
        <w:rPr>
          <w:rFonts w:ascii="Times New Roman" w:hAnsi="Times New Roman" w:cs="Times New Roman" w:eastAsia="Times New Roman" w:hint="default"/>
        </w:rPr>
        <w:t>3</w:t>
      </w:r>
      <w:r>
        <w:rPr/>
        <w:t>）使用费收入 根据有关合同或协议，按权责发生制确认收入。</w:t>
      </w:r>
    </w:p>
    <w:p>
      <w:pPr>
        <w:pStyle w:val="BodyText"/>
        <w:spacing w:line="300" w:lineRule="auto" w:before="31"/>
        <w:ind w:left="444" w:right="5782" w:firstLine="69"/>
        <w:jc w:val="left"/>
      </w:pPr>
      <w:r>
        <w:rPr/>
        <w:t>（</w:t>
      </w:r>
      <w:r>
        <w:rPr>
          <w:rFonts w:ascii="Times New Roman" w:hAnsi="Times New Roman" w:cs="Times New Roman" w:eastAsia="Times New Roman" w:hint="default"/>
        </w:rPr>
        <w:t>4</w:t>
      </w:r>
      <w:r>
        <w:rPr/>
        <w:t>）利息收入 按照他人使用本公司货币资金的时间和实际利率计算确定。</w:t>
      </w:r>
    </w:p>
    <w:p>
      <w:pPr>
        <w:spacing w:line="240" w:lineRule="auto" w:before="6"/>
        <w:rPr>
          <w:rFonts w:ascii="宋体" w:hAnsi="宋体" w:cs="宋体" w:eastAsia="宋体" w:hint="default"/>
          <w:sz w:val="23"/>
          <w:szCs w:val="23"/>
        </w:rPr>
      </w:pPr>
    </w:p>
    <w:p>
      <w:pPr>
        <w:pStyle w:val="Heading3"/>
        <w:spacing w:line="240" w:lineRule="auto"/>
        <w:ind w:right="1121"/>
        <w:jc w:val="left"/>
        <w:rPr>
          <w:b w:val="0"/>
          <w:bCs w:val="0"/>
        </w:rPr>
      </w:pPr>
      <w:bookmarkStart w:name="27、政府补助" w:id="214"/>
      <w:bookmarkEnd w:id="214"/>
      <w:r>
        <w:rPr>
          <w:b w:val="0"/>
          <w:bCs w:val="0"/>
        </w:rPr>
      </w:r>
      <w:r>
        <w:rPr>
          <w:rFonts w:ascii="Times New Roman" w:hAnsi="Times New Roman" w:cs="Times New Roman" w:eastAsia="Times New Roman" w:hint="default"/>
        </w:rPr>
        <w:t>27</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政府补助是指本公司从政府无偿取得货币性资产和非货币性资产，不包括政府以投资者身份并享有相应所有者权益而投</w:t>
      </w:r>
      <w:r>
        <w:rPr/>
        <w:t> 入的资本。政府补助分为与资产相关的政府补助和与收益相关的政府补助。</w:t>
      </w:r>
    </w:p>
    <w:p>
      <w:pPr>
        <w:pStyle w:val="BodyText"/>
        <w:spacing w:line="309" w:lineRule="auto" w:before="19"/>
        <w:ind w:right="1130" w:firstLine="360"/>
        <w:jc w:val="both"/>
      </w:pPr>
      <w:r>
        <w:rPr>
          <w:spacing w:val="-2"/>
        </w:rPr>
        <w:t>本公司将所取得的用于购建或以其他方式形成长期资产的政府补助界定为与资产相关的政府补助；其余政府补助界定为</w:t>
      </w:r>
      <w:r>
        <w:rPr/>
        <w:t> </w:t>
      </w:r>
      <w:r>
        <w:rPr>
          <w:spacing w:val="-2"/>
        </w:rPr>
        <w:t>与收益相关的政府补助。若政府文件未明确规定补助对象，则采用以下方式将补助款划分为与收益相关的政府补助和与资产</w:t>
      </w:r>
      <w:r>
        <w:rPr>
          <w:spacing w:val="-64"/>
        </w:rPr>
        <w:t> </w:t>
      </w:r>
      <w:r>
        <w:rPr>
          <w:spacing w:val="-64"/>
        </w:rPr>
      </w:r>
      <w:r>
        <w:rPr/>
        <w:t>相关的政府补助：（</w:t>
      </w:r>
      <w:r>
        <w:rPr>
          <w:rFonts w:ascii="Times New Roman" w:hAnsi="Times New Roman" w:cs="Times New Roman" w:eastAsia="Times New Roman" w:hint="default"/>
        </w:rPr>
        <w:t>1</w:t>
      </w:r>
      <w:r>
        <w:rPr/>
        <w:t>）政府文件明确了补助所针对的特定项目的，根据该特定项目的预算中将形成资产的支出金额和计入 费用的支出金额的相对比例进行划分，对该划分比例需在每个资产负债表日进行复核，必要时进行变更；（</w:t>
      </w:r>
      <w:r>
        <w:rPr>
          <w:rFonts w:ascii="Times New Roman" w:hAnsi="Times New Roman" w:cs="Times New Roman" w:eastAsia="Times New Roman" w:hint="default"/>
        </w:rPr>
        <w:t>2</w:t>
      </w:r>
      <w:r>
        <w:rPr/>
        <w:t>）政府文件中 对用途仅作一般性表述，没有指明特定项目的，作为与收益相关的政府补助。</w:t>
      </w:r>
    </w:p>
    <w:p>
      <w:pPr>
        <w:pStyle w:val="BodyText"/>
        <w:spacing w:line="316" w:lineRule="auto" w:before="24"/>
        <w:ind w:right="1131" w:firstLine="360"/>
        <w:jc w:val="both"/>
      </w:pPr>
      <w:r>
        <w:rPr>
          <w:spacing w:val="-2"/>
        </w:rPr>
        <w:t>政府补助为货币性资产的，按照收到或应收的金额计量。政府补助为非货币性资产的，按照公允价值计量；公允价值不</w:t>
      </w:r>
      <w:r>
        <w:rPr/>
        <w:t> 能够可靠取得的，按照名义金额计量。按照名义金额计量的政府补助，直接计入当期损益。</w:t>
      </w:r>
    </w:p>
    <w:p>
      <w:pPr>
        <w:pStyle w:val="BodyText"/>
        <w:spacing w:line="316" w:lineRule="auto" w:before="19"/>
        <w:ind w:right="1043" w:firstLine="360"/>
        <w:jc w:val="both"/>
      </w:pPr>
      <w:r>
        <w:rPr>
          <w:spacing w:val="-2"/>
        </w:rPr>
        <w:t>本公司对于政府补助通常在实际收到时，按照实收金额予以确认和计量。但对于期末有确凿证据表明能够符合财政扶持</w:t>
      </w:r>
      <w:r>
        <w:rPr/>
        <w:t> </w:t>
      </w:r>
      <w:r>
        <w:rPr>
          <w:spacing w:val="-4"/>
        </w:rPr>
        <w:t>政策规定的相关条件预计能够收到财政扶持资金，按照应收的金额计量。按照应收金额计量的政府补助应同时符合以下条件：</w:t>
      </w:r>
    </w:p>
    <w:p>
      <w:pPr>
        <w:pStyle w:val="BodyText"/>
        <w:spacing w:line="304" w:lineRule="auto" w:before="19"/>
        <w:ind w:right="0"/>
        <w:jc w:val="left"/>
      </w:pPr>
      <w:r>
        <w:rPr>
          <w:spacing w:val="-2"/>
        </w:rPr>
        <w:t>（</w:t>
      </w:r>
      <w:r>
        <w:rPr>
          <w:rFonts w:ascii="Times New Roman" w:hAnsi="Times New Roman" w:cs="Times New Roman" w:eastAsia="Times New Roman" w:hint="default"/>
          <w:spacing w:val="-2"/>
        </w:rPr>
        <w:t>1</w:t>
      </w:r>
      <w:r>
        <w:rPr>
          <w:spacing w:val="-2"/>
        </w:rPr>
        <w:t>）应收补助款的金额已经过有权政府部门发文确认，或者可根据正式发布的财政资金管理办法的有关规定自行合理测算，</w:t>
      </w:r>
      <w:r>
        <w:rPr>
          <w:spacing w:val="-62"/>
        </w:rPr>
        <w:t> </w:t>
      </w:r>
      <w:r>
        <w:rPr>
          <w:spacing w:val="-62"/>
        </w:rPr>
      </w:r>
      <w:r>
        <w:rPr/>
        <w:t>且预计其金额不存在重大不确定性；（</w:t>
      </w:r>
      <w:r>
        <w:rPr>
          <w:rFonts w:ascii="Times New Roman" w:hAnsi="Times New Roman" w:cs="Times New Roman" w:eastAsia="Times New Roman" w:hint="default"/>
        </w:rPr>
        <w:t>2</w:t>
      </w:r>
      <w:r>
        <w:rPr/>
        <w:t>）所依据的是当地财政部门正式发布并按照《政府信息公开条例》的规定予以主动 </w:t>
      </w:r>
      <w:r>
        <w:rPr>
          <w:spacing w:val="-2"/>
        </w:rPr>
        <w:t>公开的财政扶持项目及其财政资金管理办法，且该管理办法应当是普惠性的（任何符合规定条件的企业均可申请），而不是</w:t>
      </w:r>
      <w:r>
        <w:rPr>
          <w:spacing w:val="-66"/>
        </w:rPr>
        <w:t> </w:t>
      </w:r>
      <w:r>
        <w:rPr>
          <w:spacing w:val="-66"/>
        </w:rPr>
      </w:r>
      <w:r>
        <w:rPr/>
        <w:t>专门针对特定企业制定的；（</w:t>
      </w:r>
      <w:r>
        <w:rPr>
          <w:rFonts w:ascii="Times New Roman" w:hAnsi="Times New Roman" w:cs="Times New Roman" w:eastAsia="Times New Roman" w:hint="default"/>
        </w:rPr>
        <w:t>3</w:t>
      </w:r>
      <w:r>
        <w:rPr/>
        <w:t>）相关的补助款批文中已明确承诺了拨付期限，且该款项的拨付是有相应财政预算作为保障 </w:t>
      </w:r>
      <w:r>
        <w:rPr>
          <w:spacing w:val="-5"/>
        </w:rPr>
        <w:t>的，因而可以合理保证其可在规定期限内收到；（</w:t>
      </w:r>
      <w:r>
        <w:rPr>
          <w:rFonts w:ascii="Times New Roman" w:hAnsi="Times New Roman" w:cs="Times New Roman" w:eastAsia="Times New Roman" w:hint="default"/>
          <w:spacing w:val="-5"/>
        </w:rPr>
        <w:t>4</w:t>
      </w:r>
      <w:r>
        <w:rPr>
          <w:spacing w:val="-5"/>
        </w:rPr>
        <w:t>）根据本公司和该补助事项的具体情况，应满足的其他相关条件（如有）。</w:t>
      </w:r>
    </w:p>
    <w:p>
      <w:pPr>
        <w:pStyle w:val="BodyText"/>
        <w:spacing w:line="316" w:lineRule="auto" w:before="9"/>
        <w:ind w:right="1131" w:firstLine="360"/>
        <w:jc w:val="both"/>
      </w:pPr>
      <w:r>
        <w:rPr>
          <w:spacing w:val="-2"/>
        </w:rPr>
        <w:t>与资产相关的政府补助，确认为递延收益，并在相关资产的使用寿命内按照合理、系统的方法分期计入当期损益。与收</w:t>
      </w:r>
      <w:r>
        <w:rPr/>
        <w:t> </w:t>
      </w:r>
      <w:r>
        <w:rPr>
          <w:spacing w:val="-2"/>
        </w:rPr>
        <w:t>益相关的政府补助，用于补偿以后期间的相关成本费用或损失的，确认为递延收益，并在确认相关成本费用或损失的期间计</w:t>
      </w:r>
      <w:r>
        <w:rPr>
          <w:spacing w:val="-65"/>
        </w:rPr>
        <w:t> </w:t>
      </w:r>
      <w:r>
        <w:rPr>
          <w:spacing w:val="-65"/>
        </w:rPr>
      </w:r>
      <w:r>
        <w:rPr/>
        <w:t>入当期损益；用于补偿已经发生的相关成本费用或损失的，直接计入当期损益。</w:t>
      </w:r>
    </w:p>
    <w:p>
      <w:pPr>
        <w:pStyle w:val="BodyText"/>
        <w:spacing w:line="316" w:lineRule="auto" w:before="19"/>
        <w:ind w:right="1133" w:firstLine="360"/>
        <w:jc w:val="both"/>
      </w:pPr>
      <w:r>
        <w:rPr>
          <w:spacing w:val="-2"/>
        </w:rPr>
        <w:t>同时包含与资产相关部分和与收益相关部分的政府补助，区分不同部分分别进行会计处理；难以区分的，将其整体归类</w:t>
      </w:r>
      <w:r>
        <w:rPr/>
        <w:t> 为与收益相关的政府补助。</w:t>
      </w:r>
    </w:p>
    <w:p>
      <w:pPr>
        <w:pStyle w:val="BodyText"/>
        <w:spacing w:line="316" w:lineRule="auto" w:before="19"/>
        <w:ind w:right="1133" w:firstLine="360"/>
        <w:jc w:val="both"/>
      </w:pPr>
      <w:r>
        <w:rPr>
          <w:spacing w:val="-2"/>
        </w:rPr>
        <w:t>与本公司日常活动相关的政府补助，按照经济业务的实质，计入其他收益或冲减相关成本费用；与日常活动无关的政府</w:t>
      </w:r>
      <w:r>
        <w:rPr/>
        <w:t> 补助，计入营业外收支。</w:t>
      </w:r>
    </w:p>
    <w:p>
      <w:pPr>
        <w:pStyle w:val="BodyText"/>
        <w:spacing w:line="316" w:lineRule="auto" w:before="19"/>
        <w:ind w:right="1131" w:firstLine="290"/>
        <w:jc w:val="both"/>
      </w:pPr>
      <w:r>
        <w:rPr>
          <w:spacing w:val="-1"/>
        </w:rPr>
        <w:t>已确认的政府补助需要退回时，存在相关递延收益余额的，冲减相关递延收益账面余额，超出部分计入当期损益；属于</w:t>
      </w:r>
      <w:r>
        <w:rPr/>
        <w:t> 其他情况的，直接计入当期损益。</w:t>
      </w:r>
    </w:p>
    <w:p>
      <w:pPr>
        <w:spacing w:line="240" w:lineRule="auto" w:before="7"/>
        <w:rPr>
          <w:rFonts w:ascii="宋体" w:hAnsi="宋体" w:cs="宋体" w:eastAsia="宋体" w:hint="default"/>
          <w:sz w:val="22"/>
          <w:szCs w:val="22"/>
        </w:rPr>
      </w:pPr>
    </w:p>
    <w:p>
      <w:pPr>
        <w:pStyle w:val="Heading3"/>
        <w:spacing w:line="240" w:lineRule="auto"/>
        <w:ind w:right="1121"/>
        <w:jc w:val="left"/>
        <w:rPr>
          <w:b w:val="0"/>
          <w:bCs w:val="0"/>
        </w:rPr>
      </w:pPr>
      <w:bookmarkStart w:name="28、递延所得税资产/递延所得税负债" w:id="215"/>
      <w:bookmarkEnd w:id="215"/>
      <w:r>
        <w:rPr>
          <w:b w:val="0"/>
          <w:bCs w:val="0"/>
        </w:rPr>
      </w:r>
      <w:r>
        <w:rPr>
          <w:rFonts w:ascii="Times New Roman" w:hAnsi="Times New Roman" w:cs="Times New Roman" w:eastAsia="Times New Roman" w:hint="default"/>
        </w:rPr>
        <w:t>28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1032"/>
        <w:jc w:val="left"/>
      </w:pPr>
      <w:r>
        <w:rPr/>
        <w:t>（</w:t>
      </w:r>
      <w:r>
        <w:rPr>
          <w:rFonts w:ascii="Times New Roman" w:hAnsi="Times New Roman" w:cs="Times New Roman" w:eastAsia="Times New Roman" w:hint="default"/>
        </w:rPr>
        <w:t>1</w:t>
      </w:r>
      <w:r>
        <w:rPr/>
        <w:t>）当期所得税 资产负债表日，对于当期和以前期间形成的当期所得税负债（或资产），以按照税法规定计算的预期应交纳（或返还）</w:t>
      </w:r>
    </w:p>
    <w:p>
      <w:pPr>
        <w:pStyle w:val="BodyText"/>
        <w:spacing w:line="316" w:lineRule="auto" w:before="32"/>
        <w:ind w:right="1121"/>
        <w:jc w:val="left"/>
      </w:pPr>
      <w:r>
        <w:rPr>
          <w:spacing w:val="-2"/>
        </w:rPr>
        <w:t>的所得税金额计量。计算当期所得税费用所依据的应纳税所得额系根据有关税法规定对本年度税前会计利润作相应调整后计</w:t>
      </w:r>
      <w:r>
        <w:rPr>
          <w:spacing w:val="-64"/>
        </w:rPr>
        <w:t> </w:t>
      </w:r>
      <w:r>
        <w:rPr>
          <w:spacing w:val="-64"/>
        </w:rPr>
      </w:r>
      <w:r>
        <w:rPr/>
        <w:t>算得出。</w:t>
      </w:r>
    </w:p>
    <w:p>
      <w:pPr>
        <w:pStyle w:val="BodyText"/>
        <w:spacing w:line="300" w:lineRule="auto" w:before="19"/>
        <w:ind w:left="514" w:right="1121"/>
        <w:jc w:val="left"/>
      </w:pPr>
      <w:r>
        <w:rPr/>
        <w:t>（</w:t>
      </w:r>
      <w:r>
        <w:rPr>
          <w:rFonts w:ascii="Times New Roman" w:hAnsi="Times New Roman" w:cs="Times New Roman" w:eastAsia="Times New Roman" w:hint="default"/>
        </w:rPr>
        <w:t>2</w:t>
      </w:r>
      <w:r>
        <w:rPr/>
        <w:t>）递延所得税资产及递延所得税负债 </w:t>
      </w:r>
      <w:r>
        <w:rPr>
          <w:spacing w:val="-2"/>
        </w:rPr>
        <w:t>某些资产、负债项目的账面价值与其计税基础之间的差额，以及未作为资产和负债确认但按照税法规定可以确定其计税</w:t>
      </w:r>
    </w:p>
    <w:p>
      <w:pPr>
        <w:pStyle w:val="BodyText"/>
        <w:spacing w:line="240" w:lineRule="auto" w:before="31"/>
        <w:ind w:right="0"/>
        <w:jc w:val="left"/>
      </w:pPr>
      <w:r>
        <w:rPr/>
        <w:t>基础的项目的账面价值与计税基础之间的差额产生的暂时性差异</w:t>
      </w:r>
      <w:r>
        <w:rPr>
          <w:spacing w:val="-82"/>
        </w:rPr>
        <w:t>，</w:t>
      </w:r>
      <w:r>
        <w:rPr/>
        <w:t>采用资产负债表债务法确认递延所得税资产及递延所得税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负债。</w:t>
      </w:r>
    </w:p>
    <w:p>
      <w:pPr>
        <w:pStyle w:val="BodyText"/>
        <w:spacing w:line="319" w:lineRule="auto" w:before="76"/>
        <w:ind w:right="1131" w:firstLine="360"/>
        <w:jc w:val="both"/>
      </w:pPr>
      <w:r>
        <w:rPr>
          <w:spacing w:val="-2"/>
        </w:rPr>
        <w:t>与商誉的初始确认有关，以及与既不是企业合并、发生时也不影响会计利润和应纳税所得额（或可抵扣亏损）的交易中</w:t>
      </w:r>
      <w:r>
        <w:rPr/>
        <w:t> </w:t>
      </w:r>
      <w:r>
        <w:rPr>
          <w:spacing w:val="-2"/>
        </w:rPr>
        <w:t>产生的资产或负债的初始确认有关的应纳税暂时性差异，不予确认有关的递延所得税负债。此外，对与子公司、联营企业及</w:t>
      </w:r>
      <w:r>
        <w:rPr>
          <w:spacing w:val="-66"/>
        </w:rPr>
        <w:t> </w:t>
      </w:r>
      <w:r>
        <w:rPr>
          <w:spacing w:val="-66"/>
        </w:rPr>
      </w:r>
      <w:r>
        <w:rPr>
          <w:spacing w:val="-2"/>
        </w:rPr>
        <w:t>合营企业投资相关的应纳税暂时性差异，如果本公司能够控制暂时性差异转回的时间，而且该暂时性差异在可预见的未来很</w:t>
      </w:r>
      <w:r>
        <w:rPr>
          <w:spacing w:val="-64"/>
        </w:rPr>
        <w:t> </w:t>
      </w:r>
      <w:r>
        <w:rPr>
          <w:spacing w:val="-64"/>
        </w:rPr>
      </w:r>
      <w:r>
        <w:rPr>
          <w:spacing w:val="-2"/>
        </w:rPr>
        <w:t>可能不会转回，也不予确认有关的递延所得税负债。除上述例外情况，本公司确认其他所有应纳税暂时性差异产生的递延所</w:t>
      </w:r>
      <w:r>
        <w:rPr>
          <w:spacing w:val="-66"/>
        </w:rPr>
        <w:t> </w:t>
      </w:r>
      <w:r>
        <w:rPr>
          <w:spacing w:val="-66"/>
        </w:rPr>
      </w:r>
      <w:r>
        <w:rPr/>
        <w:t>得税负债。</w:t>
      </w:r>
    </w:p>
    <w:p>
      <w:pPr>
        <w:pStyle w:val="BodyText"/>
        <w:spacing w:line="316" w:lineRule="auto" w:before="17"/>
        <w:ind w:right="1131" w:firstLine="360"/>
        <w:jc w:val="both"/>
      </w:pPr>
      <w:r>
        <w:rPr>
          <w:spacing w:val="-2"/>
        </w:rPr>
        <w:t>与既不是企业合并、发生时也不影响会计利润和应纳税所得额（或可抵扣亏损）的交易中产生的资产或负债的初始确认</w:t>
      </w:r>
      <w:r>
        <w:rPr/>
        <w:t> </w:t>
      </w:r>
      <w:r>
        <w:rPr>
          <w:spacing w:val="-2"/>
        </w:rPr>
        <w:t>有关的可抵扣暂时性差异，不予确认有关的递延所得税资产。此外，对与子公司、联营企业及合营企业投资相关的可抵扣暂</w:t>
      </w:r>
      <w:r>
        <w:rPr>
          <w:spacing w:val="-66"/>
        </w:rPr>
        <w:t> </w:t>
      </w:r>
      <w:r>
        <w:rPr>
          <w:spacing w:val="-66"/>
        </w:rPr>
      </w:r>
      <w:r>
        <w:rPr>
          <w:spacing w:val="-2"/>
        </w:rPr>
        <w:t>时性差异，如果暂时性差异在可预见的未来不是很可能转回，或者未来不是很可能获得用来抵扣可抵扣暂时性差异的应纳税</w:t>
      </w:r>
      <w:r>
        <w:rPr>
          <w:spacing w:val="-64"/>
        </w:rPr>
        <w:t> </w:t>
      </w:r>
      <w:r>
        <w:rPr>
          <w:spacing w:val="-64"/>
        </w:rPr>
      </w:r>
      <w:r>
        <w:rPr>
          <w:spacing w:val="-2"/>
        </w:rPr>
        <w:t>所得额，不予确认有关的递延所得税资产。除上述例外情况，本公司以很可能取得用来抵扣可抵扣暂时性差异的应纳税所得</w:t>
      </w:r>
      <w:r>
        <w:rPr>
          <w:spacing w:val="-66"/>
        </w:rPr>
        <w:t> </w:t>
      </w:r>
      <w:r>
        <w:rPr>
          <w:spacing w:val="-66"/>
        </w:rPr>
      </w:r>
      <w:r>
        <w:rPr/>
        <w:t>额为限，确认其他可抵扣暂时性差异产生的递延所得税资产。</w:t>
      </w:r>
    </w:p>
    <w:p>
      <w:pPr>
        <w:pStyle w:val="BodyText"/>
        <w:spacing w:line="316" w:lineRule="auto" w:before="19"/>
        <w:ind w:right="1130" w:firstLine="360"/>
        <w:jc w:val="both"/>
      </w:pPr>
      <w:r>
        <w:rPr>
          <w:spacing w:val="-2"/>
        </w:rPr>
        <w:t>对于能够结转以后年度的可抵扣亏损和税款抵减，以很可能获得用来抵扣可抵扣亏损和税款抵减的未来应纳税所得额为</w:t>
      </w:r>
      <w:r>
        <w:rPr/>
        <w:t> 限，确认相应的递延所得税资产。</w:t>
      </w:r>
    </w:p>
    <w:p>
      <w:pPr>
        <w:pStyle w:val="BodyText"/>
        <w:spacing w:line="316" w:lineRule="auto" w:before="19"/>
        <w:ind w:right="1133" w:firstLine="360"/>
        <w:jc w:val="both"/>
      </w:pPr>
      <w:r>
        <w:rPr>
          <w:spacing w:val="-2"/>
        </w:rPr>
        <w:t>资产负债表日，对于递延所得税资产和递延所得税负债，根据税法规定，按照预期收回相关资产或清偿相关负债期间的</w:t>
      </w:r>
      <w:r>
        <w:rPr/>
        <w:t> 适用税率计量。</w:t>
      </w:r>
    </w:p>
    <w:p>
      <w:pPr>
        <w:pStyle w:val="BodyText"/>
        <w:spacing w:line="316" w:lineRule="auto" w:before="19"/>
        <w:ind w:right="1132" w:firstLine="360"/>
        <w:jc w:val="both"/>
      </w:pPr>
      <w:r>
        <w:rPr>
          <w:spacing w:val="-2"/>
        </w:rPr>
        <w:t>于资产负债表日，对递延所得税资产的账面价值进行复核，如果未来很可能无法获得足够的应纳税所得额用以抵扣递延</w:t>
      </w:r>
      <w:r>
        <w:rPr/>
        <w:t> 所得税资产的利益，则减记递延所得税资产的账面价值。在很可能获得足够的应纳税所得额时，减记的金额予以转回。</w:t>
      </w:r>
    </w:p>
    <w:p>
      <w:pPr>
        <w:pStyle w:val="BodyText"/>
        <w:spacing w:line="300" w:lineRule="auto" w:before="19"/>
        <w:ind w:left="514" w:right="6972"/>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6" w:lineRule="auto" w:before="31"/>
        <w:ind w:right="1229" w:firstLine="360"/>
        <w:jc w:val="both"/>
      </w:pPr>
      <w:r>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BodyText"/>
        <w:spacing w:line="300" w:lineRule="auto" w:before="19"/>
        <w:ind w:left="514" w:right="1121"/>
        <w:jc w:val="left"/>
      </w:pPr>
      <w:r>
        <w:rPr/>
        <w:t>（</w:t>
      </w:r>
      <w:r>
        <w:rPr>
          <w:rFonts w:ascii="Times New Roman" w:hAnsi="Times New Roman" w:cs="Times New Roman" w:eastAsia="Times New Roman" w:hint="default"/>
        </w:rPr>
        <w:t>4</w:t>
      </w:r>
      <w:r>
        <w:rPr/>
        <w:t>）所得税的抵销 </w:t>
      </w:r>
      <w:r>
        <w:rPr>
          <w:spacing w:val="-2"/>
        </w:rPr>
        <w:t>当拥有以净额结算的法定权利，且意图以净额结算或取得资产、清偿负债同时进行时，本公司当期所得税资产及当期所</w:t>
      </w:r>
    </w:p>
    <w:p>
      <w:pPr>
        <w:pStyle w:val="BodyText"/>
        <w:spacing w:line="316" w:lineRule="auto" w:before="31"/>
        <w:ind w:left="444" w:right="1121" w:hanging="291"/>
        <w:jc w:val="left"/>
      </w:pPr>
      <w:r>
        <w:rPr/>
        <w:t>得税负债以抵销后的净额列报。 </w:t>
      </w:r>
      <w:r>
        <w:rPr>
          <w:spacing w:val="-1"/>
        </w:rPr>
        <w:t>当拥有以净额结算当期所得税资产及当期所得税负债的法定权利，且递延所得税资产及递延所得税负债是与同一税收征</w:t>
      </w:r>
    </w:p>
    <w:p>
      <w:pPr>
        <w:pStyle w:val="BodyText"/>
        <w:spacing w:line="316" w:lineRule="auto" w:before="19"/>
        <w:ind w:right="1131"/>
        <w:jc w:val="both"/>
      </w:pP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转回的期间内，涉及的纳税主体意图以净额结算当期所得税资产和负债或是同时取得资产、清偿负债时，本公司递延所得税</w:t>
      </w:r>
      <w:r>
        <w:rPr>
          <w:spacing w:val="-66"/>
        </w:rPr>
        <w:t> </w:t>
      </w:r>
      <w:r>
        <w:rPr>
          <w:spacing w:val="-66"/>
        </w:rPr>
      </w:r>
      <w:r>
        <w:rPr/>
        <w:t>资产及递延所得税负债以抵销后的净额列报。</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9、租赁" w:id="216"/>
      <w:bookmarkEnd w:id="216"/>
      <w:r>
        <w:rPr>
          <w:b w:val="0"/>
          <w:bCs w:val="0"/>
        </w:rPr>
      </w:r>
      <w:r>
        <w:rPr>
          <w:rFonts w:ascii="Times New Roman" w:hAnsi="Times New Roman" w:cs="Times New Roman" w:eastAsia="Times New Roman" w:hint="default"/>
        </w:rPr>
        <w:t>29</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经营租赁的会计处理方法" w:id="217"/>
      <w:bookmarkEnd w:id="217"/>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1121"/>
        <w:jc w:val="left"/>
      </w:pPr>
      <w:r>
        <w:rPr/>
        <w:t>（</w:t>
      </w:r>
      <w:r>
        <w:rPr>
          <w:rFonts w:ascii="Times New Roman" w:hAnsi="Times New Roman" w:cs="Times New Roman" w:eastAsia="Times New Roman" w:hint="default"/>
        </w:rPr>
        <w:t>1</w:t>
      </w:r>
      <w:r>
        <w:rPr/>
        <w:t>）本公司作为承租人记录经营租赁业务 </w:t>
      </w:r>
      <w:r>
        <w:rPr>
          <w:spacing w:val="-2"/>
        </w:rPr>
        <w:t>经营租赁的租金支出在租赁期内的各个期间按直线法计入相关资产成本或当期损益。初始直接费用计入当期损益。或有</w:t>
      </w:r>
    </w:p>
    <w:p>
      <w:pPr>
        <w:pStyle w:val="BodyText"/>
        <w:spacing w:line="240" w:lineRule="auto" w:before="31"/>
        <w:ind w:right="0"/>
        <w:jc w:val="both"/>
      </w:pPr>
      <w:r>
        <w:rPr/>
        <w:t>租金于实际发生时计入当期损益。</w:t>
      </w:r>
    </w:p>
    <w:p>
      <w:pPr>
        <w:pStyle w:val="BodyText"/>
        <w:spacing w:line="340" w:lineRule="auto" w:before="76"/>
        <w:ind w:left="732" w:right="1121" w:hanging="219"/>
        <w:jc w:val="left"/>
      </w:pPr>
      <w:r>
        <w:rPr/>
        <w:t>（</w:t>
      </w:r>
      <w:r>
        <w:rPr>
          <w:rFonts w:ascii="Times New Roman" w:hAnsi="Times New Roman" w:cs="Times New Roman" w:eastAsia="Times New Roman" w:hint="default"/>
        </w:rPr>
        <w:t>2</w:t>
      </w:r>
      <w:r>
        <w:rPr/>
        <w:t>）本公司作为出租人记录经营租赁业务 经营租赁的租金收入在租赁期内的各个期间按直线法确认为当期损益。对金额较大的初始直接费用于发生时予以资</w:t>
      </w:r>
    </w:p>
    <w:p>
      <w:pPr>
        <w:pStyle w:val="BodyText"/>
        <w:spacing w:line="319" w:lineRule="auto"/>
        <w:ind w:right="1121"/>
        <w:jc w:val="left"/>
      </w:pPr>
      <w:r>
        <w:rPr>
          <w:spacing w:val="-2"/>
        </w:rPr>
        <w:t>本化，在整个租赁期间内按照与确认租金收入相同的基础分期计入当期损益；其他金额较小的初始直接费用于发生时计入当</w:t>
      </w:r>
      <w:r>
        <w:rPr>
          <w:spacing w:val="-64"/>
        </w:rPr>
        <w:t> </w:t>
      </w:r>
      <w:r>
        <w:rPr>
          <w:spacing w:val="-64"/>
        </w:rPr>
      </w:r>
      <w:r>
        <w:rPr/>
        <w:t>期损益。或有租金于实际发生时计入当期损益。</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bookmarkStart w:name="（2）融资租赁的会计处理方法" w:id="218"/>
      <w:bookmarkEnd w:id="218"/>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121"/>
        <w:jc w:val="left"/>
      </w:pPr>
      <w:r>
        <w:rPr/>
        <w:t>（</w:t>
      </w:r>
      <w:r>
        <w:rPr>
          <w:rFonts w:ascii="Times New Roman" w:hAnsi="Times New Roman" w:cs="Times New Roman" w:eastAsia="Times New Roman" w:hint="default"/>
        </w:rPr>
        <w:t>1</w:t>
      </w:r>
      <w:r>
        <w:rPr/>
        <w:t>）本公司作为承租人记录融资租赁业务</w:t>
      </w:r>
    </w:p>
    <w:p>
      <w:pPr>
        <w:spacing w:after="0" w:line="240" w:lineRule="auto"/>
        <w:jc w:val="left"/>
        <w:sectPr>
          <w:footerReference w:type="default" r:id="rId15"/>
          <w:pgSz w:w="11910" w:h="16840"/>
          <w:pgMar w:footer="979" w:header="747" w:top="1060" w:bottom="1160" w:left="980" w:right="0"/>
          <w:pgNumType w:start="91"/>
        </w:sectPr>
      </w:pPr>
    </w:p>
    <w:p>
      <w:pPr>
        <w:spacing w:line="240" w:lineRule="auto" w:before="12"/>
        <w:rPr>
          <w:rFonts w:ascii="宋体" w:hAnsi="宋体" w:cs="宋体" w:eastAsia="宋体" w:hint="default"/>
          <w:sz w:val="25"/>
          <w:szCs w:val="25"/>
        </w:rPr>
      </w:pPr>
    </w:p>
    <w:p>
      <w:pPr>
        <w:pStyle w:val="BodyText"/>
        <w:spacing w:line="316" w:lineRule="auto" w:before="44"/>
        <w:ind w:right="0" w:firstLine="360"/>
        <w:jc w:val="left"/>
      </w:pPr>
      <w:r>
        <w:rPr>
          <w:spacing w:val="-2"/>
        </w:rPr>
        <w:t>于租赁期开始日，将租赁开始日租赁资产的公允价值与最低租赁付款额现值两者中较低者作为租入资产的入账价值，将</w:t>
      </w:r>
      <w:r>
        <w:rPr/>
        <w:t> </w:t>
      </w:r>
      <w:r>
        <w:rPr>
          <w:spacing w:val="-4"/>
        </w:rPr>
        <w:t>最低租赁付款额作为长期应付款的入账价值，其差额作为未确认融资费用。此外，在租赁谈判和签订租赁合同过程中发生的，</w:t>
      </w:r>
      <w:r>
        <w:rPr>
          <w:spacing w:val="-44"/>
        </w:rPr>
        <w:t> </w:t>
      </w:r>
      <w:r>
        <w:rPr>
          <w:spacing w:val="-44"/>
        </w:rPr>
      </w:r>
      <w:r>
        <w:rPr>
          <w:spacing w:val="-2"/>
        </w:rPr>
        <w:t>可归属于租赁项目的初始直接费用也计入租入资产价值。最低租赁付款额扣除未确认融资费用后的余额分别长期负债和一年</w:t>
      </w:r>
      <w:r>
        <w:rPr>
          <w:spacing w:val="-64"/>
        </w:rPr>
        <w:t> </w:t>
      </w:r>
      <w:r>
        <w:rPr>
          <w:spacing w:val="-64"/>
        </w:rPr>
      </w:r>
      <w:r>
        <w:rPr/>
        <w:t>内到期的长期负债列示。</w:t>
      </w:r>
    </w:p>
    <w:p>
      <w:pPr>
        <w:pStyle w:val="BodyText"/>
        <w:spacing w:line="240" w:lineRule="auto" w:before="19"/>
        <w:ind w:left="514" w:right="1121"/>
        <w:jc w:val="left"/>
      </w:pPr>
      <w:r>
        <w:rPr/>
        <w:t>未确认融资费用在租赁期内采用实际利率法计算确认当期的融资费用。或有租金于实际发生时计入当期损益。</w:t>
      </w:r>
    </w:p>
    <w:p>
      <w:pPr>
        <w:pStyle w:val="BodyText"/>
        <w:spacing w:line="300" w:lineRule="auto" w:before="76"/>
        <w:ind w:left="514" w:right="1121"/>
        <w:jc w:val="left"/>
      </w:pPr>
      <w:r>
        <w:rPr/>
        <w:t>（</w:t>
      </w:r>
      <w:r>
        <w:rPr>
          <w:rFonts w:ascii="Times New Roman" w:hAnsi="Times New Roman" w:cs="Times New Roman" w:eastAsia="Times New Roman" w:hint="default"/>
        </w:rPr>
        <w:t>2</w:t>
      </w:r>
      <w:r>
        <w:rPr/>
        <w:t>）本公司作为出租人记录融资租赁业务 </w:t>
      </w:r>
      <w:r>
        <w:rPr>
          <w:spacing w:val="-2"/>
        </w:rPr>
        <w:t>于租赁期开始日，将租赁开始日最低租赁收款额与初始直接费用之和作为应收融资租赁款的入账价值，同时记录未担保</w:t>
      </w:r>
    </w:p>
    <w:p>
      <w:pPr>
        <w:pStyle w:val="BodyText"/>
        <w:spacing w:line="316" w:lineRule="auto" w:before="31"/>
        <w:ind w:right="1121"/>
        <w:jc w:val="left"/>
      </w:pPr>
      <w:r>
        <w:rPr>
          <w:spacing w:val="-2"/>
        </w:rPr>
        <w:t>余值；将最低租赁收款额、初始直接费用及未担保余值之和与其现值之和的差额确认为未实现融资收益。应收融资租赁款扣</w:t>
      </w:r>
      <w:r>
        <w:rPr>
          <w:spacing w:val="-66"/>
        </w:rPr>
        <w:t> </w:t>
      </w:r>
      <w:r>
        <w:rPr>
          <w:spacing w:val="-66"/>
        </w:rPr>
      </w:r>
      <w:r>
        <w:rPr/>
        <w:t>除未实现融资收益后的余额分别长期债权和一年内到期的长期债权列示。</w:t>
      </w:r>
    </w:p>
    <w:p>
      <w:pPr>
        <w:pStyle w:val="BodyText"/>
        <w:spacing w:line="240" w:lineRule="auto" w:before="59"/>
        <w:ind w:left="444" w:right="1121"/>
        <w:jc w:val="left"/>
      </w:pPr>
      <w:r>
        <w:rPr/>
        <w:t>未实现融资收益在租赁期内采用实际利率法计算确认当期的融资收入。或有租金于实际发生时计入当期损益。</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bookmarkStart w:name="30、其他重要的会计政策和会计估计" w:id="219"/>
      <w:bookmarkEnd w:id="219"/>
      <w:r>
        <w:rPr>
          <w:b w:val="0"/>
          <w:bCs w:val="0"/>
        </w:rPr>
      </w:r>
      <w:r>
        <w:rPr>
          <w:rFonts w:ascii="Times New Roman" w:hAnsi="Times New Roman" w:cs="Times New Roman" w:eastAsia="Times New Roman" w:hint="default"/>
        </w:rPr>
        <w:t>30</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1121"/>
        <w:jc w:val="left"/>
      </w:pPr>
      <w:r>
        <w:rPr/>
        <w:t>（</w:t>
      </w:r>
      <w:r>
        <w:rPr>
          <w:rFonts w:ascii="Times New Roman" w:hAnsi="Times New Roman" w:cs="Times New Roman" w:eastAsia="Times New Roman" w:hint="default"/>
        </w:rPr>
        <w:t>1</w:t>
      </w:r>
      <w:r>
        <w:rPr/>
        <w:t>）终止经营 </w:t>
      </w:r>
      <w:r>
        <w:rPr>
          <w:spacing w:val="-2"/>
        </w:rPr>
        <w:t>终止经营，是指满足下列条件之一的、能够单独区分且已被本公司处置或划分为持有待售类别的组成部分：①该组成部</w:t>
      </w:r>
    </w:p>
    <w:p>
      <w:pPr>
        <w:pStyle w:val="BodyText"/>
        <w:spacing w:line="316" w:lineRule="auto" w:before="31"/>
        <w:ind w:right="1121"/>
        <w:jc w:val="left"/>
      </w:pPr>
      <w:r>
        <w:rPr>
          <w:spacing w:val="-2"/>
        </w:rPr>
        <w:t>分代表一项独立的主要业务或一个单独的主要经营地区；②该组成部分是拟对一项独立的主要业务或一个单独的主要经营地</w:t>
      </w:r>
      <w:r>
        <w:rPr>
          <w:spacing w:val="-64"/>
        </w:rPr>
        <w:t> </w:t>
      </w:r>
      <w:r>
        <w:rPr>
          <w:spacing w:val="-64"/>
        </w:rPr>
      </w:r>
      <w:r>
        <w:rPr/>
        <w:t>区进行处置的一项相关联计划的一部分；③该组成部分是专为了转售而取得的子公司。</w:t>
      </w:r>
    </w:p>
    <w:p>
      <w:pPr>
        <w:pStyle w:val="BodyText"/>
        <w:spacing w:line="240" w:lineRule="auto" w:before="19"/>
        <w:ind w:left="514" w:right="1121"/>
        <w:jc w:val="left"/>
      </w:pPr>
      <w:r>
        <w:rPr/>
        <w:t>终止经营的会计处理方法参见本附注四、</w:t>
      </w:r>
      <w:r>
        <w:rPr>
          <w:rFonts w:ascii="Times New Roman" w:hAnsi="Times New Roman" w:cs="Times New Roman" w:eastAsia="Times New Roman" w:hint="default"/>
        </w:rPr>
        <w:t>12“</w:t>
      </w:r>
      <w:r>
        <w:rPr/>
        <w:t>持有待售资产和处置组</w:t>
      </w:r>
      <w:r>
        <w:rPr>
          <w:rFonts w:ascii="Times New Roman" w:hAnsi="Times New Roman" w:cs="Times New Roman" w:eastAsia="Times New Roman" w:hint="default"/>
        </w:rPr>
        <w:t>”</w:t>
      </w:r>
      <w:r>
        <w:rPr/>
        <w:t>相关描述。</w:t>
      </w:r>
    </w:p>
    <w:p>
      <w:pPr>
        <w:pStyle w:val="BodyText"/>
        <w:spacing w:line="300" w:lineRule="auto" w:before="63"/>
        <w:ind w:left="444" w:right="0" w:firstLine="69"/>
        <w:jc w:val="left"/>
      </w:pPr>
      <w:r>
        <w:rPr/>
        <w:t>（</w:t>
      </w:r>
      <w:r>
        <w:rPr>
          <w:rFonts w:ascii="Times New Roman" w:hAnsi="Times New Roman" w:cs="Times New Roman" w:eastAsia="Times New Roman" w:hint="default"/>
        </w:rPr>
        <w:t>2</w:t>
      </w:r>
      <w:r>
        <w:rPr/>
        <w:t>）回购股份 </w:t>
      </w:r>
      <w:r>
        <w:rPr>
          <w:spacing w:val="-3"/>
        </w:rPr>
        <w:t>股份回购中支付的对价和交易费用减少所有者权益，回购、转让或注销本公司股份时，不确认利得或损失。转让库存股，</w:t>
      </w:r>
    </w:p>
    <w:p>
      <w:pPr>
        <w:pStyle w:val="BodyText"/>
        <w:spacing w:line="319" w:lineRule="auto" w:before="31"/>
        <w:ind w:right="1131"/>
        <w:jc w:val="both"/>
      </w:pPr>
      <w:r>
        <w:rPr>
          <w:spacing w:val="-2"/>
        </w:rPr>
        <w:t>按实际收到的金额与库存股账面金额的差额，计入资本公积，资本公积不足冲减的，冲减盈余公积和未分配利润。注销库存</w:t>
      </w:r>
      <w:r>
        <w:rPr>
          <w:spacing w:val="-66"/>
        </w:rPr>
        <w:t> </w:t>
      </w:r>
      <w:r>
        <w:rPr>
          <w:spacing w:val="-66"/>
        </w:rPr>
      </w:r>
      <w:r>
        <w:rPr>
          <w:spacing w:val="-2"/>
        </w:rPr>
        <w:t>股，按股票面值和注销股数减少股本，按注销库存股的账面余额与面值的差额，冲减资本公积，资本公积不足冲减的，冲减</w:t>
      </w:r>
      <w:r>
        <w:rPr>
          <w:spacing w:val="-66"/>
        </w:rPr>
        <w:t> </w:t>
      </w:r>
      <w:r>
        <w:rPr>
          <w:spacing w:val="-66"/>
        </w:rPr>
      </w:r>
      <w:r>
        <w:rPr/>
        <w:t>盈余公积和未分配利润。</w:t>
      </w:r>
    </w:p>
    <w:p>
      <w:pPr>
        <w:spacing w:line="240" w:lineRule="auto" w:before="5"/>
        <w:rPr>
          <w:rFonts w:ascii="宋体" w:hAnsi="宋体" w:cs="宋体" w:eastAsia="宋体" w:hint="default"/>
          <w:sz w:val="22"/>
          <w:szCs w:val="22"/>
        </w:rPr>
      </w:pPr>
    </w:p>
    <w:p>
      <w:pPr>
        <w:pStyle w:val="Heading3"/>
        <w:spacing w:line="240" w:lineRule="auto"/>
        <w:ind w:right="0"/>
        <w:jc w:val="both"/>
        <w:rPr>
          <w:b w:val="0"/>
          <w:bCs w:val="0"/>
        </w:rPr>
      </w:pPr>
      <w:bookmarkStart w:name="31、重要会计政策和会计估计变更" w:id="220"/>
      <w:bookmarkEnd w:id="220"/>
      <w:r>
        <w:rPr>
          <w:b w:val="0"/>
          <w:bCs w:val="0"/>
        </w:rPr>
      </w:r>
      <w:r>
        <w:rPr>
          <w:rFonts w:ascii="Times New Roman" w:hAnsi="Times New Roman" w:cs="Times New Roman" w:eastAsia="Times New Roman" w:hint="default"/>
        </w:rPr>
        <w:t>31</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重要会计政策变更" w:id="221"/>
      <w:bookmarkEnd w:id="221"/>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2）重要会计估计变更" w:id="222"/>
      <w:bookmarkEnd w:id="222"/>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32、其他" w:id="223"/>
      <w:bookmarkEnd w:id="223"/>
      <w:r>
        <w:rPr>
          <w:b w:val="0"/>
          <w:bCs w:val="0"/>
        </w:rPr>
      </w:r>
      <w:r>
        <w:rPr>
          <w:rFonts w:ascii="Times New Roman" w:hAnsi="Times New Roman" w:cs="Times New Roman" w:eastAsia="Times New Roman" w:hint="default"/>
        </w:rPr>
        <w:t>32</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bookmarkStart w:name="六、税项" w:id="224"/>
      <w:bookmarkEnd w:id="224"/>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主要税种及税率" w:id="225"/>
      <w:bookmarkEnd w:id="225"/>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销售货物或者提供应税劳务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实际缴纳的流转税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实际缴纳的流转税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r>
    </w:tbl>
    <w:p>
      <w:pPr>
        <w:spacing w:line="240" w:lineRule="auto" w:before="3"/>
        <w:rPr>
          <w:rFonts w:ascii="宋体" w:hAnsi="宋体" w:cs="宋体" w:eastAsia="宋体" w:hint="default"/>
          <w:b/>
          <w:bCs/>
          <w:sz w:val="19"/>
          <w:szCs w:val="19"/>
        </w:rPr>
      </w:pPr>
    </w:p>
    <w:p>
      <w:pPr>
        <w:pStyle w:val="Heading3"/>
        <w:spacing w:line="240" w:lineRule="auto" w:before="35"/>
        <w:ind w:right="1121"/>
        <w:jc w:val="left"/>
        <w:rPr>
          <w:b w:val="0"/>
          <w:bCs w:val="0"/>
        </w:rPr>
      </w:pPr>
      <w:bookmarkStart w:name="2、税收优惠" w:id="226"/>
      <w:bookmarkEnd w:id="226"/>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1121"/>
        <w:jc w:val="left"/>
      </w:pPr>
      <w:r>
        <w:rPr/>
        <w:t>本公司取得了编号为</w:t>
      </w:r>
      <w:r>
        <w:rPr>
          <w:rFonts w:ascii="Times New Roman" w:hAnsi="Times New Roman" w:cs="Times New Roman" w:eastAsia="Times New Roman" w:hint="default"/>
        </w:rPr>
        <w:t>GR201737001181</w:t>
      </w:r>
      <w:r>
        <w:rPr/>
        <w:t>的高新技术企业证书，</w:t>
      </w:r>
      <w:r>
        <w:rPr>
          <w:rFonts w:ascii="Times New Roman" w:hAnsi="Times New Roman" w:cs="Times New Roman" w:eastAsia="Times New Roman" w:hint="default"/>
        </w:rPr>
        <w:t>2018</w:t>
      </w:r>
      <w:r>
        <w:rPr/>
        <w:t>年度减按</w:t>
      </w:r>
      <w:r>
        <w:rPr>
          <w:rFonts w:ascii="Times New Roman" w:hAnsi="Times New Roman" w:cs="Times New Roman" w:eastAsia="Times New Roman" w:hint="default"/>
        </w:rPr>
        <w:t>15%</w:t>
      </w:r>
      <w:r>
        <w:rPr/>
        <w:t>的税率缴纳企业所得税。 </w:t>
      </w:r>
      <w:r>
        <w:rPr>
          <w:spacing w:val="3"/>
        </w:rPr>
        <w:t>本公司之全资子公司广州东港安全印刷有限公司取得了编号为</w:t>
      </w:r>
      <w:r>
        <w:rPr>
          <w:rFonts w:ascii="Times New Roman" w:hAnsi="Times New Roman" w:cs="Times New Roman" w:eastAsia="Times New Roman" w:hint="default"/>
          <w:spacing w:val="3"/>
        </w:rPr>
        <w:t>GR201644000746</w:t>
      </w:r>
      <w:r>
        <w:rPr>
          <w:spacing w:val="3"/>
        </w:rPr>
        <w:t>的高新技术企业证书，</w:t>
      </w:r>
      <w:r>
        <w:rPr>
          <w:rFonts w:ascii="Times New Roman" w:hAnsi="Times New Roman" w:cs="Times New Roman" w:eastAsia="Times New Roman" w:hint="default"/>
          <w:spacing w:val="3"/>
        </w:rPr>
        <w:t>2018</w:t>
      </w:r>
      <w:r>
        <w:rPr>
          <w:spacing w:val="3"/>
        </w:rPr>
        <w:t>年度减按</w:t>
      </w:r>
    </w:p>
    <w:p>
      <w:pPr>
        <w:pStyle w:val="BodyText"/>
        <w:spacing w:line="300" w:lineRule="auto" w:before="13"/>
        <w:ind w:left="514" w:right="1121" w:hanging="360"/>
        <w:jc w:val="left"/>
      </w:pPr>
      <w:r>
        <w:rPr>
          <w:rFonts w:ascii="Times New Roman" w:hAnsi="Times New Roman" w:cs="Times New Roman" w:eastAsia="Times New Roman" w:hint="default"/>
        </w:rPr>
        <w:t>15%</w:t>
      </w:r>
      <w:r>
        <w:rPr/>
        <w:t>的税率缴纳企业所得税。</w:t>
      </w:r>
      <w:r>
        <w:rPr>
          <w:w w:val="99"/>
        </w:rPr>
        <w:t> </w:t>
      </w:r>
      <w:r>
        <w:rPr>
          <w:spacing w:val="3"/>
        </w:rPr>
        <w:t>本公司之全资子公司上海东港安全印刷有限公司取得了编号为</w:t>
      </w:r>
      <w:r>
        <w:rPr>
          <w:rFonts w:ascii="Times New Roman" w:hAnsi="Times New Roman" w:cs="Times New Roman" w:eastAsia="Times New Roman" w:hint="default"/>
          <w:spacing w:val="3"/>
        </w:rPr>
        <w:t>GR201731000202</w:t>
      </w:r>
      <w:r>
        <w:rPr>
          <w:spacing w:val="3"/>
        </w:rPr>
        <w:t>的高新技术企业证书，</w:t>
      </w:r>
      <w:r>
        <w:rPr>
          <w:rFonts w:ascii="Times New Roman" w:hAnsi="Times New Roman" w:cs="Times New Roman" w:eastAsia="Times New Roman" w:hint="default"/>
          <w:spacing w:val="3"/>
        </w:rPr>
        <w:t>2018</w:t>
      </w:r>
      <w:r>
        <w:rPr>
          <w:spacing w:val="3"/>
        </w:rPr>
        <w:t>年度减按</w:t>
      </w:r>
    </w:p>
    <w:p>
      <w:pPr>
        <w:pStyle w:val="BodyText"/>
        <w:spacing w:line="300" w:lineRule="auto" w:before="13"/>
        <w:ind w:left="514" w:right="1121" w:hanging="360"/>
        <w:jc w:val="left"/>
      </w:pPr>
      <w:r>
        <w:rPr>
          <w:rFonts w:ascii="Times New Roman" w:hAnsi="Times New Roman" w:cs="Times New Roman" w:eastAsia="Times New Roman" w:hint="default"/>
        </w:rPr>
        <w:t>15%</w:t>
      </w:r>
      <w:r>
        <w:rPr/>
        <w:t>的税率缴纳企业所得税。</w:t>
      </w:r>
      <w:r>
        <w:rPr>
          <w:w w:val="99"/>
        </w:rPr>
        <w:t> </w:t>
      </w:r>
      <w:r>
        <w:rPr>
          <w:spacing w:val="3"/>
        </w:rPr>
        <w:t>本公司之全资子公司上海东港数据处理有限公司取得了编号为</w:t>
      </w:r>
      <w:r>
        <w:rPr>
          <w:rFonts w:ascii="Times New Roman" w:hAnsi="Times New Roman" w:cs="Times New Roman" w:eastAsia="Times New Roman" w:hint="default"/>
          <w:spacing w:val="3"/>
        </w:rPr>
        <w:t>GR201831000975</w:t>
      </w:r>
      <w:r>
        <w:rPr>
          <w:spacing w:val="3"/>
        </w:rPr>
        <w:t>的高新技术企业证书，</w:t>
      </w:r>
      <w:r>
        <w:rPr>
          <w:rFonts w:ascii="Times New Roman" w:hAnsi="Times New Roman" w:cs="Times New Roman" w:eastAsia="Times New Roman" w:hint="default"/>
          <w:spacing w:val="3"/>
        </w:rPr>
        <w:t>2018</w:t>
      </w:r>
      <w:r>
        <w:rPr>
          <w:spacing w:val="3"/>
        </w:rPr>
        <w:t>年度减按</w:t>
      </w:r>
    </w:p>
    <w:p>
      <w:pPr>
        <w:pStyle w:val="BodyText"/>
        <w:spacing w:line="300" w:lineRule="auto" w:before="13"/>
        <w:ind w:left="514" w:right="1121" w:hanging="360"/>
        <w:jc w:val="left"/>
      </w:pPr>
      <w:r>
        <w:rPr>
          <w:rFonts w:ascii="Times New Roman" w:hAnsi="Times New Roman" w:cs="Times New Roman" w:eastAsia="Times New Roman" w:hint="default"/>
        </w:rPr>
        <w:t>15%</w:t>
      </w:r>
      <w:r>
        <w:rPr/>
        <w:t>的税率缴纳企业所得税。</w:t>
      </w:r>
      <w:r>
        <w:rPr>
          <w:w w:val="99"/>
        </w:rPr>
        <w:t> </w:t>
      </w:r>
      <w:r>
        <w:rPr>
          <w:spacing w:val="3"/>
        </w:rPr>
        <w:t>本公司之全资子公司郑州东港安全印刷有限公司取得了编号为</w:t>
      </w:r>
      <w:r>
        <w:rPr>
          <w:rFonts w:ascii="Times New Roman" w:hAnsi="Times New Roman" w:cs="Times New Roman" w:eastAsia="Times New Roman" w:hint="default"/>
          <w:spacing w:val="3"/>
        </w:rPr>
        <w:t>GR201641000332</w:t>
      </w:r>
      <w:r>
        <w:rPr>
          <w:spacing w:val="3"/>
        </w:rPr>
        <w:t>的高新技术企业证书，</w:t>
      </w:r>
      <w:r>
        <w:rPr>
          <w:rFonts w:ascii="Times New Roman" w:hAnsi="Times New Roman" w:cs="Times New Roman" w:eastAsia="Times New Roman" w:hint="default"/>
          <w:spacing w:val="3"/>
        </w:rPr>
        <w:t>2018</w:t>
      </w:r>
      <w:r>
        <w:rPr>
          <w:spacing w:val="3"/>
        </w:rPr>
        <w:t>年度减按</w:t>
      </w:r>
    </w:p>
    <w:p>
      <w:pPr>
        <w:pStyle w:val="BodyText"/>
        <w:spacing w:line="300" w:lineRule="auto" w:before="13"/>
        <w:ind w:left="514" w:right="1121" w:hanging="360"/>
        <w:jc w:val="left"/>
      </w:pPr>
      <w:r>
        <w:rPr>
          <w:rFonts w:ascii="Times New Roman" w:hAnsi="Times New Roman" w:cs="Times New Roman" w:eastAsia="Times New Roman" w:hint="default"/>
        </w:rPr>
        <w:t>15%</w:t>
      </w:r>
      <w:r>
        <w:rPr/>
        <w:t>的税率缴纳企业所得税。</w:t>
      </w:r>
      <w:r>
        <w:rPr>
          <w:w w:val="99"/>
        </w:rPr>
        <w:t> </w:t>
      </w:r>
      <w:r>
        <w:rPr>
          <w:spacing w:val="3"/>
        </w:rPr>
        <w:t>本公司之全资子公司北京东港安全印刷有限公司取得了编号为</w:t>
      </w:r>
      <w:r>
        <w:rPr>
          <w:rFonts w:ascii="Times New Roman" w:hAnsi="Times New Roman" w:cs="Times New Roman" w:eastAsia="Times New Roman" w:hint="default"/>
          <w:spacing w:val="3"/>
        </w:rPr>
        <w:t>GR201711004927</w:t>
      </w:r>
      <w:r>
        <w:rPr>
          <w:spacing w:val="3"/>
        </w:rPr>
        <w:t>的高新技术企业证书，</w:t>
      </w:r>
      <w:r>
        <w:rPr>
          <w:rFonts w:ascii="Times New Roman" w:hAnsi="Times New Roman" w:cs="Times New Roman" w:eastAsia="Times New Roman" w:hint="default"/>
          <w:spacing w:val="3"/>
        </w:rPr>
        <w:t>2018</w:t>
      </w:r>
      <w:r>
        <w:rPr>
          <w:spacing w:val="3"/>
        </w:rPr>
        <w:t>年度减按</w:t>
      </w:r>
    </w:p>
    <w:p>
      <w:pPr>
        <w:pStyle w:val="BodyText"/>
        <w:spacing w:line="300" w:lineRule="auto" w:before="13"/>
        <w:ind w:left="514" w:right="1121" w:hanging="360"/>
        <w:jc w:val="left"/>
      </w:pPr>
      <w:r>
        <w:rPr>
          <w:rFonts w:ascii="Times New Roman" w:hAnsi="Times New Roman" w:cs="Times New Roman" w:eastAsia="Times New Roman" w:hint="default"/>
        </w:rPr>
        <w:t>15%</w:t>
      </w:r>
      <w:r>
        <w:rPr/>
        <w:t>的税率缴纳企业所得税。</w:t>
      </w:r>
      <w:r>
        <w:rPr>
          <w:w w:val="99"/>
        </w:rPr>
        <w:t> </w:t>
      </w:r>
      <w:r>
        <w:rPr/>
        <w:t>本公司之全资子公司北京东港嘉华安全信息技术有限公司取得了编号为</w:t>
      </w:r>
      <w:r>
        <w:rPr>
          <w:rFonts w:ascii="Times New Roman" w:hAnsi="Times New Roman" w:cs="Times New Roman" w:eastAsia="Times New Roman" w:hint="default"/>
        </w:rPr>
        <w:t>GR201611004866</w:t>
      </w:r>
      <w:r>
        <w:rPr/>
        <w:t>的高新技术企业证书，</w:t>
      </w:r>
      <w:r>
        <w:rPr>
          <w:rFonts w:ascii="Times New Roman" w:hAnsi="Times New Roman" w:cs="Times New Roman" w:eastAsia="Times New Roman" w:hint="default"/>
        </w:rPr>
        <w:t>2018</w:t>
      </w:r>
      <w:r>
        <w:rPr/>
        <w:t>年</w:t>
      </w:r>
    </w:p>
    <w:p>
      <w:pPr>
        <w:pStyle w:val="BodyText"/>
        <w:spacing w:line="300" w:lineRule="auto" w:before="13"/>
        <w:ind w:left="444" w:right="1124" w:hanging="291"/>
        <w:jc w:val="left"/>
        <w:rPr>
          <w:rFonts w:ascii="Times New Roman" w:hAnsi="Times New Roman" w:cs="Times New Roman" w:eastAsia="Times New Roman" w:hint="default"/>
        </w:rPr>
      </w:pPr>
      <w:r>
        <w:rPr/>
        <w:t>度减按</w:t>
      </w:r>
      <w:r>
        <w:rPr>
          <w:rFonts w:ascii="Times New Roman" w:hAnsi="Times New Roman" w:cs="Times New Roman" w:eastAsia="Times New Roman" w:hint="default"/>
        </w:rPr>
        <w:t>15%</w:t>
      </w:r>
      <w:r>
        <w:rPr/>
        <w:t>的税率缴纳企业所得税。 </w:t>
      </w:r>
      <w:r>
        <w:rPr>
          <w:spacing w:val="-1"/>
        </w:rPr>
        <w:t>本公司之全资子公司新疆东港安全印刷有限公司取得了编号为</w:t>
      </w:r>
      <w:r>
        <w:rPr>
          <w:rFonts w:ascii="Times New Roman" w:hAnsi="Times New Roman" w:cs="Times New Roman" w:eastAsia="Times New Roman" w:hint="default"/>
          <w:spacing w:val="-1"/>
        </w:rPr>
        <w:t>GR201865000237</w:t>
      </w:r>
      <w:r>
        <w:rPr>
          <w:spacing w:val="-1"/>
        </w:rPr>
        <w:t>的高新技术企业证书，</w:t>
      </w:r>
      <w:r>
        <w:rPr>
          <w:rFonts w:ascii="Times New Roman" w:hAnsi="Times New Roman" w:cs="Times New Roman" w:eastAsia="Times New Roman" w:hint="default"/>
          <w:spacing w:val="-1"/>
        </w:rPr>
        <w:t>2018</w:t>
      </w:r>
      <w:r>
        <w:rPr>
          <w:spacing w:val="-1"/>
        </w:rPr>
        <w:t>年度减按</w:t>
      </w:r>
      <w:r>
        <w:rPr>
          <w:rFonts w:ascii="Times New Roman" w:hAnsi="Times New Roman" w:cs="Times New Roman" w:eastAsia="Times New Roman" w:hint="default"/>
          <w:spacing w:val="-1"/>
        </w:rPr>
        <w:t>15%</w:t>
      </w:r>
    </w:p>
    <w:p>
      <w:pPr>
        <w:pStyle w:val="BodyText"/>
        <w:spacing w:line="240" w:lineRule="auto" w:before="13"/>
        <w:ind w:right="1121"/>
        <w:jc w:val="left"/>
      </w:pPr>
      <w:r>
        <w:rPr/>
        <w:t>的税率缴纳企业所得税。</w:t>
      </w:r>
    </w:p>
    <w:p>
      <w:pPr>
        <w:spacing w:line="240" w:lineRule="auto" w:before="2"/>
        <w:rPr>
          <w:rFonts w:ascii="宋体" w:hAnsi="宋体" w:cs="宋体" w:eastAsia="宋体" w:hint="default"/>
          <w:sz w:val="25"/>
          <w:szCs w:val="25"/>
        </w:rPr>
      </w:pPr>
    </w:p>
    <w:p>
      <w:pPr>
        <w:pStyle w:val="Heading2"/>
        <w:spacing w:line="240" w:lineRule="auto"/>
        <w:ind w:right="1121"/>
        <w:jc w:val="left"/>
        <w:rPr>
          <w:b w:val="0"/>
          <w:bCs w:val="0"/>
        </w:rPr>
      </w:pPr>
      <w:bookmarkStart w:name="七、合并财务报表项目注释" w:id="227"/>
      <w:bookmarkEnd w:id="227"/>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1"/>
        <w:jc w:val="left"/>
        <w:rPr>
          <w:b w:val="0"/>
          <w:bCs w:val="0"/>
        </w:rPr>
      </w:pPr>
      <w:bookmarkStart w:name="1、货币资金" w:id="228"/>
      <w:bookmarkEnd w:id="228"/>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817,149.06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597,687.15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754,497,272.71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695,983,718.24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38,497,037.54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53,903,882.50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793,811,459.31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750,485,287.89</w:t>
            </w:r>
          </w:p>
        </w:tc>
      </w:tr>
    </w:tbl>
    <w:p>
      <w:pPr>
        <w:pStyle w:val="BodyText"/>
        <w:spacing w:line="240" w:lineRule="auto" w:before="51"/>
        <w:ind w:right="1121"/>
        <w:jc w:val="left"/>
      </w:pPr>
      <w:r>
        <w:rPr/>
        <w:t>其他说明</w:t>
      </w:r>
    </w:p>
    <w:p>
      <w:pPr>
        <w:pStyle w:val="BodyText"/>
        <w:spacing w:line="300" w:lineRule="auto" w:before="116"/>
        <w:ind w:right="1098" w:firstLine="384"/>
        <w:jc w:val="left"/>
      </w:pPr>
      <w:r>
        <w:rPr/>
        <w:t>在其他货币资金中，年初受限货币资金为</w:t>
      </w:r>
      <w:r>
        <w:rPr>
          <w:rFonts w:ascii="Times New Roman" w:hAnsi="Times New Roman" w:cs="Times New Roman" w:eastAsia="Times New Roman" w:hint="default"/>
        </w:rPr>
        <w:t>53,190,760.97</w:t>
      </w:r>
      <w:r>
        <w:rPr/>
        <w:t>元，期末受限货币资金为</w:t>
      </w:r>
      <w:r>
        <w:rPr>
          <w:rFonts w:ascii="Times New Roman" w:hAnsi="Times New Roman" w:cs="Times New Roman" w:eastAsia="Times New Roman" w:hint="default"/>
        </w:rPr>
        <w:t>37,446,925.10</w:t>
      </w:r>
      <w:r>
        <w:rPr/>
        <w:t>元，详见本附注七、</w:t>
      </w:r>
      <w:r>
        <w:rPr>
          <w:rFonts w:ascii="宋体" w:hAnsi="宋体" w:cs="宋体" w:eastAsia="宋体" w:hint="default"/>
        </w:rPr>
        <w:t>44</w:t>
      </w:r>
      <w:r>
        <w:rPr/>
        <w:t>、 所有权或使用权受限制的资产。</w:t>
      </w:r>
    </w:p>
    <w:p>
      <w:pPr>
        <w:spacing w:line="240" w:lineRule="auto" w:before="6"/>
        <w:rPr>
          <w:rFonts w:ascii="宋体" w:hAnsi="宋体" w:cs="宋体" w:eastAsia="宋体" w:hint="default"/>
          <w:sz w:val="23"/>
          <w:szCs w:val="23"/>
        </w:rPr>
      </w:pPr>
    </w:p>
    <w:p>
      <w:pPr>
        <w:pStyle w:val="Heading3"/>
        <w:spacing w:line="240" w:lineRule="auto"/>
        <w:ind w:right="1121"/>
        <w:jc w:val="left"/>
        <w:rPr>
          <w:b w:val="0"/>
          <w:bCs w:val="0"/>
        </w:rPr>
      </w:pPr>
      <w:bookmarkStart w:name="2、应收票据及应收账款" w:id="229"/>
      <w:bookmarkEnd w:id="229"/>
      <w:r>
        <w:rPr>
          <w:b w:val="0"/>
          <w:bCs w:val="0"/>
        </w:rPr>
      </w:r>
      <w:r>
        <w:rPr>
          <w:rFonts w:ascii="Times New Roman" w:hAnsi="Times New Roman" w:cs="Times New Roman" w:eastAsia="Times New Roman" w:hint="default"/>
        </w:rPr>
        <w:t>2</w:t>
      </w:r>
      <w:r>
        <w:rPr/>
        <w:t>、应收票据及应收账款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998,180.50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1,897,710.98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332,268,049.03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324,915,798.53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333,266,229.53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326,813,509.51</w:t>
            </w:r>
          </w:p>
        </w:tc>
      </w:tr>
    </w:tbl>
    <w:p>
      <w:pPr>
        <w:spacing w:line="240" w:lineRule="auto" w:before="2"/>
        <w:rPr>
          <w:rFonts w:ascii="宋体" w:hAnsi="宋体" w:cs="宋体" w:eastAsia="宋体" w:hint="default"/>
          <w:sz w:val="19"/>
          <w:szCs w:val="19"/>
        </w:rPr>
      </w:pPr>
    </w:p>
    <w:p>
      <w:pPr>
        <w:pStyle w:val="Heading3"/>
        <w:spacing w:line="240" w:lineRule="auto" w:before="35"/>
        <w:ind w:right="1121"/>
        <w:jc w:val="left"/>
        <w:rPr>
          <w:b w:val="0"/>
          <w:bCs w:val="0"/>
        </w:rPr>
      </w:pPr>
      <w:bookmarkStart w:name="（1）应收票据" w:id="230"/>
      <w:bookmarkEnd w:id="230"/>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21"/>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165,341.01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1,897,710.98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832,839.49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998,180.50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1,897,710.98</w:t>
            </w:r>
          </w:p>
        </w:tc>
      </w:tr>
    </w:tbl>
    <w:p>
      <w:pPr>
        <w:pStyle w:val="BodyText"/>
        <w:spacing w:line="240" w:lineRule="auto" w:before="51"/>
        <w:ind w:right="1121"/>
        <w:jc w:val="left"/>
      </w:pPr>
      <w:r>
        <w:rPr>
          <w:rFonts w:ascii="Times New Roman" w:hAnsi="Times New Roman" w:cs="Times New Roman" w:eastAsia="Times New Roman" w:hint="default"/>
        </w:rPr>
        <w:t>2)</w:t>
      </w:r>
      <w:r>
        <w:rPr/>
        <w:t>期末公司已背书或贴现且在资产负债表日尚未到期的应收票据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12,816,271.15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12,816,271.15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21"/>
        <w:jc w:val="left"/>
        <w:rPr>
          <w:b w:val="0"/>
          <w:bCs w:val="0"/>
        </w:rPr>
      </w:pPr>
      <w:bookmarkStart w:name="（2）应收账款" w:id="231"/>
      <w:bookmarkEnd w:id="231"/>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21"/>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351,950,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149.69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19,682,1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00.66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5.59%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332,268,0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49.03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343,944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,206.65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19,028,40</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8.12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5.53%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324,915,79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8.53</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351,950,</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149.69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19,682,1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00.66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5.59%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332,268,0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49.03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343,944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,206.65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19,028,40</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8.12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5.53%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324,915,79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8.53</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340" w:lineRule="auto" w:before="116"/>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324,303,435.23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16,215,171.76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24,311,383.81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2,431,138.39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2,106,249.41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421,249.88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1,229,081.24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614,540.63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953,654.69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476,827.35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56,276.00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28,138.00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219,150.55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109,575.28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351,950,149.69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19,682,100.66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360" w:lineRule="auto" w:before="51"/>
        <w:ind w:right="1825"/>
        <w:jc w:val="left"/>
      </w:pPr>
      <w:r>
        <w:rPr/>
        <w:t>确定该组合依据的说明： 组合中，采用余额百分比法计提坏账准备的应收账款：</w:t>
      </w:r>
    </w:p>
    <w:p>
      <w:pPr>
        <w:pStyle w:val="BodyText"/>
        <w:spacing w:line="240" w:lineRule="auto" w:before="26"/>
        <w:ind w:right="182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825"/>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2"/>
        <w:ind w:right="-16"/>
        <w:jc w:val="left"/>
      </w:pPr>
      <w:r>
        <w:rPr/>
        <w:t>本期计提坏账准备金额</w:t>
      </w:r>
      <w:r>
        <w:rPr>
          <w:spacing w:val="-46"/>
        </w:rPr>
        <w:t> </w:t>
      </w:r>
      <w:r>
        <w:rPr>
          <w:rFonts w:ascii="Times New Roman" w:hAnsi="Times New Roman" w:cs="Times New Roman" w:eastAsia="Times New Roman" w:hint="default"/>
        </w:rPr>
        <w:t>676,270.54</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1825"/>
        <w:jc w:val="left"/>
      </w:pPr>
      <w:r>
        <w:rPr>
          <w:rFonts w:ascii="Times New Roman" w:hAnsi="Times New Roman" w:cs="Times New Roman" w:eastAsia="Times New Roman" w:hint="default"/>
        </w:rPr>
        <w:t>3)</w:t>
      </w:r>
      <w:r>
        <w:rPr/>
        <w:t>本期实际核销的应收账款情况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6320" w:space="2510"/>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2,193.00</w:t>
            </w:r>
          </w:p>
        </w:tc>
      </w:tr>
    </w:tbl>
    <w:p>
      <w:pPr>
        <w:pStyle w:val="BodyText"/>
        <w:spacing w:line="338" w:lineRule="auto" w:before="51"/>
        <w:ind w:left="514" w:right="1121" w:hanging="360"/>
        <w:jc w:val="left"/>
      </w:pPr>
      <w:r>
        <w:rPr>
          <w:rFonts w:ascii="Times New Roman" w:hAnsi="Times New Roman" w:cs="Times New Roman" w:eastAsia="Times New Roman" w:hint="default"/>
        </w:rPr>
        <w:t>4)</w:t>
      </w:r>
      <w:r>
        <w:rPr/>
        <w:t>按欠款方归集的期末余额前五名的应收账款情况</w:t>
      </w:r>
      <w:r>
        <w:rPr>
          <w:w w:val="99"/>
        </w:rPr>
        <w:t> </w:t>
      </w:r>
      <w:r>
        <w:rPr>
          <w:spacing w:val="-1"/>
        </w:rPr>
        <w:t>本公司本年按欠款方归集的年末余额前五名应收账款汇总金额为</w:t>
      </w:r>
      <w:r>
        <w:rPr>
          <w:rFonts w:ascii="Times New Roman" w:hAnsi="Times New Roman" w:cs="Times New Roman" w:eastAsia="Times New Roman" w:hint="default"/>
          <w:spacing w:val="-1"/>
        </w:rPr>
        <w:t>70,827,899.29</w:t>
      </w:r>
      <w:r>
        <w:rPr>
          <w:spacing w:val="-1"/>
        </w:rPr>
        <w:t>元，占应收账款年末余额合计数的比</w:t>
      </w:r>
    </w:p>
    <w:p>
      <w:pPr>
        <w:pStyle w:val="BodyText"/>
        <w:spacing w:line="230" w:lineRule="exact"/>
        <w:ind w:right="1121"/>
        <w:jc w:val="left"/>
      </w:pPr>
      <w:r>
        <w:rPr/>
        <w:t>例为</w:t>
      </w:r>
      <w:r>
        <w:rPr>
          <w:rFonts w:ascii="Times New Roman" w:hAnsi="Times New Roman" w:cs="Times New Roman" w:eastAsia="Times New Roman" w:hint="default"/>
        </w:rPr>
        <w:t>20.12%</w:t>
      </w:r>
      <w:r>
        <w:rPr/>
        <w:t>，相应计提的坏账准备年末余额汇总金额为</w:t>
      </w:r>
      <w:r>
        <w:rPr>
          <w:rFonts w:ascii="Times New Roman" w:hAnsi="Times New Roman" w:cs="Times New Roman" w:eastAsia="Times New Roman" w:hint="default"/>
        </w:rPr>
        <w:t>4,104,770.20</w:t>
      </w:r>
      <w:r>
        <w:rPr/>
        <w:t>元。</w:t>
      </w:r>
    </w:p>
    <w:p>
      <w:pPr>
        <w:spacing w:line="240" w:lineRule="auto" w:before="11"/>
        <w:rPr>
          <w:rFonts w:ascii="宋体" w:hAnsi="宋体" w:cs="宋体" w:eastAsia="宋体" w:hint="default"/>
          <w:sz w:val="25"/>
          <w:szCs w:val="25"/>
        </w:rPr>
      </w:pPr>
    </w:p>
    <w:p>
      <w:pPr>
        <w:pStyle w:val="Heading3"/>
        <w:spacing w:line="240" w:lineRule="auto"/>
        <w:ind w:right="1121"/>
        <w:jc w:val="left"/>
        <w:rPr>
          <w:b w:val="0"/>
          <w:bCs w:val="0"/>
        </w:rPr>
      </w:pPr>
      <w:bookmarkStart w:name="3、预付款项" w:id="232"/>
      <w:bookmarkEnd w:id="232"/>
      <w:r>
        <w:rPr>
          <w:b w:val="0"/>
          <w:bCs w:val="0"/>
        </w:rPr>
      </w:r>
      <w:r>
        <w:rPr>
          <w:rFonts w:ascii="Times New Roman" w:hAnsi="Times New Roman" w:cs="Times New Roman" w:eastAsia="Times New Roman" w:hint="default"/>
        </w:rPr>
        <w:t>3</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1"/>
        <w:jc w:val="left"/>
        <w:rPr>
          <w:b w:val="0"/>
          <w:bCs w:val="0"/>
        </w:rPr>
      </w:pPr>
      <w:bookmarkStart w:name="（1）预付款项按账龄列示" w:id="233"/>
      <w:bookmarkEnd w:id="233"/>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19,314,303.38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19,982,440.55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99.62%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4,427,991.45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46,555.26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5,410.26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25,000.85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23,772,705.94</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20,058,995.81</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21"/>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9"/>
        <w:rPr>
          <w:rFonts w:ascii="宋体" w:hAnsi="宋体" w:cs="宋体" w:eastAsia="宋体" w:hint="default"/>
          <w:sz w:val="25"/>
          <w:szCs w:val="25"/>
        </w:rPr>
      </w:pPr>
    </w:p>
    <w:p>
      <w:pPr>
        <w:pStyle w:val="Heading3"/>
        <w:spacing w:line="240" w:lineRule="auto"/>
        <w:ind w:right="1121"/>
        <w:jc w:val="left"/>
        <w:rPr>
          <w:b w:val="0"/>
          <w:bCs w:val="0"/>
        </w:rPr>
      </w:pPr>
      <w:bookmarkStart w:name="（2）按预付对象归集的期末余额前五名的预付款情况" w:id="234"/>
      <w:bookmarkEnd w:id="234"/>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1121"/>
        <w:jc w:val="left"/>
      </w:pPr>
      <w:r>
        <w:rPr/>
        <w:t>本公司按预付对象归集的年末余额前五名预付账款汇总金额为</w:t>
      </w:r>
      <w:r>
        <w:rPr>
          <w:rFonts w:ascii="Times New Roman" w:hAnsi="Times New Roman" w:cs="Times New Roman" w:eastAsia="Times New Roman" w:hint="default"/>
        </w:rPr>
        <w:t>14,796,025.40</w:t>
      </w:r>
      <w:r>
        <w:rPr/>
        <w:t>元，占预付账款年末余额合计数的比例为</w:t>
      </w:r>
    </w:p>
    <w:p>
      <w:pPr>
        <w:spacing w:after="0" w:line="240" w:lineRule="auto"/>
        <w:jc w:val="left"/>
        <w:sectPr>
          <w:type w:val="continuous"/>
          <w:pgSz w:w="11910" w:h="16840"/>
          <w:pgMar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121"/>
        <w:jc w:val="left"/>
      </w:pPr>
      <w:r>
        <w:rPr>
          <w:rFonts w:ascii="Times New Roman" w:hAnsi="Times New Roman" w:cs="Times New Roman" w:eastAsia="Times New Roman" w:hint="default"/>
        </w:rPr>
        <w:t>62.24%</w:t>
      </w:r>
      <w:r>
        <w:rPr/>
        <w:t>。</w:t>
      </w:r>
    </w:p>
    <w:p>
      <w:pPr>
        <w:spacing w:line="240" w:lineRule="auto" w:before="11"/>
        <w:rPr>
          <w:rFonts w:ascii="宋体" w:hAnsi="宋体" w:cs="宋体" w:eastAsia="宋体" w:hint="default"/>
          <w:sz w:val="25"/>
          <w:szCs w:val="25"/>
        </w:rPr>
      </w:pPr>
    </w:p>
    <w:p>
      <w:pPr>
        <w:pStyle w:val="Heading3"/>
        <w:spacing w:line="240" w:lineRule="auto"/>
        <w:ind w:right="1121"/>
        <w:jc w:val="left"/>
        <w:rPr>
          <w:b w:val="0"/>
          <w:bCs w:val="0"/>
        </w:rPr>
      </w:pPr>
      <w:bookmarkStart w:name="4、其他应收款" w:id="235"/>
      <w:bookmarkEnd w:id="235"/>
      <w:r>
        <w:rPr>
          <w:b w:val="0"/>
          <w:bCs w:val="0"/>
        </w:rPr>
      </w:r>
      <w:r>
        <w:rPr>
          <w:rFonts w:ascii="Times New Roman" w:hAnsi="Times New Roman" w:cs="Times New Roman" w:eastAsia="Times New Roman" w:hint="default"/>
        </w:rPr>
        <w:t>4</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47,741,689.91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30,169,102.20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47,741,689.91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30,169,102.20</w:t>
            </w:r>
          </w:p>
        </w:tc>
      </w:tr>
    </w:tbl>
    <w:p>
      <w:pPr>
        <w:spacing w:line="240" w:lineRule="auto" w:before="2"/>
        <w:rPr>
          <w:rFonts w:ascii="宋体" w:hAnsi="宋体" w:cs="宋体" w:eastAsia="宋体" w:hint="default"/>
          <w:sz w:val="19"/>
          <w:szCs w:val="19"/>
        </w:rPr>
      </w:pPr>
    </w:p>
    <w:p>
      <w:pPr>
        <w:pStyle w:val="Heading3"/>
        <w:spacing w:line="240" w:lineRule="auto" w:before="35"/>
        <w:ind w:right="1121"/>
        <w:jc w:val="left"/>
        <w:rPr>
          <w:b w:val="0"/>
          <w:bCs w:val="0"/>
        </w:rPr>
      </w:pPr>
      <w:bookmarkStart w:name="（1）其他应收款" w:id="236"/>
      <w:bookmarkEnd w:id="236"/>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21"/>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52,957,6</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85.05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5,215,99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47,741,68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9.91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33,692,</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105.89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99.60%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3,523,003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30,169,102.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135,000.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135,000</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53,092,6</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85.05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5,350,99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5.14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10.08%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47,741,68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9.91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33,827,</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105.89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3,658,003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10.81%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30,169,102.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40" w:lineRule="auto" w:before="116"/>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2"/>
        <w:gridCol w:w="2392"/>
      </w:tblGrid>
      <w:tr>
        <w:trPr>
          <w:trHeight w:val="206"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35,531,765.26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1,776,588.25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9,797,945.23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979,794.53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4,514,583.08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902,916.62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3,113,391.48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1,556,695.74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1,127,149.53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563,574.77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408,871.57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204,435.78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1,577,370.38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788,685.19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52,957,685.05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5,215,995.14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360" w:lineRule="auto" w:before="51"/>
        <w:ind w:right="1779"/>
        <w:jc w:val="left"/>
      </w:pPr>
      <w:r>
        <w:rPr/>
        <w:t>确定该组合依据的说明： 组合中，采用余额百分比法计提坏账准备的其他应收款：</w:t>
      </w:r>
    </w:p>
    <w:p>
      <w:pPr>
        <w:pStyle w:val="BodyText"/>
        <w:spacing w:line="340" w:lineRule="auto" w:before="26"/>
        <w:ind w:right="21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17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779"/>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right="-13"/>
        <w:jc w:val="left"/>
      </w:pPr>
      <w:r>
        <w:rPr/>
        <w:t>本期计提坏账准备金额</w:t>
      </w:r>
      <w:r>
        <w:rPr>
          <w:spacing w:val="-47"/>
        </w:rPr>
        <w:t> </w:t>
      </w:r>
      <w:r>
        <w:rPr>
          <w:rFonts w:ascii="Times New Roman" w:hAnsi="Times New Roman" w:cs="Times New Roman" w:eastAsia="Times New Roman" w:hint="default"/>
        </w:rPr>
        <w:t>1,693,991.45</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1779"/>
        <w:jc w:val="left"/>
      </w:pPr>
      <w:r>
        <w:rPr>
          <w:rFonts w:ascii="Times New Roman" w:hAnsi="Times New Roman" w:cs="Times New Roman" w:eastAsia="Times New Roman" w:hint="default"/>
        </w:rPr>
        <w:t>3)</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33,574,142.48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23,002,628.67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12,338,222.70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4,576,270.43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4,001,119.07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3,287,553.70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3,179,200.80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2,960,653.09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53,092,685.05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33,827,105.89</w:t>
            </w:r>
          </w:p>
        </w:tc>
      </w:tr>
    </w:tbl>
    <w:p>
      <w:pPr>
        <w:pStyle w:val="BodyText"/>
        <w:spacing w:line="240" w:lineRule="auto" w:before="51"/>
        <w:ind w:right="1121"/>
        <w:jc w:val="left"/>
      </w:pPr>
      <w:r>
        <w:rPr>
          <w:rFonts w:ascii="Times New Roman" w:hAnsi="Times New Roman" w:cs="Times New Roman" w:eastAsia="Times New Roman" w:hint="default"/>
        </w:rPr>
        <w:t>4)</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28"/>
        <w:gridCol w:w="1061"/>
        <w:gridCol w:w="1594"/>
        <w:gridCol w:w="1594"/>
        <w:gridCol w:w="1596"/>
        <w:gridCol w:w="1595"/>
      </w:tblGrid>
      <w:tr>
        <w:trPr>
          <w:trHeight w:val="714"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北京邮票厂</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250,000.00</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中国人民财产保险股份有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320,200.00</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中国电子进出口总公司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140,750.00</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周亚民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222,000.00</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北京市国家税务局</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299,800.00</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14,736,000.00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1,232,750.00</w:t>
            </w:r>
          </w:p>
        </w:tc>
      </w:tr>
    </w:tbl>
    <w:p>
      <w:pPr>
        <w:spacing w:line="240" w:lineRule="auto" w:before="2"/>
        <w:rPr>
          <w:rFonts w:ascii="宋体" w:hAnsi="宋体" w:cs="宋体" w:eastAsia="宋体" w:hint="default"/>
          <w:sz w:val="19"/>
          <w:szCs w:val="19"/>
        </w:rPr>
      </w:pPr>
    </w:p>
    <w:p>
      <w:pPr>
        <w:pStyle w:val="Heading3"/>
        <w:spacing w:line="240" w:lineRule="auto" w:before="35"/>
        <w:ind w:right="1121"/>
        <w:jc w:val="left"/>
        <w:rPr>
          <w:b w:val="0"/>
          <w:bCs w:val="0"/>
        </w:rPr>
      </w:pPr>
      <w:bookmarkStart w:name="5、存货" w:id="237"/>
      <w:bookmarkEnd w:id="237"/>
      <w:r>
        <w:rPr>
          <w:b w:val="0"/>
          <w:bCs w:val="0"/>
        </w:rPr>
      </w:r>
      <w:r>
        <w:rPr>
          <w:rFonts w:ascii="Times New Roman" w:hAnsi="Times New Roman" w:cs="Times New Roman" w:eastAsia="Times New Roman" w:hint="default"/>
        </w:rPr>
        <w:t>5</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512"/>
        <w:jc w:val="left"/>
      </w:pPr>
      <w:r>
        <w:rPr/>
        <w:t>公司是否需要遵守房地产行业的披露要求 否</w:t>
      </w:r>
    </w:p>
    <w:p>
      <w:pPr>
        <w:spacing w:line="240" w:lineRule="auto" w:before="12"/>
        <w:rPr>
          <w:rFonts w:ascii="宋体" w:hAnsi="宋体" w:cs="宋体" w:eastAsia="宋体" w:hint="default"/>
          <w:sz w:val="19"/>
          <w:szCs w:val="19"/>
        </w:rPr>
      </w:pPr>
    </w:p>
    <w:p>
      <w:pPr>
        <w:pStyle w:val="Heading3"/>
        <w:spacing w:line="240" w:lineRule="auto"/>
        <w:ind w:right="1121"/>
        <w:jc w:val="left"/>
        <w:rPr>
          <w:b w:val="0"/>
          <w:bCs w:val="0"/>
        </w:rPr>
      </w:pPr>
      <w:bookmarkStart w:name="（1）存货分类" w:id="238"/>
      <w:bookmarkEnd w:id="238"/>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55,098,715.75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55,098,715.75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71,680,159.08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71,680,159.08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9,216,869.36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9,216,869.36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7,083,008.37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7,083,008.37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41,406,421.43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41,406,421.43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58,905,836.89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58,905,836.89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w:t>
            </w:r>
          </w:p>
        </w:tc>
        <w:tc>
          <w:tcPr>
            <w:tcW w:w="136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1,261,336.08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1,261,336.08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3,521,110.60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3,521,110.60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档案维护成本</w:t>
            </w:r>
          </w:p>
        </w:tc>
        <w:tc>
          <w:tcPr>
            <w:tcW w:w="1368" w:type="dxa"/>
            <w:tcBorders>
              <w:top w:val="single" w:sz="4" w:space="0" w:color="000000"/>
              <w:left w:val="single" w:sz="13" w:space="0" w:color="D9D9D9"/>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3,965,067.67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3,965,067.67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106,983,342.62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106,983,342.62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145,155,182.61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145,155,182.61</w:t>
            </w:r>
          </w:p>
        </w:tc>
      </w:tr>
    </w:tbl>
    <w:p>
      <w:pPr>
        <w:pStyle w:val="BodyText"/>
        <w:spacing w:line="340"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0"/>
        <w:ind w:right="2752"/>
        <w:jc w:val="left"/>
      </w:pPr>
      <w:r>
        <w:rPr/>
        <w:t>公司需遵守《深圳证券交易所行业信息披露指引第</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12"/>
        <w:rPr>
          <w:rFonts w:ascii="宋体" w:hAnsi="宋体" w:cs="宋体" w:eastAsia="宋体" w:hint="default"/>
          <w:sz w:val="20"/>
          <w:szCs w:val="20"/>
        </w:rPr>
      </w:pPr>
    </w:p>
    <w:p>
      <w:pPr>
        <w:pStyle w:val="Heading3"/>
        <w:spacing w:line="240" w:lineRule="auto"/>
        <w:ind w:right="1121"/>
        <w:jc w:val="left"/>
        <w:rPr>
          <w:b w:val="0"/>
          <w:bCs w:val="0"/>
        </w:rPr>
      </w:pPr>
      <w:bookmarkStart w:name="6、其他流动资产" w:id="239"/>
      <w:bookmarkEnd w:id="239"/>
      <w:r>
        <w:rPr>
          <w:b w:val="0"/>
          <w:bCs w:val="0"/>
        </w:rPr>
      </w:r>
      <w:r>
        <w:rPr>
          <w:rFonts w:ascii="Times New Roman" w:hAnsi="Times New Roman" w:cs="Times New Roman" w:eastAsia="Times New Roman" w:hint="default"/>
        </w:rPr>
        <w:t>6</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待抵及预缴税金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2,937,382.97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1,021,465.73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3,372,530.91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4,021,051.02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理财产品及国债逆回购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26,309,913.88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45,042,516.75</w:t>
            </w:r>
          </w:p>
        </w:tc>
      </w:tr>
    </w:tbl>
    <w:p>
      <w:pPr>
        <w:spacing w:line="240" w:lineRule="auto" w:before="2"/>
        <w:rPr>
          <w:rFonts w:ascii="宋体" w:hAnsi="宋体" w:cs="宋体" w:eastAsia="宋体" w:hint="default"/>
          <w:sz w:val="19"/>
          <w:szCs w:val="19"/>
        </w:rPr>
      </w:pPr>
    </w:p>
    <w:p>
      <w:pPr>
        <w:pStyle w:val="Heading3"/>
        <w:spacing w:line="240" w:lineRule="auto" w:before="35"/>
        <w:ind w:right="1121"/>
        <w:jc w:val="left"/>
        <w:rPr>
          <w:b w:val="0"/>
          <w:bCs w:val="0"/>
        </w:rPr>
      </w:pPr>
      <w:bookmarkStart w:name="7、投资性房地产" w:id="240"/>
      <w:bookmarkEnd w:id="240"/>
      <w:r>
        <w:rPr>
          <w:b w:val="0"/>
          <w:bCs w:val="0"/>
        </w:rPr>
      </w:r>
      <w:r>
        <w:rPr>
          <w:rFonts w:ascii="Times New Roman" w:hAnsi="Times New Roman" w:cs="Times New Roman" w:eastAsia="Times New Roman" w:hint="default"/>
        </w:rPr>
        <w:t>7</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1"/>
        <w:jc w:val="left"/>
        <w:rPr>
          <w:b w:val="0"/>
          <w:bCs w:val="0"/>
        </w:rPr>
      </w:pPr>
      <w:bookmarkStart w:name="（1）采用成本计量模式的投资性房地产" w:id="241"/>
      <w:bookmarkEnd w:id="241"/>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46,378,103.67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46,378,103.67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2,808,250.94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2,808,250.94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2,808,250.94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2,808,250.94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4"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6,388,618.64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6,388,618.64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6,388,618.64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6,388,618.64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42,797,735.97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42,797,735.97</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14,519,542.41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14,519,542.41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1,605,811.73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1,605,811.73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1,494,097.95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1,494,097.95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）固定资产转入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111,713.78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111,713.78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2,491,561.28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2,491,561.28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2,491,561.28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2,491,561.28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13,633,792.86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13,633,792.86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29,163,943.11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29,163,943.11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31,858,561.26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31,858,561.26</w:t>
            </w:r>
          </w:p>
        </w:tc>
      </w:tr>
    </w:tbl>
    <w:p>
      <w:pPr>
        <w:spacing w:line="240" w:lineRule="auto" w:before="2"/>
        <w:rPr>
          <w:rFonts w:ascii="宋体" w:hAnsi="宋体" w:cs="宋体" w:eastAsia="宋体" w:hint="default"/>
          <w:sz w:val="19"/>
          <w:szCs w:val="19"/>
        </w:rPr>
      </w:pPr>
    </w:p>
    <w:p>
      <w:pPr>
        <w:pStyle w:val="Heading3"/>
        <w:spacing w:line="240" w:lineRule="auto" w:before="35"/>
        <w:ind w:right="1121"/>
        <w:jc w:val="left"/>
        <w:rPr>
          <w:b w:val="0"/>
          <w:bCs w:val="0"/>
        </w:rPr>
      </w:pPr>
      <w:bookmarkStart w:name="（2）采用公允价值计量模式的投资性房地产" w:id="242"/>
      <w:bookmarkEnd w:id="242"/>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21"/>
        <w:jc w:val="left"/>
        <w:rPr>
          <w:b w:val="0"/>
          <w:bCs w:val="0"/>
        </w:rPr>
      </w:pPr>
      <w:bookmarkStart w:name="8、固定资产" w:id="243"/>
      <w:bookmarkEnd w:id="243"/>
      <w:r>
        <w:rPr>
          <w:b w:val="0"/>
          <w:bCs w:val="0"/>
        </w:rPr>
      </w:r>
      <w:r>
        <w:rPr>
          <w:rFonts w:ascii="Times New Roman" w:hAnsi="Times New Roman" w:cs="Times New Roman" w:eastAsia="Times New Roman" w:hint="default"/>
        </w:rPr>
        <w:t>8</w:t>
      </w:r>
      <w:r>
        <w:rPr/>
        <w:t>、固定资产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701,049,206.02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719,239,192.58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701,049,206.02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719,239,192.58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21"/>
        <w:jc w:val="left"/>
        <w:rPr>
          <w:b w:val="0"/>
          <w:bCs w:val="0"/>
        </w:rPr>
      </w:pPr>
      <w:bookmarkStart w:name="（1）固定资产情况" w:id="244"/>
      <w:bookmarkEnd w:id="244"/>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05"/>
        <w:gridCol w:w="1499"/>
        <w:gridCol w:w="1487"/>
        <w:gridCol w:w="1488"/>
        <w:gridCol w:w="1487"/>
        <w:gridCol w:w="1488"/>
      </w:tblGrid>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2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7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88" w:type="dxa"/>
            <w:tcBorders>
              <w:top w:val="single" w:sz="4" w:space="0" w:color="000000"/>
              <w:left w:val="single" w:sz="13" w:space="0" w:color="D9D9D9"/>
              <w:bottom w:val="single" w:sz="4" w:space="0" w:color="000000"/>
              <w:right w:val="single" w:sz="4" w:space="0" w:color="000000"/>
            </w:tcBorders>
            <w:shd w:val="clear" w:color="auto" w:fill="D2D2D2"/>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99" w:type="dxa"/>
            <w:tcBorders>
              <w:top w:val="single" w:sz="4" w:space="0" w:color="000000"/>
              <w:left w:val="single" w:sz="13" w:space="0" w:color="D9D9D9"/>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9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520,803,289.96</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707,848,079.08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26,221,012.82</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147,291,439.78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1,402,163,821.64</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9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8,443,357.33</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37,290,293.68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348,769.24</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8,756,962.27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54,839,382.52</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9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2,054,738.69</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36,614,788.97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348,769.24</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8,756,962.27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47,775,259.17</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9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499" w:type="dxa"/>
            <w:tcBorders>
              <w:top w:val="single" w:sz="4" w:space="0" w:color="000000"/>
              <w:left w:val="single" w:sz="13" w:space="0" w:color="D9D9D9"/>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675,504.71</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675,504.71</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9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499" w:type="dxa"/>
            <w:tcBorders>
              <w:top w:val="single" w:sz="4" w:space="0" w:color="000000"/>
              <w:left w:val="single" w:sz="13" w:space="0" w:color="D9D9D9"/>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）其他增加</w:t>
            </w:r>
          </w:p>
        </w:tc>
        <w:tc>
          <w:tcPr>
            <w:tcW w:w="149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6,388,618.64</w:t>
            </w:r>
          </w:p>
        </w:tc>
        <w:tc>
          <w:tcPr>
            <w:tcW w:w="148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6,388,618.64</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9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2,808,250.94</w:t>
            </w:r>
          </w:p>
        </w:tc>
        <w:tc>
          <w:tcPr>
            <w:tcW w:w="148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874,399.00</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1,384,197.70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5,066,847.64</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99" w:type="dxa"/>
            <w:tcBorders>
              <w:top w:val="single" w:sz="4" w:space="0" w:color="000000"/>
              <w:left w:val="single" w:sz="13" w:space="0" w:color="D9D9D9"/>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874,399.00</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1,384,197.70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2,258,596.70</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p>
        </w:tc>
        <w:tc>
          <w:tcPr>
            <w:tcW w:w="149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2,808,250.94</w:t>
            </w:r>
          </w:p>
        </w:tc>
        <w:tc>
          <w:tcPr>
            <w:tcW w:w="148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2,808,250.94</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9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526,438,396.35</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Narrow" w:hAnsi="Arial Narrow" w:cs="Arial Narrow" w:eastAsia="Arial Narrow" w:hint="default"/>
                <w:sz w:val="18"/>
                <w:szCs w:val="18"/>
              </w:rPr>
            </w:pPr>
            <w:r>
              <w:rPr>
                <w:rFonts w:ascii="Arial Narrow"/>
                <w:spacing w:val="-1"/>
                <w:sz w:val="18"/>
              </w:rPr>
              <w:t>745,138,372.76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Arial Narrow" w:hAnsi="Arial Narrow" w:cs="Arial Narrow" w:eastAsia="Arial Narrow" w:hint="default"/>
                <w:sz w:val="18"/>
                <w:szCs w:val="18"/>
              </w:rPr>
            </w:pPr>
            <w:r>
              <w:rPr>
                <w:rFonts w:ascii="Arial Narrow"/>
                <w:spacing w:val="-1"/>
                <w:sz w:val="18"/>
              </w:rPr>
              <w:t>25,695,383.06</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Narrow" w:hAnsi="Arial Narrow" w:cs="Arial Narrow" w:eastAsia="Arial Narrow" w:hint="default"/>
                <w:sz w:val="18"/>
                <w:szCs w:val="18"/>
              </w:rPr>
            </w:pPr>
            <w:r>
              <w:rPr>
                <w:rFonts w:ascii="Arial Narrow"/>
                <w:spacing w:val="-1"/>
                <w:sz w:val="18"/>
              </w:rPr>
              <w:t>154,664,204.35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Arial Narrow" w:hAnsi="Arial Narrow" w:cs="Arial Narrow" w:eastAsia="Arial Narrow" w:hint="default"/>
                <w:sz w:val="18"/>
                <w:szCs w:val="18"/>
              </w:rPr>
            </w:pPr>
            <w:r>
              <w:rPr>
                <w:rFonts w:ascii="Arial Narrow"/>
                <w:spacing w:val="-1"/>
                <w:sz w:val="18"/>
              </w:rPr>
              <w:t>1,451,936,356.52</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499" w:type="dxa"/>
            <w:tcBorders>
              <w:top w:val="single" w:sz="4" w:space="0" w:color="000000"/>
              <w:left w:val="single" w:sz="13" w:space="0" w:color="D9D9D9"/>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9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126,098,635.07</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482,135,957.35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20,545,813.62</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54,102,985.64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682,883,391.68</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9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19,966,416.35</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37,685,323.81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1,298,223.29</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10,451,955.31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69,401,918.76</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9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17,474,855.07</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37,685,323.81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1,298,223.29</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10,451,955.31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66,910,357.48</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）带入</w:t>
            </w:r>
          </w:p>
        </w:tc>
        <w:tc>
          <w:tcPr>
            <w:tcW w:w="149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2,491,561.28</w:t>
            </w:r>
          </w:p>
        </w:tc>
        <w:tc>
          <w:tcPr>
            <w:tcW w:w="148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2,491,561.28</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9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111,713.78</w:t>
            </w:r>
          </w:p>
        </w:tc>
        <w:tc>
          <w:tcPr>
            <w:tcW w:w="148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787,139.30</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540,544.24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1,439,397.32</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99" w:type="dxa"/>
            <w:tcBorders>
              <w:top w:val="single" w:sz="4" w:space="0" w:color="000000"/>
              <w:left w:val="single" w:sz="13" w:space="0" w:color="D9D9D9"/>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787,139.30</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540,544.24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1,327,683.54</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p>
        </w:tc>
        <w:tc>
          <w:tcPr>
            <w:tcW w:w="149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111,713.78</w:t>
            </w:r>
          </w:p>
        </w:tc>
        <w:tc>
          <w:tcPr>
            <w:tcW w:w="148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111,713.78</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9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145,953,337.64</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519,821,281.16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21,056,897.61</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64,014,396.71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750,845,913.12</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99" w:type="dxa"/>
            <w:tcBorders>
              <w:top w:val="single" w:sz="4" w:space="0" w:color="000000"/>
              <w:left w:val="single" w:sz="13" w:space="0" w:color="D9D9D9"/>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99" w:type="dxa"/>
            <w:tcBorders>
              <w:top w:val="single" w:sz="4" w:space="0" w:color="000000"/>
              <w:left w:val="single" w:sz="13" w:space="0" w:color="D9D9D9"/>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41,237.38</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41,237.38</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99" w:type="dxa"/>
            <w:tcBorders>
              <w:top w:val="single" w:sz="4" w:space="0" w:color="000000"/>
              <w:left w:val="single" w:sz="13" w:space="0" w:color="D9D9D9"/>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99" w:type="dxa"/>
            <w:tcBorders>
              <w:top w:val="single" w:sz="4" w:space="0" w:color="000000"/>
              <w:left w:val="single" w:sz="13" w:space="0" w:color="D9D9D9"/>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99" w:type="dxa"/>
            <w:tcBorders>
              <w:top w:val="single" w:sz="4" w:space="0" w:color="000000"/>
              <w:left w:val="single" w:sz="13" w:space="0" w:color="D9D9D9"/>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99" w:type="dxa"/>
            <w:tcBorders>
              <w:top w:val="single" w:sz="4" w:space="0" w:color="000000"/>
              <w:left w:val="single" w:sz="13" w:space="0" w:color="D9D9D9"/>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99" w:type="dxa"/>
            <w:tcBorders>
              <w:top w:val="single" w:sz="4" w:space="0" w:color="000000"/>
              <w:left w:val="single" w:sz="13" w:space="0" w:color="D9D9D9"/>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41,237.38</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41,237.38</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99" w:type="dxa"/>
            <w:tcBorders>
              <w:top w:val="single" w:sz="4" w:space="0" w:color="000000"/>
              <w:left w:val="single" w:sz="13" w:space="0" w:color="D9D9D9"/>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9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380,485,058.71</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225,275,854.22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4,638,485.45</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90,649,807.64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701,049,206.02</w:t>
            </w:r>
          </w:p>
        </w:tc>
      </w:tr>
      <w:tr>
        <w:trPr>
          <w:trHeight w:val="403"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9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394,704,654.89</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225,670,884.35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5,675,199.20</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93,188,454.14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719,239,192.58</w:t>
            </w:r>
          </w:p>
        </w:tc>
      </w:tr>
    </w:tbl>
    <w:p>
      <w:pPr>
        <w:spacing w:after="0" w:line="240" w:lineRule="auto"/>
        <w:jc w:val="right"/>
        <w:rPr>
          <w:rFonts w:ascii="Times New Roman" w:hAnsi="Times New Roman" w:cs="Times New Roman" w:eastAsia="Times New Roman" w:hint="default"/>
          <w:sz w:val="18"/>
          <w:szCs w:val="18"/>
        </w:rPr>
        <w:sectPr>
          <w:footerReference w:type="default" r:id="rId16"/>
          <w:pgSz w:w="11910" w:h="16840"/>
          <w:pgMar w:footer="979" w:header="747"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21"/>
        <w:jc w:val="left"/>
        <w:rPr>
          <w:b w:val="0"/>
          <w:bCs w:val="0"/>
        </w:rPr>
      </w:pPr>
      <w:bookmarkStart w:name="（2）通过融资租赁租入的固定资产情况" w:id="245"/>
      <w:bookmarkEnd w:id="245"/>
      <w:r>
        <w:rPr>
          <w:b w:val="0"/>
          <w:bCs w:val="0"/>
        </w:rPr>
      </w:r>
      <w:r>
        <w:rPr/>
        <w:t>（</w:t>
      </w:r>
      <w:r>
        <w:rPr>
          <w:rFonts w:ascii="Times New Roman" w:hAnsi="Times New Roman" w:cs="Times New Roman" w:eastAsia="Times New Roman" w:hint="default"/>
        </w:rPr>
        <w:t>2</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9" w:right="0"/>
              <w:jc w:val="left"/>
              <w:rPr>
                <w:rFonts w:ascii="Times New Roman" w:hAnsi="Times New Roman" w:cs="Times New Roman" w:eastAsia="Times New Roman" w:hint="default"/>
                <w:sz w:val="18"/>
                <w:szCs w:val="18"/>
              </w:rPr>
            </w:pPr>
            <w:r>
              <w:rPr>
                <w:rFonts w:ascii="Times New Roman"/>
                <w:sz w:val="18"/>
              </w:rPr>
              <w:t>10,836,555.10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4,632,627.15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5" w:right="0"/>
              <w:jc w:val="left"/>
              <w:rPr>
                <w:rFonts w:ascii="Times New Roman" w:hAnsi="Times New Roman" w:cs="Times New Roman" w:eastAsia="Times New Roman" w:hint="default"/>
                <w:sz w:val="18"/>
                <w:szCs w:val="18"/>
              </w:rPr>
            </w:pPr>
            <w:r>
              <w:rPr>
                <w:rFonts w:ascii="Times New Roman"/>
                <w:sz w:val="18"/>
              </w:rPr>
              <w:t>6,203,927.95</w:t>
            </w:r>
          </w:p>
        </w:tc>
      </w:tr>
    </w:tbl>
    <w:p>
      <w:pPr>
        <w:spacing w:line="240" w:lineRule="auto" w:before="2"/>
        <w:rPr>
          <w:rFonts w:ascii="宋体" w:hAnsi="宋体" w:cs="宋体" w:eastAsia="宋体" w:hint="default"/>
          <w:sz w:val="19"/>
          <w:szCs w:val="19"/>
        </w:rPr>
      </w:pPr>
    </w:p>
    <w:p>
      <w:pPr>
        <w:pStyle w:val="Heading3"/>
        <w:spacing w:line="240" w:lineRule="auto" w:before="35"/>
        <w:ind w:right="1121"/>
        <w:jc w:val="left"/>
        <w:rPr>
          <w:b w:val="0"/>
          <w:bCs w:val="0"/>
        </w:rPr>
      </w:pPr>
      <w:bookmarkStart w:name="（3）通过经营租赁租出的固定资产" w:id="246"/>
      <w:bookmarkEnd w:id="246"/>
      <w:r>
        <w:rPr>
          <w:b w:val="0"/>
          <w:bCs w:val="0"/>
        </w:rPr>
      </w:r>
      <w:r>
        <w:rPr/>
        <w:t>（</w:t>
      </w:r>
      <w:r>
        <w:rPr>
          <w:rFonts w:ascii="Times New Roman" w:hAnsi="Times New Roman" w:cs="Times New Roman" w:eastAsia="Times New Roman" w:hint="default"/>
        </w:rPr>
        <w:t>3</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16,302,688.97</w:t>
            </w:r>
          </w:p>
        </w:tc>
      </w:tr>
    </w:tbl>
    <w:p>
      <w:pPr>
        <w:spacing w:line="240" w:lineRule="auto" w:before="2"/>
        <w:rPr>
          <w:rFonts w:ascii="宋体" w:hAnsi="宋体" w:cs="宋体" w:eastAsia="宋体" w:hint="default"/>
          <w:sz w:val="19"/>
          <w:szCs w:val="19"/>
        </w:rPr>
      </w:pPr>
    </w:p>
    <w:p>
      <w:pPr>
        <w:pStyle w:val="Heading3"/>
        <w:spacing w:line="240" w:lineRule="auto" w:before="35"/>
        <w:ind w:right="1121"/>
        <w:jc w:val="left"/>
        <w:rPr>
          <w:b w:val="0"/>
          <w:bCs w:val="0"/>
        </w:rPr>
      </w:pPr>
      <w:bookmarkStart w:name="9、在建工程" w:id="247"/>
      <w:bookmarkEnd w:id="247"/>
      <w:r>
        <w:rPr>
          <w:b w:val="0"/>
          <w:bCs w:val="0"/>
        </w:rPr>
      </w:r>
      <w:r>
        <w:rPr>
          <w:rFonts w:ascii="Times New Roman" w:hAnsi="Times New Roman" w:cs="Times New Roman" w:eastAsia="Times New Roman" w:hint="default"/>
        </w:rPr>
        <w:t>9</w:t>
      </w:r>
      <w:r>
        <w:rPr/>
        <w:t>、在建工程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111,599,031.54</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38,797,314.79</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111,599,031.54</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38,797,314.79</w:t>
            </w:r>
          </w:p>
        </w:tc>
      </w:tr>
    </w:tbl>
    <w:p>
      <w:pPr>
        <w:spacing w:line="240" w:lineRule="auto" w:before="2"/>
        <w:rPr>
          <w:rFonts w:ascii="宋体" w:hAnsi="宋体" w:cs="宋体" w:eastAsia="宋体" w:hint="default"/>
          <w:sz w:val="19"/>
          <w:szCs w:val="19"/>
        </w:rPr>
      </w:pPr>
    </w:p>
    <w:p>
      <w:pPr>
        <w:pStyle w:val="Heading3"/>
        <w:spacing w:line="240" w:lineRule="auto" w:before="35"/>
        <w:ind w:right="1121"/>
        <w:jc w:val="left"/>
        <w:rPr>
          <w:b w:val="0"/>
          <w:bCs w:val="0"/>
        </w:rPr>
      </w:pPr>
      <w:bookmarkStart w:name="（1）在建工程情况" w:id="248"/>
      <w:bookmarkEnd w:id="248"/>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75"/>
              <w:jc w:val="both"/>
              <w:rPr>
                <w:rFonts w:ascii="宋体" w:hAnsi="宋体" w:cs="宋体" w:eastAsia="宋体" w:hint="default"/>
                <w:sz w:val="18"/>
                <w:szCs w:val="18"/>
              </w:rPr>
            </w:pPr>
            <w:r>
              <w:rPr>
                <w:rFonts w:ascii="宋体" w:hAnsi="宋体" w:cs="宋体" w:eastAsia="宋体" w:hint="default"/>
                <w:sz w:val="18"/>
                <w:szCs w:val="18"/>
              </w:rPr>
              <w:t>济南临港生产基 地（二期）基建 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103,547,963.22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103,547,963.22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38,089,682.57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38,089,682.57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不需安装工程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408,340.73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408,340.73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707,632.22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707,632.22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山大北路项目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7,331,132.07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7,331,132.07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both"/>
              <w:rPr>
                <w:rFonts w:ascii="宋体" w:hAnsi="宋体" w:cs="宋体" w:eastAsia="宋体" w:hint="default"/>
                <w:sz w:val="18"/>
                <w:szCs w:val="18"/>
              </w:rPr>
            </w:pPr>
            <w:r>
              <w:rPr>
                <w:rFonts w:ascii="宋体" w:hAnsi="宋体" w:cs="宋体" w:eastAsia="宋体" w:hint="default"/>
                <w:sz w:val="18"/>
                <w:szCs w:val="18"/>
              </w:rPr>
              <w:t>济南临港生产基 地（三期）基建 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311,595.52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311,595.52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111,599,031.54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111,599,031.54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38,797,314.79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38,797,314.79</w:t>
            </w:r>
          </w:p>
        </w:tc>
      </w:tr>
    </w:tbl>
    <w:p>
      <w:pPr>
        <w:spacing w:line="240" w:lineRule="auto" w:before="2"/>
        <w:rPr>
          <w:rFonts w:ascii="宋体" w:hAnsi="宋体" w:cs="宋体" w:eastAsia="宋体" w:hint="default"/>
          <w:sz w:val="19"/>
          <w:szCs w:val="19"/>
        </w:rPr>
      </w:pPr>
    </w:p>
    <w:p>
      <w:pPr>
        <w:pStyle w:val="Heading3"/>
        <w:spacing w:line="240" w:lineRule="auto" w:before="35"/>
        <w:ind w:right="1121"/>
        <w:jc w:val="left"/>
        <w:rPr>
          <w:b w:val="0"/>
          <w:bCs w:val="0"/>
        </w:rPr>
      </w:pPr>
      <w:bookmarkStart w:name="（2）重要在建工程项目本期变动情况" w:id="249"/>
      <w:bookmarkEnd w:id="249"/>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02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9"/>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9"/>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9"/>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after="0" w:line="240" w:lineRule="auto"/>
        <w:jc w:val="left"/>
        <w:rPr>
          <w:rFonts w:ascii="宋体" w:hAnsi="宋体" w:cs="宋体" w:eastAsia="宋体" w:hint="default"/>
          <w:sz w:val="18"/>
          <w:szCs w:val="18"/>
        </w:rPr>
        <w:sectPr>
          <w:footerReference w:type="default" r:id="rId17"/>
          <w:pgSz w:w="11910" w:h="16840"/>
          <w:pgMar w:footer="979" w:header="747" w:top="1060" w:bottom="1160" w:left="980" w:right="0"/>
          <w:pgNumType w:start="1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25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2"/>
              <w:jc w:val="left"/>
              <w:rPr>
                <w:rFonts w:ascii="宋体" w:hAnsi="宋体" w:cs="宋体" w:eastAsia="宋体" w:hint="default"/>
                <w:sz w:val="18"/>
                <w:szCs w:val="18"/>
              </w:rPr>
            </w:pPr>
            <w:r>
              <w:rPr>
                <w:rFonts w:ascii="宋体" w:hAnsi="宋体" w:cs="宋体" w:eastAsia="宋体" w:hint="default"/>
                <w:sz w:val="18"/>
                <w:szCs w:val="18"/>
              </w:rPr>
              <w:t>济南临 港生产 </w:t>
            </w:r>
            <w:r>
              <w:rPr>
                <w:rFonts w:ascii="宋体" w:hAnsi="宋体" w:cs="宋体" w:eastAsia="宋体" w:hint="default"/>
                <w:spacing w:val="-12"/>
                <w:sz w:val="18"/>
                <w:szCs w:val="18"/>
              </w:rPr>
              <w:t>基地（二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2"/>
                <w:sz w:val="18"/>
                <w:szCs w:val="18"/>
              </w:rPr>
              <w:t>期）基建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工程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198,486,</w:t>
            </w: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778.90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38,089,6</w:t>
            </w: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82.57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65,458,2</w:t>
            </w: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80.65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103,547,</w:t>
            </w: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963.22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52.17%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75.00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50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0" w:right="0"/>
              <w:jc w:val="center"/>
              <w:rPr>
                <w:rFonts w:ascii="Times New Roman" w:hAnsi="Times New Roman" w:cs="Times New Roman" w:eastAsia="Times New Roman" w:hint="default"/>
                <w:sz w:val="18"/>
                <w:szCs w:val="18"/>
              </w:rPr>
            </w:pPr>
            <w:r>
              <w:rPr>
                <w:rFonts w:ascii="Times New Roman"/>
                <w:sz w:val="18"/>
              </w:rPr>
              <w:t>198,486,</w:t>
            </w: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778.90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74" w:right="0"/>
              <w:jc w:val="left"/>
              <w:rPr>
                <w:rFonts w:ascii="Times New Roman" w:hAnsi="Times New Roman" w:cs="Times New Roman" w:eastAsia="Times New Roman" w:hint="default"/>
                <w:sz w:val="18"/>
                <w:szCs w:val="18"/>
              </w:rPr>
            </w:pPr>
            <w:r>
              <w:rPr>
                <w:rFonts w:ascii="Times New Roman"/>
                <w:sz w:val="18"/>
              </w:rPr>
              <w:t>38,089,6</w:t>
            </w: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82.57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73" w:right="0"/>
              <w:jc w:val="left"/>
              <w:rPr>
                <w:rFonts w:ascii="Times New Roman" w:hAnsi="Times New Roman" w:cs="Times New Roman" w:eastAsia="Times New Roman" w:hint="default"/>
                <w:sz w:val="18"/>
                <w:szCs w:val="18"/>
              </w:rPr>
            </w:pPr>
            <w:r>
              <w:rPr>
                <w:rFonts w:ascii="Times New Roman"/>
                <w:sz w:val="18"/>
              </w:rPr>
              <w:t>65,458,2</w:t>
            </w: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80.65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0" w:right="0"/>
              <w:jc w:val="center"/>
              <w:rPr>
                <w:rFonts w:ascii="Times New Roman" w:hAnsi="Times New Roman" w:cs="Times New Roman" w:eastAsia="Times New Roman" w:hint="default"/>
                <w:sz w:val="18"/>
                <w:szCs w:val="18"/>
              </w:rPr>
            </w:pPr>
            <w:r>
              <w:rPr>
                <w:rFonts w:ascii="Times New Roman"/>
                <w:sz w:val="18"/>
              </w:rPr>
              <w:t>103,547,</w:t>
            </w: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963.22</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9"/>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9"/>
              <w:ind w:right="301"/>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9"/>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121"/>
        <w:jc w:val="left"/>
        <w:rPr>
          <w:b w:val="0"/>
          <w:bCs w:val="0"/>
        </w:rPr>
      </w:pPr>
      <w:bookmarkStart w:name="10、无形资产" w:id="250"/>
      <w:bookmarkEnd w:id="250"/>
      <w:r>
        <w:rPr>
          <w:b w:val="0"/>
          <w:bCs w:val="0"/>
        </w:rPr>
      </w:r>
      <w:r>
        <w:rPr>
          <w:rFonts w:ascii="Times New Roman" w:hAnsi="Times New Roman" w:cs="Times New Roman" w:eastAsia="Times New Roman" w:hint="default"/>
        </w:rPr>
        <w:t>10</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1"/>
        <w:jc w:val="left"/>
        <w:rPr>
          <w:b w:val="0"/>
          <w:bCs w:val="0"/>
        </w:rPr>
      </w:pPr>
      <w:bookmarkStart w:name="（1）无形资产情况" w:id="251"/>
      <w:bookmarkEnd w:id="251"/>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79"/>
        <w:gridCol w:w="1322"/>
        <w:gridCol w:w="1312"/>
        <w:gridCol w:w="1312"/>
        <w:gridCol w:w="1310"/>
        <w:gridCol w:w="1312"/>
        <w:gridCol w:w="1312"/>
      </w:tblGrid>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1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软件使用费</w:t>
            </w:r>
          </w:p>
        </w:tc>
        <w:tc>
          <w:tcPr>
            <w:tcW w:w="13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商标使用权</w:t>
            </w:r>
          </w:p>
        </w:tc>
        <w:tc>
          <w:tcPr>
            <w:tcW w:w="13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22" w:type="dxa"/>
            <w:tcBorders>
              <w:top w:val="single" w:sz="4" w:space="0" w:color="000000"/>
              <w:left w:val="single" w:sz="13" w:space="0" w:color="D9D9D9"/>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2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92,684,378.37</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23,540,326.10</w:t>
            </w:r>
          </w:p>
        </w:tc>
        <w:tc>
          <w:tcPr>
            <w:tcW w:w="131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9,036,156.90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126,060,861.37</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8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322" w:type="dxa"/>
            <w:tcBorders>
              <w:top w:val="single" w:sz="4" w:space="0" w:color="000000"/>
              <w:left w:val="single" w:sz="13" w:space="0" w:color="D9D9D9"/>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12,924,387.37</w:t>
            </w:r>
          </w:p>
        </w:tc>
        <w:tc>
          <w:tcPr>
            <w:tcW w:w="131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10,256.41</w:t>
            </w:r>
          </w:p>
        </w:tc>
        <w:tc>
          <w:tcPr>
            <w:tcW w:w="131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12,934,643.78</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22" w:type="dxa"/>
            <w:tcBorders>
              <w:top w:val="single" w:sz="4" w:space="0" w:color="000000"/>
              <w:left w:val="single" w:sz="13" w:space="0" w:color="D9D9D9"/>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10,256.41</w:t>
            </w:r>
          </w:p>
        </w:tc>
        <w:tc>
          <w:tcPr>
            <w:tcW w:w="131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10,256.41</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1"/>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）内部研发</w:t>
            </w:r>
          </w:p>
        </w:tc>
        <w:tc>
          <w:tcPr>
            <w:tcW w:w="1322" w:type="dxa"/>
            <w:tcBorders>
              <w:top w:val="single" w:sz="4" w:space="0" w:color="000000"/>
              <w:left w:val="single" w:sz="13" w:space="0" w:color="D9D9D9"/>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12,924,387.37</w:t>
            </w:r>
          </w:p>
        </w:tc>
        <w:tc>
          <w:tcPr>
            <w:tcW w:w="131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12,924,387.37</w:t>
            </w:r>
          </w:p>
        </w:tc>
      </w:tr>
      <w:tr>
        <w:trPr>
          <w:trHeight w:val="714" w:hRule="exact"/>
        </w:trPr>
        <w:tc>
          <w:tcPr>
            <w:tcW w:w="16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19"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）企业合并</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322" w:type="dxa"/>
            <w:tcBorders>
              <w:top w:val="single" w:sz="4" w:space="0" w:color="000000"/>
              <w:left w:val="single" w:sz="13" w:space="0" w:color="D9D9D9"/>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22" w:type="dxa"/>
            <w:tcBorders>
              <w:top w:val="single" w:sz="4" w:space="0" w:color="000000"/>
              <w:left w:val="single" w:sz="13" w:space="0" w:color="D9D9D9"/>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5,241.60</w:t>
            </w:r>
          </w:p>
        </w:tc>
        <w:tc>
          <w:tcPr>
            <w:tcW w:w="131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17,160.38</w:t>
            </w:r>
          </w:p>
        </w:tc>
        <w:tc>
          <w:tcPr>
            <w:tcW w:w="131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22,401.98</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22" w:type="dxa"/>
            <w:tcBorders>
              <w:top w:val="single" w:sz="4" w:space="0" w:color="000000"/>
              <w:left w:val="single" w:sz="13" w:space="0" w:color="D9D9D9"/>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5,241.60</w:t>
            </w:r>
          </w:p>
        </w:tc>
        <w:tc>
          <w:tcPr>
            <w:tcW w:w="131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17,160.38</w:t>
            </w:r>
          </w:p>
        </w:tc>
        <w:tc>
          <w:tcPr>
            <w:tcW w:w="131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22,401.98</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2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92,684,378.37</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36,459,471.87</w:t>
            </w:r>
          </w:p>
        </w:tc>
        <w:tc>
          <w:tcPr>
            <w:tcW w:w="131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9,029,252.93</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138,973,103.17</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22" w:type="dxa"/>
            <w:tcBorders>
              <w:top w:val="single" w:sz="4" w:space="0" w:color="000000"/>
              <w:left w:val="single" w:sz="13" w:space="0" w:color="D9D9D9"/>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2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19,191,120.75</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9,063,484.61</w:t>
            </w:r>
          </w:p>
        </w:tc>
        <w:tc>
          <w:tcPr>
            <w:tcW w:w="131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5,639,535.66</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34,694,141.02</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8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32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1,846,428.74</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2,809,464.31</w:t>
            </w:r>
          </w:p>
        </w:tc>
        <w:tc>
          <w:tcPr>
            <w:tcW w:w="131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577,906.13</w:t>
            </w:r>
          </w:p>
        </w:tc>
        <w:tc>
          <w:tcPr>
            <w:tcW w:w="131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5,233,799.18</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2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1,846,428.74</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2,809,464.31</w:t>
            </w:r>
          </w:p>
        </w:tc>
        <w:tc>
          <w:tcPr>
            <w:tcW w:w="131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577,906.13</w:t>
            </w:r>
          </w:p>
        </w:tc>
        <w:tc>
          <w:tcPr>
            <w:tcW w:w="131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5,233,799.18</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8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322" w:type="dxa"/>
            <w:tcBorders>
              <w:top w:val="single" w:sz="4" w:space="0" w:color="000000"/>
              <w:left w:val="single" w:sz="13" w:space="0" w:color="D9D9D9"/>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1,092.00</w:t>
            </w:r>
          </w:p>
        </w:tc>
        <w:tc>
          <w:tcPr>
            <w:tcW w:w="131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3,028.36</w:t>
            </w:r>
          </w:p>
        </w:tc>
        <w:tc>
          <w:tcPr>
            <w:tcW w:w="131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4,120.36</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22" w:type="dxa"/>
            <w:tcBorders>
              <w:top w:val="single" w:sz="4" w:space="0" w:color="000000"/>
              <w:left w:val="single" w:sz="13" w:space="0" w:color="D9D9D9"/>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1,092.00</w:t>
            </w:r>
          </w:p>
        </w:tc>
        <w:tc>
          <w:tcPr>
            <w:tcW w:w="131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3,028.36</w:t>
            </w:r>
          </w:p>
        </w:tc>
        <w:tc>
          <w:tcPr>
            <w:tcW w:w="131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4,120.36</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2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21,037,549.49</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11,871,856.92</w:t>
            </w:r>
          </w:p>
        </w:tc>
        <w:tc>
          <w:tcPr>
            <w:tcW w:w="131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6,214,413.43</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39,923,819.84</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22" w:type="dxa"/>
            <w:tcBorders>
              <w:top w:val="single" w:sz="4" w:space="0" w:color="000000"/>
              <w:left w:val="single" w:sz="13" w:space="0" w:color="D9D9D9"/>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22" w:type="dxa"/>
            <w:tcBorders>
              <w:top w:val="single" w:sz="4" w:space="0" w:color="000000"/>
              <w:left w:val="single" w:sz="13" w:space="0" w:color="D9D9D9"/>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8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322" w:type="dxa"/>
            <w:tcBorders>
              <w:top w:val="single" w:sz="4" w:space="0" w:color="000000"/>
              <w:left w:val="single" w:sz="13" w:space="0" w:color="D9D9D9"/>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22" w:type="dxa"/>
            <w:tcBorders>
              <w:top w:val="single" w:sz="4" w:space="0" w:color="000000"/>
              <w:left w:val="single" w:sz="13" w:space="0" w:color="D9D9D9"/>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8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322" w:type="dxa"/>
            <w:tcBorders>
              <w:top w:val="single" w:sz="4" w:space="0" w:color="000000"/>
              <w:left w:val="single" w:sz="13" w:space="0" w:color="D9D9D9"/>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22" w:type="dxa"/>
            <w:tcBorders>
              <w:top w:val="single" w:sz="4" w:space="0" w:color="000000"/>
              <w:left w:val="single" w:sz="13" w:space="0" w:color="D9D9D9"/>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22" w:type="dxa"/>
            <w:tcBorders>
              <w:top w:val="single" w:sz="4" w:space="0" w:color="000000"/>
              <w:left w:val="single" w:sz="13" w:space="0" w:color="D9D9D9"/>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01"/>
        <w:gridCol w:w="1311"/>
        <w:gridCol w:w="1312"/>
        <w:gridCol w:w="1312"/>
        <w:gridCol w:w="1310"/>
        <w:gridCol w:w="1312"/>
        <w:gridCol w:w="1312"/>
      </w:tblGrid>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11"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9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71,646,828.88</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24,587,614.95</w:t>
            </w:r>
          </w:p>
        </w:tc>
        <w:tc>
          <w:tcPr>
            <w:tcW w:w="131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2,814,839.50</w:t>
            </w:r>
          </w:p>
        </w:tc>
        <w:tc>
          <w:tcPr>
            <w:tcW w:w="131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99,049,283.33</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9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73,493,257.62</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14,476,841.49</w:t>
            </w:r>
          </w:p>
        </w:tc>
        <w:tc>
          <w:tcPr>
            <w:tcW w:w="131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3,396,621.24</w:t>
            </w:r>
          </w:p>
        </w:tc>
        <w:tc>
          <w:tcPr>
            <w:tcW w:w="131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91,366,720.35</w:t>
            </w:r>
          </w:p>
        </w:tc>
      </w:tr>
    </w:tbl>
    <w:p>
      <w:pPr>
        <w:pStyle w:val="BodyText"/>
        <w:spacing w:line="240" w:lineRule="auto" w:before="51"/>
        <w:ind w:right="1121"/>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24.60%</w:t>
      </w:r>
      <w:r>
        <w:rPr/>
        <w:t>。</w:t>
      </w:r>
    </w:p>
    <w:p>
      <w:pPr>
        <w:spacing w:line="240" w:lineRule="auto" w:before="10"/>
        <w:rPr>
          <w:rFonts w:ascii="宋体" w:hAnsi="宋体" w:cs="宋体" w:eastAsia="宋体" w:hint="default"/>
          <w:sz w:val="25"/>
          <w:szCs w:val="25"/>
        </w:rPr>
      </w:pPr>
    </w:p>
    <w:p>
      <w:pPr>
        <w:pStyle w:val="Heading3"/>
        <w:spacing w:line="240" w:lineRule="auto"/>
        <w:ind w:right="1121"/>
        <w:jc w:val="left"/>
        <w:rPr>
          <w:b w:val="0"/>
          <w:bCs w:val="0"/>
        </w:rPr>
      </w:pPr>
      <w:bookmarkStart w:name="11、开发支出" w:id="252"/>
      <w:bookmarkEnd w:id="252"/>
      <w:r>
        <w:rPr>
          <w:b w:val="0"/>
          <w:bCs w:val="0"/>
        </w:rPr>
      </w:r>
      <w:r>
        <w:rPr>
          <w:rFonts w:ascii="Times New Roman" w:hAnsi="Times New Roman" w:cs="Times New Roman" w:eastAsia="Times New Roman" w:hint="default"/>
        </w:rPr>
        <w:t>11</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8"/>
        <w:gridCol w:w="1276"/>
        <w:gridCol w:w="1986"/>
        <w:gridCol w:w="1559"/>
        <w:gridCol w:w="1559"/>
        <w:gridCol w:w="1171"/>
      </w:tblGrid>
      <w:tr>
        <w:trPr>
          <w:trHeight w:val="402" w:hRule="exact"/>
        </w:trPr>
        <w:tc>
          <w:tcPr>
            <w:tcW w:w="226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7"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268" w:type="dxa"/>
            <w:vMerge/>
            <w:tcBorders>
              <w:left w:val="single" w:sz="4" w:space="0" w:color="000000"/>
              <w:bottom w:val="single" w:sz="4" w:space="0" w:color="000000"/>
              <w:right w:val="single" w:sz="4" w:space="0" w:color="000000"/>
            </w:tcBorders>
            <w:shd w:val="clear" w:color="auto" w:fill="D9D9D9"/>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7"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拟申请专利技术的研发支出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20,790,575.78</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6,199,075.18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12,924,387.37</w:t>
            </w:r>
          </w:p>
        </w:tc>
        <w:tc>
          <w:tcPr>
            <w:tcW w:w="1559"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14,065,263.59</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其他研发支出</w:t>
            </w:r>
          </w:p>
        </w:tc>
        <w:tc>
          <w:tcPr>
            <w:tcW w:w="1276"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91,371,286.08</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91,371,286.08</w:t>
            </w:r>
          </w:p>
        </w:tc>
        <w:tc>
          <w:tcPr>
            <w:tcW w:w="11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20,790,575.78</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97,570,361.26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12,924,387.37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91,371,286.08</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14,065,263.59</w:t>
            </w:r>
          </w:p>
        </w:tc>
      </w:tr>
    </w:tbl>
    <w:p>
      <w:pPr>
        <w:spacing w:line="240" w:lineRule="auto" w:before="2"/>
        <w:rPr>
          <w:rFonts w:ascii="宋体" w:hAnsi="宋体" w:cs="宋体" w:eastAsia="宋体" w:hint="default"/>
          <w:sz w:val="19"/>
          <w:szCs w:val="19"/>
        </w:rPr>
      </w:pPr>
    </w:p>
    <w:p>
      <w:pPr>
        <w:pStyle w:val="Heading3"/>
        <w:spacing w:line="240" w:lineRule="auto" w:before="35"/>
        <w:ind w:right="1121"/>
        <w:jc w:val="left"/>
        <w:rPr>
          <w:b w:val="0"/>
          <w:bCs w:val="0"/>
        </w:rPr>
      </w:pPr>
      <w:bookmarkStart w:name="12、商誉" w:id="253"/>
      <w:bookmarkEnd w:id="253"/>
      <w:r>
        <w:rPr>
          <w:b w:val="0"/>
          <w:bCs w:val="0"/>
        </w:rPr>
      </w:r>
      <w:r>
        <w:rPr>
          <w:rFonts w:ascii="Times New Roman" w:hAnsi="Times New Roman" w:cs="Times New Roman" w:eastAsia="Times New Roman" w:hint="default"/>
        </w:rPr>
        <w:t>12</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1"/>
        <w:jc w:val="left"/>
        <w:rPr>
          <w:b w:val="0"/>
          <w:bCs w:val="0"/>
        </w:rPr>
      </w:pPr>
      <w:bookmarkStart w:name="（1）商誉账面原值" w:id="254"/>
      <w:bookmarkEnd w:id="254"/>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78"/>
        <w:gridCol w:w="2127"/>
        <w:gridCol w:w="1560"/>
        <w:gridCol w:w="1539"/>
        <w:gridCol w:w="1367"/>
      </w:tblGrid>
      <w:tr>
        <w:trPr>
          <w:trHeight w:val="402" w:hRule="exact"/>
        </w:trPr>
        <w:tc>
          <w:tcPr>
            <w:tcW w:w="2978"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1"/>
              <w:ind w:left="133"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山东东港彩意网络科技有限公司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1,239,938.65</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1,239,938.65</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北京东港瑞宏科技有限公司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1,245,159.28</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1,245,159.28</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广西瑞宏信息技术有限公司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89,179.85</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89,179.85</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2,574,277.78</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89,179.85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2,485,097.93</w:t>
            </w:r>
          </w:p>
        </w:tc>
      </w:tr>
    </w:tbl>
    <w:p>
      <w:pPr>
        <w:spacing w:line="240" w:lineRule="auto" w:before="2"/>
        <w:rPr>
          <w:rFonts w:ascii="宋体" w:hAnsi="宋体" w:cs="宋体" w:eastAsia="宋体" w:hint="default"/>
          <w:sz w:val="19"/>
          <w:szCs w:val="19"/>
        </w:rPr>
      </w:pPr>
    </w:p>
    <w:p>
      <w:pPr>
        <w:pStyle w:val="Heading3"/>
        <w:spacing w:line="240" w:lineRule="auto" w:before="35"/>
        <w:ind w:right="1121"/>
        <w:jc w:val="left"/>
        <w:rPr>
          <w:b w:val="0"/>
          <w:bCs w:val="0"/>
        </w:rPr>
      </w:pPr>
      <w:bookmarkStart w:name="13、长期待摊费用" w:id="255"/>
      <w:bookmarkEnd w:id="255"/>
      <w:r>
        <w:rPr>
          <w:b w:val="0"/>
          <w:bCs w:val="0"/>
        </w:rPr>
      </w:r>
      <w:r>
        <w:rPr>
          <w:rFonts w:ascii="Times New Roman" w:hAnsi="Times New Roman" w:cs="Times New Roman" w:eastAsia="Times New Roman" w:hint="default"/>
        </w:rPr>
        <w:t>13</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4"/>
        <w:gridCol w:w="1346"/>
        <w:gridCol w:w="1595"/>
        <w:gridCol w:w="1594"/>
        <w:gridCol w:w="1594"/>
        <w:gridCol w:w="1595"/>
      </w:tblGrid>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认证费</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5,385.12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5,385.12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检测费</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987,443.67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1,299,391.50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913,366.04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1,373,469.13</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南开大学研发费</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44,447.78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77,781.14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166,666.64</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智能卡安防升级费</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54,373.31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54,373.31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4,967,645.43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2,338,071.86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1,850,019.23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5,455,698.06</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改造费</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1,092,346.70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547,788.92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544,557.78</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移库费</w:t>
            </w:r>
          </w:p>
        </w:tc>
        <w:tc>
          <w:tcPr>
            <w:tcW w:w="134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12,171,916.92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3,194,220.99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8,977,695.93</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投注机租金</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14,890.00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14,890.00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44"/>
        <w:gridCol w:w="1346"/>
        <w:gridCol w:w="1595"/>
        <w:gridCol w:w="1594"/>
        <w:gridCol w:w="1594"/>
        <w:gridCol w:w="1595"/>
      </w:tblGrid>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居民健康卡华大芯片</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3,113.29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3,113.29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705,600.00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302,400.00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403,200.00</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紫洪基工程</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23,113.27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23,113.27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7,898,358.57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16,009,380.28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6,986,451.31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16,921,287.54</w:t>
            </w:r>
          </w:p>
        </w:tc>
      </w:tr>
    </w:tbl>
    <w:p>
      <w:pPr>
        <w:spacing w:line="240" w:lineRule="auto" w:before="2"/>
        <w:rPr>
          <w:rFonts w:ascii="宋体" w:hAnsi="宋体" w:cs="宋体" w:eastAsia="宋体" w:hint="default"/>
          <w:sz w:val="19"/>
          <w:szCs w:val="19"/>
        </w:rPr>
      </w:pPr>
    </w:p>
    <w:p>
      <w:pPr>
        <w:pStyle w:val="Heading3"/>
        <w:spacing w:line="240" w:lineRule="auto" w:before="35"/>
        <w:ind w:right="1121"/>
        <w:jc w:val="left"/>
        <w:rPr>
          <w:b w:val="0"/>
          <w:bCs w:val="0"/>
        </w:rPr>
      </w:pPr>
      <w:bookmarkStart w:name="14、递延所得税资产/递延所得税负债" w:id="256"/>
      <w:bookmarkEnd w:id="256"/>
      <w:r>
        <w:rPr>
          <w:b w:val="0"/>
          <w:bCs w:val="0"/>
        </w:rPr>
      </w:r>
      <w:r>
        <w:rPr>
          <w:rFonts w:ascii="Times New Roman" w:hAnsi="Times New Roman" w:cs="Times New Roman" w:eastAsia="Times New Roman" w:hint="default"/>
        </w:rPr>
        <w:t>14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1"/>
        <w:jc w:val="left"/>
        <w:rPr>
          <w:b w:val="0"/>
          <w:bCs w:val="0"/>
        </w:rPr>
      </w:pPr>
      <w:bookmarkStart w:name="（1）未经抵销的递延所得税资产" w:id="257"/>
      <w:bookmarkEnd w:id="257"/>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25,118,166.84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3,817,275.16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22,727,649.19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3,455,502.49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659,216.79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98,882.52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2,020,168.97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303,025.35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8,092,538.32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1,213,880.75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9,248,615.32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1,387,292.30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9,122,288.72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1,368,343.31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9,435,954.80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1,415,393.22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42,992,210.67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6,498,381.74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43,432,388.28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6,561,213.36</w:t>
            </w:r>
          </w:p>
        </w:tc>
      </w:tr>
    </w:tbl>
    <w:p>
      <w:pPr>
        <w:spacing w:line="240" w:lineRule="auto" w:before="2"/>
        <w:rPr>
          <w:rFonts w:ascii="宋体" w:hAnsi="宋体" w:cs="宋体" w:eastAsia="宋体" w:hint="default"/>
          <w:sz w:val="19"/>
          <w:szCs w:val="19"/>
        </w:rPr>
      </w:pPr>
    </w:p>
    <w:p>
      <w:pPr>
        <w:pStyle w:val="Heading3"/>
        <w:spacing w:line="240" w:lineRule="auto" w:before="35"/>
        <w:ind w:right="1121"/>
        <w:jc w:val="left"/>
        <w:rPr>
          <w:b w:val="0"/>
          <w:bCs w:val="0"/>
        </w:rPr>
      </w:pPr>
      <w:bookmarkStart w:name="（2）以抵销后净额列示的递延所得税资产或负债" w:id="258"/>
      <w:bookmarkEnd w:id="258"/>
      <w:r>
        <w:rPr>
          <w:b w:val="0"/>
          <w:bCs w:val="0"/>
        </w:rPr>
      </w:r>
      <w:r>
        <w:rPr/>
        <w:t>（</w:t>
      </w:r>
      <w:r>
        <w:rPr>
          <w:rFonts w:ascii="Times New Roman" w:hAnsi="Times New Roman" w:cs="Times New Roman" w:eastAsia="Times New Roman" w:hint="default"/>
        </w:rPr>
        <w:t>2</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6,498,381.74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6,561,213.36</w:t>
            </w:r>
          </w:p>
        </w:tc>
      </w:tr>
    </w:tbl>
    <w:p>
      <w:pPr>
        <w:spacing w:line="240" w:lineRule="auto" w:before="2"/>
        <w:rPr>
          <w:rFonts w:ascii="宋体" w:hAnsi="宋体" w:cs="宋体" w:eastAsia="宋体" w:hint="default"/>
          <w:sz w:val="19"/>
          <w:szCs w:val="19"/>
        </w:rPr>
      </w:pPr>
    </w:p>
    <w:p>
      <w:pPr>
        <w:pStyle w:val="Heading3"/>
        <w:spacing w:line="240" w:lineRule="auto" w:before="35"/>
        <w:ind w:right="1121"/>
        <w:jc w:val="left"/>
        <w:rPr>
          <w:b w:val="0"/>
          <w:bCs w:val="0"/>
        </w:rPr>
      </w:pPr>
      <w:bookmarkStart w:name="（3）未确认递延所得税资产明细" w:id="259"/>
      <w:bookmarkEnd w:id="259"/>
      <w:r>
        <w:rPr>
          <w:b w:val="0"/>
          <w:bCs w:val="0"/>
        </w:rPr>
      </w: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32,816,529.76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35,163,331.84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32,816,529.76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35,163,331.84</w:t>
            </w:r>
          </w:p>
        </w:tc>
      </w:tr>
    </w:tbl>
    <w:p>
      <w:pPr>
        <w:spacing w:line="240" w:lineRule="auto" w:before="2"/>
        <w:rPr>
          <w:rFonts w:ascii="宋体" w:hAnsi="宋体" w:cs="宋体" w:eastAsia="宋体" w:hint="default"/>
          <w:sz w:val="19"/>
          <w:szCs w:val="19"/>
        </w:rPr>
      </w:pPr>
    </w:p>
    <w:p>
      <w:pPr>
        <w:pStyle w:val="Heading3"/>
        <w:spacing w:line="240" w:lineRule="auto" w:before="35"/>
        <w:ind w:right="1121"/>
        <w:jc w:val="left"/>
        <w:rPr>
          <w:b w:val="0"/>
          <w:bCs w:val="0"/>
        </w:rPr>
      </w:pPr>
      <w:bookmarkStart w:name="（5）未确认递延所得税资产的可抵扣亏损将于以下年度到期" w:id="260"/>
      <w:bookmarkEnd w:id="260"/>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7,144,782.04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13,657,671.24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14,423,308.84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14,423,308.84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7,082,351.76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7,082,351.76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4,166,087.12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32,816,529.76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35,163,331.84</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1121"/>
        <w:jc w:val="left"/>
        <w:rPr>
          <w:b w:val="0"/>
          <w:bCs w:val="0"/>
        </w:rPr>
      </w:pPr>
      <w:bookmarkStart w:name="15、应付票据及应付账款" w:id="261"/>
      <w:bookmarkEnd w:id="261"/>
      <w:r>
        <w:rPr>
          <w:b w:val="0"/>
          <w:bCs w:val="0"/>
        </w:rPr>
      </w:r>
      <w:r>
        <w:rPr>
          <w:rFonts w:ascii="Times New Roman" w:hAnsi="Times New Roman" w:cs="Times New Roman" w:eastAsia="Times New Roman" w:hint="default"/>
        </w:rPr>
        <w:t>15</w:t>
      </w:r>
      <w:r>
        <w:rPr/>
        <w:t>、应付票据及应付账款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152,102,726.71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191,539,839.08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201,134,164.65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195,543,735.51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353,236,891.36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387,083,574.59</w:t>
            </w:r>
          </w:p>
        </w:tc>
      </w:tr>
    </w:tbl>
    <w:p>
      <w:pPr>
        <w:spacing w:line="240" w:lineRule="auto" w:before="2"/>
        <w:rPr>
          <w:rFonts w:ascii="宋体" w:hAnsi="宋体" w:cs="宋体" w:eastAsia="宋体" w:hint="default"/>
          <w:sz w:val="19"/>
          <w:szCs w:val="19"/>
        </w:rPr>
      </w:pPr>
    </w:p>
    <w:p>
      <w:pPr>
        <w:pStyle w:val="Heading3"/>
        <w:spacing w:line="240" w:lineRule="auto" w:before="35"/>
        <w:ind w:right="1121"/>
        <w:jc w:val="left"/>
        <w:rPr>
          <w:b w:val="0"/>
          <w:bCs w:val="0"/>
        </w:rPr>
      </w:pPr>
      <w:bookmarkStart w:name="（1）应付票据分类列示" w:id="262"/>
      <w:bookmarkEnd w:id="262"/>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152,102,726.71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191,539,839.08</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152,102,726.71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191,539,839.08</w:t>
            </w:r>
          </w:p>
        </w:tc>
      </w:tr>
    </w:tbl>
    <w:p>
      <w:pPr>
        <w:pStyle w:val="BodyText"/>
        <w:spacing w:line="240" w:lineRule="auto" w:before="51"/>
        <w:ind w:right="1121"/>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1121"/>
        <w:jc w:val="left"/>
        <w:rPr>
          <w:b w:val="0"/>
          <w:bCs w:val="0"/>
        </w:rPr>
      </w:pPr>
      <w:bookmarkStart w:name="（2）应付账款列示" w:id="263"/>
      <w:bookmarkEnd w:id="263"/>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应付购货款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201,134,164.65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195,543,735.51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201,134,164.65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195,543,735.51</w:t>
            </w:r>
          </w:p>
        </w:tc>
      </w:tr>
    </w:tbl>
    <w:p>
      <w:pPr>
        <w:spacing w:line="240" w:lineRule="auto" w:before="2"/>
        <w:rPr>
          <w:rFonts w:ascii="宋体" w:hAnsi="宋体" w:cs="宋体" w:eastAsia="宋体" w:hint="default"/>
          <w:sz w:val="19"/>
          <w:szCs w:val="19"/>
        </w:rPr>
      </w:pPr>
    </w:p>
    <w:p>
      <w:pPr>
        <w:pStyle w:val="Heading3"/>
        <w:spacing w:line="240" w:lineRule="auto" w:before="35"/>
        <w:ind w:right="1121"/>
        <w:jc w:val="left"/>
        <w:rPr>
          <w:b w:val="0"/>
          <w:bCs w:val="0"/>
        </w:rPr>
      </w:pPr>
      <w:bookmarkStart w:name="16、预收款项" w:id="264"/>
      <w:bookmarkEnd w:id="264"/>
      <w:r>
        <w:rPr>
          <w:b w:val="0"/>
          <w:bCs w:val="0"/>
        </w:rPr>
      </w:r>
      <w:r>
        <w:rPr>
          <w:rFonts w:ascii="Times New Roman" w:hAnsi="Times New Roman" w:cs="Times New Roman" w:eastAsia="Times New Roman" w:hint="default"/>
        </w:rPr>
        <w:t>16</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1"/>
        <w:jc w:val="left"/>
        <w:rPr>
          <w:b w:val="0"/>
          <w:bCs w:val="0"/>
        </w:rPr>
      </w:pPr>
      <w:bookmarkStart w:name="（1）预收款项列示" w:id="265"/>
      <w:bookmarkEnd w:id="265"/>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150,646,639.28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154,611,118.82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150,646,639.28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154,611,118.82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21"/>
        <w:jc w:val="left"/>
        <w:rPr>
          <w:b w:val="0"/>
          <w:bCs w:val="0"/>
        </w:rPr>
      </w:pPr>
      <w:bookmarkStart w:name="17、应付职工薪酬" w:id="266"/>
      <w:bookmarkEnd w:id="266"/>
      <w:r>
        <w:rPr>
          <w:b w:val="0"/>
          <w:bCs w:val="0"/>
        </w:rPr>
      </w:r>
      <w:r>
        <w:rPr>
          <w:rFonts w:ascii="Times New Roman" w:hAnsi="Times New Roman" w:cs="Times New Roman" w:eastAsia="Times New Roman" w:hint="default"/>
        </w:rPr>
        <w:t>17</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1"/>
        <w:jc w:val="left"/>
        <w:rPr>
          <w:b w:val="0"/>
          <w:bCs w:val="0"/>
        </w:rPr>
      </w:pPr>
      <w:bookmarkStart w:name="（1）应付职工薪酬列示" w:id="267"/>
      <w:bookmarkEnd w:id="267"/>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7"/>
        <w:gridCol w:w="1802"/>
        <w:gridCol w:w="1790"/>
        <w:gridCol w:w="1790"/>
        <w:gridCol w:w="1790"/>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8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39,847,678.01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177,362,993.87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175,018,276.86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42,192,395.02</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设定提存计划</w:t>
            </w:r>
          </w:p>
        </w:tc>
        <w:tc>
          <w:tcPr>
            <w:tcW w:w="1802" w:type="dxa"/>
            <w:tcBorders>
              <w:top w:val="single" w:sz="4" w:space="0" w:color="000000"/>
              <w:left w:val="single" w:sz="13" w:space="0" w:color="D2D2D2"/>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16,802,091.46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16,800,778.72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1,312.74</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802" w:type="dxa"/>
            <w:tcBorders>
              <w:top w:val="single" w:sz="4" w:space="0" w:color="000000"/>
              <w:left w:val="single" w:sz="13" w:space="0" w:color="D2D2D2"/>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26,500.00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26,500.00</w:t>
            </w: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39,847,678.01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194,191,585.33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191,845,555.58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42,193,707.76</w:t>
            </w:r>
          </w:p>
        </w:tc>
      </w:tr>
    </w:tbl>
    <w:p>
      <w:pPr>
        <w:spacing w:line="240" w:lineRule="auto" w:before="2"/>
        <w:rPr>
          <w:rFonts w:ascii="宋体" w:hAnsi="宋体" w:cs="宋体" w:eastAsia="宋体" w:hint="default"/>
          <w:sz w:val="19"/>
          <w:szCs w:val="19"/>
        </w:rPr>
      </w:pPr>
    </w:p>
    <w:p>
      <w:pPr>
        <w:pStyle w:val="Heading3"/>
        <w:spacing w:line="240" w:lineRule="auto" w:before="35"/>
        <w:ind w:right="1121"/>
        <w:jc w:val="left"/>
        <w:rPr>
          <w:b w:val="0"/>
          <w:bCs w:val="0"/>
        </w:rPr>
      </w:pPr>
      <w:bookmarkStart w:name="（2）短期薪酬列示" w:id="268"/>
      <w:bookmarkEnd w:id="268"/>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46"/>
        <w:gridCol w:w="1837"/>
        <w:gridCol w:w="1826"/>
        <w:gridCol w:w="1824"/>
        <w:gridCol w:w="1826"/>
      </w:tblGrid>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、工资、奖金、津贴和补贴</w:t>
            </w:r>
          </w:p>
        </w:tc>
        <w:tc>
          <w:tcPr>
            <w:tcW w:w="18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18,200,396.81</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143,481,895.14</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144,469,265.98</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17,213,025.97</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837" w:type="dxa"/>
            <w:tcBorders>
              <w:top w:val="single" w:sz="4" w:space="0" w:color="000000"/>
              <w:left w:val="single" w:sz="13" w:space="0" w:color="D2D2D2"/>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12,242,720.52</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12,242,720.52</w:t>
            </w:r>
          </w:p>
        </w:tc>
        <w:tc>
          <w:tcPr>
            <w:tcW w:w="18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837" w:type="dxa"/>
            <w:tcBorders>
              <w:top w:val="single" w:sz="4" w:space="0" w:color="000000"/>
              <w:left w:val="single" w:sz="13" w:space="0" w:color="D2D2D2"/>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11,178,979.13</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11,178,208.83</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770.30</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37" w:type="dxa"/>
            <w:tcBorders>
              <w:top w:val="single" w:sz="4" w:space="0" w:color="000000"/>
              <w:left w:val="single" w:sz="13" w:space="0" w:color="D2D2D2"/>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9,724,144.54</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9,723,463.74</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680.80</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1"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37" w:type="dxa"/>
            <w:tcBorders>
              <w:top w:val="single" w:sz="4" w:space="0" w:color="000000"/>
              <w:left w:val="single" w:sz="13" w:space="0" w:color="D2D2D2"/>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478,242.21</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478,222.91</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19.30</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37" w:type="dxa"/>
            <w:tcBorders>
              <w:top w:val="single" w:sz="4" w:space="0" w:color="000000"/>
              <w:left w:val="single" w:sz="13" w:space="0" w:color="D2D2D2"/>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976,592.38</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976,522.18</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70.20</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837" w:type="dxa"/>
            <w:tcBorders>
              <w:top w:val="single" w:sz="4" w:space="0" w:color="000000"/>
              <w:left w:val="single" w:sz="13" w:space="0" w:color="D2D2D2"/>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6,278,744.54</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6,278,744.54</w:t>
            </w:r>
          </w:p>
        </w:tc>
        <w:tc>
          <w:tcPr>
            <w:tcW w:w="18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、工会经费和职工教育经费</w:t>
            </w:r>
          </w:p>
        </w:tc>
        <w:tc>
          <w:tcPr>
            <w:tcW w:w="18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21,647,281.20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4,180,654.54</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849,336.99</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24,978,598.75</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39,847,678.01</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177,362,993.87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175,018,276.86</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42,192,395.02</w:t>
            </w:r>
          </w:p>
        </w:tc>
      </w:tr>
    </w:tbl>
    <w:p>
      <w:pPr>
        <w:spacing w:line="240" w:lineRule="auto" w:before="2"/>
        <w:rPr>
          <w:rFonts w:ascii="宋体" w:hAnsi="宋体" w:cs="宋体" w:eastAsia="宋体" w:hint="default"/>
          <w:sz w:val="19"/>
          <w:szCs w:val="19"/>
        </w:rPr>
      </w:pPr>
    </w:p>
    <w:p>
      <w:pPr>
        <w:pStyle w:val="Heading3"/>
        <w:spacing w:line="240" w:lineRule="auto" w:before="35"/>
        <w:ind w:right="1121"/>
        <w:jc w:val="left"/>
        <w:rPr>
          <w:b w:val="0"/>
          <w:bCs w:val="0"/>
        </w:rPr>
      </w:pPr>
      <w:bookmarkStart w:name="（3）设定提存计划列示" w:id="269"/>
      <w:bookmarkEnd w:id="269"/>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16,205,855.46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16,204,591.86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1,263.60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596,236.00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596,186.86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49.14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16,802,091.46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16,800,778.72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1,312.74</w:t>
            </w:r>
          </w:p>
        </w:tc>
      </w:tr>
    </w:tbl>
    <w:p>
      <w:pPr>
        <w:pStyle w:val="BodyText"/>
        <w:spacing w:line="240" w:lineRule="auto" w:before="51"/>
        <w:ind w:right="1121"/>
        <w:jc w:val="left"/>
      </w:pPr>
      <w:r>
        <w:rPr/>
        <w:t>其他说明：</w:t>
      </w:r>
    </w:p>
    <w:p>
      <w:pPr>
        <w:pStyle w:val="BodyText"/>
        <w:spacing w:line="304" w:lineRule="auto" w:before="116"/>
        <w:ind w:right="1029" w:firstLine="360"/>
        <w:jc w:val="left"/>
      </w:pPr>
      <w:r>
        <w:rPr>
          <w:spacing w:val="-2"/>
        </w:rPr>
        <w:t>本公司按规定参加由政府机构设立的养老保险、失业保险计划。根据该等计划，本公司对山东地区员工分别按员工基本</w:t>
      </w:r>
      <w:r>
        <w:rPr/>
        <w:t> </w:t>
      </w:r>
      <w:r>
        <w:rPr>
          <w:spacing w:val="-1"/>
        </w:rPr>
        <w:t>工资的</w:t>
      </w:r>
      <w:r>
        <w:rPr>
          <w:rFonts w:ascii="Times New Roman" w:hAnsi="Times New Roman" w:cs="Times New Roman" w:eastAsia="Times New Roman" w:hint="default"/>
          <w:spacing w:val="-1"/>
        </w:rPr>
        <w:t>18%</w:t>
      </w:r>
      <w:r>
        <w:rPr>
          <w:spacing w:val="-1"/>
        </w:rPr>
        <w:t>、</w:t>
      </w:r>
      <w:r>
        <w:rPr>
          <w:rFonts w:ascii="宋体" w:hAnsi="宋体" w:cs="宋体" w:eastAsia="宋体" w:hint="default"/>
          <w:spacing w:val="-1"/>
        </w:rPr>
        <w:t>0.7</w:t>
      </w:r>
      <w:r>
        <w:rPr>
          <w:rFonts w:ascii="Times New Roman" w:hAnsi="Times New Roman" w:cs="Times New Roman" w:eastAsia="Times New Roman" w:hint="default"/>
          <w:spacing w:val="-1"/>
        </w:rPr>
        <w:t>%</w:t>
      </w:r>
      <w:r>
        <w:rPr>
          <w:spacing w:val="-1"/>
        </w:rPr>
        <w:t>每月向该等计划缴存费用；对上海地区员工分别按员工缴费基数的</w:t>
      </w:r>
      <w:r>
        <w:rPr>
          <w:rFonts w:ascii="Times New Roman" w:hAnsi="Times New Roman" w:cs="Times New Roman" w:eastAsia="Times New Roman" w:hint="default"/>
          <w:spacing w:val="-1"/>
        </w:rPr>
        <w:t>20%</w:t>
      </w:r>
      <w:r>
        <w:rPr>
          <w:spacing w:val="-1"/>
        </w:rPr>
        <w:t>、</w:t>
      </w:r>
      <w:r>
        <w:rPr>
          <w:rFonts w:ascii="宋体" w:hAnsi="宋体" w:cs="宋体" w:eastAsia="宋体" w:hint="default"/>
          <w:spacing w:val="-1"/>
        </w:rPr>
        <w:t>0.5</w:t>
      </w:r>
      <w:r>
        <w:rPr>
          <w:rFonts w:ascii="Times New Roman" w:hAnsi="Times New Roman" w:cs="Times New Roman" w:eastAsia="Times New Roman" w:hint="default"/>
          <w:spacing w:val="-1"/>
        </w:rPr>
        <w:t>%</w:t>
      </w:r>
      <w:r>
        <w:rPr>
          <w:spacing w:val="-1"/>
        </w:rPr>
        <w:t>每月向该等计划缴存费用；</w:t>
      </w:r>
      <w:r>
        <w:rPr>
          <w:spacing w:val="-83"/>
        </w:rPr>
        <w:t> </w:t>
      </w:r>
      <w:r>
        <w:rPr>
          <w:spacing w:val="-83"/>
        </w:rPr>
      </w:r>
      <w:r>
        <w:rPr/>
        <w:t>对北京地区的员工分别按员工缴费基数的</w:t>
      </w:r>
      <w:r>
        <w:rPr>
          <w:rFonts w:ascii="Times New Roman" w:hAnsi="Times New Roman" w:cs="Times New Roman" w:eastAsia="Times New Roman" w:hint="default"/>
        </w:rPr>
        <w:t>19%</w:t>
      </w:r>
      <w:r>
        <w:rPr/>
        <w:t>、</w:t>
      </w:r>
      <w:r>
        <w:rPr>
          <w:rFonts w:ascii="Times New Roman" w:hAnsi="Times New Roman" w:cs="Times New Roman" w:eastAsia="Times New Roman" w:hint="default"/>
        </w:rPr>
        <w:t>0.8%</w:t>
      </w:r>
      <w:r>
        <w:rPr/>
        <w:t>每月向该等计划缴存费用；对广东地区的员工分别按员工缴费基数的 </w:t>
      </w:r>
      <w:r>
        <w:rPr>
          <w:rFonts w:ascii="Times New Roman" w:hAnsi="Times New Roman" w:cs="Times New Roman" w:eastAsia="Times New Roman" w:hint="default"/>
        </w:rPr>
        <w:t>14%</w:t>
      </w:r>
      <w:r>
        <w:rPr/>
        <w:t>、</w:t>
      </w:r>
      <w:r>
        <w:rPr>
          <w:rFonts w:ascii="Times New Roman" w:hAnsi="Times New Roman" w:cs="Times New Roman" w:eastAsia="Times New Roman" w:hint="default"/>
        </w:rPr>
        <w:t>0.48%</w:t>
      </w:r>
      <w:r>
        <w:rPr/>
        <w:t>每月向该等计划缴存费用；对新疆地区的员工分别按员工缴费基数的</w:t>
      </w:r>
      <w:r>
        <w:rPr>
          <w:rFonts w:ascii="Times New Roman" w:hAnsi="Times New Roman" w:cs="Times New Roman" w:eastAsia="Times New Roman" w:hint="default"/>
        </w:rPr>
        <w:t>19%</w:t>
      </w:r>
      <w:r>
        <w:rPr/>
        <w:t>、</w:t>
      </w:r>
      <w:r>
        <w:rPr>
          <w:rFonts w:ascii="宋体" w:hAnsi="宋体" w:cs="宋体" w:eastAsia="宋体" w:hint="default"/>
        </w:rPr>
        <w:t>0.5</w:t>
      </w:r>
      <w:r>
        <w:rPr>
          <w:rFonts w:ascii="Times New Roman" w:hAnsi="Times New Roman" w:cs="Times New Roman" w:eastAsia="Times New Roman" w:hint="default"/>
        </w:rPr>
        <w:t>%</w:t>
      </w:r>
      <w:r>
        <w:rPr/>
        <w:t>每月向该等计划缴存费用；对 </w:t>
      </w:r>
      <w:r>
        <w:rPr>
          <w:spacing w:val="-3"/>
        </w:rPr>
        <w:t>河南地区的员工分别按员工缴费基数的</w:t>
      </w:r>
      <w:r>
        <w:rPr>
          <w:rFonts w:ascii="Times New Roman" w:hAnsi="Times New Roman" w:cs="Times New Roman" w:eastAsia="Times New Roman" w:hint="default"/>
          <w:spacing w:val="-3"/>
        </w:rPr>
        <w:t>19%</w:t>
      </w:r>
      <w:r>
        <w:rPr>
          <w:spacing w:val="-3"/>
        </w:rPr>
        <w:t>、</w:t>
      </w:r>
      <w:r>
        <w:rPr>
          <w:rFonts w:ascii="宋体" w:hAnsi="宋体" w:cs="宋体" w:eastAsia="宋体" w:hint="default"/>
          <w:spacing w:val="-3"/>
        </w:rPr>
        <w:t>0.7</w:t>
      </w:r>
      <w:r>
        <w:rPr>
          <w:rFonts w:ascii="Times New Roman" w:hAnsi="Times New Roman" w:cs="Times New Roman" w:eastAsia="Times New Roman" w:hint="default"/>
          <w:spacing w:val="-3"/>
        </w:rPr>
        <w:t>%</w:t>
      </w:r>
      <w:r>
        <w:rPr>
          <w:spacing w:val="-3"/>
        </w:rPr>
        <w:t>每月向该等计划缴存费用；对四川地区的员工分别按员工缴费基数的</w:t>
      </w:r>
      <w:r>
        <w:rPr>
          <w:rFonts w:ascii="Times New Roman" w:hAnsi="Times New Roman" w:cs="Times New Roman" w:eastAsia="Times New Roman" w:hint="default"/>
          <w:spacing w:val="-3"/>
        </w:rPr>
        <w:t>19%</w:t>
      </w:r>
      <w:r>
        <w:rPr>
          <w:spacing w:val="-3"/>
        </w:rPr>
        <w:t>、</w:t>
      </w:r>
    </w:p>
    <w:p>
      <w:pPr>
        <w:spacing w:after="0" w:line="304"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2"/>
        <w:jc w:val="both"/>
      </w:pPr>
      <w:r>
        <w:rPr>
          <w:rFonts w:ascii="Times New Roman" w:hAnsi="Times New Roman" w:cs="Times New Roman" w:eastAsia="Times New Roman" w:hint="default"/>
          <w:spacing w:val="-2"/>
        </w:rPr>
        <w:t>0.6%</w:t>
      </w:r>
      <w:r>
        <w:rPr>
          <w:spacing w:val="-2"/>
        </w:rPr>
        <w:t>每月向该等计划缴存费用；对青海地区的员工分别按员工缴费基数的</w:t>
      </w:r>
      <w:r>
        <w:rPr>
          <w:rFonts w:ascii="Times New Roman" w:hAnsi="Times New Roman" w:cs="Times New Roman" w:eastAsia="Times New Roman" w:hint="default"/>
          <w:spacing w:val="-2"/>
        </w:rPr>
        <w:t>20%</w:t>
      </w:r>
      <w:r>
        <w:rPr>
          <w:spacing w:val="-2"/>
        </w:rPr>
        <w:t>、</w:t>
      </w:r>
      <w:r>
        <w:rPr>
          <w:rFonts w:ascii="Times New Roman" w:hAnsi="Times New Roman" w:cs="Times New Roman" w:eastAsia="Times New Roman" w:hint="default"/>
          <w:spacing w:val="-2"/>
        </w:rPr>
        <w:t>0.5%</w:t>
      </w:r>
      <w:r>
        <w:rPr>
          <w:spacing w:val="-2"/>
        </w:rPr>
        <w:t>每月向该等计划缴存费用；对甘肃地区</w:t>
      </w:r>
      <w:r>
        <w:rPr>
          <w:spacing w:val="-58"/>
        </w:rPr>
        <w:t> </w:t>
      </w:r>
      <w:r>
        <w:rPr>
          <w:spacing w:val="-58"/>
        </w:rPr>
      </w:r>
      <w:r>
        <w:rPr>
          <w:spacing w:val="-2"/>
        </w:rPr>
        <w:t>的员工分别按员工缴费基数的</w:t>
      </w:r>
      <w:r>
        <w:rPr>
          <w:rFonts w:ascii="宋体" w:hAnsi="宋体" w:cs="宋体" w:eastAsia="宋体" w:hint="default"/>
          <w:spacing w:val="-2"/>
        </w:rPr>
        <w:t>19</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0.7%</w:t>
      </w:r>
      <w:r>
        <w:rPr>
          <w:spacing w:val="-2"/>
        </w:rPr>
        <w:t>每月向该等计划缴存费用；除上述每月缴存费用外，本公司不再承担进一步支付义</w:t>
      </w:r>
      <w:r>
        <w:rPr>
          <w:spacing w:val="-45"/>
        </w:rPr>
        <w:t> </w:t>
      </w:r>
      <w:r>
        <w:rPr>
          <w:spacing w:val="-45"/>
        </w:rPr>
      </w:r>
      <w:r>
        <w:rPr/>
        <w:t>务。相应的支出于发生时计入当期损益或相关资产的成本。</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bookmarkStart w:name="18、应交税费" w:id="270"/>
      <w:bookmarkEnd w:id="270"/>
      <w:r>
        <w:rPr>
          <w:b w:val="0"/>
          <w:bCs w:val="0"/>
        </w:rPr>
      </w:r>
      <w:r>
        <w:rPr>
          <w:rFonts w:ascii="Times New Roman" w:hAnsi="Times New Roman" w:cs="Times New Roman" w:eastAsia="Times New Roman" w:hint="default"/>
        </w:rPr>
        <w:t>18</w:t>
      </w:r>
      <w:r>
        <w:rPr/>
        <w:t>、应交税费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19,927,232.30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13,050,645.17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11,714,229.81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6,059,404.83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64,854.48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125,716.99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1,523,602.68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924,854.90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1,493,951.24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1,378,391.71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635,277.65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428,231.23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549,950.10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651,642.00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499,668.09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289,275.86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58,849.03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33,066.58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36,467,615.38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22,941,229.27</w:t>
            </w:r>
          </w:p>
        </w:tc>
      </w:tr>
    </w:tbl>
    <w:p>
      <w:pPr>
        <w:spacing w:line="240" w:lineRule="auto" w:before="3"/>
        <w:rPr>
          <w:rFonts w:ascii="宋体" w:hAnsi="宋体" w:cs="宋体" w:eastAsia="宋体" w:hint="default"/>
          <w:sz w:val="19"/>
          <w:szCs w:val="19"/>
        </w:rPr>
      </w:pPr>
    </w:p>
    <w:p>
      <w:pPr>
        <w:pStyle w:val="Heading3"/>
        <w:spacing w:line="240" w:lineRule="auto" w:before="35"/>
        <w:ind w:right="1121"/>
        <w:jc w:val="left"/>
        <w:rPr>
          <w:b w:val="0"/>
          <w:bCs w:val="0"/>
        </w:rPr>
      </w:pPr>
      <w:bookmarkStart w:name="19、其他应付款" w:id="271"/>
      <w:bookmarkEnd w:id="271"/>
      <w:r>
        <w:rPr>
          <w:b w:val="0"/>
          <w:bCs w:val="0"/>
        </w:rPr>
      </w:r>
      <w:r>
        <w:rPr>
          <w:rFonts w:ascii="Times New Roman" w:hAnsi="Times New Roman" w:cs="Times New Roman" w:eastAsia="Times New Roman" w:hint="default"/>
        </w:rPr>
        <w:t>19</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35,210,990.42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39,188,047.69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35,210,990.42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39,188,047.69</w:t>
            </w:r>
          </w:p>
        </w:tc>
      </w:tr>
    </w:tbl>
    <w:p>
      <w:pPr>
        <w:spacing w:line="240" w:lineRule="auto" w:before="2"/>
        <w:rPr>
          <w:rFonts w:ascii="宋体" w:hAnsi="宋体" w:cs="宋体" w:eastAsia="宋体" w:hint="default"/>
          <w:sz w:val="19"/>
          <w:szCs w:val="19"/>
        </w:rPr>
      </w:pPr>
    </w:p>
    <w:p>
      <w:pPr>
        <w:pStyle w:val="Heading3"/>
        <w:spacing w:line="240" w:lineRule="auto" w:before="35"/>
        <w:ind w:right="1121"/>
        <w:jc w:val="left"/>
        <w:rPr>
          <w:b w:val="0"/>
          <w:bCs w:val="0"/>
        </w:rPr>
      </w:pPr>
      <w:bookmarkStart w:name="（1）其他应付款" w:id="272"/>
      <w:bookmarkEnd w:id="272"/>
      <w:r>
        <w:rPr>
          <w:b w:val="0"/>
          <w:bCs w:val="0"/>
        </w:rPr>
      </w:r>
      <w:r>
        <w:rPr/>
        <w:t>（</w:t>
      </w:r>
      <w:r>
        <w:rPr>
          <w:rFonts w:ascii="Times New Roman" w:hAnsi="Times New Roman" w:cs="Times New Roman" w:eastAsia="Times New Roman" w:hint="default"/>
        </w:rPr>
        <w:t>1</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21"/>
        <w:jc w:val="left"/>
      </w:pPr>
      <w:r>
        <w:rPr>
          <w:rFonts w:ascii="Times New Roman" w:hAnsi="Times New Roman" w:cs="Times New Roman" w:eastAsia="Times New Roman" w:hint="default"/>
        </w:rPr>
        <w:t>1)</w:t>
      </w:r>
      <w:r>
        <w:rPr/>
        <w:t>按款项性质列示其他应付款</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20,434,919.10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24,773,830.82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14,776,071.32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14,414,216.87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35,210,990.42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39,188,047.69</w:t>
            </w:r>
          </w:p>
        </w:tc>
      </w:tr>
    </w:tbl>
    <w:p>
      <w:pPr>
        <w:spacing w:line="240" w:lineRule="auto" w:before="3"/>
        <w:rPr>
          <w:rFonts w:ascii="宋体" w:hAnsi="宋体" w:cs="宋体" w:eastAsia="宋体" w:hint="default"/>
          <w:sz w:val="19"/>
          <w:szCs w:val="19"/>
        </w:rPr>
      </w:pPr>
    </w:p>
    <w:p>
      <w:pPr>
        <w:pStyle w:val="Heading3"/>
        <w:spacing w:line="240" w:lineRule="auto" w:before="35"/>
        <w:ind w:right="1121"/>
        <w:jc w:val="left"/>
        <w:rPr>
          <w:b w:val="0"/>
          <w:bCs w:val="0"/>
        </w:rPr>
      </w:pPr>
      <w:bookmarkStart w:name="20、一年内到期的非流动负债" w:id="273"/>
      <w:bookmarkEnd w:id="273"/>
      <w:r>
        <w:rPr>
          <w:b w:val="0"/>
          <w:bCs w:val="0"/>
        </w:rPr>
      </w:r>
      <w:r>
        <w:rPr>
          <w:rFonts w:ascii="Times New Roman" w:hAnsi="Times New Roman" w:cs="Times New Roman" w:eastAsia="Times New Roman" w:hint="default"/>
        </w:rPr>
        <w:t>20</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14,034,237.43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15,543,845.16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14,034,237.43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15,543,845.16</w:t>
            </w:r>
          </w:p>
        </w:tc>
      </w:tr>
    </w:tbl>
    <w:p>
      <w:pPr>
        <w:spacing w:line="240" w:lineRule="auto" w:before="3"/>
        <w:rPr>
          <w:rFonts w:ascii="宋体" w:hAnsi="宋体" w:cs="宋体" w:eastAsia="宋体" w:hint="default"/>
          <w:sz w:val="19"/>
          <w:szCs w:val="19"/>
        </w:rPr>
      </w:pPr>
    </w:p>
    <w:p>
      <w:pPr>
        <w:pStyle w:val="Heading3"/>
        <w:spacing w:line="240" w:lineRule="auto" w:before="35"/>
        <w:ind w:right="1121"/>
        <w:jc w:val="left"/>
        <w:rPr>
          <w:b w:val="0"/>
          <w:bCs w:val="0"/>
        </w:rPr>
      </w:pPr>
      <w:bookmarkStart w:name="21、长期应付款" w:id="274"/>
      <w:bookmarkEnd w:id="274"/>
      <w:r>
        <w:rPr>
          <w:b w:val="0"/>
          <w:bCs w:val="0"/>
        </w:rPr>
      </w:r>
      <w:r>
        <w:rPr>
          <w:rFonts w:ascii="Times New Roman" w:hAnsi="Times New Roman" w:cs="Times New Roman" w:eastAsia="Times New Roman" w:hint="default"/>
        </w:rPr>
        <w:t>21</w:t>
      </w:r>
      <w:r>
        <w:rPr/>
        <w:t>、长期应付款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13,120,027.74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27,366,464.93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13,120,027.74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27,366,464.93</w:t>
            </w:r>
          </w:p>
        </w:tc>
      </w:tr>
    </w:tbl>
    <w:p>
      <w:pPr>
        <w:spacing w:line="240" w:lineRule="auto" w:before="2"/>
        <w:rPr>
          <w:rFonts w:ascii="宋体" w:hAnsi="宋体" w:cs="宋体" w:eastAsia="宋体" w:hint="default"/>
          <w:sz w:val="19"/>
          <w:szCs w:val="19"/>
        </w:rPr>
      </w:pPr>
    </w:p>
    <w:p>
      <w:pPr>
        <w:pStyle w:val="Heading3"/>
        <w:spacing w:line="240" w:lineRule="auto" w:before="35"/>
        <w:ind w:right="1121"/>
        <w:jc w:val="left"/>
        <w:rPr>
          <w:b w:val="0"/>
          <w:bCs w:val="0"/>
        </w:rPr>
      </w:pPr>
      <w:bookmarkStart w:name="（1）按款项性质列示长期应付款" w:id="275"/>
      <w:bookmarkEnd w:id="275"/>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应付股权款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26,250,027.74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39,390,022.28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融资租赁固定资产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904,237.43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3,520,287.81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减：一年内到期部分（附注六、</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14,034,237.43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15,543,845.16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13,120,027.74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27,366,464.93</w:t>
            </w:r>
          </w:p>
        </w:tc>
      </w:tr>
    </w:tbl>
    <w:p>
      <w:pPr>
        <w:spacing w:line="240" w:lineRule="auto" w:before="2"/>
        <w:rPr>
          <w:rFonts w:ascii="宋体" w:hAnsi="宋体" w:cs="宋体" w:eastAsia="宋体" w:hint="default"/>
          <w:sz w:val="19"/>
          <w:szCs w:val="19"/>
        </w:rPr>
      </w:pPr>
    </w:p>
    <w:p>
      <w:pPr>
        <w:pStyle w:val="Heading3"/>
        <w:spacing w:line="240" w:lineRule="auto" w:before="35"/>
        <w:ind w:right="1121"/>
        <w:jc w:val="left"/>
        <w:rPr>
          <w:b w:val="0"/>
          <w:bCs w:val="0"/>
        </w:rPr>
      </w:pPr>
      <w:bookmarkStart w:name="22、递延收益" w:id="276"/>
      <w:bookmarkEnd w:id="276"/>
      <w:r>
        <w:rPr>
          <w:b w:val="0"/>
          <w:bCs w:val="0"/>
        </w:rPr>
      </w:r>
      <w:r>
        <w:rPr>
          <w:rFonts w:ascii="Times New Roman" w:hAnsi="Times New Roman" w:cs="Times New Roman" w:eastAsia="Times New Roman" w:hint="default"/>
        </w:rPr>
        <w:t>22</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11,363,315.38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1,878,037.06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9,485,278.32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11,363,315.38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1,878,037.06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9,485,278.32</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21"/>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9"/>
        <w:gridCol w:w="1134"/>
        <w:gridCol w:w="850"/>
        <w:gridCol w:w="1134"/>
        <w:gridCol w:w="994"/>
        <w:gridCol w:w="1134"/>
        <w:gridCol w:w="708"/>
        <w:gridCol w:w="1134"/>
        <w:gridCol w:w="1063"/>
      </w:tblGrid>
      <w:tr>
        <w:trPr>
          <w:trHeight w:val="1026"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3"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9" w:right="59"/>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1" w:right="111"/>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0" w:right="41"/>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1" w:right="110"/>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7" w:right="78" w:hanging="180"/>
              <w:jc w:val="left"/>
              <w:rPr>
                <w:rFonts w:ascii="宋体" w:hAnsi="宋体" w:cs="宋体" w:eastAsia="宋体" w:hint="default"/>
                <w:sz w:val="18"/>
                <w:szCs w:val="18"/>
              </w:rPr>
            </w:pPr>
            <w:r>
              <w:rPr>
                <w:rFonts w:ascii="宋体" w:hAnsi="宋体" w:cs="宋体" w:eastAsia="宋体" w:hint="default"/>
                <w:sz w:val="18"/>
                <w:szCs w:val="18"/>
              </w:rPr>
              <w:t>其他变 动</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0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pacing w:val="13"/>
                <w:sz w:val="18"/>
                <w:szCs w:val="18"/>
              </w:rPr>
              <w:t>山东省自主创新</w:t>
            </w:r>
          </w:p>
          <w:p>
            <w:pPr>
              <w:pStyle w:val="TableParagraph"/>
              <w:spacing w:line="240" w:lineRule="auto"/>
              <w:ind w:left="22" w:right="23"/>
              <w:jc w:val="left"/>
              <w:rPr>
                <w:rFonts w:ascii="宋体" w:hAnsi="宋体" w:cs="宋体" w:eastAsia="宋体" w:hint="default"/>
                <w:sz w:val="18"/>
                <w:szCs w:val="18"/>
              </w:rPr>
            </w:pPr>
            <w:r>
              <w:rPr>
                <w:rFonts w:ascii="宋体" w:hAnsi="宋体" w:cs="宋体" w:eastAsia="宋体" w:hint="default"/>
                <w:spacing w:val="13"/>
                <w:sz w:val="18"/>
                <w:szCs w:val="18"/>
              </w:rPr>
              <w:t>及成果转化专项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914,700.06</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121,960.06</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792,740.00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13"/>
                <w:sz w:val="18"/>
                <w:szCs w:val="18"/>
              </w:rPr>
              <w:t>北京市科技计划</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课题</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600,000.00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both"/>
              <w:rPr>
                <w:rFonts w:ascii="宋体" w:hAnsi="宋体" w:cs="宋体" w:eastAsia="宋体" w:hint="default"/>
                <w:sz w:val="18"/>
                <w:szCs w:val="18"/>
              </w:rPr>
            </w:pPr>
            <w:r>
              <w:rPr>
                <w:rFonts w:ascii="宋体" w:hAnsi="宋体" w:cs="宋体" w:eastAsia="宋体" w:hint="default"/>
                <w:sz w:val="18"/>
                <w:szCs w:val="18"/>
              </w:rPr>
              <w:t>上海市闵行区财 政局重点技改项 目补贴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9,248,615.32</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1,156,077.0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8,092,538.32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11,363,315.38</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pacing w:val="-1"/>
                <w:sz w:val="18"/>
              </w:rPr>
              <w:t>1,878,037.0</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9,485,278.32</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19"/>
        <w:gridCol w:w="1134"/>
        <w:gridCol w:w="850"/>
        <w:gridCol w:w="1134"/>
        <w:gridCol w:w="994"/>
        <w:gridCol w:w="1134"/>
        <w:gridCol w:w="708"/>
        <w:gridCol w:w="1134"/>
        <w:gridCol w:w="1063"/>
      </w:tblGrid>
      <w:tr>
        <w:trPr>
          <w:trHeight w:val="362"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6</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21"/>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1"/>
        <w:jc w:val="left"/>
        <w:rPr>
          <w:b w:val="0"/>
          <w:bCs w:val="0"/>
        </w:rPr>
      </w:pPr>
      <w:bookmarkStart w:name="23、其他非流动负债" w:id="277"/>
      <w:bookmarkEnd w:id="277"/>
      <w:r>
        <w:rPr>
          <w:b w:val="0"/>
          <w:bCs w:val="0"/>
        </w:rPr>
      </w:r>
      <w:r>
        <w:rPr>
          <w:rFonts w:ascii="Times New Roman" w:hAnsi="Times New Roman" w:cs="Times New Roman" w:eastAsia="Times New Roman" w:hint="default"/>
        </w:rPr>
        <w:t>23</w:t>
      </w:r>
      <w:r>
        <w:rPr/>
        <w:t>、其他非流动负债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一次性收取的应在未来期间确认的租赁 及技术服务收入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30,706,849.34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20,736,220.48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30,706,849.34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20,736,220.48</w:t>
            </w:r>
          </w:p>
        </w:tc>
      </w:tr>
    </w:tbl>
    <w:p>
      <w:pPr>
        <w:spacing w:line="240" w:lineRule="auto" w:before="2"/>
        <w:rPr>
          <w:rFonts w:ascii="宋体" w:hAnsi="宋体" w:cs="宋体" w:eastAsia="宋体" w:hint="default"/>
          <w:sz w:val="19"/>
          <w:szCs w:val="19"/>
        </w:rPr>
      </w:pPr>
    </w:p>
    <w:p>
      <w:pPr>
        <w:pStyle w:val="Heading3"/>
        <w:spacing w:line="240" w:lineRule="auto" w:before="35"/>
        <w:ind w:right="1121"/>
        <w:jc w:val="left"/>
        <w:rPr>
          <w:b w:val="0"/>
          <w:bCs w:val="0"/>
        </w:rPr>
      </w:pPr>
      <w:bookmarkStart w:name="24、股本" w:id="278"/>
      <w:bookmarkEnd w:id="278"/>
      <w:r>
        <w:rPr>
          <w:b w:val="0"/>
          <w:bCs w:val="0"/>
        </w:rPr>
      </w:r>
      <w:r>
        <w:rPr>
          <w:rFonts w:ascii="Times New Roman" w:hAnsi="Times New Roman" w:cs="Times New Roman" w:eastAsia="Times New Roman" w:hint="default"/>
        </w:rPr>
        <w:t>24</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363,777,614.00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363,777,614.00</w:t>
            </w:r>
          </w:p>
        </w:tc>
      </w:tr>
    </w:tbl>
    <w:p>
      <w:pPr>
        <w:pStyle w:val="BodyText"/>
        <w:spacing w:line="240" w:lineRule="auto" w:before="51"/>
        <w:ind w:right="1121"/>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21"/>
        <w:jc w:val="left"/>
        <w:rPr>
          <w:b w:val="0"/>
          <w:bCs w:val="0"/>
        </w:rPr>
      </w:pPr>
      <w:bookmarkStart w:name="25、资本公积" w:id="279"/>
      <w:bookmarkEnd w:id="279"/>
      <w:r>
        <w:rPr>
          <w:b w:val="0"/>
          <w:bCs w:val="0"/>
        </w:rPr>
      </w:r>
      <w:r>
        <w:rPr>
          <w:rFonts w:ascii="Times New Roman" w:hAnsi="Times New Roman" w:cs="Times New Roman" w:eastAsia="Times New Roman" w:hint="default"/>
        </w:rPr>
        <w:t>25</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229,697,882.71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229,697,882.71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20,084,827.50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20,084,827.50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249,782,710.21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249,782,710.21</w:t>
            </w:r>
          </w:p>
        </w:tc>
      </w:tr>
    </w:tbl>
    <w:p>
      <w:pPr>
        <w:pStyle w:val="BodyText"/>
        <w:spacing w:line="240" w:lineRule="auto" w:before="51"/>
        <w:ind w:right="1121"/>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1121"/>
        <w:jc w:val="left"/>
        <w:rPr>
          <w:b w:val="0"/>
          <w:bCs w:val="0"/>
        </w:rPr>
      </w:pPr>
      <w:bookmarkStart w:name="26、盈余公积" w:id="280"/>
      <w:bookmarkEnd w:id="280"/>
      <w:r>
        <w:rPr>
          <w:b w:val="0"/>
          <w:bCs w:val="0"/>
        </w:rPr>
      </w:r>
      <w:r>
        <w:rPr>
          <w:rFonts w:ascii="Times New Roman" w:hAnsi="Times New Roman" w:cs="Times New Roman" w:eastAsia="Times New Roman" w:hint="default"/>
        </w:rPr>
        <w:t>26</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142,661,679.14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24,455,144.42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167,116,823.56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71,330,839.56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12,227,572.21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83,558,411.77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213,992,518.70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36,682,716.63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250,675,235.33</w:t>
            </w:r>
          </w:p>
        </w:tc>
      </w:tr>
    </w:tbl>
    <w:p>
      <w:pPr>
        <w:pStyle w:val="BodyText"/>
        <w:spacing w:line="240" w:lineRule="auto" w:before="51"/>
        <w:ind w:right="1121"/>
        <w:jc w:val="left"/>
      </w:pPr>
      <w:r>
        <w:rPr/>
        <w:t>盈余公积说明，包括本期增减变动情况、变动原因说明：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21"/>
        <w:jc w:val="left"/>
        <w:rPr>
          <w:b w:val="0"/>
          <w:bCs w:val="0"/>
        </w:rPr>
      </w:pPr>
      <w:bookmarkStart w:name="27、未分配利润" w:id="281"/>
      <w:bookmarkEnd w:id="281"/>
      <w:r>
        <w:rPr>
          <w:b w:val="0"/>
          <w:bCs w:val="0"/>
        </w:rPr>
      </w:r>
      <w:r>
        <w:rPr>
          <w:rFonts w:ascii="Times New Roman" w:hAnsi="Times New Roman" w:cs="Times New Roman" w:eastAsia="Times New Roman" w:hint="default"/>
        </w:rPr>
        <w:t>27</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687,822,672.89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594,647,151.10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687,822,672.89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594,647,151.10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256,767,604.63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232,105,571.41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24,455,144.42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19,672,340.49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12,227,572.21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9,836,170.25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145,511,045.60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109,133,284.20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收购少数股东权益</w:t>
            </w:r>
          </w:p>
        </w:tc>
        <w:tc>
          <w:tcPr>
            <w:tcW w:w="2936" w:type="dxa"/>
            <w:tcBorders>
              <w:top w:val="single" w:sz="4" w:space="0" w:color="000000"/>
              <w:left w:val="single" w:sz="9" w:space="0" w:color="D9D9D9"/>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288,254.68</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762,396,515.29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687,822,672.89</w:t>
            </w:r>
          </w:p>
        </w:tc>
      </w:tr>
    </w:tbl>
    <w:p>
      <w:pPr>
        <w:pStyle w:val="BodyText"/>
        <w:spacing w:line="240" w:lineRule="auto" w:before="51"/>
        <w:ind w:right="1121"/>
        <w:jc w:val="left"/>
      </w:pPr>
      <w:r>
        <w:rPr/>
        <w:t>调整期初未分配利润明细：</w:t>
      </w:r>
    </w:p>
    <w:p>
      <w:pPr>
        <w:pStyle w:val="BodyText"/>
        <w:spacing w:line="240" w:lineRule="auto" w:before="116"/>
        <w:ind w:right="1121"/>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pStyle w:val="BodyText"/>
        <w:spacing w:line="240" w:lineRule="auto" w:before="103"/>
        <w:ind w:right="1121"/>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pStyle w:val="BodyText"/>
        <w:spacing w:line="240" w:lineRule="auto" w:before="102"/>
        <w:ind w:right="1121"/>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pStyle w:val="BodyText"/>
        <w:spacing w:line="240" w:lineRule="auto" w:before="102"/>
        <w:ind w:right="1121"/>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w:t>
      </w:r>
    </w:p>
    <w:p>
      <w:pPr>
        <w:pStyle w:val="BodyText"/>
        <w:spacing w:line="240" w:lineRule="auto" w:before="103"/>
        <w:ind w:right="1121"/>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 </w:t>
      </w:r>
      <w:r>
        <w:rPr/>
        <w:t>元。</w:t>
      </w:r>
    </w:p>
    <w:p>
      <w:pPr>
        <w:spacing w:line="240" w:lineRule="auto" w:before="9"/>
        <w:rPr>
          <w:rFonts w:ascii="宋体" w:hAnsi="宋体" w:cs="宋体" w:eastAsia="宋体" w:hint="default"/>
          <w:sz w:val="25"/>
          <w:szCs w:val="25"/>
        </w:rPr>
      </w:pPr>
    </w:p>
    <w:p>
      <w:pPr>
        <w:pStyle w:val="Heading3"/>
        <w:spacing w:line="240" w:lineRule="auto"/>
        <w:ind w:right="1121"/>
        <w:jc w:val="left"/>
        <w:rPr>
          <w:b w:val="0"/>
          <w:bCs w:val="0"/>
        </w:rPr>
      </w:pPr>
      <w:bookmarkStart w:name="28、营业收入和营业成本" w:id="282"/>
      <w:bookmarkEnd w:id="282"/>
      <w:r>
        <w:rPr>
          <w:b w:val="0"/>
          <w:bCs w:val="0"/>
        </w:rPr>
      </w:r>
      <w:r>
        <w:rPr>
          <w:rFonts w:ascii="Times New Roman" w:hAnsi="Times New Roman" w:cs="Times New Roman" w:eastAsia="Times New Roman" w:hint="default"/>
        </w:rPr>
        <w:t>28</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1,527,968,698.82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936,063,676.55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1,407,195,327.50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856,081,088.46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17,681,738.38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7,586,277.29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22,305,784.60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6,391,981.98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1,545,650,437.20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943,649,953.84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1,429,501,112.10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862,473,070.44</w:t>
            </w:r>
          </w:p>
        </w:tc>
      </w:tr>
    </w:tbl>
    <w:p>
      <w:pPr>
        <w:spacing w:line="240" w:lineRule="auto" w:before="2"/>
        <w:rPr>
          <w:rFonts w:ascii="宋体" w:hAnsi="宋体" w:cs="宋体" w:eastAsia="宋体" w:hint="default"/>
          <w:sz w:val="19"/>
          <w:szCs w:val="19"/>
        </w:rPr>
      </w:pPr>
    </w:p>
    <w:p>
      <w:pPr>
        <w:pStyle w:val="Heading3"/>
        <w:spacing w:line="240" w:lineRule="auto" w:before="35"/>
        <w:ind w:right="1121"/>
        <w:jc w:val="left"/>
        <w:rPr>
          <w:b w:val="0"/>
          <w:bCs w:val="0"/>
        </w:rPr>
      </w:pPr>
      <w:bookmarkStart w:name="29、税金及附加" w:id="283"/>
      <w:bookmarkEnd w:id="283"/>
      <w:r>
        <w:rPr>
          <w:b w:val="0"/>
          <w:bCs w:val="0"/>
        </w:rPr>
      </w:r>
      <w:r>
        <w:rPr>
          <w:rFonts w:ascii="Times New Roman" w:hAnsi="Times New Roman" w:cs="Times New Roman" w:eastAsia="Times New Roman" w:hint="default"/>
        </w:rPr>
        <w:t>29</w:t>
      </w:r>
      <w:r>
        <w:rPr/>
        <w:t>、税金及附加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5,864,171.27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6,242,970.66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2,649,778.37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2,912,565.63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8,287,968.10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6,318,396.63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2,549,569.50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2,531,508.83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89,340.34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72,704.78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1,974,204.49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1,623,947.29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1,678,327.54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1,941,405.64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275,195.22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273,281.28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23,368,554.83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21,916,780.74</w:t>
            </w:r>
          </w:p>
        </w:tc>
      </w:tr>
    </w:tbl>
    <w:p>
      <w:pPr>
        <w:pStyle w:val="BodyText"/>
        <w:spacing w:line="240" w:lineRule="auto" w:before="51"/>
        <w:ind w:right="1121"/>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1"/>
        <w:jc w:val="left"/>
        <w:rPr>
          <w:b w:val="0"/>
          <w:bCs w:val="0"/>
        </w:rPr>
      </w:pPr>
      <w:bookmarkStart w:name="30、销售费用" w:id="284"/>
      <w:bookmarkEnd w:id="284"/>
      <w:r>
        <w:rPr>
          <w:b w:val="0"/>
          <w:bCs w:val="0"/>
        </w:rPr>
      </w:r>
      <w:r>
        <w:rPr>
          <w:rFonts w:ascii="Times New Roman" w:hAnsi="Times New Roman" w:cs="Times New Roman" w:eastAsia="Times New Roman" w:hint="default"/>
        </w:rPr>
        <w:t>30</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38,155,894.19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37,404,206.99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20,729,890.69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21,679,685.68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工资及福利费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19,391,111.28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21,224,969.13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14,446,301.43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15,571,165.17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10,053,530.48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10,620,442.07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住宿费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3,668,380.72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4,383,716.75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1,621,022.58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1,241,458.57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电话邮政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519,865.93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737,190.93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336,685.61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429,977.44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8,343,869.59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8,113,579.18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117,266,552.50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121,406,391.91</w:t>
            </w:r>
          </w:p>
        </w:tc>
      </w:tr>
    </w:tbl>
    <w:p>
      <w:pPr>
        <w:pStyle w:val="BodyText"/>
        <w:spacing w:line="240" w:lineRule="auto" w:before="51"/>
        <w:ind w:right="1121"/>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1"/>
        <w:jc w:val="left"/>
        <w:rPr>
          <w:b w:val="0"/>
          <w:bCs w:val="0"/>
        </w:rPr>
      </w:pPr>
      <w:bookmarkStart w:name="31、管理费用" w:id="285"/>
      <w:bookmarkEnd w:id="285"/>
      <w:r>
        <w:rPr>
          <w:b w:val="0"/>
          <w:bCs w:val="0"/>
        </w:rPr>
      </w:r>
      <w:r>
        <w:rPr>
          <w:rFonts w:ascii="Times New Roman" w:hAnsi="Times New Roman" w:cs="Times New Roman" w:eastAsia="Times New Roman" w:hint="default"/>
        </w:rPr>
        <w:t>31</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34,004,218.82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33,025,272.11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13,838,733.99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14,955,833.54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10,022,124.36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8,783,299.42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8,966,383.16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11,891,926.42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5,780,080.45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8,020,247.08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4,822,080.93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4,233,066.66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5,396,354.59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6,262,033.20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2,889,197.92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2,910,253.47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2,811,750.25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2,191,932.51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流动资产处置损失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1,739,493.42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704,070.44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563,783.62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607,739.48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458,321.43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10,494,992.20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13,192,260.12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102,077,220.01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106,488,229.58</w:t>
            </w:r>
          </w:p>
        </w:tc>
      </w:tr>
    </w:tbl>
    <w:p>
      <w:pPr>
        <w:pStyle w:val="BodyText"/>
        <w:spacing w:line="240" w:lineRule="auto" w:before="51"/>
        <w:ind w:right="1121"/>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1"/>
        <w:jc w:val="left"/>
        <w:rPr>
          <w:b w:val="0"/>
          <w:bCs w:val="0"/>
        </w:rPr>
      </w:pPr>
      <w:bookmarkStart w:name="32、研发费用" w:id="286"/>
      <w:bookmarkEnd w:id="286"/>
      <w:r>
        <w:rPr>
          <w:b w:val="0"/>
          <w:bCs w:val="0"/>
        </w:rPr>
      </w:r>
      <w:r>
        <w:rPr>
          <w:rFonts w:ascii="Times New Roman" w:hAnsi="Times New Roman" w:cs="Times New Roman" w:eastAsia="Times New Roman" w:hint="default"/>
        </w:rPr>
        <w:t>32</w:t>
      </w:r>
      <w:r>
        <w:rPr/>
        <w:t>、研发费用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直接投入费用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36,882,850.80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35,784,342.91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31,474,689.76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30,987,295.25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折旧和摊销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21,494,411.14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17,985,509.49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其他相关费用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1,519,334.38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1,230,751.35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91,371,286.08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85,987,899.00</w:t>
            </w:r>
          </w:p>
        </w:tc>
      </w:tr>
    </w:tbl>
    <w:p>
      <w:pPr>
        <w:spacing w:line="240" w:lineRule="auto" w:before="2"/>
        <w:rPr>
          <w:rFonts w:ascii="宋体" w:hAnsi="宋体" w:cs="宋体" w:eastAsia="宋体" w:hint="default"/>
          <w:sz w:val="19"/>
          <w:szCs w:val="19"/>
        </w:rPr>
      </w:pPr>
    </w:p>
    <w:p>
      <w:pPr>
        <w:pStyle w:val="Heading3"/>
        <w:spacing w:line="240" w:lineRule="auto" w:before="35"/>
        <w:ind w:right="1121"/>
        <w:jc w:val="left"/>
        <w:rPr>
          <w:b w:val="0"/>
          <w:bCs w:val="0"/>
        </w:rPr>
      </w:pPr>
      <w:bookmarkStart w:name="33、财务费用" w:id="287"/>
      <w:bookmarkEnd w:id="287"/>
      <w:r>
        <w:rPr>
          <w:b w:val="0"/>
          <w:bCs w:val="0"/>
        </w:rPr>
      </w:r>
      <w:r>
        <w:rPr>
          <w:rFonts w:ascii="Times New Roman" w:hAnsi="Times New Roman" w:cs="Times New Roman" w:eastAsia="Times New Roman" w:hint="default"/>
        </w:rPr>
        <w:t>33</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119,241.74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262,258.98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7,572,699.07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1,836,209.17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7,608.03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-6,041.71</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485,467.64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663,396.67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-6,960,381.66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-916,595.23</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1121"/>
        <w:jc w:val="left"/>
        <w:rPr>
          <w:b w:val="0"/>
          <w:bCs w:val="0"/>
        </w:rPr>
      </w:pPr>
      <w:bookmarkStart w:name="34、资产减值损失" w:id="288"/>
      <w:bookmarkEnd w:id="288"/>
      <w:r>
        <w:rPr>
          <w:b w:val="0"/>
          <w:bCs w:val="0"/>
        </w:rPr>
      </w:r>
      <w:r>
        <w:rPr>
          <w:rFonts w:ascii="Times New Roman" w:hAnsi="Times New Roman" w:cs="Times New Roman" w:eastAsia="Times New Roman" w:hint="default"/>
        </w:rPr>
        <w:t>34</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2,414,095.65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1,549,188.24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2,414,095.65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1,549,188.24</w:t>
            </w:r>
          </w:p>
        </w:tc>
      </w:tr>
    </w:tbl>
    <w:p>
      <w:pPr>
        <w:spacing w:line="240" w:lineRule="auto" w:before="3"/>
        <w:rPr>
          <w:rFonts w:ascii="宋体" w:hAnsi="宋体" w:cs="宋体" w:eastAsia="宋体" w:hint="default"/>
          <w:sz w:val="19"/>
          <w:szCs w:val="19"/>
        </w:rPr>
      </w:pPr>
    </w:p>
    <w:p>
      <w:pPr>
        <w:pStyle w:val="Heading3"/>
        <w:spacing w:line="240" w:lineRule="auto" w:before="35"/>
        <w:ind w:right="1121"/>
        <w:jc w:val="left"/>
        <w:rPr>
          <w:b w:val="0"/>
          <w:bCs w:val="0"/>
        </w:rPr>
      </w:pPr>
      <w:bookmarkStart w:name="35、其他收益" w:id="289"/>
      <w:bookmarkEnd w:id="289"/>
      <w:r>
        <w:rPr>
          <w:b w:val="0"/>
          <w:bCs w:val="0"/>
        </w:rPr>
      </w:r>
      <w:r>
        <w:rPr>
          <w:rFonts w:ascii="Times New Roman" w:hAnsi="Times New Roman" w:cs="Times New Roman" w:eastAsia="Times New Roman" w:hint="default"/>
        </w:rPr>
        <w:t>35</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费用补贴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4,358,796.97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277,599.50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2,920,862.06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9,145,244.64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2,525,600.00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146,115.01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389,725.71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18,474.00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84,301.24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10,691,948.04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12,424,611.09</w:t>
            </w:r>
          </w:p>
        </w:tc>
      </w:tr>
    </w:tbl>
    <w:p>
      <w:pPr>
        <w:spacing w:line="240" w:lineRule="auto" w:before="2"/>
        <w:rPr>
          <w:rFonts w:ascii="宋体" w:hAnsi="宋体" w:cs="宋体" w:eastAsia="宋体" w:hint="default"/>
          <w:sz w:val="19"/>
          <w:szCs w:val="19"/>
        </w:rPr>
      </w:pPr>
    </w:p>
    <w:p>
      <w:pPr>
        <w:pStyle w:val="Heading3"/>
        <w:spacing w:line="240" w:lineRule="auto" w:before="35"/>
        <w:ind w:right="1121"/>
        <w:jc w:val="left"/>
        <w:rPr>
          <w:b w:val="0"/>
          <w:bCs w:val="0"/>
        </w:rPr>
      </w:pPr>
      <w:bookmarkStart w:name="36、投资收益" w:id="290"/>
      <w:bookmarkEnd w:id="290"/>
      <w:r>
        <w:rPr>
          <w:b w:val="0"/>
          <w:bCs w:val="0"/>
        </w:rPr>
      </w:r>
      <w:r>
        <w:rPr>
          <w:rFonts w:ascii="Times New Roman" w:hAnsi="Times New Roman" w:cs="Times New Roman" w:eastAsia="Times New Roman" w:hint="default"/>
        </w:rPr>
        <w:t>36</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-70,156.12</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13,313,794.68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19,917,291.14</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处置持有至到期投资取得的投资收益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13,243,641.17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19,917,291.14</w:t>
            </w:r>
          </w:p>
        </w:tc>
      </w:tr>
    </w:tbl>
    <w:p>
      <w:pPr>
        <w:spacing w:line="240" w:lineRule="auto" w:before="3"/>
        <w:rPr>
          <w:rFonts w:ascii="宋体" w:hAnsi="宋体" w:cs="宋体" w:eastAsia="宋体" w:hint="default"/>
          <w:sz w:val="19"/>
          <w:szCs w:val="19"/>
        </w:rPr>
      </w:pPr>
    </w:p>
    <w:p>
      <w:pPr>
        <w:pStyle w:val="Heading3"/>
        <w:spacing w:line="240" w:lineRule="auto" w:before="35"/>
        <w:ind w:right="1121"/>
        <w:jc w:val="left"/>
        <w:rPr>
          <w:b w:val="0"/>
          <w:bCs w:val="0"/>
        </w:rPr>
      </w:pPr>
      <w:bookmarkStart w:name="37、资产处置收益" w:id="291"/>
      <w:bookmarkEnd w:id="291"/>
      <w:r>
        <w:rPr>
          <w:b w:val="0"/>
          <w:bCs w:val="0"/>
        </w:rPr>
      </w:r>
      <w:r>
        <w:rPr>
          <w:rFonts w:ascii="Times New Roman" w:hAnsi="Times New Roman" w:cs="Times New Roman" w:eastAsia="Times New Roman" w:hint="default"/>
        </w:rPr>
        <w:t>37</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-65,610.75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36,995.80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tabs>
                <w:tab w:pos="563" w:val="left" w:leader="none"/>
              </w:tabs>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-65,610.75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36,995.80</w:t>
            </w:r>
          </w:p>
        </w:tc>
      </w:tr>
    </w:tbl>
    <w:p>
      <w:pPr>
        <w:spacing w:line="240" w:lineRule="auto" w:before="2"/>
        <w:rPr>
          <w:rFonts w:ascii="宋体" w:hAnsi="宋体" w:cs="宋体" w:eastAsia="宋体" w:hint="default"/>
          <w:sz w:val="19"/>
          <w:szCs w:val="19"/>
        </w:rPr>
      </w:pPr>
    </w:p>
    <w:p>
      <w:pPr>
        <w:pStyle w:val="Heading3"/>
        <w:spacing w:line="240" w:lineRule="auto" w:before="35"/>
        <w:ind w:right="1121"/>
        <w:jc w:val="left"/>
        <w:rPr>
          <w:b w:val="0"/>
          <w:bCs w:val="0"/>
        </w:rPr>
      </w:pPr>
      <w:bookmarkStart w:name="38、营业外收入" w:id="292"/>
      <w:bookmarkEnd w:id="292"/>
      <w:r>
        <w:rPr>
          <w:b w:val="0"/>
          <w:bCs w:val="0"/>
        </w:rPr>
      </w:r>
      <w:r>
        <w:rPr>
          <w:rFonts w:ascii="Times New Roman" w:hAnsi="Times New Roman" w:cs="Times New Roman" w:eastAsia="Times New Roman" w:hint="default"/>
        </w:rPr>
        <w:t>38</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161"/>
        <w:gridCol w:w="262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271,144.79</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7,003,160.00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271,144.79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罚款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227,592.00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136,760.59</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227,592.00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2,296,709.60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1,821,197.88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2,296,709.60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2,795,446.39</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8,961,118.47</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2,795,446.39</w:t>
            </w:r>
          </w:p>
        </w:tc>
      </w:tr>
    </w:tbl>
    <w:p>
      <w:pPr>
        <w:pStyle w:val="BodyText"/>
        <w:spacing w:line="240" w:lineRule="auto" w:before="51"/>
        <w:ind w:right="1121"/>
        <w:jc w:val="left"/>
      </w:pPr>
      <w:r>
        <w:rPr/>
        <w:t>计入当期损益的政府补助：</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3"/>
        <w:gridCol w:w="1051"/>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38"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政府奖励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271,144.79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7,003,160.00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pStyle w:val="BodyText"/>
        <w:spacing w:line="240" w:lineRule="auto" w:before="51"/>
        <w:ind w:right="1121"/>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1"/>
        <w:jc w:val="left"/>
        <w:rPr>
          <w:b w:val="0"/>
          <w:bCs w:val="0"/>
        </w:rPr>
      </w:pPr>
      <w:bookmarkStart w:name="39、营业外支出" w:id="293"/>
      <w:bookmarkEnd w:id="293"/>
      <w:r>
        <w:rPr>
          <w:b w:val="0"/>
          <w:bCs w:val="0"/>
        </w:rPr>
      </w:r>
      <w:r>
        <w:rPr>
          <w:rFonts w:ascii="Times New Roman" w:hAnsi="Times New Roman" w:cs="Times New Roman" w:eastAsia="Times New Roman" w:hint="default"/>
        </w:rPr>
        <w:t>39</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161"/>
        <w:gridCol w:w="262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203,000.00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126,895.55</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67,435.10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126,895.55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55,455.68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308,238.51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55,455.68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212,351.23</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578,673.61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212,351.23</w:t>
            </w:r>
          </w:p>
        </w:tc>
      </w:tr>
    </w:tbl>
    <w:p>
      <w:pPr>
        <w:pStyle w:val="BodyText"/>
        <w:spacing w:line="240" w:lineRule="auto" w:before="51"/>
        <w:ind w:right="1121"/>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1"/>
        <w:jc w:val="left"/>
        <w:rPr>
          <w:b w:val="0"/>
          <w:bCs w:val="0"/>
        </w:rPr>
      </w:pPr>
      <w:bookmarkStart w:name="40、所得税费用" w:id="294"/>
      <w:bookmarkEnd w:id="294"/>
      <w:r>
        <w:rPr>
          <w:b w:val="0"/>
          <w:bCs w:val="0"/>
        </w:rPr>
      </w:r>
      <w:r>
        <w:rPr>
          <w:rFonts w:ascii="Times New Roman" w:hAnsi="Times New Roman" w:cs="Times New Roman" w:eastAsia="Times New Roman" w:hint="default"/>
        </w:rPr>
        <w:t>40</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1"/>
        <w:jc w:val="left"/>
        <w:rPr>
          <w:b w:val="0"/>
          <w:bCs w:val="0"/>
        </w:rPr>
      </w:pPr>
      <w:bookmarkStart w:name="（1）所得税费用表" w:id="295"/>
      <w:bookmarkEnd w:id="29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41,206,792.79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38,767,639.95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56,937.06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1,767,122.03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41,263,729.85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40,534,761.98</w:t>
            </w:r>
          </w:p>
        </w:tc>
      </w:tr>
    </w:tbl>
    <w:p>
      <w:pPr>
        <w:spacing w:line="240" w:lineRule="auto" w:before="2"/>
        <w:rPr>
          <w:rFonts w:ascii="宋体" w:hAnsi="宋体" w:cs="宋体" w:eastAsia="宋体" w:hint="default"/>
          <w:sz w:val="19"/>
          <w:szCs w:val="19"/>
        </w:rPr>
      </w:pPr>
    </w:p>
    <w:p>
      <w:pPr>
        <w:pStyle w:val="Heading3"/>
        <w:spacing w:line="240" w:lineRule="auto" w:before="35"/>
        <w:ind w:right="1121"/>
        <w:jc w:val="left"/>
        <w:rPr>
          <w:b w:val="0"/>
          <w:bCs w:val="0"/>
        </w:rPr>
      </w:pPr>
      <w:bookmarkStart w:name="（2）会计利润与所得税费用调整过程" w:id="296"/>
      <w:bookmarkEnd w:id="29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298,916,229.57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44,837,434.44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-611,484.20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3,755,648.33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4,132,164.99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-1,628,222.30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1,041,521.78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9"/>
      </w:tblGrid>
      <w:tr>
        <w:trPr>
          <w:trHeight w:val="362" w:hRule="exact"/>
        </w:trPr>
        <w:tc>
          <w:tcPr>
            <w:tcW w:w="4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损的影响</w:t>
            </w:r>
          </w:p>
        </w:tc>
        <w:tc>
          <w:tcPr>
            <w:tcW w:w="4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税率调整导致年初递延所得税资产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13,570.14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研发支出加计扣除</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-9,934,026.54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其他纳税调减项</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-342,876.79</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41,263,729.85</w:t>
            </w:r>
          </w:p>
        </w:tc>
      </w:tr>
    </w:tbl>
    <w:p>
      <w:pPr>
        <w:pStyle w:val="BodyText"/>
        <w:spacing w:line="240" w:lineRule="auto" w:before="51"/>
        <w:ind w:right="1121"/>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1"/>
        <w:jc w:val="left"/>
        <w:rPr>
          <w:b w:val="0"/>
          <w:bCs w:val="0"/>
        </w:rPr>
      </w:pPr>
      <w:bookmarkStart w:name="41、现金流量表项目" w:id="297"/>
      <w:bookmarkEnd w:id="297"/>
      <w:r>
        <w:rPr>
          <w:b w:val="0"/>
          <w:bCs w:val="0"/>
        </w:rPr>
      </w:r>
      <w:r>
        <w:rPr>
          <w:rFonts w:ascii="Times New Roman" w:hAnsi="Times New Roman" w:cs="Times New Roman" w:eastAsia="Times New Roman" w:hint="default"/>
        </w:rPr>
        <w:t>41</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1"/>
        <w:jc w:val="left"/>
        <w:rPr>
          <w:b w:val="0"/>
          <w:bCs w:val="0"/>
        </w:rPr>
      </w:pPr>
      <w:bookmarkStart w:name="（1）收到的其他与经营活动有关的现金" w:id="298"/>
      <w:bookmarkEnd w:id="298"/>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收代理商充值款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70,212,188.72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39,894,292.01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66,714,471.07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126,854,736.71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29,199,005.91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34,125,403.27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18,719,813.72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10,381,109.01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8,597,975.38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20,195,603.53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7,572,699.07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1,819,988.56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3,317,562.53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5,543,245.25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204,333,716.40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238,814,378.34</w:t>
            </w:r>
          </w:p>
        </w:tc>
      </w:tr>
    </w:tbl>
    <w:p>
      <w:pPr>
        <w:pStyle w:val="BodyText"/>
        <w:spacing w:line="240" w:lineRule="auto" w:before="51"/>
        <w:ind w:right="1121"/>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1121"/>
        <w:jc w:val="left"/>
        <w:rPr>
          <w:b w:val="0"/>
          <w:bCs w:val="0"/>
        </w:rPr>
      </w:pPr>
      <w:bookmarkStart w:name="（2）支付的其他与经营活动有关的现金" w:id="299"/>
      <w:bookmarkEnd w:id="299"/>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预付充值款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68,054,051.43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36,177,285.95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60,993,391.74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46,919,451.82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50,897,477.10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133,048,512.56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差旅费及交通费等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50,689,807.16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52,304,872.10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29,493,897.91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21,080,742.64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28,557,347.27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23,979,464.29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26,174,600.79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24,385,217.67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3,908,054.49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3,022,381.80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3,545,697.79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11,660,403.16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2,836,358.42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3,412,325.34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1,009,326.65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956,053.82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582,716.23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474,768.10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397,113.01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532,778.76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9,638,999.99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19,582,699.97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336,778,839.98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377,536,957.98</w:t>
            </w:r>
          </w:p>
        </w:tc>
      </w:tr>
    </w:tbl>
    <w:p>
      <w:pPr>
        <w:pStyle w:val="BodyText"/>
        <w:spacing w:line="240" w:lineRule="auto" w:before="51"/>
        <w:ind w:right="1121"/>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1121"/>
        <w:jc w:val="left"/>
        <w:rPr>
          <w:b w:val="0"/>
          <w:bCs w:val="0"/>
        </w:rPr>
      </w:pPr>
      <w:bookmarkStart w:name="（3）收到的其他与投资活动有关的现金" w:id="300"/>
      <w:bookmarkEnd w:id="300"/>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国债逆回购收益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101,073.20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101,073.20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21"/>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right="1121"/>
        <w:jc w:val="left"/>
        <w:rPr>
          <w:b w:val="0"/>
          <w:bCs w:val="0"/>
        </w:rPr>
      </w:pPr>
      <w:bookmarkStart w:name="（4）支付的其他与投资活动有关的现金" w:id="301"/>
      <w:bookmarkEnd w:id="301"/>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处置子公司收到的现金与子公司期末货 币资金之间的差额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2,620,922.74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2,620,922.74</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21"/>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right="1121"/>
        <w:jc w:val="left"/>
        <w:rPr>
          <w:b w:val="0"/>
          <w:bCs w:val="0"/>
        </w:rPr>
      </w:pPr>
      <w:bookmarkStart w:name="（5）收到的其他与筹资活动有关的现金" w:id="302"/>
      <w:bookmarkEnd w:id="302"/>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票据保证金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65,679,010.45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65,679,010.45</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21"/>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right="1121"/>
        <w:jc w:val="left"/>
        <w:rPr>
          <w:b w:val="0"/>
          <w:bCs w:val="0"/>
        </w:rPr>
      </w:pPr>
      <w:bookmarkStart w:name="（6）支付的其他与筹资活动有关的现金" w:id="303"/>
      <w:bookmarkEnd w:id="303"/>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票据保证金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62,638,599.01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支付股利分配手续费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93,716.94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210,407.18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492.069977pt;width:151.25pt;height:20.8pt;mso-position-horizontal-relative:page;mso-position-vertical-relative:page;z-index:-705904" coordorigin="4467,9841" coordsize="3025,416">
            <v:group style="position:absolute;left:4478;top:9853;width:2;height:393" coordorigin="4478,9853" coordsize="2,393">
              <v:shape style="position:absolute;left:4478;top:9853;width:2;height:393" coordorigin="4478,9853" coordsize="0,393" path="m4478,9853l4478,10245e" filled="false" stroked="true" strokeweight="1.140pt" strokecolor="#ffffff">
                <v:path arrowok="t"/>
              </v:shape>
            </v:group>
            <v:group style="position:absolute;left:4490;top:9853;width:3002;height:393" coordorigin="4490,9853" coordsize="3002,393">
              <v:shape style="position:absolute;left:4490;top:9853;width:3002;height:393" coordorigin="4490,9853" coordsize="3002,393" path="m4490,10245l7491,10245,7491,9853,4490,9853,4490,10245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购买少数股权支付给少数股东的现金对 价</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14,564,994.54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138,204,977.72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77,297,310.49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138,415,384.90</w:t>
            </w:r>
          </w:p>
        </w:tc>
      </w:tr>
    </w:tbl>
    <w:p>
      <w:pPr>
        <w:pStyle w:val="BodyText"/>
        <w:spacing w:line="240" w:lineRule="auto" w:before="51"/>
        <w:ind w:right="1121"/>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1121"/>
        <w:jc w:val="left"/>
        <w:rPr>
          <w:b w:val="0"/>
          <w:bCs w:val="0"/>
        </w:rPr>
      </w:pPr>
      <w:bookmarkStart w:name="42、现金流量表补充资料" w:id="304"/>
      <w:bookmarkEnd w:id="304"/>
      <w:r>
        <w:rPr>
          <w:b w:val="0"/>
          <w:bCs w:val="0"/>
        </w:rPr>
      </w:r>
      <w:r>
        <w:rPr>
          <w:rFonts w:ascii="Times New Roman" w:hAnsi="Times New Roman" w:cs="Times New Roman" w:eastAsia="Times New Roman" w:hint="default"/>
        </w:rPr>
        <w:t>42</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1"/>
        <w:jc w:val="left"/>
        <w:rPr>
          <w:b w:val="0"/>
          <w:bCs w:val="0"/>
        </w:rPr>
      </w:pPr>
      <w:bookmarkStart w:name="（1）现金流量表补充资料" w:id="305"/>
      <w:bookmarkEnd w:id="305"/>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197"/>
        <w:gridCol w:w="1872"/>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257,652,499.72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230,822,728.33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2,414,095.65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1,549,188.24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65,833,071.84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65,883,449.64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5,233,799.18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4,549,962.94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6,986,451.31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3,101,790.21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65,610.75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-36,995.80</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126,895.55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67,435.10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206,623.78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470,451.68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-13,243,641.17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-19,917,291.14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9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123" w:right="0"/>
              <w:jc w:val="left"/>
              <w:rPr>
                <w:rFonts w:ascii="Times New Roman" w:hAnsi="Times New Roman" w:cs="Times New Roman" w:eastAsia="Times New Roman" w:hint="default"/>
                <w:sz w:val="18"/>
                <w:szCs w:val="18"/>
              </w:rPr>
            </w:pPr>
            <w:r>
              <w:rPr>
                <w:rFonts w:ascii="Times New Roman"/>
                <w:sz w:val="18"/>
              </w:rPr>
              <w:t>56,937.06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1,767,122.03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38,171,839.99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-28,389,405.27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6,144,433.23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-152,915,199.13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-53,959,460.56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218,918,182.46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-296,893.60</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315,689,156.33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325,574,525.69</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756,364,534.21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697,294,526.92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697,294,526.92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229,257,761.37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加：现金等价物期末余额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20,000,000.00</w:t>
            </w:r>
          </w:p>
        </w:tc>
        <w:tc>
          <w:tcPr>
            <w:tcW w:w="31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0" w:right="0"/>
              <w:jc w:val="left"/>
              <w:rPr>
                <w:rFonts w:ascii="Times New Roman" w:hAnsi="Times New Roman" w:cs="Times New Roman" w:eastAsia="Times New Roman" w:hint="default"/>
                <w:sz w:val="18"/>
                <w:szCs w:val="18"/>
              </w:rPr>
            </w:pPr>
            <w:r>
              <w:rPr>
                <w:rFonts w:ascii="Times New Roman"/>
                <w:sz w:val="18"/>
              </w:rPr>
              <w:t>79,070,007.29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7" w:right="0"/>
              <w:jc w:val="left"/>
              <w:rPr>
                <w:rFonts w:ascii="Times New Roman" w:hAnsi="Times New Roman" w:cs="Times New Roman" w:eastAsia="Times New Roman" w:hint="default"/>
                <w:sz w:val="18"/>
                <w:szCs w:val="18"/>
              </w:rPr>
            </w:pPr>
            <w:r>
              <w:rPr>
                <w:rFonts w:ascii="Times New Roman"/>
                <w:sz w:val="18"/>
              </w:rPr>
              <w:t>468,036,765.55</w:t>
            </w:r>
          </w:p>
        </w:tc>
      </w:tr>
    </w:tbl>
    <w:p>
      <w:pPr>
        <w:spacing w:line="240" w:lineRule="auto" w:before="2"/>
        <w:rPr>
          <w:rFonts w:ascii="宋体" w:hAnsi="宋体" w:cs="宋体" w:eastAsia="宋体" w:hint="default"/>
          <w:sz w:val="19"/>
          <w:szCs w:val="19"/>
        </w:rPr>
      </w:pPr>
    </w:p>
    <w:p>
      <w:pPr>
        <w:pStyle w:val="Heading3"/>
        <w:spacing w:line="240" w:lineRule="auto" w:before="35"/>
        <w:ind w:right="1121"/>
        <w:jc w:val="left"/>
        <w:rPr>
          <w:b w:val="0"/>
          <w:bCs w:val="0"/>
        </w:rPr>
      </w:pPr>
      <w:bookmarkStart w:name="（2）本期收到的处置子公司的现金净额" w:id="306"/>
      <w:bookmarkEnd w:id="306"/>
      <w:r>
        <w:rPr>
          <w:b w:val="0"/>
          <w:bCs w:val="0"/>
        </w:rPr>
      </w:r>
      <w:r>
        <w:rPr/>
        <w:t>（</w:t>
      </w:r>
      <w:r>
        <w:rPr>
          <w:rFonts w:ascii="Times New Roman" w:hAnsi="Times New Roman" w:cs="Times New Roman" w:eastAsia="Times New Roman" w:hint="default"/>
        </w:rPr>
        <w:t>2</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-2,620,922.74</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天津征瑞科技有限公司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2,515,000.00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青岛瑞宏科技有限公司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32,659.71</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广西瑞宏信息技术有限公司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天津征瑞科技有限公司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4,931,443.91</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青岛瑞宏科技有限公司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140,330.15</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广西瑞宏信息技术有限公司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356,808.39</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-2,620,922.74</w:t>
            </w:r>
          </w:p>
        </w:tc>
      </w:tr>
    </w:tbl>
    <w:p>
      <w:pPr>
        <w:pStyle w:val="BodyText"/>
        <w:spacing w:line="240" w:lineRule="auto" w:before="51"/>
        <w:ind w:right="1121"/>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1"/>
        <w:jc w:val="left"/>
        <w:rPr>
          <w:b w:val="0"/>
          <w:bCs w:val="0"/>
        </w:rPr>
      </w:pPr>
      <w:bookmarkStart w:name="（4）现金和现金等价物的构成" w:id="307"/>
      <w:bookmarkEnd w:id="307"/>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756,364,534.21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697,294,526.92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817,149.06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597,687.15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754,497,272.71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695,983,718.24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1,050,112.44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713,121.53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1" w:right="0"/>
              <w:jc w:val="left"/>
              <w:rPr>
                <w:rFonts w:ascii="宋体" w:hAnsi="宋体" w:cs="宋体" w:eastAsia="宋体" w:hint="default"/>
                <w:sz w:val="18"/>
                <w:szCs w:val="18"/>
              </w:rPr>
            </w:pPr>
            <w:r>
              <w:rPr>
                <w:rFonts w:ascii="宋体" w:hAnsi="宋体" w:cs="宋体" w:eastAsia="宋体" w:hint="default"/>
                <w:sz w:val="18"/>
                <w:szCs w:val="18"/>
              </w:rPr>
              <w:t>其中：国债逆回购本金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776,364,534.21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697,294,526.92</w:t>
            </w:r>
          </w:p>
        </w:tc>
      </w:tr>
    </w:tbl>
    <w:p>
      <w:pPr>
        <w:pStyle w:val="BodyText"/>
        <w:spacing w:line="240" w:lineRule="auto" w:before="51"/>
        <w:ind w:right="1121"/>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1"/>
        <w:jc w:val="left"/>
        <w:rPr>
          <w:b w:val="0"/>
          <w:bCs w:val="0"/>
        </w:rPr>
      </w:pPr>
      <w:bookmarkStart w:name="43、所有者权益变动表项目注释" w:id="308"/>
      <w:bookmarkEnd w:id="308"/>
      <w:r>
        <w:rPr>
          <w:b w:val="0"/>
          <w:bCs w:val="0"/>
        </w:rPr>
      </w:r>
      <w:r>
        <w:rPr>
          <w:rFonts w:ascii="Times New Roman" w:hAnsi="Times New Roman" w:cs="Times New Roman" w:eastAsia="Times New Roman" w:hint="default"/>
        </w:rPr>
        <w:t>43</w:t>
      </w:r>
      <w:r>
        <w:rPr/>
        <w:t>、所有者权益变动表项目注释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1"/>
        <w:jc w:val="left"/>
      </w:pPr>
      <w:r>
        <w:rPr/>
        <w:t>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21"/>
        <w:jc w:val="left"/>
        <w:rPr>
          <w:b w:val="0"/>
          <w:bCs w:val="0"/>
        </w:rPr>
      </w:pPr>
      <w:bookmarkStart w:name="44、所有权或使用权受到限制的资产" w:id="309"/>
      <w:bookmarkEnd w:id="309"/>
      <w:r>
        <w:rPr>
          <w:b w:val="0"/>
          <w:bCs w:val="0"/>
        </w:rPr>
      </w:r>
      <w:r>
        <w:rPr>
          <w:rFonts w:ascii="Times New Roman" w:hAnsi="Times New Roman" w:cs="Times New Roman" w:eastAsia="Times New Roman" w:hint="default"/>
        </w:rPr>
        <w:t>44</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37,446,925.10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银行承兑汇票保证金、保函保证金</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37,446,925.10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21"/>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21"/>
        <w:jc w:val="left"/>
        <w:rPr>
          <w:b w:val="0"/>
          <w:bCs w:val="0"/>
        </w:rPr>
      </w:pPr>
      <w:bookmarkStart w:name="45、外币货币性项目" w:id="310"/>
      <w:bookmarkEnd w:id="310"/>
      <w:r>
        <w:rPr>
          <w:b w:val="0"/>
          <w:bCs w:val="0"/>
        </w:rPr>
      </w:r>
      <w:r>
        <w:rPr>
          <w:rFonts w:ascii="Times New Roman" w:hAnsi="Times New Roman" w:cs="Times New Roman" w:eastAsia="Times New Roman" w:hint="default"/>
        </w:rPr>
        <w:t>45</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1"/>
        <w:jc w:val="left"/>
        <w:rPr>
          <w:b w:val="0"/>
          <w:bCs w:val="0"/>
        </w:rPr>
      </w:pPr>
      <w:bookmarkStart w:name="（1）外币货币性项目" w:id="311"/>
      <w:bookmarkEnd w:id="311"/>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79"/>
        <w:gridCol w:w="2310"/>
        <w:gridCol w:w="2391"/>
        <w:gridCol w:w="2389"/>
      </w:tblGrid>
      <w:tr>
        <w:trPr>
          <w:trHeight w:val="402" w:hRule="exact"/>
        </w:trPr>
        <w:tc>
          <w:tcPr>
            <w:tcW w:w="2479"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1"/>
              <w:ind w:left="2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10" w:type="dxa"/>
            <w:tcBorders>
              <w:top w:val="single" w:sz="4" w:space="0" w:color="000000"/>
              <w:left w:val="single" w:sz="9" w:space="0" w:color="D9D9D9"/>
              <w:bottom w:val="single" w:sz="4" w:space="0" w:color="000000"/>
              <w:right w:val="single" w:sz="4" w:space="0" w:color="000000"/>
            </w:tcBorders>
            <w:shd w:val="clear" w:color="auto" w:fill="D2D2D2"/>
          </w:tcPr>
          <w:p>
            <w:pPr>
              <w:pStyle w:val="TableParagraph"/>
              <w:spacing w:line="240" w:lineRule="auto" w:before="51"/>
              <w:ind w:left="610"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79"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10" w:type="dxa"/>
            <w:tcBorders>
              <w:top w:val="single" w:sz="4" w:space="0" w:color="000000"/>
              <w:left w:val="single" w:sz="9" w:space="0" w:color="D9D9D9"/>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10"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6,152.00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42,222.41</w:t>
            </w: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10"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10"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2,310.00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2,024.02</w:t>
            </w: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310"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7,710.00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0.0619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477.15</w:t>
            </w: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310"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4.8250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3,715.25</w:t>
            </w:r>
          </w:p>
        </w:tc>
      </w:tr>
      <w:tr>
        <w:trPr>
          <w:trHeight w:val="402" w:hRule="exact"/>
        </w:trPr>
        <w:tc>
          <w:tcPr>
            <w:tcW w:w="2479"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10" w:type="dxa"/>
            <w:tcBorders>
              <w:top w:val="single" w:sz="4" w:space="0" w:color="000000"/>
              <w:left w:val="single" w:sz="9" w:space="0" w:color="D9D9D9"/>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10"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10"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10"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9"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10" w:type="dxa"/>
            <w:tcBorders>
              <w:top w:val="single" w:sz="4" w:space="0" w:color="000000"/>
              <w:left w:val="single" w:sz="9" w:space="0" w:color="D9D9D9"/>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10"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10"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10"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21"/>
        <w:jc w:val="left"/>
      </w:pPr>
      <w:r>
        <w:rPr/>
        <w:t>其他说明：</w:t>
      </w:r>
    </w:p>
    <w:p>
      <w:pPr>
        <w:spacing w:line="240" w:lineRule="auto" w:before="11"/>
        <w:rPr>
          <w:rFonts w:ascii="宋体" w:hAnsi="宋体" w:cs="宋体" w:eastAsia="宋体" w:hint="default"/>
          <w:sz w:val="26"/>
          <w:szCs w:val="26"/>
        </w:rPr>
      </w:pPr>
    </w:p>
    <w:p>
      <w:pPr>
        <w:pStyle w:val="Heading3"/>
        <w:spacing w:line="259" w:lineRule="auto"/>
        <w:ind w:right="1121"/>
        <w:jc w:val="left"/>
        <w:rPr>
          <w:b w:val="0"/>
          <w:bCs w:val="0"/>
        </w:rPr>
      </w:pPr>
      <w:bookmarkStart w:name="（2）境外经营实体说明，包括对于重要的境外经营实体，应披露其境外主要经营地、记账" w:id="312"/>
      <w:bookmarkEnd w:id="312"/>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21"/>
        <w:jc w:val="left"/>
        <w:rPr>
          <w:b w:val="0"/>
          <w:bCs w:val="0"/>
        </w:rPr>
      </w:pPr>
      <w:bookmarkStart w:name="46、政府补助" w:id="313"/>
      <w:bookmarkEnd w:id="313"/>
      <w:r>
        <w:rPr>
          <w:b w:val="0"/>
          <w:bCs w:val="0"/>
        </w:rPr>
      </w:r>
      <w:r>
        <w:rPr>
          <w:rFonts w:ascii="Times New Roman" w:hAnsi="Times New Roman" w:cs="Times New Roman" w:eastAsia="Times New Roman" w:hint="default"/>
        </w:rPr>
        <w:t>46</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1"/>
        <w:jc w:val="left"/>
        <w:rPr>
          <w:b w:val="0"/>
          <w:bCs w:val="0"/>
        </w:rPr>
      </w:pPr>
      <w:bookmarkStart w:name="（1）政府补助基本情况" w:id="314"/>
      <w:bookmarkEnd w:id="314"/>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费用补贴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4,358,796.97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4,358,796.97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18,474.00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18,474.00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1,042,825.00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1,042,825.00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研发经费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1,306,000.00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专利补助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1,101,700.00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1,101,700.00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271,144.79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271,144.79</w:t>
            </w:r>
          </w:p>
        </w:tc>
      </w:tr>
    </w:tbl>
    <w:p>
      <w:pPr>
        <w:spacing w:line="240" w:lineRule="auto" w:before="2"/>
        <w:rPr>
          <w:rFonts w:ascii="宋体" w:hAnsi="宋体" w:cs="宋体" w:eastAsia="宋体" w:hint="default"/>
          <w:sz w:val="18"/>
          <w:szCs w:val="18"/>
        </w:rPr>
      </w:pPr>
    </w:p>
    <w:p>
      <w:pPr>
        <w:pStyle w:val="Heading2"/>
        <w:spacing w:line="240" w:lineRule="auto" w:before="26"/>
        <w:ind w:right="1121"/>
        <w:jc w:val="left"/>
        <w:rPr>
          <w:b w:val="0"/>
          <w:bCs w:val="0"/>
        </w:rPr>
      </w:pPr>
      <w:bookmarkStart w:name="八、合并范围的变更" w:id="315"/>
      <w:bookmarkEnd w:id="315"/>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1"/>
        <w:jc w:val="left"/>
        <w:rPr>
          <w:b w:val="0"/>
          <w:bCs w:val="0"/>
        </w:rPr>
      </w:pPr>
      <w:bookmarkStart w:name="1、处置子公司" w:id="316"/>
      <w:bookmarkEnd w:id="316"/>
      <w:r>
        <w:rPr>
          <w:b w:val="0"/>
          <w:bCs w:val="0"/>
        </w:rPr>
      </w:r>
      <w:r>
        <w:rPr>
          <w:rFonts w:ascii="Times New Roman" w:hAnsi="Times New Roman" w:cs="Times New Roman" w:eastAsia="Times New Roman" w:hint="default"/>
        </w:rPr>
        <w:t>1</w:t>
      </w:r>
      <w:r>
        <w:rPr/>
        <w:t>、处置子公司</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t>是否存在单次处置对子公司投资即丧失控制权的情形</w:t>
      </w:r>
    </w:p>
    <w:p>
      <w:pPr>
        <w:pStyle w:val="BodyText"/>
        <w:spacing w:line="240" w:lineRule="auto" w:before="116"/>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829"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0"/>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343"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6"/>
              <w:ind w:left="22" w:right="161"/>
              <w:jc w:val="both"/>
              <w:rPr>
                <w:rFonts w:ascii="宋体" w:hAnsi="宋体" w:cs="宋体" w:eastAsia="宋体" w:hint="default"/>
                <w:sz w:val="18"/>
                <w:szCs w:val="18"/>
              </w:rPr>
            </w:pPr>
            <w:r>
              <w:rPr>
                <w:rFonts w:ascii="宋体" w:hAnsi="宋体" w:cs="宋体" w:eastAsia="宋体" w:hint="default"/>
                <w:sz w:val="18"/>
                <w:szCs w:val="18"/>
              </w:rPr>
              <w:t>天津征 瑞科技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2,515,00</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2"/>
              <w:ind w:left="22" w:right="161"/>
              <w:jc w:val="left"/>
              <w:rPr>
                <w:rFonts w:ascii="宋体" w:hAnsi="宋体" w:cs="宋体" w:eastAsia="宋体" w:hint="default"/>
                <w:sz w:val="18"/>
                <w:szCs w:val="18"/>
              </w:rPr>
            </w:pPr>
            <w:r>
              <w:rPr>
                <w:rFonts w:ascii="宋体" w:hAnsi="宋体" w:cs="宋体" w:eastAsia="宋体" w:hint="default"/>
                <w:sz w:val="18"/>
                <w:szCs w:val="18"/>
              </w:rPr>
              <w:t>全部转 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2" w:right="-52"/>
              <w:jc w:val="both"/>
              <w:rPr>
                <w:rFonts w:ascii="宋体" w:hAnsi="宋体" w:cs="宋体" w:eastAsia="宋体" w:hint="default"/>
                <w:sz w:val="18"/>
                <w:szCs w:val="18"/>
              </w:rPr>
            </w:pPr>
            <w:r>
              <w:rPr>
                <w:rFonts w:ascii="宋体" w:hAnsi="宋体" w:cs="宋体" w:eastAsia="宋体" w:hint="default"/>
                <w:spacing w:val="46"/>
                <w:sz w:val="18"/>
                <w:szCs w:val="18"/>
              </w:rPr>
              <w:t>股权转</w:t>
            </w:r>
            <w:r>
              <w:rPr>
                <w:rFonts w:ascii="宋体" w:hAnsi="宋体" w:cs="宋体" w:eastAsia="宋体" w:hint="default"/>
                <w:spacing w:val="-21"/>
                <w:sz w:val="18"/>
                <w:szCs w:val="18"/>
              </w:rPr>
              <w:t> </w:t>
            </w:r>
            <w:r>
              <w:rPr>
                <w:rFonts w:ascii="宋体" w:hAnsi="宋体" w:cs="宋体" w:eastAsia="宋体" w:hint="default"/>
                <w:spacing w:val="46"/>
                <w:sz w:val="18"/>
                <w:szCs w:val="18"/>
              </w:rPr>
              <w:t>让协议</w:t>
            </w:r>
            <w:r>
              <w:rPr>
                <w:rFonts w:ascii="宋体" w:hAnsi="宋体" w:cs="宋体" w:eastAsia="宋体" w:hint="default"/>
                <w:spacing w:val="-21"/>
                <w:sz w:val="18"/>
                <w:szCs w:val="18"/>
              </w:rPr>
              <w:t> </w:t>
            </w:r>
            <w:r>
              <w:rPr>
                <w:rFonts w:ascii="宋体" w:hAnsi="宋体" w:cs="宋体" w:eastAsia="宋体" w:hint="default"/>
                <w:sz w:val="18"/>
                <w:szCs w:val="18"/>
              </w:rPr>
              <w:t>生效后</w:t>
            </w:r>
          </w:p>
        </w:tc>
        <w:tc>
          <w:tcPr>
            <w:tcW w:w="734" w:type="dxa"/>
            <w:tcBorders>
              <w:top w:val="single" w:sz="4" w:space="0" w:color="000000"/>
              <w:left w:val="single" w:sz="9" w:space="0" w:color="FFFFFF"/>
              <w:bottom w:val="single" w:sz="4" w:space="0" w:color="000000"/>
              <w:right w:val="single" w:sz="4" w:space="0" w:color="000000"/>
            </w:tcBorders>
          </w:tcPr>
          <w:p>
            <w:pPr>
              <w:pStyle w:val="TableParagraph"/>
              <w:spacing w:line="468" w:lineRule="exact"/>
              <w:ind w:left="-7"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36.25pt;height:23.4pt;mso-position-horizontal-relative:char;mso-position-vertical-relative:line" coordorigin="0,0" coordsize="725,468">
                  <v:group style="position:absolute;left:0;top:0;width:725;height:468" coordorigin="0,0" coordsize="725,468">
                    <v:shape style="position:absolute;left:0;top:0;width:725;height:468" coordorigin="0,0" coordsize="725,468" path="m0,468l725,468,725,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96"/>
              <w:ind w:right="21"/>
              <w:jc w:val="right"/>
              <w:rPr>
                <w:rFonts w:ascii="Arial Narrow" w:hAnsi="Arial Narrow" w:cs="Arial Narrow" w:eastAsia="Arial Narrow" w:hint="default"/>
                <w:sz w:val="18"/>
                <w:szCs w:val="18"/>
              </w:rPr>
            </w:pPr>
            <w:r>
              <w:rPr>
                <w:rFonts w:ascii="Arial Narrow"/>
                <w:spacing w:val="-1"/>
                <w:sz w:val="18"/>
              </w:rPr>
              <w:t>-87.75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青岛瑞 宏科技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32,659.7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全部转 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52"/>
              <w:jc w:val="both"/>
              <w:rPr>
                <w:rFonts w:ascii="宋体" w:hAnsi="宋体" w:cs="宋体" w:eastAsia="宋体" w:hint="default"/>
                <w:sz w:val="18"/>
                <w:szCs w:val="18"/>
              </w:rPr>
            </w:pPr>
            <w:r>
              <w:rPr>
                <w:rFonts w:ascii="宋体" w:hAnsi="宋体" w:cs="宋体" w:eastAsia="宋体" w:hint="default"/>
                <w:spacing w:val="46"/>
                <w:sz w:val="18"/>
                <w:szCs w:val="18"/>
              </w:rPr>
              <w:t>股权转</w:t>
            </w:r>
            <w:r>
              <w:rPr>
                <w:rFonts w:ascii="宋体" w:hAnsi="宋体" w:cs="宋体" w:eastAsia="宋体" w:hint="default"/>
                <w:spacing w:val="-21"/>
                <w:sz w:val="18"/>
                <w:szCs w:val="18"/>
              </w:rPr>
              <w:t> </w:t>
            </w:r>
            <w:r>
              <w:rPr>
                <w:rFonts w:ascii="宋体" w:hAnsi="宋体" w:cs="宋体" w:eastAsia="宋体" w:hint="default"/>
                <w:spacing w:val="46"/>
                <w:sz w:val="18"/>
                <w:szCs w:val="18"/>
              </w:rPr>
              <w:t>让协议</w:t>
            </w:r>
            <w:r>
              <w:rPr>
                <w:rFonts w:ascii="宋体" w:hAnsi="宋体" w:cs="宋体" w:eastAsia="宋体" w:hint="default"/>
                <w:spacing w:val="-21"/>
                <w:sz w:val="18"/>
                <w:szCs w:val="18"/>
              </w:rPr>
              <w:t> </w:t>
            </w:r>
            <w:r>
              <w:rPr>
                <w:rFonts w:ascii="宋体" w:hAnsi="宋体" w:cs="宋体" w:eastAsia="宋体" w:hint="default"/>
                <w:sz w:val="18"/>
                <w:szCs w:val="18"/>
              </w:rPr>
              <w:t>生效后</w:t>
            </w:r>
          </w:p>
        </w:tc>
        <w:tc>
          <w:tcPr>
            <w:tcW w:w="734" w:type="dxa"/>
            <w:tcBorders>
              <w:top w:val="single" w:sz="4" w:space="0" w:color="000000"/>
              <w:left w:val="single" w:sz="9" w:space="0" w:color="FFFFFF"/>
              <w:bottom w:val="single" w:sz="4" w:space="0" w:color="000000"/>
              <w:right w:val="single" w:sz="4" w:space="0" w:color="000000"/>
            </w:tcBorders>
          </w:tcPr>
          <w:p>
            <w:pPr>
              <w:pStyle w:val="TableParagraph"/>
              <w:spacing w:line="468" w:lineRule="exact"/>
              <w:ind w:left="-7"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36.25pt;height:23.45pt;mso-position-horizontal-relative:char;mso-position-vertical-relative:line" coordorigin="0,0" coordsize="725,469">
                  <v:group style="position:absolute;left:0;top:0;width:725;height:469" coordorigin="0,0" coordsize="725,469">
                    <v:shape style="position:absolute;left:0;top:0;width:725;height:469" coordorigin="0,0" coordsize="725,469" path="m0,468l725,468,725,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92"/>
              <w:ind w:right="21"/>
              <w:jc w:val="right"/>
              <w:rPr>
                <w:rFonts w:ascii="Arial Narrow" w:hAnsi="Arial Narrow" w:cs="Arial Narrow" w:eastAsia="Arial Narrow" w:hint="default"/>
                <w:sz w:val="18"/>
                <w:szCs w:val="18"/>
              </w:rPr>
            </w:pPr>
            <w:r>
              <w:rPr>
                <w:rFonts w:ascii="Arial Narrow"/>
                <w:spacing w:val="-1"/>
                <w:sz w:val="18"/>
              </w:rPr>
              <w:t>149.65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广西瑞</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260,000.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全部转</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3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71"/>
              <w:ind w:left="22" w:right="-52"/>
              <w:jc w:val="left"/>
              <w:rPr>
                <w:rFonts w:ascii="宋体" w:hAnsi="宋体" w:cs="宋体" w:eastAsia="宋体" w:hint="default"/>
                <w:sz w:val="18"/>
                <w:szCs w:val="18"/>
              </w:rPr>
            </w:pPr>
            <w:r>
              <w:rPr>
                <w:rFonts w:ascii="宋体" w:hAnsi="宋体" w:cs="宋体" w:eastAsia="宋体" w:hint="default"/>
                <w:spacing w:val="46"/>
                <w:sz w:val="18"/>
                <w:szCs w:val="18"/>
              </w:rPr>
              <w:t>股权转</w:t>
            </w:r>
            <w:r>
              <w:rPr>
                <w:rFonts w:ascii="宋体" w:hAnsi="宋体" w:cs="宋体" w:eastAsia="宋体" w:hint="default"/>
                <w:spacing w:val="-21"/>
                <w:sz w:val="18"/>
                <w:szCs w:val="18"/>
              </w:rPr>
              <w:t> </w:t>
            </w:r>
            <w:r>
              <w:rPr>
                <w:rFonts w:ascii="宋体" w:hAnsi="宋体" w:cs="宋体" w:eastAsia="宋体" w:hint="default"/>
                <w:sz w:val="18"/>
                <w:szCs w:val="18"/>
              </w:rPr>
            </w:r>
          </w:p>
        </w:tc>
        <w:tc>
          <w:tcPr>
            <w:tcW w:w="73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12"/>
              <w:ind w:right="21"/>
              <w:jc w:val="right"/>
              <w:rPr>
                <w:rFonts w:ascii="Arial Narrow" w:hAnsi="Arial Narrow" w:cs="Arial Narrow" w:eastAsia="Arial Narrow" w:hint="default"/>
                <w:sz w:val="18"/>
                <w:szCs w:val="18"/>
              </w:rPr>
            </w:pPr>
            <w:r>
              <w:rPr>
                <w:rFonts w:ascii="Arial Narrow"/>
                <w:spacing w:val="-1"/>
                <w:sz w:val="18"/>
              </w:rPr>
              <w:t>-70,218.0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738"/>
        <w:gridCol w:w="737"/>
        <w:gridCol w:w="736"/>
        <w:gridCol w:w="736"/>
        <w:gridCol w:w="734"/>
        <w:gridCol w:w="736"/>
        <w:gridCol w:w="734"/>
        <w:gridCol w:w="736"/>
        <w:gridCol w:w="737"/>
        <w:gridCol w:w="736"/>
        <w:gridCol w:w="736"/>
        <w:gridCol w:w="737"/>
        <w:gridCol w:w="736"/>
      </w:tblGrid>
      <w:tr>
        <w:trPr>
          <w:trHeight w:val="986" w:hRule="exact"/>
        </w:trPr>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5"/>
              <w:jc w:val="both"/>
              <w:rPr>
                <w:rFonts w:ascii="宋体" w:hAnsi="宋体" w:cs="宋体" w:eastAsia="宋体" w:hint="default"/>
                <w:sz w:val="18"/>
                <w:szCs w:val="18"/>
              </w:rPr>
            </w:pPr>
            <w:r>
              <w:rPr>
                <w:rFonts w:ascii="宋体" w:hAnsi="宋体" w:cs="宋体" w:eastAsia="宋体" w:hint="default"/>
                <w:sz w:val="18"/>
                <w:szCs w:val="18"/>
              </w:rPr>
              <w:t>宏信息 技术有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10"/>
              <w:ind w:left="22" w:right="-52"/>
              <w:jc w:val="left"/>
              <w:rPr>
                <w:rFonts w:ascii="宋体" w:hAnsi="宋体" w:cs="宋体" w:eastAsia="宋体" w:hint="default"/>
                <w:sz w:val="18"/>
                <w:szCs w:val="18"/>
              </w:rPr>
            </w:pPr>
            <w:r>
              <w:rPr>
                <w:rFonts w:ascii="宋体" w:hAnsi="宋体" w:cs="宋体" w:eastAsia="宋体" w:hint="default"/>
                <w:spacing w:val="46"/>
                <w:sz w:val="18"/>
                <w:szCs w:val="18"/>
              </w:rPr>
              <w:t>让协议</w:t>
            </w:r>
            <w:r>
              <w:rPr>
                <w:rFonts w:ascii="宋体" w:hAnsi="宋体" w:cs="宋体" w:eastAsia="宋体" w:hint="default"/>
                <w:spacing w:val="-21"/>
                <w:sz w:val="18"/>
                <w:szCs w:val="18"/>
              </w:rPr>
              <w:t> </w:t>
            </w:r>
            <w:r>
              <w:rPr>
                <w:rFonts w:ascii="宋体" w:hAnsi="宋体" w:cs="宋体" w:eastAsia="宋体" w:hint="default"/>
                <w:sz w:val="18"/>
                <w:szCs w:val="18"/>
              </w:rPr>
              <w:t>生效后</w:t>
            </w:r>
          </w:p>
        </w:tc>
        <w:tc>
          <w:tcPr>
            <w:tcW w:w="73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52"/>
              <w:ind w:right="20"/>
              <w:jc w:val="right"/>
              <w:rPr>
                <w:rFonts w:ascii="Arial Narrow" w:hAnsi="Arial Narrow" w:cs="Arial Narrow" w:eastAsia="Arial Narrow" w:hint="default"/>
                <w:sz w:val="18"/>
                <w:szCs w:val="18"/>
              </w:rPr>
            </w:pPr>
            <w:r>
              <w:rPr>
                <w:rFonts w:ascii="Arial Narrow"/>
                <w:sz w:val="18"/>
              </w:rPr>
              <w:t>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4992"/>
        <w:jc w:val="left"/>
      </w:pPr>
      <w:r>
        <w:rPr/>
        <w:t>其他说明： 是否存在通过多次交易分步处置对子公司投资且在本期丧失控制权的情形</w:t>
      </w:r>
    </w:p>
    <w:p>
      <w:pPr>
        <w:pStyle w:val="BodyText"/>
        <w:spacing w:line="240" w:lineRule="auto" w:before="26"/>
        <w:ind w:right="112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1121"/>
        <w:jc w:val="left"/>
        <w:rPr>
          <w:b w:val="0"/>
          <w:bCs w:val="0"/>
        </w:rPr>
      </w:pPr>
      <w:bookmarkStart w:name="2、其他原因的合并范围变动" w:id="317"/>
      <w:bookmarkEnd w:id="317"/>
      <w:r>
        <w:rPr>
          <w:b w:val="0"/>
          <w:bCs w:val="0"/>
        </w:rPr>
      </w:r>
      <w:r>
        <w:rPr>
          <w:rFonts w:ascii="Times New Roman" w:hAnsi="Times New Roman" w:cs="Times New Roman" w:eastAsia="Times New Roman" w:hint="default"/>
        </w:rPr>
        <w:t>2</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3192"/>
        <w:jc w:val="left"/>
      </w:pPr>
      <w:r>
        <w:rPr/>
        <w:t>说明其他原因导致的合并范围变动（如，新设子公司、清算子公司等）及其相关情况： 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日在南京市工商行政管理局注销子公司南京东港瑞宏信息科技有限公司。</w:t>
      </w:r>
    </w:p>
    <w:p>
      <w:pPr>
        <w:spacing w:line="240" w:lineRule="auto" w:before="9"/>
        <w:rPr>
          <w:rFonts w:ascii="宋体" w:hAnsi="宋体" w:cs="宋体" w:eastAsia="宋体" w:hint="default"/>
          <w:sz w:val="16"/>
          <w:szCs w:val="16"/>
        </w:rPr>
      </w:pPr>
    </w:p>
    <w:p>
      <w:pPr>
        <w:pStyle w:val="Heading2"/>
        <w:spacing w:line="240" w:lineRule="auto"/>
        <w:ind w:right="1121"/>
        <w:jc w:val="left"/>
        <w:rPr>
          <w:b w:val="0"/>
          <w:bCs w:val="0"/>
        </w:rPr>
      </w:pPr>
      <w:bookmarkStart w:name="九、在其他主体中的权益" w:id="318"/>
      <w:bookmarkEnd w:id="318"/>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1"/>
        <w:jc w:val="left"/>
        <w:rPr>
          <w:b w:val="0"/>
          <w:bCs w:val="0"/>
        </w:rPr>
      </w:pPr>
      <w:bookmarkStart w:name="1、在子公司中的权益" w:id="319"/>
      <w:bookmarkEnd w:id="319"/>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1"/>
        <w:jc w:val="left"/>
        <w:rPr>
          <w:b w:val="0"/>
          <w:bCs w:val="0"/>
        </w:rPr>
      </w:pPr>
      <w:bookmarkStart w:name="（1）企业集团的构成" w:id="320"/>
      <w:bookmarkEnd w:id="320"/>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北京东港安全印 刷有限公司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郑州东港安全印 刷有限公司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新疆东港安全印 刷有限公司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北京东港嘉华安 全信息技术有限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广州东港安全印 刷有限公司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上海东港安全印 刷有限公司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山东东港数据处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上海东港数据处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13.33%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甘肃图腾印务有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兰州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兰州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安徽东港瑞宏科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right="1121"/>
        <w:jc w:val="left"/>
        <w:rPr>
          <w:b w:val="0"/>
          <w:bCs w:val="0"/>
        </w:rPr>
      </w:pPr>
      <w:bookmarkStart w:name="十、关联方及关联交易" w:id="321"/>
      <w:bookmarkEnd w:id="321"/>
      <w:r>
        <w:rPr>
          <w:b w:val="0"/>
          <w:bCs w:val="0"/>
        </w:rPr>
      </w:r>
      <w:r>
        <w:rPr/>
        <w:t>十、关联方及关联交易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1"/>
        <w:jc w:val="left"/>
        <w:rPr>
          <w:b w:val="0"/>
          <w:bCs w:val="0"/>
        </w:rPr>
      </w:pPr>
      <w:bookmarkStart w:name="1、本企业的母公司情况" w:id="322"/>
      <w:bookmarkEnd w:id="322"/>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57" w:lineRule="auto" w:before="51"/>
        <w:ind w:right="7872"/>
        <w:jc w:val="left"/>
      </w:pPr>
      <w:r>
        <w:rPr/>
        <w:t>本企业的母公司情况的说明 本公司无控股股东、无实际控制人。</w:t>
      </w:r>
    </w:p>
    <w:p>
      <w:pPr>
        <w:spacing w:line="240" w:lineRule="auto" w:before="2"/>
        <w:rPr>
          <w:rFonts w:ascii="宋体" w:hAnsi="宋体" w:cs="宋体" w:eastAsia="宋体" w:hint="default"/>
          <w:sz w:val="20"/>
          <w:szCs w:val="20"/>
        </w:rPr>
      </w:pPr>
    </w:p>
    <w:p>
      <w:pPr>
        <w:pStyle w:val="Heading3"/>
        <w:spacing w:line="240" w:lineRule="auto"/>
        <w:ind w:right="1121"/>
        <w:jc w:val="left"/>
        <w:rPr>
          <w:b w:val="0"/>
          <w:bCs w:val="0"/>
        </w:rPr>
      </w:pPr>
      <w:bookmarkStart w:name="2、本企业的子公司情况" w:id="323"/>
      <w:bookmarkEnd w:id="323"/>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1"/>
        <w:jc w:val="left"/>
      </w:pPr>
      <w:r>
        <w:rPr/>
        <w:t>本企业子公司的情况详见附注详见附注七、</w:t>
      </w:r>
      <w:r>
        <w:rPr>
          <w:rFonts w:ascii="Times New Roman" w:hAnsi="Times New Roman" w:cs="Times New Roman" w:eastAsia="Times New Roman" w:hint="default"/>
        </w:rPr>
        <w:t>1</w:t>
      </w:r>
      <w:r>
        <w:rPr/>
        <w:t>、在子公司中的权益</w:t>
      </w:r>
      <w:r>
        <w:rPr>
          <w:spacing w:val="-90"/>
        </w:rPr>
        <w:t>。</w:t>
      </w:r>
      <w:r>
        <w:rPr/>
        <w:t>。</w:t>
      </w:r>
    </w:p>
    <w:p>
      <w:pPr>
        <w:spacing w:line="240" w:lineRule="auto" w:before="10"/>
        <w:rPr>
          <w:rFonts w:ascii="宋体" w:hAnsi="宋体" w:cs="宋体" w:eastAsia="宋体" w:hint="default"/>
          <w:sz w:val="25"/>
          <w:szCs w:val="25"/>
        </w:rPr>
      </w:pPr>
    </w:p>
    <w:p>
      <w:pPr>
        <w:pStyle w:val="Heading3"/>
        <w:spacing w:line="240" w:lineRule="auto"/>
        <w:ind w:right="1121"/>
        <w:jc w:val="left"/>
        <w:rPr>
          <w:b w:val="0"/>
          <w:bCs w:val="0"/>
        </w:rPr>
      </w:pPr>
      <w:bookmarkStart w:name="（7）关键管理人员报酬" w:id="324"/>
      <w:bookmarkEnd w:id="324"/>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9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43"/>
              <w:jc w:val="right"/>
              <w:rPr>
                <w:rFonts w:ascii="Arial Narrow" w:hAnsi="Arial Narrow" w:cs="Arial Narrow" w:eastAsia="Arial Narrow" w:hint="default"/>
                <w:sz w:val="18"/>
                <w:szCs w:val="18"/>
              </w:rPr>
            </w:pPr>
            <w:r>
              <w:rPr>
                <w:rFonts w:ascii="Arial Narrow"/>
                <w:spacing w:val="-1"/>
                <w:sz w:val="18"/>
              </w:rPr>
              <w:t>6,393,850.00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43"/>
              <w:jc w:val="right"/>
              <w:rPr>
                <w:rFonts w:ascii="Arial Narrow" w:hAnsi="Arial Narrow" w:cs="Arial Narrow" w:eastAsia="Arial Narrow" w:hint="default"/>
                <w:sz w:val="18"/>
                <w:szCs w:val="18"/>
              </w:rPr>
            </w:pPr>
            <w:r>
              <w:rPr>
                <w:rFonts w:ascii="Arial Narrow"/>
                <w:spacing w:val="-1"/>
                <w:sz w:val="18"/>
              </w:rPr>
              <w:t>6,271,650.00</w:t>
            </w:r>
          </w:p>
        </w:tc>
      </w:tr>
    </w:tbl>
    <w:p>
      <w:pPr>
        <w:spacing w:line="240" w:lineRule="auto" w:before="2"/>
        <w:rPr>
          <w:rFonts w:ascii="宋体" w:hAnsi="宋体" w:cs="宋体" w:eastAsia="宋体" w:hint="default"/>
          <w:sz w:val="18"/>
          <w:szCs w:val="18"/>
        </w:rPr>
      </w:pPr>
    </w:p>
    <w:p>
      <w:pPr>
        <w:pStyle w:val="Heading2"/>
        <w:spacing w:line="240" w:lineRule="auto" w:before="26"/>
        <w:ind w:right="1121"/>
        <w:jc w:val="left"/>
        <w:rPr>
          <w:b w:val="0"/>
          <w:bCs w:val="0"/>
        </w:rPr>
      </w:pPr>
      <w:bookmarkStart w:name="十一、母公司财务报表主要项目注释" w:id="325"/>
      <w:bookmarkEnd w:id="325"/>
      <w:r>
        <w:rPr>
          <w:b w:val="0"/>
          <w:bCs w:val="0"/>
        </w:rPr>
      </w:r>
      <w:r>
        <w:rPr/>
        <w:t>十一、母公司财务报表主要项目注释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1"/>
        <w:jc w:val="left"/>
        <w:rPr>
          <w:b w:val="0"/>
          <w:bCs w:val="0"/>
        </w:rPr>
      </w:pPr>
      <w:bookmarkStart w:name="1、应收票据及应收账款" w:id="326"/>
      <w:bookmarkEnd w:id="326"/>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832,839.49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1,897,710.98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239,634,101.95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210,672,398.69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240,466,941.44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212,570,109.67</w:t>
            </w:r>
          </w:p>
        </w:tc>
      </w:tr>
    </w:tbl>
    <w:p>
      <w:pPr>
        <w:spacing w:line="240" w:lineRule="auto" w:before="2"/>
        <w:rPr>
          <w:rFonts w:ascii="宋体" w:hAnsi="宋体" w:cs="宋体" w:eastAsia="宋体" w:hint="default"/>
          <w:sz w:val="19"/>
          <w:szCs w:val="19"/>
        </w:rPr>
      </w:pPr>
    </w:p>
    <w:p>
      <w:pPr>
        <w:pStyle w:val="Heading3"/>
        <w:spacing w:line="240" w:lineRule="auto" w:before="35"/>
        <w:ind w:right="1121"/>
        <w:jc w:val="left"/>
        <w:rPr>
          <w:b w:val="0"/>
          <w:bCs w:val="0"/>
        </w:rPr>
      </w:pPr>
      <w:bookmarkStart w:name="（1）应收票据" w:id="327"/>
      <w:bookmarkEnd w:id="327"/>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21"/>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832,839.49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1,897,710.98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832,839.49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1,897,710.98</w:t>
            </w:r>
          </w:p>
        </w:tc>
      </w:tr>
    </w:tbl>
    <w:p>
      <w:pPr>
        <w:pStyle w:val="BodyText"/>
        <w:spacing w:line="240" w:lineRule="auto" w:before="51"/>
        <w:ind w:right="1121"/>
        <w:jc w:val="left"/>
      </w:pPr>
      <w:r>
        <w:rPr>
          <w:rFonts w:ascii="Times New Roman" w:hAnsi="Times New Roman" w:cs="Times New Roman" w:eastAsia="Times New Roman" w:hint="default"/>
        </w:rPr>
        <w:t>2)</w:t>
      </w:r>
      <w:r>
        <w:rPr/>
        <w:t>期末公司已背书或贴现且在资产负债表日尚未到期的应收票据</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1,729,538.00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1,729,538.00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21"/>
        <w:jc w:val="left"/>
        <w:rPr>
          <w:b w:val="0"/>
          <w:bCs w:val="0"/>
        </w:rPr>
      </w:pPr>
      <w:bookmarkStart w:name="（2）应收账款" w:id="328"/>
      <w:bookmarkEnd w:id="328"/>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21"/>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253,604,</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017.84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13,969,9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15.89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5.51%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239,634,1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01.95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222,854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,613.27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12,182,21</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4.58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5.47%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210,672,39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8.69</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253,604,</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017.84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13,969,9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15.89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5.51%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239,634,1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01.95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222,854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,613.27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12,182,21</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4.58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5.47%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210,672,39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8.69</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340" w:lineRule="auto" w:before="116"/>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0"/>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236,918,548.44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11,845,927.42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14,322,021.69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1,432,202.17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1,633,125.23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326,625.05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730,322.48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365,161.25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456,995.93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228,497.97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56,276.00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28,138.00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217,050.55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108,525.28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253,604,017.84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13,969,915.89</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432"/>
        <w:jc w:val="left"/>
      </w:pPr>
      <w:r>
        <w:rPr/>
        <w:t>确定该组合依据的说明： 组合中，采用余额百分比法计提坏账准备的应收账款：</w:t>
      </w:r>
    </w:p>
    <w:p>
      <w:pPr>
        <w:pStyle w:val="BodyText"/>
        <w:spacing w:line="240" w:lineRule="auto" w:before="26"/>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pStyle w:val="BodyText"/>
        <w:spacing w:line="240" w:lineRule="auto" w:before="44"/>
        <w:ind w:right="1779"/>
        <w:jc w:val="left"/>
      </w:pPr>
      <w:r>
        <w:rPr/>
        <w:t>组合中，采用其他方法计提坏账准备的应收账款：</w:t>
      </w:r>
    </w:p>
    <w:p>
      <w:pPr>
        <w:pStyle w:val="BodyText"/>
        <w:spacing w:line="240" w:lineRule="auto" w:before="116"/>
        <w:ind w:right="1779"/>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right="-13"/>
        <w:jc w:val="left"/>
      </w:pPr>
      <w:r>
        <w:rPr/>
        <w:t>本期计提坏账准备金额</w:t>
      </w:r>
      <w:r>
        <w:rPr>
          <w:spacing w:val="-47"/>
        </w:rPr>
        <w:t> </w:t>
      </w:r>
      <w:r>
        <w:rPr>
          <w:rFonts w:ascii="Times New Roman" w:hAnsi="Times New Roman" w:cs="Times New Roman" w:eastAsia="Times New Roman" w:hint="default"/>
        </w:rPr>
        <w:t>1,789,894.31</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1779"/>
        <w:jc w:val="left"/>
      </w:pPr>
      <w:r>
        <w:rPr>
          <w:rFonts w:ascii="Times New Roman" w:hAnsi="Times New Roman" w:cs="Times New Roman" w:eastAsia="Times New Roman" w:hint="default"/>
        </w:rPr>
        <w:t>3)</w:t>
      </w:r>
      <w:r>
        <w:rPr/>
        <w:t>本期实际核销的应收账款情况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2,193.00</w:t>
            </w:r>
          </w:p>
        </w:tc>
      </w:tr>
    </w:tbl>
    <w:p>
      <w:pPr>
        <w:pStyle w:val="BodyText"/>
        <w:spacing w:line="338" w:lineRule="auto" w:before="51"/>
        <w:ind w:left="514" w:right="1121" w:hanging="360"/>
        <w:jc w:val="left"/>
      </w:pPr>
      <w:r>
        <w:rPr>
          <w:rFonts w:ascii="Times New Roman" w:hAnsi="Times New Roman" w:cs="Times New Roman" w:eastAsia="Times New Roman" w:hint="default"/>
        </w:rPr>
        <w:t>4)</w:t>
      </w:r>
      <w:r>
        <w:rPr/>
        <w:t>按欠款方归集的期末余额前五名的应收账款情况</w:t>
      </w:r>
      <w:r>
        <w:rPr>
          <w:w w:val="99"/>
        </w:rPr>
        <w:t> </w:t>
      </w:r>
      <w:r>
        <w:rPr>
          <w:spacing w:val="-1"/>
        </w:rPr>
        <w:t>本公司本年按欠款方归集的年末余额前五名应收账款汇总金额</w:t>
      </w:r>
      <w:r>
        <w:rPr>
          <w:rFonts w:ascii="Times New Roman" w:hAnsi="Times New Roman" w:cs="Times New Roman" w:eastAsia="Times New Roman" w:hint="default"/>
          <w:spacing w:val="-1"/>
        </w:rPr>
        <w:t>70,827,899.29</w:t>
      </w:r>
      <w:r>
        <w:rPr>
          <w:spacing w:val="-1"/>
        </w:rPr>
        <w:t>元，占应收账款年末余额合计数的比例</w:t>
      </w:r>
    </w:p>
    <w:p>
      <w:pPr>
        <w:pStyle w:val="BodyText"/>
        <w:spacing w:line="230" w:lineRule="exact"/>
        <w:ind w:right="1121"/>
        <w:jc w:val="left"/>
      </w:pPr>
      <w:r>
        <w:rPr>
          <w:rFonts w:ascii="Times New Roman" w:hAnsi="Times New Roman" w:cs="Times New Roman" w:eastAsia="Times New Roman" w:hint="default"/>
        </w:rPr>
        <w:t>27.93%</w:t>
      </w:r>
      <w:r>
        <w:rPr/>
        <w:t>，相应计提的坏账准备年末余额汇总金额</w:t>
      </w:r>
      <w:r>
        <w:rPr>
          <w:rFonts w:ascii="Times New Roman" w:hAnsi="Times New Roman" w:cs="Times New Roman" w:eastAsia="Times New Roman" w:hint="default"/>
        </w:rPr>
        <w:t>4,104,770.20</w:t>
      </w:r>
      <w:r>
        <w:rPr/>
        <w:t>元。</w:t>
      </w:r>
    </w:p>
    <w:p>
      <w:pPr>
        <w:spacing w:line="240" w:lineRule="auto" w:before="11"/>
        <w:rPr>
          <w:rFonts w:ascii="宋体" w:hAnsi="宋体" w:cs="宋体" w:eastAsia="宋体" w:hint="default"/>
          <w:sz w:val="25"/>
          <w:szCs w:val="25"/>
        </w:rPr>
      </w:pPr>
    </w:p>
    <w:p>
      <w:pPr>
        <w:pStyle w:val="Heading3"/>
        <w:spacing w:line="240" w:lineRule="auto"/>
        <w:ind w:right="1121"/>
        <w:jc w:val="left"/>
        <w:rPr>
          <w:b w:val="0"/>
          <w:bCs w:val="0"/>
        </w:rPr>
      </w:pPr>
      <w:bookmarkStart w:name="2、其他应收款" w:id="329"/>
      <w:bookmarkEnd w:id="329"/>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78,010,380.99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96,237,862.03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78,010,380.99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96,237,862.03</w:t>
            </w:r>
          </w:p>
        </w:tc>
      </w:tr>
    </w:tbl>
    <w:p>
      <w:pPr>
        <w:spacing w:line="240" w:lineRule="auto" w:before="2"/>
        <w:rPr>
          <w:rFonts w:ascii="宋体" w:hAnsi="宋体" w:cs="宋体" w:eastAsia="宋体" w:hint="default"/>
          <w:sz w:val="19"/>
          <w:szCs w:val="19"/>
        </w:rPr>
      </w:pPr>
    </w:p>
    <w:p>
      <w:pPr>
        <w:pStyle w:val="Heading3"/>
        <w:spacing w:line="240" w:lineRule="auto" w:before="35"/>
        <w:ind w:right="1121"/>
        <w:jc w:val="left"/>
        <w:rPr>
          <w:b w:val="0"/>
          <w:bCs w:val="0"/>
        </w:rPr>
      </w:pPr>
      <w:bookmarkStart w:name="（1）应收股利" w:id="330"/>
      <w:bookmarkEnd w:id="330"/>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1"/>
        <w:jc w:val="left"/>
        <w:rPr>
          <w:b w:val="0"/>
          <w:bCs w:val="0"/>
        </w:rPr>
      </w:pPr>
      <w:bookmarkStart w:name="（2）其他应收款" w:id="331"/>
      <w:bookmarkEnd w:id="331"/>
      <w:r>
        <w:rPr>
          <w:b w:val="0"/>
          <w:bCs w:val="0"/>
        </w:rPr>
      </w:r>
      <w:r>
        <w:rPr/>
        <w:t>（</w:t>
      </w: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21"/>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31,241,1</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82.13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3,073,19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9.84%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28,167,98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5.32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20,662,</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527.80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2,255,791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10.92%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18,406,736.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46</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49,842,3</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95.67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61.47%</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49,842,39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5.67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77,831,</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125.57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79.02%</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77,831,125.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57</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81,083,5</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77.80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3,073,19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6.81</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78,010,38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0.99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98,493,</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653.37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2,255,791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2.29%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96,237,862.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03</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1121"/>
        <w:jc w:val="left"/>
      </w:pPr>
      <w:r>
        <w:rPr/>
        <w:t>期末单项金额重大并单项计提坏账准备的其他应收款：</w:t>
      </w:r>
    </w:p>
    <w:p>
      <w:pPr>
        <w:pStyle w:val="BodyText"/>
        <w:spacing w:line="338" w:lineRule="auto" w:before="116"/>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spacing w:after="0" w:line="338"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0"/>
        <w:gridCol w:w="2390"/>
      </w:tblGrid>
      <w:tr>
        <w:trPr>
          <w:trHeight w:val="205"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2"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20,447,705.16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1,022,385.26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6,679,729.11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667,972.91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2,246,784.30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449,356.86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1,866,963.56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933,481.78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411,481.61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205,740.81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273,811.57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136,905.78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1,181,670.38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590,835.19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31,241,182.13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3,073,196.81</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252"/>
        <w:jc w:val="left"/>
      </w:pPr>
      <w:r>
        <w:rPr/>
        <w:t>确定该组合依据的说明： 组合中，采用余额百分比法计提坏账准备的其他应收款：</w:t>
      </w:r>
    </w:p>
    <w:p>
      <w:pPr>
        <w:pStyle w:val="BodyText"/>
        <w:spacing w:line="338" w:lineRule="auto" w:before="26"/>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519"/>
        <w:gridCol w:w="2268"/>
        <w:gridCol w:w="2411"/>
        <w:gridCol w:w="2016"/>
      </w:tblGrid>
      <w:tr>
        <w:trPr>
          <w:trHeight w:val="491" w:hRule="exact"/>
        </w:trPr>
        <w:tc>
          <w:tcPr>
            <w:tcW w:w="2519"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734"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6696"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90" w:hRule="exact"/>
        </w:trPr>
        <w:tc>
          <w:tcPr>
            <w:tcW w:w="2519" w:type="dxa"/>
            <w:vMerge/>
            <w:tcBorders>
              <w:left w:val="single" w:sz="4" w:space="0" w:color="000000"/>
              <w:bottom w:val="single" w:sz="4" w:space="0" w:color="000000"/>
              <w:right w:val="single" w:sz="4" w:space="0" w:color="000000"/>
            </w:tcBorders>
            <w:shd w:val="clear" w:color="auto" w:fill="BEBEBE"/>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51"/>
              <w:ind w:left="67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1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0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51"/>
              <w:ind w:left="641"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490" w:hRule="exact"/>
        </w:trPr>
        <w:tc>
          <w:tcPr>
            <w:tcW w:w="251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应收合并范围内关联方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Times New Roman" w:hAnsi="Times New Roman" w:cs="Times New Roman" w:eastAsia="Times New Roman" w:hint="default"/>
                <w:sz w:val="18"/>
                <w:szCs w:val="18"/>
              </w:rPr>
            </w:pPr>
            <w:r>
              <w:rPr>
                <w:rFonts w:ascii="Times New Roman"/>
                <w:spacing w:val="-1"/>
                <w:sz w:val="18"/>
              </w:rPr>
              <w:t>49,842,395.67</w:t>
            </w:r>
          </w:p>
        </w:tc>
        <w:tc>
          <w:tcPr>
            <w:tcW w:w="2411"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251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Times New Roman" w:hAnsi="Times New Roman" w:cs="Times New Roman" w:eastAsia="Times New Roman" w:hint="default"/>
                <w:sz w:val="18"/>
                <w:szCs w:val="18"/>
              </w:rPr>
            </w:pPr>
            <w:r>
              <w:rPr>
                <w:rFonts w:ascii="Times New Roman"/>
                <w:spacing w:val="-1"/>
                <w:sz w:val="18"/>
              </w:rPr>
              <w:t>49,842,395.67</w:t>
            </w:r>
          </w:p>
        </w:tc>
        <w:tc>
          <w:tcPr>
            <w:tcW w:w="2411"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1825"/>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2"/>
        <w:ind w:right="-16"/>
        <w:jc w:val="left"/>
      </w:pPr>
      <w:r>
        <w:rPr/>
        <w:t>本期计提坏账准备金额</w:t>
      </w:r>
      <w:r>
        <w:rPr>
          <w:spacing w:val="-46"/>
        </w:rPr>
        <w:t> </w:t>
      </w:r>
      <w:r>
        <w:rPr>
          <w:rFonts w:ascii="Times New Roman" w:hAnsi="Times New Roman" w:cs="Times New Roman" w:eastAsia="Times New Roman" w:hint="default"/>
        </w:rPr>
        <w:t>817,405.47</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825"/>
        <w:jc w:val="left"/>
      </w:pPr>
      <w:r>
        <w:rPr>
          <w:rFonts w:ascii="Times New Roman" w:hAnsi="Times New Roman" w:cs="Times New Roman" w:eastAsia="Times New Roman" w:hint="default"/>
        </w:rPr>
        <w:t>3)</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6320" w:space="2510"/>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20,539,742.12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17,422,522.50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9,507,641.47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2,414,474.66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1,193,798.54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825,530.64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49,842,395.67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77,831,125.57</w:t>
            </w:r>
          </w:p>
        </w:tc>
      </w:tr>
      <w:tr>
        <w:trPr>
          <w:trHeight w:val="404"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81,083,577.80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98,493,653.37</w:t>
            </w:r>
          </w:p>
        </w:tc>
      </w:tr>
    </w:tbl>
    <w:p>
      <w:pPr>
        <w:pStyle w:val="BodyText"/>
        <w:spacing w:line="240" w:lineRule="auto" w:before="51"/>
        <w:ind w:right="1121"/>
        <w:jc w:val="left"/>
      </w:pPr>
      <w:r>
        <w:rPr>
          <w:rFonts w:ascii="Times New Roman" w:hAnsi="Times New Roman" w:cs="Times New Roman" w:eastAsia="Times New Roman" w:hint="default"/>
        </w:rPr>
        <w:t>4)</w:t>
      </w:r>
      <w:r>
        <w:rPr/>
        <w:t>按欠款方归集的期末余额前五名的其他应收款情况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5"/>
        <w:gridCol w:w="1551"/>
        <w:gridCol w:w="1552"/>
        <w:gridCol w:w="1553"/>
        <w:gridCol w:w="1614"/>
        <w:gridCol w:w="1604"/>
      </w:tblGrid>
      <w:tr>
        <w:trPr>
          <w:trHeight w:val="402"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81" w:right="0"/>
              <w:jc w:val="left"/>
              <w:rPr>
                <w:rFonts w:ascii="宋体" w:hAnsi="宋体" w:cs="宋体" w:eastAsia="宋体" w:hint="default"/>
                <w:sz w:val="18"/>
                <w:szCs w:val="18"/>
              </w:rPr>
            </w:pPr>
            <w:r>
              <w:rPr>
                <w:rFonts w:ascii="宋体" w:hAnsi="宋体" w:cs="宋体" w:eastAsia="宋体" w:hint="default"/>
                <w:sz w:val="18"/>
                <w:szCs w:val="18"/>
              </w:rPr>
              <w:t>占其他应收款期末</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36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81"/>
              <w:jc w:val="right"/>
              <w:rPr>
                <w:rFonts w:ascii="宋体" w:hAnsi="宋体" w:cs="宋体" w:eastAsia="宋体" w:hint="default"/>
                <w:sz w:val="18"/>
                <w:szCs w:val="18"/>
              </w:rPr>
            </w:pPr>
            <w:r>
              <w:rPr>
                <w:rFonts w:ascii="宋体" w:hAnsi="宋体" w:cs="宋体" w:eastAsia="宋体" w:hint="default"/>
                <w:sz w:val="18"/>
                <w:szCs w:val="18"/>
              </w:rPr>
              <w:t>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北京瑞云嘉华安全技 术有限公司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37.00%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北京东港嘉华安全信 息技术有限公司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17,564,514.11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21.66%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中国人民财产保险股 份有限公司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3,202,000.00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320,200.00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中国电子进出口总公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2,815,000.00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140,750.00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甘肃图腾印务有限公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2,277,881.56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55,859,395.67</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68.89%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460,950.00</w:t>
            </w:r>
          </w:p>
        </w:tc>
      </w:tr>
    </w:tbl>
    <w:p>
      <w:pPr>
        <w:spacing w:line="240" w:lineRule="auto" w:before="2"/>
        <w:rPr>
          <w:rFonts w:ascii="宋体" w:hAnsi="宋体" w:cs="宋体" w:eastAsia="宋体" w:hint="default"/>
          <w:sz w:val="19"/>
          <w:szCs w:val="19"/>
        </w:rPr>
      </w:pPr>
    </w:p>
    <w:p>
      <w:pPr>
        <w:pStyle w:val="Heading3"/>
        <w:spacing w:line="240" w:lineRule="auto" w:before="35"/>
        <w:ind w:right="1121"/>
        <w:jc w:val="left"/>
        <w:rPr>
          <w:b w:val="0"/>
          <w:bCs w:val="0"/>
        </w:rPr>
      </w:pPr>
      <w:bookmarkStart w:name="3、长期股权投资" w:id="332"/>
      <w:bookmarkEnd w:id="332"/>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576,226,791.39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576,226,791.39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514,918,380.39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514,918,380.39</w:t>
            </w: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576,226,791.39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576,226,791.39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514,918,380.39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514,918,380.39</w:t>
            </w:r>
          </w:p>
        </w:tc>
      </w:tr>
    </w:tbl>
    <w:p>
      <w:pPr>
        <w:spacing w:line="240" w:lineRule="auto" w:before="2"/>
        <w:rPr>
          <w:rFonts w:ascii="宋体" w:hAnsi="宋体" w:cs="宋体" w:eastAsia="宋体" w:hint="default"/>
          <w:sz w:val="19"/>
          <w:szCs w:val="19"/>
        </w:rPr>
      </w:pPr>
    </w:p>
    <w:p>
      <w:pPr>
        <w:pStyle w:val="Heading3"/>
        <w:spacing w:line="240" w:lineRule="auto" w:before="35"/>
        <w:ind w:right="1121"/>
        <w:jc w:val="left"/>
        <w:rPr>
          <w:b w:val="0"/>
          <w:bCs w:val="0"/>
        </w:rPr>
      </w:pPr>
      <w:bookmarkStart w:name="（1）对子公司投资" w:id="333"/>
      <w:bookmarkEnd w:id="333"/>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53"/>
        <w:gridCol w:w="1418"/>
        <w:gridCol w:w="1276"/>
        <w:gridCol w:w="1134"/>
        <w:gridCol w:w="1276"/>
        <w:gridCol w:w="851"/>
        <w:gridCol w:w="1061"/>
      </w:tblGrid>
      <w:tr>
        <w:trPr>
          <w:trHeight w:val="714"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 w:right="59"/>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5" w:right="73" w:hanging="180"/>
              <w:jc w:val="left"/>
              <w:rPr>
                <w:rFonts w:ascii="宋体" w:hAnsi="宋体" w:cs="宋体" w:eastAsia="宋体" w:hint="default"/>
                <w:sz w:val="18"/>
                <w:szCs w:val="18"/>
              </w:rPr>
            </w:pPr>
            <w:r>
              <w:rPr>
                <w:rFonts w:ascii="宋体" w:hAnsi="宋体" w:cs="宋体" w:eastAsia="宋体" w:hint="default"/>
                <w:sz w:val="18"/>
                <w:szCs w:val="18"/>
              </w:rPr>
              <w:t>减值准备期 末余额</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郑州东港安全印刷有限公司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27,238,924.82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18,079,911.00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45,318,835.82</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北京东港安全印刷有限公司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126,325,000.00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126,325,000.00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新疆东港安全印刷有限公司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3,012,100.00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10,512,100.00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上海东港安全印刷有限公司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30,597,743.07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47,276,400.00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77,874,143.07</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北京东港嘉华安全信息技术有 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87,696,712.50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87,696,712.50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广州东港安全印刷有限公司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山东东港数据处理有限公司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上海东港数据处理有限公司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青岛瑞宏科技有限公司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4,000,000.00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天津征瑞科技有限公司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2,550,000.00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安徽东港瑞宏科技有限公司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53"/>
        <w:gridCol w:w="1418"/>
        <w:gridCol w:w="1276"/>
        <w:gridCol w:w="1134"/>
        <w:gridCol w:w="1276"/>
        <w:gridCol w:w="851"/>
        <w:gridCol w:w="1061"/>
      </w:tblGrid>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广西瑞宏信息技术有限公司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甘肃图腾印务有限公司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514,918,380.39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 w:right="0"/>
              <w:jc w:val="left"/>
              <w:rPr>
                <w:rFonts w:ascii="Times New Roman" w:hAnsi="Times New Roman" w:cs="Times New Roman" w:eastAsia="Times New Roman" w:hint="default"/>
                <w:sz w:val="18"/>
                <w:szCs w:val="18"/>
              </w:rPr>
            </w:pPr>
            <w:r>
              <w:rPr>
                <w:rFonts w:ascii="Times New Roman"/>
                <w:sz w:val="18"/>
              </w:rPr>
              <w:t>68,368,411.00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576,226,791.39</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1121"/>
        <w:jc w:val="left"/>
        <w:rPr>
          <w:b w:val="0"/>
          <w:bCs w:val="0"/>
        </w:rPr>
      </w:pPr>
      <w:bookmarkStart w:name="4、营业收入和营业成本" w:id="334"/>
      <w:bookmarkEnd w:id="334"/>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1,096,446,743.50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833,272,107.36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883,994,402.53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650,571,600.19</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27,219,782.38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25,461,138.95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29,090,649.21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27,314,352.83</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1,123,666,525.88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858,733,246.31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913,085,051.74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677,885,953.02</w:t>
            </w:r>
          </w:p>
        </w:tc>
      </w:tr>
    </w:tbl>
    <w:p>
      <w:pPr>
        <w:pStyle w:val="BodyText"/>
        <w:spacing w:line="240" w:lineRule="auto" w:before="51"/>
        <w:ind w:right="1121"/>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1"/>
        <w:jc w:val="left"/>
        <w:rPr>
          <w:b w:val="0"/>
          <w:bCs w:val="0"/>
        </w:rPr>
      </w:pPr>
      <w:bookmarkStart w:name="5、投资收益" w:id="335"/>
      <w:bookmarkEnd w:id="335"/>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132,705,256.37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103,189,164.35</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-4,252,340.29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13,313,794.68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19,917,291.14</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141,766,710.76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123,106,455.49</w:t>
            </w:r>
          </w:p>
        </w:tc>
      </w:tr>
    </w:tbl>
    <w:p>
      <w:pPr>
        <w:spacing w:line="240" w:lineRule="auto" w:before="2"/>
        <w:rPr>
          <w:rFonts w:ascii="宋体" w:hAnsi="宋体" w:cs="宋体" w:eastAsia="宋体" w:hint="default"/>
          <w:sz w:val="18"/>
          <w:szCs w:val="18"/>
        </w:rPr>
      </w:pPr>
    </w:p>
    <w:p>
      <w:pPr>
        <w:pStyle w:val="Heading2"/>
        <w:spacing w:line="240" w:lineRule="auto" w:before="26"/>
        <w:ind w:right="1121"/>
        <w:jc w:val="left"/>
        <w:rPr>
          <w:b w:val="0"/>
          <w:bCs w:val="0"/>
        </w:rPr>
      </w:pPr>
      <w:bookmarkStart w:name="十二、补充资料" w:id="336"/>
      <w:bookmarkEnd w:id="336"/>
      <w:r>
        <w:rPr>
          <w:b w:val="0"/>
          <w:bCs w:val="0"/>
        </w:rPr>
      </w:r>
      <w:r>
        <w:rPr/>
        <w:t>十二、补充资料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1"/>
        <w:jc w:val="left"/>
        <w:rPr>
          <w:b w:val="0"/>
          <w:bCs w:val="0"/>
        </w:rPr>
      </w:pPr>
      <w:bookmarkStart w:name="1、当期非经常性损益明细表" w:id="337"/>
      <w:bookmarkEnd w:id="337"/>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089"/>
        <w:gridCol w:w="2741"/>
        <w:gridCol w:w="2729"/>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4"/>
                <w:sz w:val="18"/>
                <w:szCs w:val="18"/>
              </w:rPr>
              <w:t>非流动资产处置损益（包括已计提资产减值准备的冲</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销部分）</w:t>
            </w:r>
          </w:p>
        </w:tc>
        <w:tc>
          <w:tcPr>
            <w:tcW w:w="27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-262,662.42</w:t>
            </w:r>
            <w:r>
              <w:rPr>
                <w:rFonts w:ascii="Times New Roman"/>
                <w:sz w:val="18"/>
              </w:rPr>
            </w: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4"/>
                <w:sz w:val="18"/>
                <w:szCs w:val="18"/>
              </w:rPr>
              <w:t>计入当期损益的政府补助（与企业业务密切相关，按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照国家统一标准定额或定量享受的政府补助除外）</w:t>
            </w:r>
          </w:p>
        </w:tc>
        <w:tc>
          <w:tcPr>
            <w:tcW w:w="27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9,976,977.82</w:t>
            </w: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4"/>
                <w:sz w:val="18"/>
                <w:szCs w:val="18"/>
              </w:rPr>
              <w:t>企业取得子公司、联营企业及合营企业的投资成本小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于取得投资时应享有被投资单位可辨认净资产公允 价值产生的收益</w:t>
            </w:r>
          </w:p>
        </w:tc>
        <w:tc>
          <w:tcPr>
            <w:tcW w:w="2741" w:type="dxa"/>
            <w:tcBorders>
              <w:top w:val="single" w:sz="4" w:space="0" w:color="000000"/>
              <w:left w:val="single" w:sz="10" w:space="0" w:color="D2D2D2"/>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7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13,313,797.29</w:t>
            </w:r>
          </w:p>
        </w:tc>
        <w:tc>
          <w:tcPr>
            <w:tcW w:w="272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112"/>
        <w:gridCol w:w="2729"/>
        <w:gridCol w:w="2729"/>
      </w:tblGrid>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2,438,845.92</w:t>
            </w: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986,115.01</w:t>
            </w: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3,972,269.20</w:t>
            </w: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-13,276.77</w:t>
            </w:r>
            <w:r>
              <w:rPr>
                <w:rFonts w:ascii="Times New Roman"/>
                <w:sz w:val="18"/>
              </w:rPr>
            </w: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22,494,081.19</w:t>
            </w:r>
          </w:p>
        </w:tc>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1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21"/>
        <w:jc w:val="left"/>
        <w:rPr>
          <w:b w:val="0"/>
          <w:bCs w:val="0"/>
        </w:rPr>
      </w:pPr>
      <w:bookmarkStart w:name="2、净资产收益率及每股收益" w:id="338"/>
      <w:bookmarkEnd w:id="338"/>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0.7058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0.7058</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0.6440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0.6440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1121"/>
        <w:jc w:val="left"/>
        <w:rPr>
          <w:b w:val="0"/>
          <w:bCs w:val="0"/>
        </w:rPr>
      </w:pPr>
      <w:bookmarkStart w:name="第十二节 备查文件目录" w:id="339"/>
      <w:bookmarkEnd w:id="339"/>
      <w:r>
        <w:rPr>
          <w:b w:val="0"/>
          <w:bCs w:val="0"/>
        </w:rPr>
      </w:r>
      <w:bookmarkStart w:name="_bookmark11" w:id="340"/>
      <w:bookmarkEnd w:id="340"/>
      <w:r>
        <w:rPr>
          <w:b w:val="0"/>
          <w:bCs w:val="0"/>
        </w:rPr>
      </w:r>
      <w:r>
        <w:rPr/>
        <w:t>第十二节</w:t>
      </w:r>
      <w:r>
        <w:rPr>
          <w:spacing w:val="-8"/>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1121"/>
        <w:jc w:val="left"/>
      </w:pPr>
      <w:r>
        <w:rPr/>
        <w:t>（一）载有公司负责人、财务负责人、会计机构负责人签名并盖章的会计报表。</w:t>
      </w:r>
    </w:p>
    <w:p>
      <w:pPr>
        <w:pStyle w:val="BodyText"/>
        <w:spacing w:line="240" w:lineRule="auto" w:before="77"/>
        <w:ind w:right="1121"/>
        <w:jc w:val="left"/>
      </w:pPr>
      <w:r>
        <w:rPr/>
        <w:t>（二）载有会计师事务所盖章、注册会计师签名并盖章的审计报告原件。</w:t>
      </w:r>
    </w:p>
    <w:p>
      <w:pPr>
        <w:pStyle w:val="BodyText"/>
        <w:spacing w:line="240" w:lineRule="auto" w:before="76"/>
        <w:ind w:right="1121"/>
        <w:jc w:val="left"/>
      </w:pPr>
      <w:r>
        <w:rPr/>
        <w:t>（三）报告期内，在中国证监会指定报纸上公开披露过的所有文件正本及公告原稿。</w:t>
      </w:r>
    </w:p>
    <w:p>
      <w:pPr>
        <w:pStyle w:val="BodyText"/>
        <w:spacing w:line="240" w:lineRule="auto" w:before="76"/>
        <w:ind w:right="1121"/>
        <w:jc w:val="left"/>
      </w:pPr>
      <w:r>
        <w:rPr/>
        <w:t>（四）以上备查文件的备置地点：公司证券办公室。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7"/>
          <w:szCs w:val="17"/>
        </w:rPr>
      </w:pPr>
    </w:p>
    <w:p>
      <w:pPr>
        <w:pStyle w:val="BodyText"/>
        <w:spacing w:line="717" w:lineRule="auto"/>
        <w:ind w:left="5464" w:right="3822" w:hanging="180"/>
        <w:jc w:val="left"/>
      </w:pPr>
      <w:r>
        <w:rPr/>
        <w:t>东港股份有限公司 法定代表人：王爱先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Arial Narrow">
    <w:altName w:val="Arial Narrow"/>
    <w:charset w:val="0"/>
    <w:family w:val="swiss"/>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06336" type="#_x0000_t75" stroked="false">
          <v:imagedata r:id="rId1" o:title=""/>
        </v:shape>
      </w:pict>
    </w:r>
    <w:r>
      <w:rPr/>
      <w:pict>
        <v:shape style="position:absolute;margin-left:533.179993pt;margin-top:795.517944pt;width:6.5pt;height:11pt;mso-position-horizontal-relative:page;mso-position-vertical-relative:page;z-index:-70631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06288" type="#_x0000_t75" stroked="false">
          <v:imagedata r:id="rId1" o:title=""/>
        </v:shape>
      </w:pict>
    </w:r>
    <w:r>
      <w:rPr/>
      <w:pict>
        <v:shape style="position:absolute;margin-left:527.679993pt;margin-top:781.957947pt;width:13pt;height:11pt;mso-position-horizontal-relative:page;mso-position-vertical-relative:page;z-index:-7062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06240" type="#_x0000_t75" stroked="false">
          <v:imagedata r:id="rId1" o:title=""/>
        </v:shape>
      </w:pict>
    </w:r>
    <w:r>
      <w:rPr/>
      <w:pict>
        <v:shape style="position:absolute;margin-left:527.679993pt;margin-top:781.957947pt;width:13pt;height:11pt;mso-position-horizontal-relative:page;mso-position-vertical-relative:page;z-index:-7062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06192" type="#_x0000_t75" stroked="false">
          <v:imagedata r:id="rId1" o:title=""/>
        </v:shape>
      </w:pict>
    </w:r>
    <w:r>
      <w:rPr/>
      <w:pict>
        <v:shape style="position:absolute;margin-left:524.179993pt;margin-top:781.957947pt;width:15.5pt;height:11pt;mso-position-horizontal-relative:page;mso-position-vertical-relative:page;z-index:-7061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06144" type="#_x0000_t75" stroked="false">
          <v:imagedata r:id="rId1" o:title=""/>
        </v:shape>
      </w:pict>
    </w:r>
    <w:r>
      <w:rPr/>
      <w:pict>
        <v:shape style="position:absolute;margin-left:523.179993pt;margin-top:781.957947pt;width:17.5pt;height:11pt;mso-position-horizontal-relative:page;mso-position-vertical-relative:page;z-index:-7061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80.160004pt;margin-top:36.325607pt;width:159.550pt;height:11.5pt;mso-position-horizontal-relative:page;mso-position-vertical-relative:page;z-index:-706360" type="#_x0000_t202" filled="false" stroked="false">
          <v:textbox inset="0,0,0,0">
            <w:txbxContent>
              <w:p>
                <w:pPr>
                  <w:pStyle w:val="BodyText"/>
                  <w:spacing w:line="214" w:lineRule="exact"/>
                  <w:ind w:left="20" w:right="0"/>
                  <w:jc w:val="left"/>
                </w:pPr>
                <w:r>
                  <w:rPr/>
                  <w:t>东港股份有限公司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31"/>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491"/>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515"/>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tungkong.com.cn/" TargetMode="External"/><Relationship Id="rId10" Type="http://schemas.openxmlformats.org/officeDocument/2006/relationships/hyperlink" Target="mailto:dggf@tungkong.com.cn" TargetMode="External"/><Relationship Id="rId11" Type="http://schemas.openxmlformats.org/officeDocument/2006/relationships/hyperlink" Target="mailto:Qi-liguo@tungkong.com.cn" TargetMode="External"/><Relationship Id="rId12" Type="http://schemas.openxmlformats.org/officeDocument/2006/relationships/hyperlink" Target="mailto:Ruan-yongcheng@tungkong.com.cn" TargetMode="External"/><Relationship Id="rId13" Type="http://schemas.openxmlformats.org/officeDocument/2006/relationships/hyperlink" Target="http://www.cninfo.com.cn/" TargetMode="External"/><Relationship Id="rId14" Type="http://schemas.openxmlformats.org/officeDocument/2006/relationships/hyperlink" Target="http://www.cninfo.com.c/" TargetMode="Externa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东港股份有限公司</dc:creator>
  <dc:title>东港股份有限公司2018年年度报告全文</dc:title>
  <dcterms:created xsi:type="dcterms:W3CDTF">2020-05-04T18:33:41Z</dcterms:created>
  <dcterms:modified xsi:type="dcterms:W3CDTF">2020-05-04T18:33:41Z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2019-03-11T00:00:00Z</vt:filetime>
  </property>
  <property fmtid="{D5CDD505-2E9C-101B-9397-08002B2CF9AE}" pid="3" name="Creator">
    <vt:lpwstr>Microsoft® Office Word 2007</vt:lpwstr>
  </property>
  <property fmtid="{D5CDD505-2E9C-101B-9397-08002B2CF9AE}" pid="4" name="LastSaved">
    <vt:filetime>2020-05-04T00:00:00Z</vt:filetime>
  </property>
</Properties>
</file>