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464"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1127759" cy="9296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59" cy="929640"/>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3506" w:right="4488" w:firstLine="0"/>
        <w:jc w:val="center"/>
        <w:rPr>
          <w:rFonts w:ascii="宋体" w:hAnsi="宋体" w:cs="宋体" w:eastAsia="宋体" w:hint="default"/>
          <w:sz w:val="36"/>
          <w:szCs w:val="36"/>
        </w:rPr>
      </w:pPr>
      <w:r>
        <w:rPr>
          <w:rFonts w:ascii="宋体" w:hAnsi="宋体" w:cs="宋体" w:eastAsia="宋体" w:hint="default"/>
          <w:b/>
          <w:bCs/>
          <w:sz w:val="36"/>
          <w:szCs w:val="36"/>
        </w:rPr>
        <w:t>东港股份有限公司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506" w:right="448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3506" w:right="44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公司负责人王爱先、主管会计工作负责人史建中及会计机构负责人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郑理声明：保证年度报告中财务报告的真实、准确、完整。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688" w:type="dxa"/>
        <w:tblLayout w:type="fixed"/>
        <w:tblCellMar>
          <w:top w:w="0" w:type="dxa"/>
          <w:left w:w="0" w:type="dxa"/>
          <w:bottom w:w="0" w:type="dxa"/>
          <w:right w:w="0" w:type="dxa"/>
        </w:tblCellMar>
        <w:tblLook w:val="01E0"/>
      </w:tblPr>
      <w:tblGrid>
        <w:gridCol w:w="2137"/>
        <w:gridCol w:w="2210"/>
        <w:gridCol w:w="2211"/>
        <w:gridCol w:w="2000"/>
      </w:tblGrid>
      <w:tr>
        <w:trPr>
          <w:trHeight w:val="403" w:hRule="exact"/>
        </w:trPr>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b/>
                <w:bCs/>
                <w:sz w:val="21"/>
                <w:szCs w:val="21"/>
              </w:rPr>
              <w:t>未亲自出席董事姓名</w:t>
            </w:r>
            <w:r>
              <w:rPr>
                <w:rFonts w:ascii="宋体" w:hAnsi="宋体" w:cs="宋体" w:eastAsia="宋体" w:hint="default"/>
                <w:sz w:val="21"/>
                <w:szCs w:val="21"/>
              </w:rPr>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未亲自出席董事职务</w:t>
            </w:r>
            <w:r>
              <w:rPr>
                <w:rFonts w:ascii="宋体" w:hAnsi="宋体" w:cs="宋体" w:eastAsia="宋体" w:hint="default"/>
                <w:sz w:val="21"/>
                <w:szCs w:val="21"/>
              </w:rPr>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b/>
                <w:bCs/>
                <w:sz w:val="21"/>
                <w:szCs w:val="21"/>
              </w:rPr>
              <w:t>未亲自出席会议原因</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b/>
                <w:bCs/>
                <w:sz w:val="21"/>
                <w:szCs w:val="21"/>
              </w:rPr>
              <w:t>被委托人姓名</w:t>
            </w:r>
            <w:r>
              <w:rPr>
                <w:rFonts w:ascii="宋体" w:hAnsi="宋体" w:cs="宋体" w:eastAsia="宋体" w:hint="default"/>
                <w:sz w:val="21"/>
                <w:szCs w:val="21"/>
              </w:rPr>
            </w:r>
          </w:p>
        </w:tc>
      </w:tr>
      <w:tr>
        <w:trPr>
          <w:trHeight w:val="401"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b/>
                <w:bCs/>
                <w:sz w:val="21"/>
                <w:szCs w:val="21"/>
              </w:rPr>
              <w:t>楚伦巴特尔</w:t>
            </w:r>
            <w:r>
              <w:rPr>
                <w:rFonts w:ascii="宋体" w:hAnsi="宋体" w:cs="宋体" w:eastAsia="宋体" w:hint="default"/>
                <w:sz w:val="21"/>
                <w:szCs w:val="21"/>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sz w:val="21"/>
                <w:szCs w:val="21"/>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工作原因</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b/>
                <w:bCs/>
                <w:sz w:val="21"/>
                <w:szCs w:val="21"/>
              </w:rPr>
              <w:t>刘宏</w:t>
            </w:r>
            <w:r>
              <w:rPr>
                <w:rFonts w:ascii="宋体" w:hAnsi="宋体" w:cs="宋体" w:eastAsia="宋体" w:hint="default"/>
                <w:sz w:val="21"/>
                <w:szCs w:val="21"/>
              </w:rPr>
            </w:r>
          </w:p>
        </w:tc>
      </w:tr>
    </w:tbl>
    <w:p>
      <w:pPr>
        <w:spacing w:line="240" w:lineRule="auto" w:before="2"/>
        <w:rPr>
          <w:rFonts w:ascii="宋体" w:hAnsi="宋体" w:cs="宋体" w:eastAsia="宋体" w:hint="default"/>
          <w:b/>
          <w:bCs/>
          <w:sz w:val="13"/>
          <w:szCs w:val="13"/>
        </w:rPr>
      </w:pPr>
    </w:p>
    <w:p>
      <w:pPr>
        <w:spacing w:line="393" w:lineRule="auto" w:before="14"/>
        <w:ind w:left="152" w:right="1128"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年由于受到全球新冠疫情的影响，公司面临宏观经济增速放缓，总体</w:t>
      </w:r>
      <w:r>
        <w:rPr>
          <w:rFonts w:ascii="宋体" w:hAnsi="宋体" w:cs="宋体" w:eastAsia="宋体" w:hint="default"/>
          <w:b/>
          <w:bCs/>
          <w:w w:val="99"/>
          <w:sz w:val="28"/>
          <w:szCs w:val="28"/>
        </w:rPr>
        <w:t> </w:t>
      </w:r>
      <w:r>
        <w:rPr>
          <w:rFonts w:ascii="宋体" w:hAnsi="宋体" w:cs="宋体" w:eastAsia="宋体" w:hint="default"/>
          <w:b/>
          <w:bCs/>
          <w:spacing w:val="2"/>
          <w:sz w:val="28"/>
          <w:szCs w:val="28"/>
        </w:rPr>
        <w:t>市场需求下降；新型业务增速放缓；传统业务成本上升等困难，敬请广大投资</w:t>
      </w:r>
      <w:r>
        <w:rPr>
          <w:rFonts w:ascii="宋体" w:hAnsi="宋体" w:cs="宋体" w:eastAsia="宋体" w:hint="default"/>
          <w:b/>
          <w:bCs/>
          <w:w w:val="99"/>
          <w:sz w:val="28"/>
          <w:szCs w:val="28"/>
        </w:rPr>
        <w:t> </w:t>
      </w:r>
      <w:r>
        <w:rPr>
          <w:rFonts w:ascii="宋体" w:hAnsi="宋体" w:cs="宋体" w:eastAsia="宋体" w:hint="default"/>
          <w:b/>
          <w:bCs/>
          <w:spacing w:val="2"/>
          <w:sz w:val="28"/>
          <w:szCs w:val="28"/>
        </w:rPr>
        <w:t>者注意投资风险。详细内容见本报告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 </w:t>
      </w:r>
      <w:r>
        <w:rPr>
          <w:rFonts w:ascii="宋体" w:hAnsi="宋体" w:cs="宋体" w:eastAsia="宋体" w:hint="default"/>
          <w:b/>
          <w:bCs/>
          <w:sz w:val="28"/>
          <w:szCs w:val="28"/>
        </w:rPr>
        <w:t>九、公司未来发展的展望</w:t>
      </w:r>
      <w:r>
        <w:rPr>
          <w:rFonts w:ascii="宋体" w:hAnsi="宋体" w:cs="宋体" w:eastAsia="宋体" w:hint="default"/>
          <w:b/>
          <w:bCs/>
          <w:spacing w:val="23"/>
          <w:sz w:val="28"/>
          <w:szCs w:val="28"/>
        </w:rPr>
        <w:t> </w:t>
      </w:r>
      <w:r>
        <w:rPr>
          <w:rFonts w:ascii="Times New Roman" w:hAnsi="Times New Roman" w:cs="Times New Roman" w:eastAsia="Times New Roman" w:hint="default"/>
          <w:b/>
          <w:bCs/>
          <w:spacing w:val="2"/>
          <w:sz w:val="28"/>
          <w:szCs w:val="28"/>
        </w:rPr>
        <w:t>4</w:t>
      </w:r>
      <w:r>
        <w:rPr>
          <w:rFonts w:ascii="宋体" w:hAnsi="宋体" w:cs="宋体" w:eastAsia="宋体" w:hint="default"/>
          <w:b/>
          <w:bCs/>
          <w:spacing w:val="2"/>
          <w:sz w:val="28"/>
          <w:szCs w:val="28"/>
        </w:rPr>
        <w:t>、公</w:t>
      </w:r>
      <w:r>
        <w:rPr>
          <w:rFonts w:ascii="宋体" w:hAnsi="宋体" w:cs="宋体" w:eastAsia="宋体" w:hint="default"/>
          <w:b/>
          <w:bCs/>
          <w:spacing w:val="2"/>
          <w:w w:val="99"/>
          <w:sz w:val="28"/>
          <w:szCs w:val="28"/>
        </w:rPr>
        <w:t> </w:t>
      </w:r>
      <w:r>
        <w:rPr>
          <w:rFonts w:ascii="宋体" w:hAnsi="宋体" w:cs="宋体" w:eastAsia="宋体" w:hint="default"/>
          <w:b/>
          <w:bCs/>
          <w:sz w:val="28"/>
          <w:szCs w:val="28"/>
        </w:rPr>
        <w:t>司面临的风险及应对措施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3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6"/>
          <w:sz w:val="28"/>
          <w:szCs w:val="28"/>
        </w:rPr>
        <w:t> </w:t>
      </w:r>
      <w:r>
        <w:rPr>
          <w:rFonts w:ascii="Times New Roman" w:hAnsi="Times New Roman" w:cs="Times New Roman" w:eastAsia="Times New Roman" w:hint="default"/>
          <w:b/>
          <w:bCs/>
          <w:sz w:val="28"/>
          <w:szCs w:val="28"/>
        </w:rPr>
        <w:t>545,666,421</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2" w:right="1122" w:firstLine="0"/>
        <w:jc w:val="left"/>
        <w:rPr>
          <w:rFonts w:ascii="宋体" w:hAnsi="宋体" w:cs="宋体" w:eastAsia="宋体" w:hint="default"/>
          <w:sz w:val="28"/>
          <w:szCs w:val="28"/>
        </w:rPr>
      </w:pPr>
      <w:r>
        <w:rPr>
          <w:rFonts w:ascii="宋体" w:hAnsi="宋体" w:cs="宋体" w:eastAsia="宋体" w:hint="default"/>
          <w:b/>
          <w:bCs/>
          <w:sz w:val="28"/>
          <w:szCs w:val="28"/>
        </w:rPr>
        <w:t>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4"/>
          <w:sz w:val="28"/>
          <w:szCs w:val="28"/>
        </w:rPr>
        <w:t>元（含税），送红股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506" w:right="44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139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3506" w:right="448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809998pt;width:361.55pt;height:19.6pt;mso-position-horizontal-relative:page;mso-position-vertical-relative:page;z-index:-756664"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002117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TUNGKONG</w:t>
            </w:r>
            <w:r>
              <w:rPr>
                <w:rFonts w:ascii="Times New Roman"/>
                <w:spacing w:val="-6"/>
                <w:sz w:val="18"/>
              </w:rPr>
              <w:t> </w:t>
            </w:r>
            <w:r>
              <w:rPr>
                <w:rFonts w:ascii="Times New Roman"/>
                <w:sz w:val="18"/>
              </w:rPr>
              <w:t>INC.</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TK</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王爱先</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山东省济南市山大北路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山东省济南市山大北路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www.tungkong.com.cn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dggf@tungkong.com.cn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阮永城</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0531-88904590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0531-88904590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0531-82672218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0531-82672218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Qi-liguo@tungkong.com.cn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Ruan-yongcheng@tungkong.com.cn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91370000613207311A</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报告期内，公司主营业务无变更。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日，公司变更为无控股股东、无实际控制人</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崔迎，夏瑞</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1,495,634,115.55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1,545,650,437.20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1,429,501,112.10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266,721,676.93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256,767,604.63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232,105,571.41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240,751,021.02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234,273,523.44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209,673,433.26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423,158,918.42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315,689,156.33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325,574,525.69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0.4888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0.4254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0.4888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0.4254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2,335,153,191.93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2,312,716,835.99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2,236,810,809.24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1,638,709,421.96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1,626,632,074.83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1,515,375,515.80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440,330,821.12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409,137,039.23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316,725,129.21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329,441,125.99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70,878,905.10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71,437,662.89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63,567,241.35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60,837,867.59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67,904,599.13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70,647,765.91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60,611,783.44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41,586,872.54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-139,303,191.43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68,372,788.40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70,799,298.27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423,290,023.18</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-741,298.28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-262,662.42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-30,439.30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10,991,382.63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9,976,977.82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19,038,045.38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296,893.60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19,742,476.27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13,313,797.29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5,464,835.75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528,494.61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2,438,845.92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1,539,552.07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102,192.86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986,115.01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4,640,703.05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3,972,269.20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3,892,500.42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11,889.13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-13,276.77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-15,751.07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25,970,655.91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22,494,081.19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22,432,138.15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hanging="89"/>
        <w:jc w:val="left"/>
      </w:pPr>
      <w:r>
        <w:rPr/>
        <w:t>（一）、主营业务 </w:t>
      </w:r>
      <w:r>
        <w:rPr>
          <w:spacing w:val="-2"/>
        </w:rPr>
        <w:t>目前公司的主要业务分为印刷类业务，覆合类业务和技术服务类业务。其中印刷类业务包括：商业票证印刷，数据处理</w:t>
      </w:r>
    </w:p>
    <w:p>
      <w:pPr>
        <w:pStyle w:val="BodyText"/>
        <w:spacing w:line="300" w:lineRule="auto" w:before="19"/>
        <w:ind w:right="1179"/>
        <w:jc w:val="both"/>
      </w:pPr>
      <w:r>
        <w:rPr/>
        <w:t>打印与邮发封装，个性化彩色印刷和普通商业标签；覆合类业务包括：智能卡制造与个性化处理，</w:t>
      </w:r>
      <w:r>
        <w:rPr>
          <w:rFonts w:ascii="Times New Roman" w:hAnsi="Times New Roman" w:cs="Times New Roman" w:eastAsia="Times New Roman" w:hint="default"/>
        </w:rPr>
        <w:t>RFID</w:t>
      </w:r>
      <w:r>
        <w:rPr/>
        <w:t>智能标签；技术服 务类业务包括：电子票证服务，彩票销售终端的研发、运营以及档案存储与电子化等。</w:t>
      </w:r>
    </w:p>
    <w:p>
      <w:pPr>
        <w:pStyle w:val="BodyText"/>
        <w:spacing w:line="316" w:lineRule="auto" w:before="31"/>
        <w:ind w:left="513" w:right="1033" w:hanging="72"/>
        <w:jc w:val="left"/>
      </w:pPr>
      <w:r>
        <w:rPr/>
        <w:t>（二）、经营模式 公司三类业务的主要客户为银行、保险等金融企业客户，财政、税务、国家部委等政府类客户，以及大型企业类客户，</w:t>
      </w:r>
    </w:p>
    <w:p>
      <w:pPr>
        <w:pStyle w:val="BodyText"/>
        <w:spacing w:line="309" w:lineRule="auto" w:before="19"/>
        <w:ind w:right="1131"/>
        <w:jc w:val="both"/>
      </w:pPr>
      <w:r>
        <w:rPr>
          <w:spacing w:val="-2"/>
        </w:rPr>
        <w:t>公司建有统一的运营平台，有利于资源共享，效率最高。在销售方面，我公司在全国</w:t>
      </w:r>
      <w:r>
        <w:rPr>
          <w:rFonts w:ascii="Times New Roman" w:hAnsi="Times New Roman" w:cs="Times New Roman" w:eastAsia="Times New Roman" w:hint="default"/>
          <w:spacing w:val="-2"/>
        </w:rPr>
        <w:t>30</w:t>
      </w:r>
      <w:r>
        <w:rPr>
          <w:spacing w:val="-2"/>
        </w:rPr>
        <w:t>多个省市设立了联络处，销售范围覆</w:t>
      </w:r>
      <w:r>
        <w:rPr>
          <w:spacing w:val="-65"/>
        </w:rPr>
        <w:t> </w:t>
      </w:r>
      <w:r>
        <w:rPr>
          <w:spacing w:val="-65"/>
        </w:rPr>
      </w:r>
      <w:r>
        <w:rPr>
          <w:spacing w:val="-2"/>
        </w:rPr>
        <w:t>盖全国，通过参加公开招标、为客户提供定制化产品的方式，为全国客户提供优质、及时、专业的服务，可有效地满足各地</w:t>
      </w:r>
      <w:r>
        <w:rPr>
          <w:spacing w:val="-66"/>
        </w:rPr>
        <w:t> </w:t>
      </w:r>
      <w:r>
        <w:rPr>
          <w:spacing w:val="-66"/>
        </w:rPr>
      </w:r>
      <w:r>
        <w:rPr/>
        <w:t>客户对各项业务的需求。</w:t>
      </w:r>
    </w:p>
    <w:p>
      <w:pPr>
        <w:pStyle w:val="BodyText"/>
        <w:spacing w:line="307" w:lineRule="auto" w:before="24"/>
        <w:ind w:right="1131" w:firstLine="360"/>
        <w:jc w:val="both"/>
      </w:pPr>
      <w:r>
        <w:rPr/>
        <w:t>在生产方面，本公司在济南、北京、上海、广州等重点城市，建设有</w:t>
      </w:r>
      <w:r>
        <w:rPr>
          <w:rFonts w:ascii="Times New Roman" w:hAnsi="Times New Roman" w:cs="Times New Roman" w:eastAsia="Times New Roman" w:hint="default"/>
        </w:rPr>
        <w:t>9</w:t>
      </w:r>
      <w:r>
        <w:rPr/>
        <w:t>个生产基地，在</w:t>
      </w:r>
      <w:r>
        <w:rPr>
          <w:rFonts w:ascii="Times New Roman" w:hAnsi="Times New Roman" w:cs="Times New Roman" w:eastAsia="Times New Roman" w:hint="default"/>
        </w:rPr>
        <w:t>18</w:t>
      </w:r>
      <w:r>
        <w:rPr/>
        <w:t>个主要城市建设有</w:t>
      </w:r>
      <w:r>
        <w:rPr>
          <w:rFonts w:ascii="Times New Roman" w:hAnsi="Times New Roman" w:cs="Times New Roman" w:eastAsia="Times New Roman" w:hint="default"/>
        </w:rPr>
        <w:t>29</w:t>
      </w:r>
      <w:r>
        <w:rPr/>
        <w:t>个档案存 </w:t>
      </w:r>
      <w:r>
        <w:rPr>
          <w:spacing w:val="-1"/>
        </w:rPr>
        <w:t>储基地，并在全集团范围内实施了</w:t>
      </w:r>
      <w:r>
        <w:rPr>
          <w:rFonts w:ascii="Times New Roman" w:hAnsi="Times New Roman" w:cs="Times New Roman" w:eastAsia="Times New Roman" w:hint="default"/>
          <w:spacing w:val="-1"/>
        </w:rPr>
        <w:t>ERP</w:t>
      </w:r>
      <w:r>
        <w:rPr>
          <w:spacing w:val="-1"/>
        </w:rPr>
        <w:t>企业资源管理系统，将经营和生产过程中各个环节进行信息集成，合理调配生产原辅</w:t>
      </w:r>
      <w:r>
        <w:rPr/>
        <w:t> </w:t>
      </w:r>
      <w:r>
        <w:rPr>
          <w:spacing w:val="-2"/>
        </w:rPr>
        <w:t>材料和业务流程，全面提升了公司的生产管理水平，使公司较同行具备生产覆盖半径广，对客户需求反应速度快，服务成本</w:t>
      </w:r>
      <w:r>
        <w:rPr>
          <w:spacing w:val="-65"/>
        </w:rPr>
        <w:t> </w:t>
      </w:r>
      <w:r>
        <w:rPr>
          <w:spacing w:val="-65"/>
        </w:rPr>
      </w:r>
      <w:r>
        <w:rPr/>
        <w:t>低的优势。</w:t>
      </w:r>
    </w:p>
    <w:p>
      <w:pPr>
        <w:pStyle w:val="BodyText"/>
        <w:spacing w:line="316" w:lineRule="auto" w:before="26"/>
        <w:ind w:left="501" w:right="0"/>
        <w:jc w:val="left"/>
      </w:pPr>
      <w:r>
        <w:rPr/>
        <w:t>（三）、研发能力 </w:t>
      </w:r>
      <w:r>
        <w:rPr>
          <w:spacing w:val="-2"/>
        </w:rPr>
        <w:t>本公司建有北京、上海、济南、广州四个研发中心，建立了完善的研发体系。公司在防伪技术、信息技术、智能标签技</w:t>
      </w:r>
    </w:p>
    <w:p>
      <w:pPr>
        <w:pStyle w:val="BodyText"/>
        <w:spacing w:line="316" w:lineRule="auto" w:before="19"/>
        <w:ind w:right="1129"/>
        <w:jc w:val="both"/>
      </w:pPr>
      <w:r>
        <w:rPr>
          <w:spacing w:val="-2"/>
        </w:rPr>
        <w:t>术、人工智能技术和区块链技术领域投入了大量资源，并在行业应用方面取得了良好效果。整体研发实力和能力在行业内具</w:t>
      </w:r>
      <w:r>
        <w:rPr>
          <w:spacing w:val="-62"/>
        </w:rPr>
        <w:t> </w:t>
      </w:r>
      <w:r>
        <w:rPr>
          <w:spacing w:val="-62"/>
        </w:rPr>
      </w:r>
      <w:r>
        <w:rPr/>
        <w:t>有较强的竞争实力。</w:t>
      </w:r>
    </w:p>
    <w:p>
      <w:pPr>
        <w:pStyle w:val="BodyText"/>
        <w:spacing w:line="316" w:lineRule="auto" w:before="19"/>
        <w:ind w:left="657" w:right="1120" w:hanging="216"/>
        <w:jc w:val="left"/>
      </w:pPr>
      <w:r>
        <w:rPr/>
        <w:t>（四）、行业地位 </w:t>
      </w:r>
      <w:r>
        <w:rPr>
          <w:spacing w:val="-1"/>
        </w:rPr>
        <w:t>经过多年的努力，在印刷业务方面，凭借优异的产品、有效的服务、良好的信誉，公司获得了多家全国性金融企业和</w:t>
      </w:r>
    </w:p>
    <w:p>
      <w:pPr>
        <w:pStyle w:val="BodyText"/>
        <w:spacing w:line="316" w:lineRule="auto" w:before="19"/>
        <w:ind w:right="1130"/>
        <w:jc w:val="both"/>
      </w:pPr>
      <w:r>
        <w:rPr>
          <w:spacing w:val="-2"/>
        </w:rPr>
        <w:t>政府财税部门的长期服务供应商资格，为客户提供了大量的票证、彩印、数据打印等各类产品及服务，在产品质量、服务水</w:t>
      </w:r>
      <w:r>
        <w:rPr>
          <w:spacing w:val="-67"/>
        </w:rPr>
        <w:t> </w:t>
      </w:r>
      <w:r>
        <w:rPr>
          <w:spacing w:val="-67"/>
        </w:rPr>
      </w:r>
      <w:r>
        <w:rPr>
          <w:spacing w:val="-2"/>
        </w:rPr>
        <w:t>平、安全保密等方面受到了合作客户的一致好评，在服务覆盖面积、产品销量、经营业绩等多个方面在全国同行业内具有竞</w:t>
      </w:r>
      <w:r>
        <w:rPr>
          <w:spacing w:val="-63"/>
        </w:rPr>
        <w:t> </w:t>
      </w:r>
      <w:r>
        <w:rPr>
          <w:spacing w:val="-63"/>
        </w:rPr>
      </w:r>
      <w:r>
        <w:rPr/>
        <w:t>争优势。近年来，公司智能卡与</w:t>
      </w:r>
      <w:r>
        <w:rPr>
          <w:rFonts w:ascii="Times New Roman" w:hAnsi="Times New Roman" w:cs="Times New Roman" w:eastAsia="Times New Roman" w:hint="default"/>
        </w:rPr>
        <w:t>RFID</w:t>
      </w:r>
      <w:r>
        <w:rPr/>
        <w:t>业务发展迅速，市场份额迅速扩大，在行业内的影响力不断提升。</w:t>
      </w:r>
    </w:p>
    <w:p>
      <w:pPr>
        <w:pStyle w:val="BodyText"/>
        <w:spacing w:line="316" w:lineRule="auto" w:before="40"/>
        <w:ind w:right="1051" w:firstLine="360"/>
        <w:jc w:val="both"/>
      </w:pPr>
      <w:r>
        <w:rPr/>
        <w:t>报告期内，公司积极推进业务转型，所开发的电子发票，彩票销售终端和档案存储及电子化业务，销售收入快速增长， 形成一定规模，在各细分领域均有较强的市场竞争力，公司正在向信息技术服务行业积极探索。</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5"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85" w:firstLine="389"/>
        <w:jc w:val="left"/>
      </w:pPr>
      <w:r>
        <w:rPr/>
        <w:t>公司多年来，不断总结经验，探索新的产品和业务，逐渐在业务创新、管理机制、市场、技术等方面形成了特有的竞 争优势。</w:t>
      </w:r>
    </w:p>
    <w:p>
      <w:pPr>
        <w:pStyle w:val="BodyText"/>
        <w:spacing w:line="316" w:lineRule="auto" w:before="19"/>
        <w:ind w:left="542" w:right="1184"/>
        <w:jc w:val="left"/>
      </w:pPr>
      <w:r>
        <w:rPr/>
        <w:t>一、业务创新优势 公司形成了创新型企业文化和以市场需求为导向的创新体系。公司本着市场唯先，用户至上的经营理念，在充分了解</w:t>
      </w:r>
    </w:p>
    <w:p>
      <w:pPr>
        <w:pStyle w:val="BodyText"/>
        <w:spacing w:line="309" w:lineRule="auto" w:before="19"/>
        <w:ind w:right="1034"/>
        <w:jc w:val="left"/>
      </w:pPr>
      <w:r>
        <w:rPr>
          <w:spacing w:val="-4"/>
        </w:rPr>
        <w:t>客户需求的基础上，研究市场动态，通过不断创新，保持在各项业务领域的领先。在产品方面，公司不断提高产品技术含量，</w:t>
      </w:r>
      <w:r>
        <w:rPr>
          <w:spacing w:val="-43"/>
        </w:rPr>
        <w:t> </w:t>
      </w:r>
      <w:r>
        <w:rPr>
          <w:spacing w:val="-43"/>
        </w:rPr>
      </w:r>
      <w:r>
        <w:rPr/>
        <w:t>由原来的单一票证类印刷品，发展成为集票证类印刷品、数据处理打印服务、</w:t>
      </w:r>
      <w:r>
        <w:rPr>
          <w:rFonts w:ascii="Times New Roman" w:hAnsi="Times New Roman" w:cs="Times New Roman" w:eastAsia="Times New Roman" w:hint="default"/>
        </w:rPr>
        <w:t>RFID</w:t>
      </w:r>
      <w:r>
        <w:rPr/>
        <w:t>标签、智能卡为一体的产品体系，在业 务领域方面，公司在提供实物产品的基础上，为客户提供数据外包服务、系统集成服务、软件开发和信息服务等多种服务， </w:t>
      </w:r>
      <w:r>
        <w:rPr>
          <w:spacing w:val="-2"/>
        </w:rPr>
        <w:t>自</w:t>
      </w:r>
      <w:r>
        <w:rPr>
          <w:rFonts w:ascii="Times New Roman" w:hAnsi="Times New Roman" w:cs="Times New Roman" w:eastAsia="Times New Roman" w:hint="default"/>
          <w:spacing w:val="-2"/>
        </w:rPr>
        <w:t>2013</w:t>
      </w:r>
      <w:r>
        <w:rPr>
          <w:spacing w:val="-2"/>
        </w:rPr>
        <w:t>年起公司尝试互联网等新技术业务领域，研发了电子发票、新渠道彩票销售、档案存储及电子化服务业务。新业务的</w:t>
      </w:r>
      <w:r>
        <w:rPr>
          <w:spacing w:val="-63"/>
        </w:rPr>
        <w:t> </w:t>
      </w:r>
      <w:r>
        <w:rPr>
          <w:spacing w:val="-63"/>
        </w:rPr>
      </w:r>
      <w:r>
        <w:rPr/>
        <w:t>推出，获得了市场及客户的认可，信息服务产业的收入逐年增加，公司逐渐由传统的制造厂商转型为信息技术服务供应商。</w:t>
      </w:r>
    </w:p>
    <w:p>
      <w:pPr>
        <w:pStyle w:val="BodyText"/>
        <w:spacing w:line="316" w:lineRule="auto" w:before="24"/>
        <w:ind w:left="542" w:right="1184"/>
        <w:jc w:val="left"/>
      </w:pPr>
      <w:r>
        <w:rPr/>
        <w:t>二、管理机制优势 公司根据上市公司治理准则，建立了适应市场发展的管理体制，兼顾股东、客户和员工三方利益。根据市场不同阶段</w:t>
      </w:r>
    </w:p>
    <w:p>
      <w:pPr>
        <w:pStyle w:val="BodyText"/>
        <w:spacing w:line="316" w:lineRule="auto" w:before="19"/>
        <w:ind w:right="1130"/>
        <w:jc w:val="both"/>
      </w:pPr>
      <w:r>
        <w:rPr>
          <w:spacing w:val="-2"/>
        </w:rPr>
        <w:t>的特征适时进行调整和改进，在规范的基础上有效地调动各级员工的积极性。公司建立了多层级的薪酬和奖励体系，一是实</w:t>
      </w:r>
      <w:r>
        <w:rPr>
          <w:spacing w:val="-63"/>
        </w:rPr>
        <w:t> </w:t>
      </w:r>
      <w:r>
        <w:rPr>
          <w:spacing w:val="-63"/>
        </w:rPr>
      </w:r>
      <w:r>
        <w:rPr>
          <w:spacing w:val="-2"/>
        </w:rPr>
        <w:t>施了以业绩指标为导向的薪酬管理体系，二是对主要经营管理层人员实施了管理层持股，骨干员工获得了与公司共同发展的</w:t>
      </w:r>
      <w:r>
        <w:rPr>
          <w:spacing w:val="-63"/>
        </w:rPr>
        <w:t> </w:t>
      </w:r>
      <w:r>
        <w:rPr>
          <w:spacing w:val="-63"/>
        </w:rPr>
      </w:r>
      <w:r>
        <w:rPr/>
        <w:t>机会，为公司长期稳定的发展奠定了基础。</w:t>
      </w:r>
    </w:p>
    <w:p>
      <w:pPr>
        <w:pStyle w:val="BodyText"/>
        <w:spacing w:line="316" w:lineRule="auto" w:before="19"/>
        <w:ind w:right="1185" w:firstLine="389"/>
        <w:jc w:val="left"/>
      </w:pPr>
      <w:r>
        <w:rPr/>
        <w:t>公司具备高效的执行力。公司崇尚实干精神，形成了脚踏实地，精益求精的执行体系，在制定计划、实施推广等各个 环节重实干、讲实效，工作态度严谨细致，从而形成了高效的执行力团队。</w:t>
      </w:r>
    </w:p>
    <w:p>
      <w:pPr>
        <w:pStyle w:val="BodyText"/>
        <w:spacing w:line="316" w:lineRule="auto" w:before="19"/>
        <w:ind w:left="542" w:right="1184"/>
        <w:jc w:val="left"/>
      </w:pPr>
      <w:r>
        <w:rPr/>
        <w:t>三、市场优势 经过多年的发展，公司建成了覆盖全国的销售和生产服务网络，在全国重点城市建立了</w:t>
      </w:r>
      <w:r>
        <w:rPr>
          <w:rFonts w:ascii="Times New Roman" w:hAnsi="Times New Roman" w:cs="Times New Roman" w:eastAsia="Times New Roman" w:hint="default"/>
        </w:rPr>
        <w:t>30</w:t>
      </w:r>
      <w:r>
        <w:rPr/>
        <w:t>个销售网点和多家控股子公</w:t>
      </w:r>
    </w:p>
    <w:p>
      <w:pPr>
        <w:pStyle w:val="BodyText"/>
        <w:spacing w:line="316" w:lineRule="auto"/>
        <w:ind w:right="1034"/>
        <w:jc w:val="left"/>
      </w:pPr>
      <w:r>
        <w:rPr/>
        <w:t>司，完善的销售和生产服务网络确保公司参与全国各个区域市场的竞争，能够为全国各地区的客户提供高效、便捷的服务。 </w:t>
      </w:r>
      <w:r>
        <w:rPr>
          <w:spacing w:val="-2"/>
        </w:rPr>
        <w:t>公司和全国大型金融、保险、财税、国家部委等客户建立了稳定的合作关系，积累了大量的优质客户资源，树立了良好的口</w:t>
      </w:r>
      <w:r>
        <w:rPr>
          <w:spacing w:val="-68"/>
        </w:rPr>
        <w:t> </w:t>
      </w:r>
      <w:r>
        <w:rPr>
          <w:spacing w:val="-68"/>
        </w:rPr>
      </w:r>
      <w:r>
        <w:rPr>
          <w:spacing w:val="-2"/>
        </w:rPr>
        <w:t>碑。公司不仅能从客户对商业票证需求的增长中充分分享行业的增长，而且能够依托现有客户群不断提升的个性化需求，进</w:t>
      </w:r>
      <w:r>
        <w:rPr>
          <w:spacing w:val="-63"/>
        </w:rPr>
        <w:t> </w:t>
      </w:r>
      <w:r>
        <w:rPr>
          <w:spacing w:val="-63"/>
        </w:rPr>
      </w:r>
      <w:r>
        <w:rPr/>
        <w:t>行多种产品和服务叠加，通过对客户增加产品和服务的附加价值，提升公司经营业绩。</w:t>
      </w:r>
    </w:p>
    <w:p>
      <w:pPr>
        <w:pStyle w:val="BodyText"/>
        <w:spacing w:line="360" w:lineRule="auto" w:before="19"/>
        <w:ind w:left="441" w:right="1122" w:firstLine="100"/>
        <w:jc w:val="left"/>
      </w:pPr>
      <w:r>
        <w:rPr/>
        <w:t>四、技术优势 </w:t>
      </w:r>
      <w:r>
        <w:rPr>
          <w:spacing w:val="-1"/>
        </w:rPr>
        <w:t>本公司建有北京、上海、济南、广州四个研发中心，具备了完善的研发体系。公司在防伪技术、信息技术、智能标签技</w:t>
      </w:r>
    </w:p>
    <w:p>
      <w:pPr>
        <w:pStyle w:val="BodyText"/>
        <w:spacing w:line="236" w:lineRule="exact"/>
        <w:ind w:right="0"/>
        <w:jc w:val="left"/>
      </w:pPr>
      <w:r>
        <w:rPr/>
        <w:t>术，档案存储和区块链技术领域投入了大量资源，已获得各项专利</w:t>
      </w:r>
      <w:r>
        <w:rPr>
          <w:rFonts w:ascii="Times New Roman" w:hAnsi="Times New Roman" w:cs="Times New Roman" w:eastAsia="Times New Roman" w:hint="default"/>
        </w:rPr>
        <w:t>159</w:t>
      </w:r>
      <w:r>
        <w:rPr/>
        <w:t>余项，软件著作权</w:t>
      </w:r>
      <w:r>
        <w:rPr>
          <w:rFonts w:ascii="Times New Roman" w:hAnsi="Times New Roman" w:cs="Times New Roman" w:eastAsia="Times New Roman" w:hint="default"/>
        </w:rPr>
        <w:t>180</w:t>
      </w:r>
      <w:r>
        <w:rPr/>
        <w:t>余项，整体研发实力和技术服务</w:t>
      </w:r>
    </w:p>
    <w:p>
      <w:pPr>
        <w:pStyle w:val="BodyText"/>
        <w:spacing w:line="316" w:lineRule="auto" w:before="63"/>
        <w:ind w:right="0"/>
        <w:jc w:val="left"/>
      </w:pPr>
      <w:r>
        <w:rPr>
          <w:spacing w:val="-2"/>
        </w:rPr>
        <w:t>力居于行业领先地位。公司的研发和技术创新能力，能够引导客户不断产生新的需求，从而使公司各项业务不断发展，不断</w:t>
      </w:r>
      <w:r>
        <w:rPr>
          <w:spacing w:val="-64"/>
        </w:rPr>
        <w:t> </w:t>
      </w:r>
      <w:r>
        <w:rPr>
          <w:spacing w:val="-64"/>
        </w:rPr>
      </w:r>
      <w:r>
        <w:rPr/>
        <w:t>向信息技术服务商进行转型。</w:t>
      </w:r>
    </w:p>
    <w:p>
      <w:pPr>
        <w:spacing w:after="0" w:line="31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0"/>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6" w:firstLine="360"/>
        <w:jc w:val="both"/>
      </w:pPr>
      <w:r>
        <w:rPr/>
        <w:t>报告期内公司实现营业总收入</w:t>
      </w:r>
      <w:r>
        <w:rPr>
          <w:rFonts w:ascii="Times New Roman" w:hAnsi="Times New Roman" w:cs="Times New Roman" w:eastAsia="Times New Roman" w:hint="default"/>
        </w:rPr>
        <w:t>14.96</w:t>
      </w:r>
      <w:r>
        <w:rPr/>
        <w:t>亿元，较去年同期减少</w:t>
      </w:r>
      <w:r>
        <w:rPr>
          <w:rFonts w:ascii="Times New Roman" w:hAnsi="Times New Roman" w:cs="Times New Roman" w:eastAsia="Times New Roman" w:hint="default"/>
        </w:rPr>
        <w:t>3.24%</w:t>
      </w:r>
      <w:r>
        <w:rPr/>
        <w:t>，实现归属于上市公司股东的净利润</w:t>
      </w:r>
      <w:r>
        <w:rPr>
          <w:rFonts w:ascii="Times New Roman" w:hAnsi="Times New Roman" w:cs="Times New Roman" w:eastAsia="Times New Roman" w:hint="default"/>
        </w:rPr>
        <w:t>2.67</w:t>
      </w:r>
      <w:r>
        <w:rPr/>
        <w:t>亿元，比去年 同期增长</w:t>
      </w:r>
      <w:r>
        <w:rPr>
          <w:rFonts w:ascii="Times New Roman" w:hAnsi="Times New Roman" w:cs="Times New Roman" w:eastAsia="Times New Roman" w:hint="default"/>
        </w:rPr>
        <w:t>3.88%</w:t>
      </w:r>
      <w:r>
        <w:rPr/>
        <w:t>。</w:t>
      </w:r>
    </w:p>
    <w:p>
      <w:pPr>
        <w:pStyle w:val="BodyText"/>
        <w:spacing w:line="316" w:lineRule="auto" w:before="51"/>
        <w:ind w:right="1132" w:firstLine="288"/>
        <w:jc w:val="both"/>
      </w:pPr>
      <w:r>
        <w:rPr>
          <w:spacing w:val="-1"/>
        </w:rPr>
        <w:t>公司根据董事会制定的经营计划，努力提升经营效益，根据客户需求推进产品升级和产业转型。不断提升产品的技术含</w:t>
      </w:r>
      <w:r>
        <w:rPr/>
        <w:t> 量，大力发展新兴业务，增加附加值，拓展市场空间，实现产品和业务升级。</w:t>
      </w:r>
    </w:p>
    <w:p>
      <w:pPr>
        <w:pStyle w:val="BodyText"/>
        <w:spacing w:line="316" w:lineRule="auto" w:before="59"/>
        <w:ind w:left="424" w:right="0" w:firstLine="4"/>
        <w:jc w:val="left"/>
      </w:pPr>
      <w:r>
        <w:rPr/>
        <w:t>报告期内，各类产品发展情况如下： </w:t>
      </w:r>
      <w:r>
        <w:rPr>
          <w:spacing w:val="-4"/>
        </w:rPr>
        <w:t>在印刷业务方面，由于受到市场变化和电子化的影响，印刷业务面临较大挑战。公司印刷业务收入较去年同期减少</w:t>
      </w:r>
      <w:r>
        <w:rPr>
          <w:rFonts w:ascii="Times New Roman" w:hAnsi="Times New Roman" w:cs="Times New Roman" w:eastAsia="Times New Roman" w:hint="default"/>
          <w:spacing w:val="-4"/>
        </w:rPr>
        <w:t>6.53%</w:t>
      </w:r>
      <w:r>
        <w:rPr>
          <w:spacing w:val="-4"/>
        </w:rPr>
        <w:t>。</w:t>
      </w:r>
    </w:p>
    <w:p>
      <w:pPr>
        <w:pStyle w:val="BodyText"/>
        <w:spacing w:line="316" w:lineRule="auto"/>
        <w:ind w:right="0"/>
        <w:jc w:val="left"/>
      </w:pPr>
      <w:r>
        <w:rPr>
          <w:spacing w:val="-2"/>
        </w:rPr>
        <w:t>公司根据市场变化情况，及时调整产品和业务结构，集中开发技术含量高，盈利能力强的产品和业务。并同时采取各种措施</w:t>
      </w:r>
      <w:r>
        <w:rPr>
          <w:spacing w:val="-65"/>
        </w:rPr>
        <w:t> </w:t>
      </w:r>
      <w:r>
        <w:rPr>
          <w:spacing w:val="-65"/>
        </w:rPr>
      </w:r>
      <w:r>
        <w:rPr>
          <w:spacing w:val="-4"/>
        </w:rPr>
        <w:t>提高生产效率，降低生产成本。在传统印刷业务市场萎缩的情况下，通过提升份额，提升了毛利水平，从而保持了业绩稳定。</w:t>
      </w:r>
    </w:p>
    <w:p>
      <w:pPr>
        <w:pStyle w:val="BodyText"/>
        <w:spacing w:line="316" w:lineRule="auto" w:before="19"/>
        <w:ind w:right="1138" w:firstLine="271"/>
        <w:jc w:val="both"/>
      </w:pPr>
      <w:r>
        <w:rPr/>
        <w:t>在覆合类产品方面，公司智能卡产品业务增长较好，产能利用率提升，后期公司将继续提高市场份额，提高产能利用效 率，提高水平服务提升，进一步提高盈利水平。</w:t>
      </w:r>
    </w:p>
    <w:p>
      <w:pPr>
        <w:pStyle w:val="BodyText"/>
        <w:spacing w:line="307" w:lineRule="auto" w:before="59"/>
        <w:ind w:right="1130" w:firstLine="271"/>
        <w:jc w:val="both"/>
      </w:pPr>
      <w:r>
        <w:rPr/>
        <w:t>在技术服务类业务方面，档案存储与电子化业务发展良好，服务的行业和客户数量不断增加，营业收入和毛利率水平较 </w:t>
      </w:r>
      <w:r>
        <w:rPr>
          <w:rFonts w:ascii="Times New Roman" w:hAnsi="Times New Roman" w:cs="Times New Roman" w:eastAsia="Times New Roman" w:hint="default"/>
          <w:spacing w:val="-2"/>
        </w:rPr>
        <w:t>2018</w:t>
      </w:r>
      <w:r>
        <w:rPr>
          <w:spacing w:val="-2"/>
        </w:rPr>
        <w:t>年均保持增长。新渠道彩票销售业务团队开发的彩票展示和销售终端，在服务范围、布设数量、技术含量等方面居于市</w:t>
      </w:r>
      <w:r>
        <w:rPr>
          <w:spacing w:val="-61"/>
        </w:rPr>
        <w:t> </w:t>
      </w:r>
      <w:r>
        <w:rPr>
          <w:spacing w:val="-61"/>
        </w:rPr>
      </w:r>
      <w:r>
        <w:rPr>
          <w:spacing w:val="-2"/>
        </w:rPr>
        <w:t>场前列，获得大多数客户的认可，营业收入和盈利能力均保持了较快增长。电子票证业务在报告期内发展情况良好，所申请</w:t>
      </w:r>
      <w:r>
        <w:rPr>
          <w:spacing w:val="-64"/>
        </w:rPr>
        <w:t> </w:t>
      </w:r>
      <w:r>
        <w:rPr>
          <w:spacing w:val="-64"/>
        </w:rPr>
      </w:r>
      <w:r>
        <w:rPr>
          <w:spacing w:val="-1"/>
        </w:rPr>
        <w:t>的电子发票区块链、电子票据区块链、电子证照区块链及</w:t>
      </w:r>
      <w:r>
        <w:rPr>
          <w:rFonts w:ascii="Times New Roman" w:hAnsi="Times New Roman" w:cs="Times New Roman" w:eastAsia="Times New Roman" w:hint="default"/>
          <w:spacing w:val="-1"/>
        </w:rPr>
        <w:t>TK-BaaS-E</w:t>
      </w:r>
      <w:r>
        <w:rPr>
          <w:spacing w:val="-1"/>
        </w:rPr>
        <w:t>平台四个区块链服务产品已通过国家互联网信息办公室</w:t>
      </w:r>
      <w:r>
        <w:rPr>
          <w:spacing w:val="-70"/>
        </w:rPr>
        <w:t> </w:t>
      </w:r>
      <w:r>
        <w:rPr>
          <w:spacing w:val="-2"/>
        </w:rPr>
        <w:t>审核，所开发的区块链产品在财税、证书、版权保护、电子发票等多个领域开始推广或试点应用，电子票证业务在</w:t>
      </w:r>
      <w:r>
        <w:rPr>
          <w:rFonts w:ascii="Times New Roman" w:hAnsi="Times New Roman" w:cs="Times New Roman" w:eastAsia="Times New Roman" w:hint="default"/>
          <w:spacing w:val="-2"/>
        </w:rPr>
        <w:t>2019</w:t>
      </w:r>
      <w:r>
        <w:rPr>
          <w:spacing w:val="-2"/>
        </w:rPr>
        <w:t>年营</w:t>
      </w:r>
      <w:r>
        <w:rPr>
          <w:spacing w:val="-63"/>
        </w:rPr>
        <w:t> </w:t>
      </w:r>
      <w:r>
        <w:rPr/>
        <w:t>业收入增长</w:t>
      </w:r>
      <w:r>
        <w:rPr>
          <w:rFonts w:ascii="Times New Roman" w:hAnsi="Times New Roman" w:cs="Times New Roman" w:eastAsia="Times New Roman" w:hint="default"/>
        </w:rPr>
        <w:t>28.48%</w:t>
      </w:r>
      <w:r>
        <w:rPr/>
        <w:t>，盈利能力进一步增强。</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3"/>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2"/>
        <w:gridCol w:w="1582"/>
        <w:gridCol w:w="1600"/>
      </w:tblGrid>
      <w:tr>
        <w:trPr>
          <w:trHeight w:val="207"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1,495,634,115.55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1,545,650,437.20</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1,283,480,795.21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85.82%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1,373,104,370.04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88.84%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187,105,702.00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154,864,328.78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20.82%</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25,047,618.34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17,681,738.38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1.14%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1,043,019,103.37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1,131,849,107.10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240,461,691.84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241,255,262.94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187,105,702.00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154,864,328.78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25,047,618.34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17,681,738.38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413,732,921.12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319,036,901.09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1,081,901,194.43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1,226,613,536.11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1,283,480,795.21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771,954,225.29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187,105,702.00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96,199,047.09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1,043,019,103.37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622,863,601.97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240,461,691.84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149,090,623.32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187,105,702.00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96,199,047.09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413,732,921.12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247,211,015.56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1,081,901,194.43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631,679,275.80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01"/>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380,819,854.32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446,642,786.59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53,927,395.35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60,973,602.59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127,210,927.51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130,056,317.44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60,905,424.79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75,284,449.74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102,031,415.59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101,926,593.74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9,792,359.56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10,905,810.57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22,005,938.12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15,900,348.50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3"/>
                <w:sz w:val="18"/>
              </w:rPr>
              <w:t>11.11%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15,260,910.05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14,420,538.41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代理商佣金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1,039,150.04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1,356,525.97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106,590.89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设备成本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10,186,462.58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7,490,557.13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运营服务费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6,502,781.30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4,303,043.63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83,669.68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17,153,225.74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10,506,292.76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6,608,484.91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6,996,176.43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16,788,088.05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16,643,985.92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委托外部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17,556,462.17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20,252,062.36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14,478,469.48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9,665,716.65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运营费用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5,695,662.25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2,708,691.65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527"/>
        <w:gridCol w:w="1277"/>
        <w:gridCol w:w="708"/>
        <w:gridCol w:w="994"/>
        <w:gridCol w:w="1133"/>
        <w:gridCol w:w="1702"/>
        <w:gridCol w:w="1875"/>
      </w:tblGrid>
      <w:tr>
        <w:trPr>
          <w:trHeight w:val="1289" w:hRule="exact"/>
        </w:trPr>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79" w:right="72"/>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400" w:right="36" w:hanging="360"/>
              <w:jc w:val="left"/>
              <w:rPr>
                <w:rFonts w:ascii="宋体" w:hAnsi="宋体" w:cs="宋体" w:eastAsia="宋体" w:hint="default"/>
                <w:sz w:val="18"/>
                <w:szCs w:val="18"/>
              </w:rPr>
            </w:pPr>
            <w:r>
              <w:rPr>
                <w:rFonts w:ascii="宋体" w:hAnsi="宋体" w:cs="宋体" w:eastAsia="宋体" w:hint="default"/>
                <w:sz w:val="18"/>
                <w:szCs w:val="18"/>
              </w:rPr>
              <w:t>股权处置方 式</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379" w:right="17" w:hanging="360"/>
              <w:jc w:val="left"/>
              <w:rPr>
                <w:rFonts w:ascii="宋体" w:hAnsi="宋体" w:cs="宋体" w:eastAsia="宋体" w:hint="default"/>
                <w:sz w:val="18"/>
                <w:szCs w:val="18"/>
              </w:rPr>
            </w:pPr>
            <w:r>
              <w:rPr>
                <w:rFonts w:ascii="宋体" w:hAnsi="宋体" w:cs="宋体" w:eastAsia="宋体" w:hint="default"/>
                <w:sz w:val="18"/>
                <w:szCs w:val="18"/>
              </w:rPr>
              <w:t>丧失控制权的 时点</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573" w:right="31" w:hanging="540"/>
              <w:jc w:val="left"/>
              <w:rPr>
                <w:rFonts w:ascii="宋体" w:hAnsi="宋体" w:cs="宋体" w:eastAsia="宋体" w:hint="default"/>
                <w:sz w:val="18"/>
                <w:szCs w:val="18"/>
              </w:rPr>
            </w:pPr>
            <w:r>
              <w:rPr>
                <w:rFonts w:ascii="宋体" w:hAnsi="宋体" w:cs="宋体" w:eastAsia="宋体" w:hint="default"/>
                <w:sz w:val="18"/>
                <w:szCs w:val="18"/>
              </w:rPr>
              <w:t>丧失控制权时点的确 定依据</w:t>
            </w:r>
          </w:p>
        </w:tc>
        <w:tc>
          <w:tcPr>
            <w:tcW w:w="1875"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31" w:right="34"/>
              <w:jc w:val="center"/>
              <w:rPr>
                <w:rFonts w:ascii="宋体" w:hAnsi="宋体" w:cs="宋体" w:eastAsia="宋体" w:hint="default"/>
                <w:sz w:val="18"/>
                <w:szCs w:val="18"/>
              </w:rPr>
            </w:pPr>
            <w:r>
              <w:rPr>
                <w:rFonts w:ascii="宋体" w:hAnsi="宋体" w:cs="宋体" w:eastAsia="宋体" w:hint="default"/>
                <w:sz w:val="18"/>
                <w:szCs w:val="18"/>
              </w:rPr>
              <w:t>处置价款与处置投资对 应的合并报表层面享有 该子公司净资产份额的 差额</w:t>
            </w:r>
          </w:p>
        </w:tc>
      </w:tr>
      <w:tr>
        <w:trPr>
          <w:trHeight w:val="665"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0"/>
              <w:jc w:val="left"/>
              <w:rPr>
                <w:rFonts w:ascii="宋体" w:hAnsi="宋体" w:cs="宋体" w:eastAsia="宋体" w:hint="default"/>
                <w:sz w:val="18"/>
                <w:szCs w:val="18"/>
              </w:rPr>
            </w:pPr>
            <w:r>
              <w:rPr>
                <w:rFonts w:ascii="宋体" w:hAnsi="宋体" w:cs="宋体" w:eastAsia="宋体" w:hint="default"/>
                <w:spacing w:val="9"/>
                <w:sz w:val="18"/>
                <w:szCs w:val="18"/>
              </w:rPr>
              <w:t>安徽东港瑞宏科技 </w:t>
            </w:r>
            <w:r>
              <w:rPr>
                <w:rFonts w:ascii="宋体" w:hAnsi="宋体" w:cs="宋体" w:eastAsia="宋体" w:hint="default"/>
                <w:sz w:val="18"/>
                <w:szCs w:val="18"/>
              </w:rPr>
              <w:t>有限公司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40" w:right="0"/>
              <w:jc w:val="left"/>
              <w:rPr>
                <w:rFonts w:ascii="Times New Roman" w:hAnsi="Times New Roman" w:cs="Times New Roman" w:eastAsia="Times New Roman" w:hint="default"/>
                <w:sz w:val="18"/>
                <w:szCs w:val="18"/>
              </w:rPr>
            </w:pPr>
            <w:r>
              <w:rPr>
                <w:rFonts w:ascii="Times New Roman"/>
                <w:sz w:val="18"/>
              </w:rPr>
              <w:t>1,000,000</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87" w:right="-1"/>
              <w:jc w:val="left"/>
              <w:rPr>
                <w:rFonts w:ascii="Times New Roman" w:hAnsi="Times New Roman" w:cs="Times New Roman" w:eastAsia="Times New Roman" w:hint="default"/>
                <w:sz w:val="18"/>
                <w:szCs w:val="18"/>
              </w:rPr>
            </w:pPr>
            <w:r>
              <w:rPr>
                <w:rFonts w:ascii="Times New Roman"/>
                <w:sz w:val="18"/>
              </w:rPr>
              <w:t>60.00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7" w:right="0"/>
              <w:jc w:val="left"/>
              <w:rPr>
                <w:rFonts w:ascii="Times New Roman" w:hAnsi="Times New Roman" w:cs="Times New Roman" w:eastAsia="Times New Roman" w:hint="default"/>
                <w:sz w:val="18"/>
                <w:szCs w:val="18"/>
              </w:rPr>
            </w:pPr>
            <w:r>
              <w:rPr>
                <w:rFonts w:ascii="Times New Roman"/>
                <w:sz w:val="18"/>
              </w:rPr>
              <w:t>2019-1-30</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8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989" w:right="0"/>
              <w:jc w:val="left"/>
              <w:rPr>
                <w:rFonts w:ascii="Times New Roman" w:hAnsi="Times New Roman" w:cs="Times New Roman" w:eastAsia="Times New Roman" w:hint="default"/>
                <w:sz w:val="18"/>
                <w:szCs w:val="18"/>
              </w:rPr>
            </w:pPr>
            <w:r>
              <w:rPr>
                <w:rFonts w:ascii="Times New Roman"/>
                <w:sz w:val="18"/>
              </w:rPr>
              <w:t>-151,117.43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202,132,418.43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13.51%</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74,325,846.62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42,258,055.40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40,416,540.57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24,297,267.31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20,834,708.54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202,132,418.43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13.51%</w:t>
            </w:r>
          </w:p>
        </w:tc>
      </w:tr>
    </w:tbl>
    <w:p>
      <w:pPr>
        <w:pStyle w:val="BodyText"/>
        <w:spacing w:line="240" w:lineRule="auto" w:before="49"/>
        <w:ind w:right="0"/>
        <w:jc w:val="left"/>
      </w:pPr>
      <w:r>
        <w:rPr/>
        <w:t>主要客户其他情况说明</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156,188,353.60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55,267,756.50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27,452,050.59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27,004,278.77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23,407,834.46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23,056,433.28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156,188,353.60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21.16%</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120,387,181.50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117,266,552.50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103,387,980.93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102,077,220.01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8" w:right="0"/>
              <w:jc w:val="left"/>
              <w:rPr>
                <w:rFonts w:ascii="Times New Roman" w:hAnsi="Times New Roman" w:cs="Times New Roman" w:eastAsia="Times New Roman" w:hint="default"/>
                <w:sz w:val="18"/>
                <w:szCs w:val="18"/>
              </w:rPr>
            </w:pPr>
            <w:r>
              <w:rPr>
                <w:rFonts w:ascii="Times New Roman"/>
                <w:sz w:val="18"/>
              </w:rPr>
              <w:t>-230,332.42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-6,960,381.66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96.69%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报告期内，公司购买的银行结构性存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款收益减少所致。</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91,259,247.22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91,371,286.08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297" w:right="1122" w:hanging="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本年度公司为提升产品技术含量，对区块链技术、电子发票服务平台、彩票销售终端、档案存储电子化等多个项目进行了</w:t>
      </w:r>
    </w:p>
    <w:p>
      <w:pPr>
        <w:pStyle w:val="BodyText"/>
        <w:spacing w:line="360" w:lineRule="auto" w:before="1"/>
        <w:ind w:right="9314"/>
        <w:jc w:val="left"/>
      </w:pPr>
      <w:r>
        <w:rPr/>
        <w:t>技术研发。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98,357,197.51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97,570,361.28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7,097,950.29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6,199,075.18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r>
    </w:tbl>
    <w:p>
      <w:pPr>
        <w:pStyle w:val="BodyText"/>
        <w:spacing w:line="240" w:lineRule="auto" w:before="65"/>
        <w:ind w:right="0"/>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2,025,099,481.53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1,969,930,237.32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1,601,940,563.11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1,654,241,080.99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423,158,918.42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315,689,156.33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2,162,231,306.10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1,670,440,733.52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2,771,931,472.98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1,749,812,267.77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58.41%</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-609,700,166.88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-79,371,534.25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-668.16%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4,877,515.05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65,679,010.45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-92.57%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273,812,990.93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222,927,597.83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22.83%</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-268,935,475.88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-157,248,587.38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-71.03%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-455,475,131.19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79,070,007.29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-676.04%</w:t>
            </w:r>
          </w:p>
        </w:tc>
      </w:tr>
    </w:tbl>
    <w:p>
      <w:pPr>
        <w:pStyle w:val="BodyText"/>
        <w:spacing w:line="240" w:lineRule="auto" w:before="49"/>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right="0"/>
        <w:jc w:val="left"/>
      </w:pPr>
      <w:r>
        <w:rPr>
          <w:rFonts w:ascii="Times New Roman" w:hAnsi="Times New Roman" w:cs="Times New Roman" w:eastAsia="Times New Roman" w:hint="default"/>
          <w:spacing w:val="-5"/>
        </w:rPr>
        <w:t>1</w:t>
      </w:r>
      <w:r>
        <w:rPr>
          <w:spacing w:val="-5"/>
        </w:rPr>
        <w:t>、报告期内，公司加强生产成本控制，购买商品、接受劳务支付的现金减少，致使经营活动产生的现金流量净额增长</w:t>
      </w:r>
      <w:r>
        <w:rPr>
          <w:rFonts w:ascii="Times New Roman" w:hAnsi="Times New Roman" w:cs="Times New Roman" w:eastAsia="Times New Roman" w:hint="default"/>
          <w:spacing w:val="-5"/>
        </w:rPr>
        <w:t>34.04%</w:t>
      </w:r>
      <w:r>
        <w:rPr>
          <w:spacing w:val="-5"/>
        </w:rPr>
        <w:t>。</w:t>
      </w:r>
    </w:p>
    <w:p>
      <w:pPr>
        <w:pStyle w:val="BodyText"/>
        <w:spacing w:line="240" w:lineRule="auto" w:before="63"/>
        <w:ind w:right="0"/>
        <w:jc w:val="left"/>
      </w:pPr>
      <w:r>
        <w:rPr>
          <w:rFonts w:ascii="Times New Roman" w:hAnsi="Times New Roman" w:cs="Times New Roman" w:eastAsia="Times New Roman" w:hint="default"/>
        </w:rPr>
        <w:t>2</w:t>
      </w:r>
      <w:r>
        <w:rPr/>
        <w:t>、报告期内，投资活动现金流出增加</w:t>
      </w:r>
      <w:r>
        <w:rPr>
          <w:rFonts w:ascii="Times New Roman" w:hAnsi="Times New Roman" w:cs="Times New Roman" w:eastAsia="Times New Roman" w:hint="default"/>
        </w:rPr>
        <w:t>58.41%</w:t>
      </w:r>
      <w:r>
        <w:rPr/>
        <w:t>，主要是购买理财产品增加所致。</w:t>
      </w:r>
    </w:p>
    <w:p>
      <w:pPr>
        <w:pStyle w:val="BodyText"/>
        <w:spacing w:line="240" w:lineRule="auto" w:before="63"/>
        <w:ind w:right="0"/>
        <w:jc w:val="left"/>
      </w:pPr>
      <w:r>
        <w:rPr>
          <w:rFonts w:ascii="Times New Roman" w:hAnsi="Times New Roman" w:cs="Times New Roman" w:eastAsia="Times New Roman" w:hint="default"/>
        </w:rPr>
        <w:t>3</w:t>
      </w:r>
      <w:r>
        <w:rPr/>
        <w:t>、投资活动产生的现金流量净额减少</w:t>
      </w:r>
      <w:r>
        <w:rPr>
          <w:rFonts w:ascii="Times New Roman" w:hAnsi="Times New Roman" w:cs="Times New Roman" w:eastAsia="Times New Roman" w:hint="default"/>
        </w:rPr>
        <w:t>668.16%</w:t>
      </w:r>
      <w:r>
        <w:rPr/>
        <w:t>，主要是</w:t>
      </w:r>
      <w:r>
        <w:rPr>
          <w:rFonts w:ascii="Times New Roman" w:hAnsi="Times New Roman" w:cs="Times New Roman" w:eastAsia="Times New Roman" w:hint="default"/>
        </w:rPr>
        <w:t>2019</w:t>
      </w:r>
      <w:r>
        <w:rPr/>
        <w:t>年末所购买的未到期的银行理财产品较</w:t>
      </w:r>
      <w:r>
        <w:rPr>
          <w:rFonts w:ascii="Times New Roman" w:hAnsi="Times New Roman" w:cs="Times New Roman" w:eastAsia="Times New Roman" w:hint="default"/>
        </w:rPr>
        <w:t>2018</w:t>
      </w:r>
      <w:r>
        <w:rPr/>
        <w:t>年末增加所致。</w:t>
      </w:r>
    </w:p>
    <w:p>
      <w:pPr>
        <w:pStyle w:val="BodyText"/>
        <w:spacing w:line="319" w:lineRule="auto" w:before="63"/>
        <w:ind w:right="1122"/>
        <w:jc w:val="left"/>
      </w:pPr>
      <w:r>
        <w:rPr>
          <w:rFonts w:ascii="Times New Roman" w:hAnsi="Times New Roman" w:cs="Times New Roman" w:eastAsia="Times New Roman" w:hint="default"/>
          <w:spacing w:val="-1"/>
        </w:rPr>
        <w:t>4</w:t>
      </w:r>
      <w:r>
        <w:rPr>
          <w:spacing w:val="-1"/>
        </w:rPr>
        <w:t>、筹资活动现金流入减少</w:t>
      </w:r>
      <w:r>
        <w:rPr>
          <w:rFonts w:ascii="Times New Roman" w:hAnsi="Times New Roman" w:cs="Times New Roman" w:eastAsia="Times New Roman" w:hint="default"/>
          <w:spacing w:val="-1"/>
        </w:rPr>
        <w:t>92.57%</w:t>
      </w:r>
      <w:r>
        <w:rPr>
          <w:spacing w:val="-1"/>
        </w:rPr>
        <w:t>、筹资活动产生的现金流量净额减少</w:t>
      </w:r>
      <w:r>
        <w:rPr>
          <w:rFonts w:ascii="Times New Roman" w:hAnsi="Times New Roman" w:cs="Times New Roman" w:eastAsia="Times New Roman" w:hint="default"/>
          <w:spacing w:val="-1"/>
        </w:rPr>
        <w:t>71.03%</w:t>
      </w:r>
      <w:r>
        <w:rPr>
          <w:spacing w:val="-1"/>
        </w:rPr>
        <w:t>，主要是银行承兑业务中先冻结、再退回保证</w:t>
      </w:r>
      <w:r>
        <w:rPr>
          <w:spacing w:val="-53"/>
        </w:rPr>
        <w:t> </w:t>
      </w:r>
      <w:r>
        <w:rPr>
          <w:spacing w:val="-53"/>
        </w:rPr>
      </w:r>
      <w:r>
        <w:rPr/>
        <w:t>金的业务模式减少。 </w:t>
      </w:r>
      <w:r>
        <w:rPr>
          <w:rFonts w:ascii="Times New Roman" w:hAnsi="Times New Roman" w:cs="Times New Roman" w:eastAsia="Times New Roman" w:hint="default"/>
        </w:rPr>
        <w:t>5</w:t>
      </w:r>
      <w:r>
        <w:rPr/>
        <w:t>、现金及现金等价物净增加额减少</w:t>
      </w:r>
      <w:r>
        <w:rPr>
          <w:rFonts w:ascii="Times New Roman" w:hAnsi="Times New Roman" w:cs="Times New Roman" w:eastAsia="Times New Roman" w:hint="default"/>
        </w:rPr>
        <w:t>676.04%</w:t>
      </w:r>
      <w:r>
        <w:rPr/>
        <w:t>，主要是</w:t>
      </w:r>
      <w:r>
        <w:rPr>
          <w:rFonts w:ascii="Times New Roman" w:hAnsi="Times New Roman" w:cs="Times New Roman" w:eastAsia="Times New Roman" w:hint="default"/>
        </w:rPr>
        <w:t>2019</w:t>
      </w:r>
      <w:r>
        <w:rPr/>
        <w:t>年末，公司所购买的银行理财产品未到期所致。 报告期内公司经营活动产生的现金净流量与本年度净利润存在重大差异的原因说明</w:t>
      </w:r>
    </w:p>
    <w:p>
      <w:pPr>
        <w:pStyle w:val="BodyText"/>
        <w:spacing w:line="240"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2"/>
        <w:gridCol w:w="2254"/>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19,591,358.84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利用自有资金购买理财产品</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636,759.53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政府补贴及质量索赔款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256,774.29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585" w:type="dxa"/>
        <w:tblLayout w:type="fixed"/>
        <w:tblCellMar>
          <w:top w:w="0" w:type="dxa"/>
          <w:left w:w="0" w:type="dxa"/>
          <w:bottom w:w="0" w:type="dxa"/>
          <w:right w:w="0" w:type="dxa"/>
        </w:tblCellMar>
        <w:tblLook w:val="01E0"/>
      </w:tblPr>
      <w:tblGrid>
        <w:gridCol w:w="1344"/>
        <w:gridCol w:w="1349"/>
        <w:gridCol w:w="1052"/>
        <w:gridCol w:w="1206"/>
        <w:gridCol w:w="1040"/>
        <w:gridCol w:w="808"/>
        <w:gridCol w:w="1978"/>
      </w:tblGrid>
      <w:tr>
        <w:trPr>
          <w:trHeight w:val="396"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344" w:type="dxa"/>
            <w:vMerge w:val="restart"/>
            <w:tcBorders>
              <w:top w:val="nil" w:sz="6" w:space="0" w:color="auto"/>
              <w:left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24" w:right="76"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24"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4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4"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197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4" w:type="dxa"/>
            <w:vMerge w:val="restart"/>
            <w:tcBorders>
              <w:top w:val="nil" w:sz="6" w:space="0" w:color="auto"/>
              <w:left w:val="single" w:sz="4" w:space="0" w:color="000000"/>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
        </w:tc>
        <w:tc>
          <w:tcPr>
            <w:tcW w:w="197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197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357,685,689.17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15.32%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793,811,459.31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34.32%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-19.00%</w:t>
            </w:r>
          </w:p>
        </w:tc>
        <w:tc>
          <w:tcPr>
            <w:tcW w:w="19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573" w:type="dxa"/>
        <w:tblLayout w:type="fixed"/>
        <w:tblCellMar>
          <w:top w:w="0" w:type="dxa"/>
          <w:left w:w="0" w:type="dxa"/>
          <w:bottom w:w="0" w:type="dxa"/>
          <w:right w:w="0" w:type="dxa"/>
        </w:tblCellMar>
        <w:tblLook w:val="01E0"/>
      </w:tblPr>
      <w:tblGrid>
        <w:gridCol w:w="1368"/>
        <w:gridCol w:w="1325"/>
        <w:gridCol w:w="1063"/>
        <w:gridCol w:w="1196"/>
        <w:gridCol w:w="1063"/>
        <w:gridCol w:w="797"/>
        <w:gridCol w:w="197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272,173,835.08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332,268,049.03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112,105,004.33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106,983,342.62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37,349,291.42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29,163,943.11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710,275,688.13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701,049,206.02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99,041,468.08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111,599,031.54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19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727"/>
        <w:gridCol w:w="2732"/>
        <w:gridCol w:w="3615"/>
      </w:tblGrid>
      <w:tr>
        <w:trPr>
          <w:trHeight w:val="348" w:hRule="exact"/>
        </w:trPr>
        <w:tc>
          <w:tcPr>
            <w:tcW w:w="27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109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73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818"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3615"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8" w:hRule="exact"/>
        </w:trPr>
        <w:tc>
          <w:tcPr>
            <w:tcW w:w="27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36,796,286.15</w:t>
            </w:r>
          </w:p>
        </w:tc>
        <w:tc>
          <w:tcPr>
            <w:tcW w:w="361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left="897"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w:t>
            </w:r>
          </w:p>
        </w:tc>
      </w:tr>
      <w:tr>
        <w:trPr>
          <w:trHeight w:val="348" w:hRule="exact"/>
        </w:trPr>
        <w:tc>
          <w:tcPr>
            <w:tcW w:w="27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1095"/>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7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b/>
                <w:spacing w:val="-1"/>
                <w:sz w:val="18"/>
              </w:rPr>
              <w:t>36,796,286.15</w:t>
            </w:r>
            <w:r>
              <w:rPr>
                <w:rFonts w:ascii="Times New Roman"/>
                <w:spacing w:val="-1"/>
                <w:sz w:val="18"/>
              </w:rPr>
            </w:r>
          </w:p>
        </w:tc>
        <w:tc>
          <w:tcPr>
            <w:tcW w:w="361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北京东港安 全印刷有限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0"/>
              <w:jc w:val="right"/>
              <w:rPr>
                <w:rFonts w:ascii="宋体" w:hAnsi="宋体" w:cs="宋体" w:eastAsia="宋体" w:hint="default"/>
                <w:sz w:val="18"/>
                <w:szCs w:val="18"/>
              </w:rPr>
            </w:pPr>
            <w:r>
              <w:rPr>
                <w:rFonts w:ascii="宋体" w:hAnsi="宋体" w:cs="宋体" w:eastAsia="宋体" w:hint="default"/>
                <w:sz w:val="18"/>
                <w:szCs w:val="18"/>
              </w:rPr>
              <w:t>票证印刷品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52,000,000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185,977,080.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131,528,470.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211,536,846.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56,059,440.7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48,247,583.4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北京东港嘉 华安全信息 技术有限公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票证印刷 品，档案存 储，电子票 证等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48,926,762.5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340,110,104.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136,909,774.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314,474,068.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62,954,138.1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54,904,650.5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上海东港数 据处理有限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数据打印封 装服务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218,236,174.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195,158,170.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147,059,830.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43,579,259.7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37,441,932.5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安徽东港瑞宏科技有限公司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pStyle w:val="BodyText"/>
        <w:spacing w:line="357" w:lineRule="auto" w:before="49"/>
        <w:ind w:left="297" w:right="5389" w:hanging="145"/>
        <w:jc w:val="left"/>
      </w:pPr>
      <w:r>
        <w:rPr/>
        <w:t>主要控股参股公司情况说明 报告期内，公司主要控股子公司生产经营情况良好，无重大变动。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1</w:t>
      </w:r>
      <w:r>
        <w:rPr/>
        <w:t>、公司所处行业的发展趋势及行业竞争格局</w:t>
      </w:r>
    </w:p>
    <w:p>
      <w:pPr>
        <w:pStyle w:val="BodyText"/>
        <w:spacing w:line="240" w:lineRule="auto" w:before="101"/>
        <w:ind w:left="513" w:right="0"/>
        <w:jc w:val="left"/>
      </w:pPr>
      <w:r>
        <w:rPr/>
        <w:t>（</w:t>
      </w:r>
      <w:r>
        <w:rPr>
          <w:rFonts w:ascii="Times New Roman" w:hAnsi="Times New Roman" w:cs="Times New Roman" w:eastAsia="Times New Roman" w:hint="default"/>
        </w:rPr>
        <w:t>1</w:t>
      </w:r>
      <w:r>
        <w:rPr/>
        <w:t>）行业发展趋势</w:t>
      </w:r>
    </w:p>
    <w:p>
      <w:pPr>
        <w:pStyle w:val="BodyText"/>
        <w:spacing w:line="360" w:lineRule="auto" w:before="103"/>
        <w:ind w:left="513" w:right="0"/>
        <w:jc w:val="left"/>
      </w:pPr>
      <w:r>
        <w:rPr/>
        <w:t>①</w:t>
      </w:r>
      <w:r>
        <w:rPr>
          <w:spacing w:val="-18"/>
        </w:rPr>
        <w:t> </w:t>
      </w:r>
      <w:r>
        <w:rPr/>
        <w:t>传统的票证类业务受信息技术的冲击</w:t>
      </w:r>
      <w:r>
        <w:rPr/>
        <w:t> </w:t>
      </w:r>
      <w:r>
        <w:rPr>
          <w:spacing w:val="-2"/>
        </w:rPr>
        <w:t>随着信息技术的发展，票证电子化的趋势越来越明显，各行业的信息化发展都降低了对纸质票证的需求，使传统的纸质</w:t>
      </w:r>
    </w:p>
    <w:p>
      <w:pPr>
        <w:pStyle w:val="BodyText"/>
        <w:spacing w:line="222" w:lineRule="exact"/>
        <w:ind w:right="0"/>
        <w:jc w:val="left"/>
      </w:pPr>
      <w:r>
        <w:rPr/>
        <w:t>票证类业务市场受到冲击。虽然我国城镇化进程的推进，使票证类市场仍保持了较大的市场容量，但总体市场增速较前期相</w:t>
      </w:r>
    </w:p>
    <w:p>
      <w:pPr>
        <w:pStyle w:val="BodyText"/>
        <w:spacing w:line="240" w:lineRule="auto" w:before="76"/>
        <w:ind w:right="0"/>
        <w:jc w:val="left"/>
      </w:pPr>
      <w:r>
        <w:rPr/>
        <w:t>比已有所放缓，迫使行业内的各生产厂家不断寻找新的业务增长点和新的业务领域。</w:t>
      </w:r>
    </w:p>
    <w:p>
      <w:pPr>
        <w:pStyle w:val="BodyText"/>
        <w:spacing w:line="360" w:lineRule="auto" w:before="115"/>
        <w:ind w:left="513" w:right="0"/>
        <w:jc w:val="left"/>
      </w:pPr>
      <w:r>
        <w:rPr/>
        <w:t>②</w:t>
      </w:r>
      <w:r>
        <w:rPr>
          <w:spacing w:val="-18"/>
        </w:rPr>
        <w:t> </w:t>
      </w:r>
      <w:r>
        <w:rPr/>
        <w:t>探索多样化发展方向，传统服务商不断研发新的服务内容</w:t>
      </w:r>
      <w:r>
        <w:rPr/>
        <w:t> </w:t>
      </w:r>
      <w:r>
        <w:rPr>
          <w:spacing w:val="-2"/>
        </w:rPr>
        <w:t>随着新产品、新技术的不断涌现，客户的需求更趋多样化和信息化，各行业客户为适应新形势的发展，提出了许多个性</w:t>
      </w:r>
    </w:p>
    <w:p>
      <w:pPr>
        <w:pStyle w:val="BodyText"/>
        <w:spacing w:line="222" w:lineRule="exact"/>
        <w:ind w:right="0"/>
        <w:jc w:val="left"/>
      </w:pPr>
      <w:r>
        <w:rPr/>
        <w:t>化需求，在产品设计、数据处理、信息系统服务等多个领域，越来越多的采取服务外包的方式予以解决。这样，一方面能够</w:t>
      </w:r>
    </w:p>
    <w:p>
      <w:pPr>
        <w:pStyle w:val="BodyText"/>
        <w:spacing w:line="319" w:lineRule="auto" w:before="76"/>
        <w:ind w:right="1131"/>
        <w:jc w:val="both"/>
      </w:pPr>
      <w:r>
        <w:rPr>
          <w:spacing w:val="-2"/>
        </w:rPr>
        <w:t>降低客户自身运营的成本，另一方面，由专业的服务供应商提供服务能够提高工作效率和服务质量。同时，随着互联网技术</w:t>
      </w:r>
      <w:r>
        <w:rPr>
          <w:spacing w:val="-64"/>
        </w:rPr>
        <w:t> </w:t>
      </w:r>
      <w:r>
        <w:rPr>
          <w:spacing w:val="-64"/>
        </w:rPr>
      </w:r>
      <w:r>
        <w:rPr>
          <w:spacing w:val="-2"/>
        </w:rPr>
        <w:t>的进步，远程在线服务、系统集成化服务的技术手段也在不断增加。在科技与需求的推动下，印刷企业也在不断探索新的服</w:t>
      </w:r>
      <w:r>
        <w:rPr>
          <w:spacing w:val="-64"/>
        </w:rPr>
        <w:t> </w:t>
      </w:r>
      <w:r>
        <w:rPr>
          <w:spacing w:val="-64"/>
        </w:rPr>
      </w:r>
      <w:r>
        <w:rPr>
          <w:spacing w:val="-2"/>
        </w:rPr>
        <w:t>务模式，所提供的服务内容日益丰富，开始介入到信息系统集成、服务外包、数据库管理、创意设计各类服务，这种产品的</w:t>
      </w:r>
      <w:r>
        <w:rPr>
          <w:spacing w:val="-68"/>
        </w:rPr>
        <w:t> </w:t>
      </w:r>
      <w:r>
        <w:rPr>
          <w:spacing w:val="-68"/>
        </w:rPr>
      </w:r>
      <w:r>
        <w:rPr/>
        <w:t>价值或附加值可大幅提高，传统服务商力求通过研发新的服务模式减少传统业务需求下降的影响。</w:t>
      </w:r>
    </w:p>
    <w:p>
      <w:pPr>
        <w:pStyle w:val="BodyText"/>
        <w:spacing w:line="357" w:lineRule="auto" w:before="58"/>
        <w:ind w:left="513" w:right="0"/>
        <w:jc w:val="left"/>
      </w:pPr>
      <w:r>
        <w:rPr/>
        <w:t>③</w:t>
      </w:r>
      <w:r>
        <w:rPr>
          <w:spacing w:val="-18"/>
        </w:rPr>
        <w:t> </w:t>
      </w:r>
      <w:r>
        <w:rPr/>
        <w:t>综合服务与信息技术结合，打造多层次服务模式</w:t>
      </w:r>
      <w:r>
        <w:rPr/>
        <w:t> </w:t>
      </w:r>
      <w:r>
        <w:rPr>
          <w:spacing w:val="-2"/>
        </w:rPr>
        <w:t>随着客户对印刷服务的保密性、个性化、以及对信息系统集成的要求越来越高，印刷企业在不断开拓新的服务模式的同</w:t>
      </w:r>
    </w:p>
    <w:p>
      <w:pPr>
        <w:pStyle w:val="BodyText"/>
        <w:spacing w:line="224" w:lineRule="exact"/>
        <w:ind w:right="0"/>
        <w:jc w:val="left"/>
      </w:pPr>
      <w:r>
        <w:rPr/>
        <w:t>时，也在不断将信息技术与服务相结合，例如提供线上服务功能，解决客户查询和验证需求；通过增加电子芯片提升产品的</w:t>
      </w:r>
    </w:p>
    <w:p>
      <w:pPr>
        <w:pStyle w:val="BodyText"/>
        <w:spacing w:line="316" w:lineRule="auto" w:before="76"/>
        <w:ind w:right="1034"/>
        <w:jc w:val="left"/>
      </w:pPr>
      <w:r>
        <w:rPr/>
        <w:t>防伪性能，减少金融诈骗。在不断增加服务领域的同时，为客户解决场景应用需求，通过数字印刷与服务、流程的自动化、 </w:t>
      </w:r>
      <w:r>
        <w:rPr>
          <w:spacing w:val="-2"/>
        </w:rPr>
        <w:t>个性化服务，线上服务等综合类服务模式，使印刷服务与解决方案逐渐融合在一起，产生新的商业模式，打造多层次服务的</w:t>
      </w:r>
      <w:r>
        <w:rPr>
          <w:spacing w:val="-65"/>
        </w:rPr>
        <w:t> </w:t>
      </w:r>
      <w:r>
        <w:rPr>
          <w:spacing w:val="-65"/>
        </w:rPr>
      </w:r>
      <w:r>
        <w:rPr/>
        <w:t>商业模式，市场规模远超传统印刷业务现有规模。</w:t>
      </w:r>
    </w:p>
    <w:p>
      <w:pPr>
        <w:pStyle w:val="BodyText"/>
        <w:spacing w:line="360" w:lineRule="auto" w:before="59"/>
        <w:ind w:left="513" w:right="0"/>
        <w:jc w:val="left"/>
      </w:pPr>
      <w:r>
        <w:rPr/>
        <w:t>④</w:t>
      </w:r>
      <w:r>
        <w:rPr>
          <w:spacing w:val="54"/>
        </w:rPr>
        <w:t> </w:t>
      </w:r>
      <w:r>
        <w:rPr/>
        <w:t>电子票证类产品应用更加广泛</w:t>
      </w:r>
      <w:r>
        <w:rPr/>
        <w:t> </w:t>
      </w:r>
      <w:r>
        <w:rPr>
          <w:spacing w:val="-2"/>
        </w:rPr>
        <w:t>移动互联网网络技术发展迅猛，电子商务和移动支付正在改变着传统的消费习惯，在此背景下，衍生出了对电子票证类</w:t>
      </w:r>
    </w:p>
    <w:p>
      <w:pPr>
        <w:pStyle w:val="BodyText"/>
        <w:spacing w:line="236" w:lineRule="exact"/>
        <w:ind w:right="0"/>
        <w:jc w:val="left"/>
      </w:pPr>
      <w:r>
        <w:rPr/>
        <w:t>产品的新兴需求，相对于传统票证而言，电子票证具有便于存储查询，绿色环保，防伪度较高的特点。</w:t>
      </w:r>
      <w:r>
        <w:rPr>
          <w:rFonts w:ascii="Times New Roman" w:hAnsi="Times New Roman" w:cs="Times New Roman" w:eastAsia="Times New Roman" w:hint="default"/>
        </w:rPr>
        <w:t>2016</w:t>
      </w:r>
      <w:r>
        <w:rPr/>
        <w:t>年初，财政部、</w:t>
      </w:r>
    </w:p>
    <w:p>
      <w:pPr>
        <w:pStyle w:val="BodyText"/>
        <w:spacing w:line="312" w:lineRule="auto" w:before="63"/>
        <w:ind w:right="1033"/>
        <w:jc w:val="left"/>
      </w:pPr>
      <w:r>
        <w:rPr>
          <w:spacing w:val="-2"/>
        </w:rPr>
        <w:t>国家档案局联合发布了新的《会计档案管理办法》，明确了电子档案的法律地位。除应用于税务系统的电子发票外，财税系</w:t>
      </w:r>
      <w:r>
        <w:rPr>
          <w:spacing w:val="-67"/>
        </w:rPr>
        <w:t> </w:t>
      </w:r>
      <w:r>
        <w:rPr>
          <w:spacing w:val="-67"/>
        </w:rPr>
      </w:r>
      <w:r>
        <w:rPr>
          <w:spacing w:val="-7"/>
        </w:rPr>
        <w:t>统的电子收据类业务也开始进行技术研究和试点，</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11</w:t>
      </w:r>
      <w:r>
        <w:rPr>
          <w:spacing w:val="-7"/>
        </w:rPr>
        <w:t>月，财政部发布了《关于全面推开财政电子票据管理改革的通知》，</w:t>
      </w:r>
      <w:r>
        <w:rPr>
          <w:spacing w:val="-33"/>
        </w:rPr>
        <w:t> </w:t>
      </w:r>
      <w:r>
        <w:rPr>
          <w:spacing w:val="-33"/>
        </w:rPr>
      </w:r>
      <w:r>
        <w:rPr>
          <w:spacing w:val="-2"/>
        </w:rPr>
        <w:t>决定在全国范围内全面推开财政电子票据管理改革，财政票据将成为电子票据重要的应用领域。区块链技术的兴起，使得电</w:t>
      </w:r>
      <w:r>
        <w:rPr>
          <w:spacing w:val="-66"/>
        </w:rPr>
        <w:t> </w:t>
      </w:r>
      <w:r>
        <w:rPr>
          <w:spacing w:val="-66"/>
        </w:rPr>
      </w:r>
      <w:r>
        <w:rPr>
          <w:spacing w:val="-2"/>
        </w:rPr>
        <w:t>子票证类业务有了新的业务发展模式，利用区块链技术去中心化特点，实现基于区块链网络中的分布式存储，完善电子票据</w:t>
      </w:r>
      <w:r>
        <w:rPr>
          <w:spacing w:val="-63"/>
        </w:rPr>
        <w:t> </w:t>
      </w:r>
      <w:r>
        <w:rPr>
          <w:spacing w:val="-63"/>
        </w:rPr>
      </w:r>
      <w:r>
        <w:rPr>
          <w:spacing w:val="-2"/>
        </w:rPr>
        <w:t>服务的验证和使用效率，有利于电子票证产品的推广和使用，拓展电子票证的市场空间。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日，国家明确了区块</w:t>
      </w:r>
      <w:r>
        <w:rPr>
          <w:spacing w:val="-59"/>
        </w:rPr>
        <w:t> </w:t>
      </w:r>
      <w:r>
        <w:rPr>
          <w:spacing w:val="-59"/>
        </w:rPr>
      </w:r>
      <w:r>
        <w:rPr>
          <w:spacing w:val="-2"/>
        </w:rPr>
        <w:t>链技术的战略意义，推动区块链技术和产业创新发展。这也使得区块链技术的应用在政策方面得到了认可，并将获得更大的</w:t>
      </w:r>
      <w:r>
        <w:rPr>
          <w:spacing w:val="-63"/>
        </w:rPr>
        <w:t> </w:t>
      </w:r>
      <w:r>
        <w:rPr>
          <w:spacing w:val="-63"/>
        </w:rPr>
      </w:r>
      <w:r>
        <w:rPr/>
        <w:t>市场空间。</w:t>
      </w:r>
    </w:p>
    <w:p>
      <w:pPr>
        <w:pStyle w:val="BodyText"/>
        <w:spacing w:line="360" w:lineRule="auto" w:before="61"/>
        <w:ind w:left="513" w:right="0"/>
        <w:jc w:val="left"/>
      </w:pPr>
      <w:r>
        <w:rPr/>
        <w:t>⑤</w:t>
      </w:r>
      <w:r>
        <w:rPr>
          <w:spacing w:val="-18"/>
        </w:rPr>
        <w:t> </w:t>
      </w:r>
      <w:r>
        <w:rPr/>
        <w:t>档案存储业务方兴未艾</w:t>
      </w:r>
      <w:r>
        <w:rPr/>
        <w:t> </w:t>
      </w:r>
      <w:r>
        <w:rPr>
          <w:spacing w:val="-2"/>
        </w:rPr>
        <w:t>随着经济活动的增加，各类组织机构业务的扩展和规模的扩大，各类档案的数量也随之增加，但传统的档案存储与管理</w:t>
      </w:r>
    </w:p>
    <w:p>
      <w:pPr>
        <w:pStyle w:val="BodyText"/>
        <w:spacing w:line="222" w:lineRule="exact"/>
        <w:ind w:right="0"/>
        <w:jc w:val="left"/>
      </w:pPr>
      <w:r>
        <w:rPr/>
        <w:t>模式，难以满足分级管理、长期保存，远程查阅等诸多需求。因此，建立规范化、标准化的档案存储基地，档案实物存储与</w:t>
      </w:r>
    </w:p>
    <w:p>
      <w:pPr>
        <w:pStyle w:val="BodyText"/>
        <w:spacing w:line="316" w:lineRule="auto" w:before="77"/>
        <w:ind w:right="1034"/>
        <w:jc w:val="left"/>
      </w:pPr>
      <w:r>
        <w:rPr/>
        <w:t>信息技术相结合，档案电子化也将成为未来档案管理的发展方向。目前我国档案存储外包业务还处于起步阶段，大型银行、 保险等金融企业、医院、学校、政府业务单位以及中小企业，对于档案存储均有服务需求，未来的市场潜力巨大。</w:t>
      </w:r>
    </w:p>
    <w:p>
      <w:pPr>
        <w:pStyle w:val="BodyText"/>
        <w:spacing w:line="240" w:lineRule="auto" w:before="57"/>
        <w:ind w:left="513" w:right="0"/>
        <w:jc w:val="left"/>
      </w:pPr>
      <w:r>
        <w:rPr/>
        <w:t>⑥</w:t>
      </w:r>
      <w:r>
        <w:rPr>
          <w:spacing w:val="-18"/>
        </w:rPr>
        <w:t> </w:t>
      </w:r>
      <w:r>
        <w:rPr/>
        <w:t>新渠道彩票销售市场潜力巨大</w:t>
      </w:r>
    </w:p>
    <w:p>
      <w:pPr>
        <w:pStyle w:val="BodyText"/>
        <w:spacing w:line="309" w:lineRule="auto" w:before="117"/>
        <w:ind w:right="1128" w:firstLine="360"/>
        <w:jc w:val="both"/>
      </w:pPr>
      <w:r>
        <w:rPr>
          <w:rFonts w:ascii="Times New Roman" w:hAnsi="Times New Roman" w:cs="Times New Roman" w:eastAsia="Times New Roman" w:hint="default"/>
        </w:rPr>
        <w:t>2019</w:t>
      </w:r>
      <w:r>
        <w:rPr/>
        <w:t>年，我国彩票销售达到</w:t>
      </w:r>
      <w:r>
        <w:rPr>
          <w:rFonts w:ascii="宋体" w:hAnsi="宋体" w:cs="宋体" w:eastAsia="宋体" w:hint="default"/>
        </w:rPr>
        <w:t>4</w:t>
      </w:r>
      <w:r>
        <w:rPr>
          <w:rFonts w:ascii="Times New Roman" w:hAnsi="Times New Roman" w:cs="Times New Roman" w:eastAsia="Times New Roman" w:hint="default"/>
        </w:rPr>
        <w:t>,221</w:t>
      </w:r>
      <w:r>
        <w:rPr/>
        <w:t>亿元，但主要销售渠道仍以线下的实体专营店铺销售为主。</w:t>
      </w:r>
      <w:r>
        <w:rPr>
          <w:rFonts w:ascii="Times New Roman" w:hAnsi="Times New Roman" w:cs="Times New Roman" w:eastAsia="Times New Roman" w:hint="default"/>
        </w:rPr>
        <w:t>2015</w:t>
      </w:r>
      <w:r>
        <w:rPr/>
        <w:t>年，在国家主管单位 </w:t>
      </w:r>
      <w:r>
        <w:rPr>
          <w:spacing w:val="-2"/>
        </w:rPr>
        <w:t>暂停了互联网彩票销售渠道后，兼营场所彩票销售模式正在逐步扩大销售规模。与传统彩票专营销售模式相比，兼营的彩票</w:t>
      </w:r>
      <w:r>
        <w:rPr>
          <w:spacing w:val="-62"/>
        </w:rPr>
        <w:t> </w:t>
      </w:r>
      <w:r>
        <w:rPr>
          <w:spacing w:val="-62"/>
        </w:rPr>
      </w:r>
      <w:r>
        <w:rPr/>
        <w:t>销售模式具有占地面积小，购买及兑奖便捷，实时监控等优点，是传统销售模式的有效补充，未来的市场空间巨大。</w:t>
      </w:r>
    </w:p>
    <w:p>
      <w:pPr>
        <w:pStyle w:val="BodyText"/>
        <w:spacing w:line="240" w:lineRule="auto" w:before="65"/>
        <w:ind w:left="513" w:right="0"/>
        <w:jc w:val="left"/>
      </w:pPr>
      <w:r>
        <w:rPr/>
        <w:t>（</w:t>
      </w:r>
      <w:r>
        <w:rPr>
          <w:rFonts w:ascii="Times New Roman" w:hAnsi="Times New Roman" w:cs="Times New Roman" w:eastAsia="Times New Roman" w:hint="default"/>
        </w:rPr>
        <w:t>2</w:t>
      </w:r>
      <w:r>
        <w:rPr/>
        <w:t>）行业竞争格局</w:t>
      </w:r>
    </w:p>
    <w:p>
      <w:pPr>
        <w:pStyle w:val="BodyText"/>
        <w:spacing w:line="240" w:lineRule="auto" w:before="101"/>
        <w:ind w:left="513" w:right="0"/>
        <w:jc w:val="left"/>
      </w:pPr>
      <w:r>
        <w:rPr/>
        <w:t>①</w:t>
      </w:r>
      <w:r>
        <w:rPr>
          <w:spacing w:val="-18"/>
        </w:rPr>
        <w:t> </w:t>
      </w:r>
      <w:r>
        <w:rPr/>
        <w:t>随着政府在环保、安检领域监管的加强，要求企业运营必须规范，因此综合实力强的大型印刷厂商运营管理更加具</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有优势，加之原材料成本上升，人力成本增加，迫使区域性的小型印刷供应商逐步退出市场，大型厂商竞争实力提升，产品</w:t>
      </w:r>
      <w:r>
        <w:rPr>
          <w:spacing w:val="-67"/>
        </w:rPr>
        <w:t> </w:t>
      </w:r>
      <w:r>
        <w:rPr>
          <w:spacing w:val="-67"/>
        </w:rPr>
      </w:r>
      <w:r>
        <w:rPr/>
        <w:t>议价能力提高。</w:t>
      </w:r>
    </w:p>
    <w:p>
      <w:pPr>
        <w:pStyle w:val="BodyText"/>
        <w:spacing w:line="316" w:lineRule="auto" w:before="58"/>
        <w:ind w:right="1135" w:firstLine="360"/>
        <w:jc w:val="both"/>
      </w:pPr>
      <w:r>
        <w:rPr/>
        <w:t>②</w:t>
      </w:r>
      <w:r>
        <w:rPr>
          <w:spacing w:val="-18"/>
        </w:rPr>
        <w:t> </w:t>
      </w:r>
      <w:r>
        <w:rPr/>
        <w:t>随着信息技术的进步，以及客户需求逐渐向数字化、个性化、系统集成化方向发展，全国性的大型供应商具有提供</w:t>
      </w:r>
      <w:r>
        <w:rPr/>
        <w:t> </w:t>
      </w:r>
      <w:r>
        <w:rPr>
          <w:spacing w:val="-2"/>
        </w:rPr>
        <w:t>多样性服务的综合实力，能够提供一站式、多产品的服务，在产品研发、售后服务等多方面占有优势，而且能够开发具有针</w:t>
      </w:r>
      <w:r>
        <w:rPr>
          <w:spacing w:val="-67"/>
        </w:rPr>
        <w:t> </w:t>
      </w:r>
      <w:r>
        <w:rPr>
          <w:spacing w:val="-67"/>
        </w:rPr>
      </w:r>
      <w:r>
        <w:rPr/>
        <w:t>对性的产品和服务，因此在市场竞争中更加具有优势。</w:t>
      </w:r>
    </w:p>
    <w:p>
      <w:pPr>
        <w:pStyle w:val="BodyText"/>
        <w:spacing w:line="316" w:lineRule="auto" w:before="57"/>
        <w:ind w:right="1159" w:firstLine="360"/>
        <w:jc w:val="both"/>
      </w:pPr>
      <w:r>
        <w:rPr/>
        <w:t>③</w:t>
      </w:r>
      <w:r>
        <w:rPr>
          <w:spacing w:val="-18"/>
        </w:rPr>
        <w:t> </w:t>
      </w:r>
      <w:r>
        <w:rPr/>
        <w:t>以电子发票为代表的电子票证类业务逐步成熟，随着技术的发展，以区块链为代表的新技术方兴未艾，虽然该类技</w:t>
      </w:r>
      <w:r>
        <w:rPr/>
        <w:t> 术的相关标准和服务模式还在逐步完善，但未来具有良好的应用空间，能够促进电子票据产品的发展。</w:t>
      </w:r>
    </w:p>
    <w:p>
      <w:pPr>
        <w:pStyle w:val="BodyText"/>
        <w:spacing w:line="316" w:lineRule="auto" w:before="59"/>
        <w:ind w:right="1130" w:firstLine="360"/>
        <w:jc w:val="both"/>
      </w:pPr>
      <w:r>
        <w:rPr/>
        <w:t>④</w:t>
      </w:r>
      <w:r>
        <w:rPr>
          <w:spacing w:val="-18"/>
        </w:rPr>
        <w:t> </w:t>
      </w:r>
      <w:r>
        <w:rPr/>
        <w:t>档案存储及电子化业务未来发展空间巨大，在政府、大型金融机构等大型存储业务的招标中，管理规范、安全保密</w:t>
      </w:r>
      <w:r>
        <w:rPr/>
        <w:t> </w:t>
      </w:r>
      <w:r>
        <w:rPr>
          <w:spacing w:val="-2"/>
        </w:rPr>
        <w:t>服务能力强的供应商具有竞争优势。在提供实物存储的基础上，档案电子化以及远程档案查询和调阅等系统开发业务，也越</w:t>
      </w:r>
      <w:r>
        <w:rPr>
          <w:spacing w:val="-63"/>
        </w:rPr>
        <w:t> </w:t>
      </w:r>
      <w:r>
        <w:rPr>
          <w:spacing w:val="-63"/>
        </w:rPr>
      </w:r>
      <w:r>
        <w:rPr/>
        <w:t>来越受到重视，客户对于服务商的系统集成开发能力有较高要求。因此，具有研发能力的供应商能够抢占高端客户市场。</w:t>
      </w:r>
    </w:p>
    <w:p>
      <w:pPr>
        <w:pStyle w:val="BodyText"/>
        <w:spacing w:line="316" w:lineRule="auto" w:before="59"/>
        <w:ind w:right="1158" w:firstLine="360"/>
        <w:jc w:val="both"/>
      </w:pPr>
      <w:r>
        <w:rPr/>
        <w:t>⑤</w:t>
      </w:r>
      <w:r>
        <w:rPr>
          <w:spacing w:val="-19"/>
        </w:rPr>
        <w:t> </w:t>
      </w:r>
      <w:r>
        <w:rPr/>
        <w:t>新渠道彩票销售，特别是彩票兼营销售渠道，作为重要销售渠道的补充，正在受到彩票发行单位的重视。具有全国</w:t>
      </w:r>
      <w:r>
        <w:rPr/>
        <w:t> 服务能力的供应商，研发和推广多品种彩票的一体式智能销售终端，为客户提供更加完善的产品和服务。</w:t>
      </w:r>
    </w:p>
    <w:p>
      <w:pPr>
        <w:pStyle w:val="BodyText"/>
        <w:spacing w:line="340" w:lineRule="auto" w:before="58"/>
        <w:ind w:left="513" w:right="0"/>
        <w:jc w:val="left"/>
      </w:pPr>
      <w:r>
        <w:rPr>
          <w:rFonts w:ascii="Times New Roman" w:hAnsi="Times New Roman" w:cs="Times New Roman" w:eastAsia="Times New Roman" w:hint="default"/>
        </w:rPr>
        <w:t>2</w:t>
      </w:r>
      <w:r>
        <w:rPr/>
        <w:t>、公司的发展战略 </w:t>
      </w:r>
      <w:r>
        <w:rPr>
          <w:spacing w:val="-2"/>
        </w:rPr>
        <w:t>本公司秉承</w:t>
      </w:r>
      <w:r>
        <w:rPr>
          <w:rFonts w:ascii="Times New Roman" w:hAnsi="Times New Roman" w:cs="Times New Roman" w:eastAsia="Times New Roman" w:hint="default"/>
          <w:spacing w:val="-2"/>
        </w:rPr>
        <w:t>“</w:t>
      </w:r>
      <w:r>
        <w:rPr>
          <w:spacing w:val="-2"/>
        </w:rPr>
        <w:t>市场唯先、用户至上的</w:t>
      </w:r>
      <w:r>
        <w:rPr>
          <w:rFonts w:ascii="Times New Roman" w:hAnsi="Times New Roman" w:cs="Times New Roman" w:eastAsia="Times New Roman" w:hint="default"/>
          <w:spacing w:val="-2"/>
        </w:rPr>
        <w:t>”</w:t>
      </w:r>
      <w:r>
        <w:rPr>
          <w:spacing w:val="-2"/>
        </w:rPr>
        <w:t>经营思想，以市场为导向，以管理为后盾，针对当前票证产品的发展趋势，不断加</w:t>
      </w:r>
    </w:p>
    <w:p>
      <w:pPr>
        <w:pStyle w:val="BodyText"/>
        <w:spacing w:line="215" w:lineRule="exact"/>
        <w:ind w:right="0"/>
        <w:jc w:val="left"/>
      </w:pPr>
      <w:r>
        <w:rPr/>
        <w:t>大科研创新力度，提高产品技术含量，在保持传统业务稳步增长的基础上，依托电子信息产业发展，大力推进电子票证、新</w:t>
      </w:r>
    </w:p>
    <w:p>
      <w:pPr>
        <w:pStyle w:val="BodyText"/>
        <w:spacing w:line="360" w:lineRule="auto" w:before="76"/>
        <w:ind w:left="513" w:right="0" w:hanging="361"/>
        <w:jc w:val="left"/>
      </w:pPr>
      <w:r>
        <w:rPr/>
        <w:t>渠道彩票销售和档案存储与电子化等新业务的发展，全面提升公司的竞争能力，保持公司长期可持续发展。 </w:t>
      </w:r>
      <w:r>
        <w:rPr>
          <w:spacing w:val="-2"/>
        </w:rPr>
        <w:t>公司的经营战略是进一步巩固公司在国内票证印刷行业内的领先地位，大力发展新产品，通过产品升级和产业转型，实</w:t>
      </w:r>
    </w:p>
    <w:p>
      <w:pPr>
        <w:pStyle w:val="BodyText"/>
        <w:spacing w:line="222" w:lineRule="exact"/>
        <w:ind w:right="0"/>
        <w:jc w:val="left"/>
      </w:pPr>
      <w:r>
        <w:rPr/>
        <w:t>现由传统的商业票证印刷商向基于信息服务业的综合服务供应商转型，保持经营业绩的稳步增长。</w:t>
      </w:r>
    </w:p>
    <w:p>
      <w:pPr>
        <w:pStyle w:val="BodyText"/>
        <w:spacing w:line="240" w:lineRule="auto" w:before="115"/>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年经营计划和主要目标</w:t>
      </w:r>
    </w:p>
    <w:p>
      <w:pPr>
        <w:pStyle w:val="BodyText"/>
        <w:spacing w:line="300" w:lineRule="auto" w:before="103"/>
        <w:ind w:right="1139" w:firstLine="360"/>
        <w:jc w:val="both"/>
      </w:pPr>
      <w:r>
        <w:rPr/>
        <w:t>（</w:t>
      </w:r>
      <w:r>
        <w:rPr>
          <w:rFonts w:ascii="Times New Roman" w:hAnsi="Times New Roman" w:cs="Times New Roman" w:eastAsia="Times New Roman" w:hint="default"/>
        </w:rPr>
        <w:t>1</w:t>
      </w:r>
      <w:r>
        <w:rPr/>
        <w:t>）继续推动技术服务业务的快速发展，通过发展区块链电子票证、新渠道彩票销售终端、档案存储等新业务，巩固 在各细分领域的领先地位，扩大市场规模，力争实现经营业绩快速提高。</w:t>
      </w:r>
    </w:p>
    <w:p>
      <w:pPr>
        <w:pStyle w:val="BodyText"/>
        <w:spacing w:line="300" w:lineRule="auto" w:before="72"/>
        <w:ind w:right="1138" w:firstLine="360"/>
        <w:jc w:val="both"/>
      </w:pPr>
      <w:r>
        <w:rPr/>
        <w:t>（</w:t>
      </w:r>
      <w:r>
        <w:rPr>
          <w:rFonts w:ascii="Times New Roman" w:hAnsi="Times New Roman" w:cs="Times New Roman" w:eastAsia="Times New Roman" w:hint="default"/>
        </w:rPr>
        <w:t>2</w:t>
      </w:r>
      <w:r>
        <w:rPr/>
        <w:t>）充分利用自身竞争优势，采取多种措施，挖掘市场潜力，提高印刷类产品和覆合类产品的市场占有率，争取更多 优质客户，保持营业收入和净利润水平。</w:t>
      </w:r>
    </w:p>
    <w:p>
      <w:pPr>
        <w:pStyle w:val="BodyText"/>
        <w:spacing w:line="240" w:lineRule="auto" w:before="70"/>
        <w:ind w:left="657"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优化业务流程、提高生产效率，切实降低成本费用，提升产品净利率。</w:t>
      </w:r>
    </w:p>
    <w:p>
      <w:pPr>
        <w:pStyle w:val="BodyText"/>
        <w:spacing w:line="240" w:lineRule="auto" w:before="103"/>
        <w:ind w:left="513" w:right="0"/>
        <w:jc w:val="left"/>
      </w:pPr>
      <w:r>
        <w:rPr>
          <w:rFonts w:ascii="Times New Roman" w:hAnsi="Times New Roman" w:cs="Times New Roman" w:eastAsia="Times New Roman" w:hint="default"/>
        </w:rPr>
        <w:t>4</w:t>
      </w:r>
      <w:r>
        <w:rPr/>
        <w:t>、公司面临的风险及应对措施</w:t>
      </w:r>
    </w:p>
    <w:p>
      <w:pPr>
        <w:pStyle w:val="BodyText"/>
        <w:spacing w:line="338" w:lineRule="auto" w:before="103"/>
        <w:ind w:left="513" w:right="139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2020</w:t>
      </w:r>
      <w:r>
        <w:rPr/>
        <w:t>年由于受到全球新冠疫情的影响，宏观经济增速放缓，总体市场需求下降，营业收入受到影响。 应对措施：充分挖掘服务经济的需求，充分利用企业竞争优势，加大服务范围和业务种类，多渠道增加经营收入。</w:t>
      </w:r>
    </w:p>
    <w:p>
      <w:pPr>
        <w:pStyle w:val="BodyText"/>
        <w:spacing w:line="340" w:lineRule="auto" w:before="43"/>
        <w:ind w:left="513" w:right="2113"/>
        <w:jc w:val="left"/>
      </w:pPr>
      <w:r>
        <w:rPr/>
        <w:t>（</w:t>
      </w:r>
      <w:r>
        <w:rPr>
          <w:rFonts w:ascii="Times New Roman" w:hAnsi="Times New Roman" w:cs="Times New Roman" w:eastAsia="Times New Roman" w:hint="default"/>
        </w:rPr>
        <w:t>2</w:t>
      </w:r>
      <w:r>
        <w:rPr/>
        <w:t>）新型业务增速放缓 应对措施：以新的技术应用为突破口，通过提供新技术、新服务打造新的服务模式，促进新业务的发展。</w:t>
      </w:r>
    </w:p>
    <w:p>
      <w:pPr>
        <w:pStyle w:val="BodyText"/>
        <w:spacing w:line="340" w:lineRule="auto" w:before="39"/>
        <w:ind w:left="657" w:right="1969" w:hanging="144"/>
        <w:jc w:val="left"/>
      </w:pPr>
      <w:r>
        <w:rPr/>
        <w:t>（</w:t>
      </w:r>
      <w:r>
        <w:rPr>
          <w:rFonts w:ascii="Times New Roman" w:hAnsi="Times New Roman" w:cs="Times New Roman" w:eastAsia="Times New Roman" w:hint="default"/>
        </w:rPr>
        <w:t>3</w:t>
      </w:r>
      <w:r>
        <w:rPr/>
        <w:t>）传统业务成本上升 应对措施：优化业务流程，提高生产效率，进一步提升区域生产和销售的集中度，降低采购和生产成本。</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请查阅深圳证券交易所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 本公司披露的《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 者关系活动记录表》</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484"/>
        <w:jc w:val="center"/>
        <w:rPr>
          <w:b w:val="0"/>
          <w:bCs w:val="0"/>
        </w:rPr>
      </w:pPr>
      <w:bookmarkStart w:name="第五节重要事项" w:id="59"/>
      <w:bookmarkEnd w:id="59"/>
      <w:r>
        <w:rPr>
          <w:b w:val="0"/>
          <w:bCs w:val="0"/>
        </w:rPr>
      </w:r>
      <w:bookmarkStart w:name="_bookmark4" w:id="60"/>
      <w:bookmarkEnd w:id="60"/>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3"/>
        <w:ind w:left="532" w:right="0"/>
        <w:jc w:val="left"/>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2017</w:t>
      </w:r>
      <w:r>
        <w:rPr/>
        <w:t>年度利润分配方案：按净利润的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983.62</w:t>
      </w:r>
      <w:r>
        <w:rPr/>
        <w:t>万元；按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pStyle w:val="BodyText"/>
        <w:spacing w:line="300" w:lineRule="auto" w:before="63"/>
        <w:ind w:right="0"/>
        <w:jc w:val="left"/>
      </w:pPr>
      <w:r>
        <w:rPr>
          <w:rFonts w:ascii="Times New Roman" w:hAnsi="Times New Roman" w:cs="Times New Roman" w:eastAsia="Times New Roman" w:hint="default"/>
          <w:spacing w:val="-1"/>
        </w:rPr>
        <w:t>363,777,614</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4</w:t>
      </w:r>
      <w:r>
        <w:rPr>
          <w:spacing w:val="-1"/>
        </w:rPr>
        <w:t>元（含税），合计派发现金股利</w:t>
      </w:r>
      <w:r>
        <w:rPr>
          <w:rFonts w:ascii="Times New Roman" w:hAnsi="Times New Roman" w:cs="Times New Roman" w:eastAsia="Times New Roman" w:hint="default"/>
          <w:spacing w:val="-1"/>
        </w:rPr>
        <w:t>145,511,045.60</w:t>
      </w:r>
      <w:r>
        <w:rPr>
          <w:spacing w:val="-1"/>
        </w:rPr>
        <w:t>元，剩余未分配利润</w:t>
      </w:r>
      <w:r>
        <w:rPr>
          <w:spacing w:val="-75"/>
        </w:rPr>
        <w:t> </w:t>
      </w:r>
      <w:r>
        <w:rPr>
          <w:spacing w:val="-75"/>
        </w:rPr>
      </w:r>
      <w:r>
        <w:rPr/>
        <w:t>结转至下一年度。</w:t>
      </w:r>
    </w:p>
    <w:p>
      <w:pPr>
        <w:pStyle w:val="BodyText"/>
        <w:spacing w:line="240" w:lineRule="auto" w:before="73"/>
        <w:ind w:left="513" w:right="0"/>
        <w:jc w:val="left"/>
      </w:pPr>
      <w:r>
        <w:rPr>
          <w:rFonts w:ascii="Times New Roman" w:hAnsi="Times New Roman" w:cs="Times New Roman" w:eastAsia="Times New Roman" w:hint="default"/>
          <w:spacing w:val="5"/>
        </w:rPr>
        <w:t>2</w:t>
      </w:r>
      <w:r>
        <w:rPr>
          <w:spacing w:val="5"/>
        </w:rPr>
        <w:t>、本公司</w:t>
      </w:r>
      <w:r>
        <w:rPr>
          <w:rFonts w:ascii="Times New Roman" w:hAnsi="Times New Roman" w:cs="Times New Roman" w:eastAsia="Times New Roman" w:hint="default"/>
          <w:spacing w:val="5"/>
        </w:rPr>
        <w:t>2018</w:t>
      </w:r>
      <w:r>
        <w:rPr>
          <w:spacing w:val="5"/>
        </w:rPr>
        <w:t>年度利润分配方案：按净利润的</w:t>
      </w:r>
      <w:r>
        <w:rPr>
          <w:rFonts w:ascii="Times New Roman" w:hAnsi="Times New Roman" w:cs="Times New Roman" w:eastAsia="Times New Roman" w:hint="default"/>
          <w:spacing w:val="5"/>
        </w:rPr>
        <w:t>5</w:t>
      </w:r>
      <w:r>
        <w:rPr>
          <w:spacing w:val="5"/>
        </w:rPr>
        <w:t>％提取任意盈余公积</w:t>
      </w:r>
      <w:r>
        <w:rPr>
          <w:rFonts w:ascii="Times New Roman" w:hAnsi="Times New Roman" w:cs="Times New Roman" w:eastAsia="Times New Roman" w:hint="default"/>
          <w:spacing w:val="5"/>
        </w:rPr>
        <w:t>1,222.76</w:t>
      </w:r>
      <w:r>
        <w:rPr>
          <w:spacing w:val="5"/>
        </w:rPr>
        <w:t>万元；按</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日公司总股本</w:t>
      </w:r>
    </w:p>
    <w:p>
      <w:pPr>
        <w:pStyle w:val="BodyText"/>
        <w:spacing w:line="300" w:lineRule="auto" w:before="63"/>
        <w:ind w:right="1124"/>
        <w:jc w:val="left"/>
      </w:pPr>
      <w:r>
        <w:rPr>
          <w:rFonts w:ascii="Times New Roman" w:hAnsi="Times New Roman" w:cs="Times New Roman" w:eastAsia="Times New Roman" w:hint="default"/>
        </w:rPr>
        <w:t>363,777,614</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7.00</w:t>
      </w:r>
      <w:r>
        <w:rPr/>
        <w:t>元（含税），送红股</w:t>
      </w:r>
      <w:r>
        <w:rPr>
          <w:rFonts w:ascii="Times New Roman" w:hAnsi="Times New Roman" w:cs="Times New Roman" w:eastAsia="Times New Roman" w:hint="default"/>
        </w:rPr>
        <w:t>5</w:t>
      </w:r>
      <w:r>
        <w:rPr/>
        <w:t>股，合计派发现金股利</w:t>
      </w:r>
      <w:r>
        <w:rPr>
          <w:rFonts w:ascii="Times New Roman" w:hAnsi="Times New Roman" w:cs="Times New Roman" w:eastAsia="Times New Roman" w:hint="default"/>
        </w:rPr>
        <w:t>254,644,329.80</w:t>
      </w:r>
      <w:r>
        <w:rPr/>
        <w:t>元，</w:t>
      </w:r>
      <w:r>
        <w:rPr>
          <w:spacing w:val="-3"/>
        </w:rPr>
        <w:t> </w:t>
      </w:r>
      <w:r>
        <w:rPr/>
        <w:t>送红股</w:t>
      </w:r>
      <w:r>
        <w:rPr>
          <w:rFonts w:ascii="Times New Roman" w:hAnsi="Times New Roman" w:cs="Times New Roman" w:eastAsia="Times New Roman" w:hint="default"/>
        </w:rPr>
        <w:t>181,888,807</w:t>
      </w:r>
      <w:r>
        <w:rPr/>
        <w:t>股，剩余未分配利润结转至下一年度。</w:t>
      </w:r>
    </w:p>
    <w:p>
      <w:pPr>
        <w:pStyle w:val="BodyText"/>
        <w:spacing w:line="240" w:lineRule="auto" w:before="10"/>
        <w:ind w:left="513" w:right="0"/>
        <w:jc w:val="left"/>
      </w:pPr>
      <w:r>
        <w:rPr>
          <w:rFonts w:ascii="宋体" w:hAnsi="宋体" w:cs="宋体" w:eastAsia="宋体" w:hint="default"/>
        </w:rPr>
        <w:t>3</w:t>
      </w:r>
      <w:r>
        <w:rPr/>
        <w:t>、本公司</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年度利润分配预案：按净利润的</w:t>
      </w:r>
      <w:r>
        <w:rPr>
          <w:spacing w:val="-48"/>
        </w:rPr>
        <w:t> </w:t>
      </w:r>
      <w:r>
        <w:rPr>
          <w:rFonts w:ascii="宋体" w:hAnsi="宋体" w:cs="宋体" w:eastAsia="宋体" w:hint="default"/>
        </w:rPr>
        <w:t>5</w:t>
      </w:r>
      <w:r>
        <w:rPr/>
        <w:t>％提取任意盈余公积</w:t>
      </w:r>
      <w:r>
        <w:rPr>
          <w:spacing w:val="-48"/>
        </w:rPr>
        <w:t> </w:t>
      </w:r>
      <w:r>
        <w:rPr>
          <w:rFonts w:ascii="宋体" w:hAnsi="宋体" w:cs="宋体" w:eastAsia="宋体" w:hint="default"/>
        </w:rPr>
        <w:t>986.46</w:t>
      </w:r>
      <w:r>
        <w:rPr>
          <w:rFonts w:ascii="宋体" w:hAnsi="宋体" w:cs="宋体" w:eastAsia="宋体" w:hint="default"/>
          <w:spacing w:val="-47"/>
        </w:rPr>
        <w:t> </w:t>
      </w:r>
      <w:r>
        <w:rPr>
          <w:spacing w:val="-4"/>
        </w:rPr>
        <w:t>万元；按</w:t>
      </w:r>
      <w:r>
        <w:rPr>
          <w:spacing w:val="-48"/>
        </w:rPr>
        <w:t> </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50"/>
        </w:rPr>
        <w:t> </w:t>
      </w:r>
      <w:r>
        <w:rPr>
          <w:rFonts w:ascii="宋体" w:hAnsi="宋体" w:cs="宋体" w:eastAsia="宋体" w:hint="default"/>
        </w:rPr>
        <w:t>31</w:t>
      </w:r>
      <w:r>
        <w:rPr>
          <w:rFonts w:ascii="宋体" w:hAnsi="宋体" w:cs="宋体" w:eastAsia="宋体" w:hint="default"/>
          <w:spacing w:val="-47"/>
        </w:rPr>
        <w:t> </w:t>
      </w:r>
      <w:r>
        <w:rPr/>
        <w:t>日公司总股本</w:t>
      </w:r>
    </w:p>
    <w:p>
      <w:pPr>
        <w:pStyle w:val="BodyText"/>
        <w:spacing w:line="357" w:lineRule="auto" w:before="101"/>
        <w:ind w:right="0"/>
        <w:jc w:val="left"/>
      </w:pPr>
      <w:r>
        <w:rPr>
          <w:rFonts w:ascii="宋体" w:hAnsi="宋体" w:cs="宋体" w:eastAsia="宋体" w:hint="default"/>
          <w:spacing w:val="-1"/>
        </w:rPr>
        <w:t>545,666,421</w:t>
      </w:r>
      <w:r>
        <w:rPr>
          <w:rFonts w:ascii="宋体" w:hAnsi="宋体" w:cs="宋体" w:eastAsia="宋体" w:hint="default"/>
          <w:spacing w:val="-39"/>
        </w:rPr>
        <w:t> </w:t>
      </w:r>
      <w:r>
        <w:rPr>
          <w:spacing w:val="-7"/>
        </w:rPr>
        <w:t>股为基数，向全体股东每</w:t>
      </w:r>
      <w:r>
        <w:rPr>
          <w:spacing w:val="-41"/>
        </w:rPr>
        <w:t> </w:t>
      </w:r>
      <w:r>
        <w:rPr>
          <w:rFonts w:ascii="宋体" w:hAnsi="宋体" w:cs="宋体" w:eastAsia="宋体" w:hint="default"/>
        </w:rPr>
        <w:t>10</w:t>
      </w:r>
      <w:r>
        <w:rPr>
          <w:rFonts w:ascii="宋体" w:hAnsi="宋体" w:cs="宋体" w:eastAsia="宋体" w:hint="default"/>
          <w:spacing w:val="-41"/>
        </w:rPr>
        <w:t> </w:t>
      </w:r>
      <w:r>
        <w:rPr>
          <w:spacing w:val="-1"/>
        </w:rPr>
        <w:t>股派发现金股利</w:t>
      </w:r>
      <w:r>
        <w:rPr>
          <w:spacing w:val="-42"/>
        </w:rPr>
        <w:t> </w:t>
      </w:r>
      <w:r>
        <w:rPr>
          <w:rFonts w:ascii="宋体" w:hAnsi="宋体" w:cs="宋体" w:eastAsia="宋体" w:hint="default"/>
        </w:rPr>
        <w:t>4</w:t>
      </w:r>
      <w:r>
        <w:rPr>
          <w:rFonts w:ascii="宋体" w:hAnsi="宋体" w:cs="宋体" w:eastAsia="宋体" w:hint="default"/>
          <w:spacing w:val="-41"/>
        </w:rPr>
        <w:t> </w:t>
      </w:r>
      <w:r>
        <w:rPr>
          <w:spacing w:val="-18"/>
        </w:rPr>
        <w:t>元（含税）。公司将共计派发</w:t>
      </w:r>
      <w:r>
        <w:rPr>
          <w:spacing w:val="-41"/>
        </w:rPr>
        <w:t> </w:t>
      </w:r>
      <w:r>
        <w:rPr>
          <w:rFonts w:ascii="宋体" w:hAnsi="宋体" w:cs="宋体" w:eastAsia="宋体" w:hint="default"/>
          <w:spacing w:val="-1"/>
        </w:rPr>
        <w:t>2019</w:t>
      </w:r>
      <w:r>
        <w:rPr>
          <w:rFonts w:ascii="宋体" w:hAnsi="宋体" w:cs="宋体" w:eastAsia="宋体" w:hint="default"/>
          <w:spacing w:val="-43"/>
        </w:rPr>
        <w:t> </w:t>
      </w:r>
      <w:r>
        <w:rPr/>
        <w:t>年度现金股利</w:t>
      </w:r>
      <w:r>
        <w:rPr>
          <w:spacing w:val="-41"/>
        </w:rPr>
        <w:t> </w:t>
      </w:r>
      <w:r>
        <w:rPr>
          <w:rFonts w:ascii="宋体" w:hAnsi="宋体" w:cs="宋体" w:eastAsia="宋体" w:hint="default"/>
          <w:spacing w:val="-5"/>
        </w:rPr>
        <w:t>218</w:t>
      </w:r>
      <w:r>
        <w:rPr>
          <w:spacing w:val="-5"/>
        </w:rPr>
        <w:t>，</w:t>
      </w:r>
      <w:r>
        <w:rPr>
          <w:rFonts w:ascii="宋体" w:hAnsi="宋体" w:cs="宋体" w:eastAsia="宋体" w:hint="default"/>
          <w:spacing w:val="-5"/>
        </w:rPr>
        <w:t>266,568.40</w:t>
      </w:r>
      <w:r>
        <w:rPr>
          <w:rFonts w:ascii="宋体" w:hAnsi="宋体" w:cs="宋体" w:eastAsia="宋体" w:hint="default"/>
        </w:rPr>
        <w:t> </w:t>
      </w:r>
      <w:r>
        <w:rPr/>
        <w:t>元。剩余未分配利润结转至下一年度。</w:t>
      </w:r>
    </w:p>
    <w:p>
      <w:pPr>
        <w:pStyle w:val="BodyText"/>
        <w:spacing w:line="240" w:lineRule="auto" w:before="108"/>
        <w:ind w:right="0"/>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218,266,568.40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266,721,676.93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81.83%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218,266,568.40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81.83%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254,644,329.80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256,767,604.63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254,644,329.80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99.17%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145,511,045.60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232,105,571.41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145,511,045.60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62.69%</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情况" w:id="62"/>
      <w:bookmarkEnd w:id="62"/>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3"/>
        <w:gridCol w:w="5786"/>
      </w:tblGrid>
      <w:tr>
        <w:trPr>
          <w:trHeight w:val="401"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545,666,421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85"/>
        <w:gridCol w:w="5786"/>
      </w:tblGrid>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218,266,568.40</w:t>
            </w:r>
          </w:p>
        </w:tc>
      </w:tr>
      <w:tr>
        <w:trPr>
          <w:trHeight w:val="402" w:hRule="exact"/>
        </w:trPr>
        <w:tc>
          <w:tcPr>
            <w:tcW w:w="378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left="24"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218266568.40</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277,254,300.00</w:t>
            </w:r>
          </w:p>
        </w:tc>
      </w:tr>
      <w:tr>
        <w:trPr>
          <w:trHeight w:val="714"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6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％提取任意盈余公积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986.46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、按</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w:t>
            </w:r>
            <w:r>
              <w:rPr>
                <w:rFonts w:ascii="宋体" w:hAnsi="宋体" w:cs="宋体" w:eastAsia="宋体" w:hint="default"/>
                <w:spacing w:val="-1"/>
                <w:sz w:val="18"/>
                <w:szCs w:val="18"/>
              </w:rPr>
              <w:t>向</w:t>
            </w:r>
            <w:r>
              <w:rPr>
                <w:rFonts w:ascii="宋体" w:hAnsi="宋体" w:cs="宋体" w:eastAsia="宋体" w:hint="default"/>
                <w:sz w:val="18"/>
                <w:szCs w:val="18"/>
              </w:rPr>
              <w:t>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。公司将共计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派发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年度现金股利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218,266,568.40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元。剩余未分配利润结转至下一年度。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38"/>
        <w:gridCol w:w="1137"/>
        <w:gridCol w:w="1126"/>
        <w:gridCol w:w="3135"/>
        <w:gridCol w:w="994"/>
        <w:gridCol w:w="857"/>
        <w:gridCol w:w="874"/>
      </w:tblGrid>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9"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3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137" w:type="dxa"/>
            <w:tcBorders>
              <w:top w:val="single" w:sz="4" w:space="0" w:color="000000"/>
              <w:left w:val="single" w:sz="9"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3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137" w:type="dxa"/>
            <w:tcBorders>
              <w:top w:val="single" w:sz="4" w:space="0" w:color="000000"/>
              <w:left w:val="single" w:sz="9"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3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1565"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97" w:lineRule="auto"/>
              <w:ind w:left="28"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前的发起 人股东</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3135"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、本公司目前并未以任何方式直接或间</w:t>
            </w:r>
            <w:r>
              <w:rPr>
                <w:rFonts w:ascii="宋体" w:hAnsi="宋体" w:cs="宋体" w:eastAsia="宋体" w:hint="default"/>
                <w:sz w:val="18"/>
                <w:szCs w:val="18"/>
              </w:rPr>
              <w:t> 接从事与东港安全印刷股份公司相竞争 </w:t>
            </w:r>
            <w:r>
              <w:rPr>
                <w:rFonts w:ascii="宋体" w:hAnsi="宋体" w:cs="宋体" w:eastAsia="宋体" w:hint="default"/>
                <w:spacing w:val="-4"/>
                <w:sz w:val="18"/>
                <w:szCs w:val="18"/>
              </w:rPr>
              <w:t>的业务；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、本公司目前并未拥有从事与</w:t>
            </w:r>
            <w:r>
              <w:rPr>
                <w:rFonts w:ascii="宋体" w:hAnsi="宋体" w:cs="宋体" w:eastAsia="宋体" w:hint="default"/>
                <w:sz w:val="18"/>
                <w:szCs w:val="18"/>
              </w:rPr>
              <w:t> 东港股份可能产生同业竞争企业（以下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竞争企业</w:t>
            </w:r>
            <w:r>
              <w:rPr>
                <w:rFonts w:ascii="Times New Roman" w:hAnsi="Times New Roman" w:cs="Times New Roman" w:eastAsia="Times New Roman" w:hint="default"/>
                <w:sz w:val="18"/>
                <w:szCs w:val="18"/>
              </w:rPr>
              <w:t>"</w:t>
            </w:r>
            <w:r>
              <w:rPr>
                <w:rFonts w:ascii="宋体" w:hAnsi="宋体" w:cs="宋体" w:eastAsia="宋体" w:hint="default"/>
                <w:sz w:val="18"/>
                <w:szCs w:val="18"/>
              </w:rPr>
              <w:t>）的任何股份、股权或 </w:t>
            </w:r>
            <w:r>
              <w:rPr>
                <w:rFonts w:ascii="宋体" w:hAnsi="宋体" w:cs="宋体" w:eastAsia="宋体" w:hint="default"/>
                <w:spacing w:val="-4"/>
                <w:sz w:val="18"/>
                <w:szCs w:val="18"/>
              </w:rPr>
              <w:t>在任何竞争企业有任何利益；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、本公司</w:t>
            </w:r>
            <w:r>
              <w:rPr>
                <w:rFonts w:ascii="宋体" w:hAnsi="宋体" w:cs="宋体" w:eastAsia="宋体" w:hint="default"/>
                <w:sz w:val="18"/>
                <w:szCs w:val="18"/>
              </w:rPr>
              <w:t> 将来不会以任何方式直接从事与东港股 份相竞争的业务；本公司将来不会直接 投资、收购竞争企业，亦不会以任何方 式为竞争企业提供任何业务上的帮助；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、本公司确认上述承诺适用于本公司具</w:t>
            </w:r>
            <w:r>
              <w:rPr>
                <w:rFonts w:ascii="宋体" w:hAnsi="宋体" w:cs="宋体" w:eastAsia="宋体" w:hint="default"/>
                <w:sz w:val="18"/>
                <w:szCs w:val="18"/>
              </w:rPr>
              <w:t> 有控制权的关联公司。</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04"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313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r>
      <w:tr>
        <w:trPr>
          <w:trHeight w:val="1565"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313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7" w:type="dxa"/>
            <w:tcBorders>
              <w:top w:val="single" w:sz="4" w:space="0" w:color="000000"/>
              <w:left w:val="single" w:sz="9"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3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59"/>
        <w:gridCol w:w="1126"/>
        <w:gridCol w:w="1126"/>
        <w:gridCol w:w="3135"/>
        <w:gridCol w:w="994"/>
        <w:gridCol w:w="857"/>
        <w:gridCol w:w="874"/>
      </w:tblGrid>
      <w:tr>
        <w:trPr>
          <w:trHeight w:val="1649"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90"/>
              <w:jc w:val="both"/>
              <w:rPr>
                <w:rFonts w:ascii="宋体" w:hAnsi="宋体" w:cs="宋体" w:eastAsia="宋体" w:hint="default"/>
                <w:sz w:val="18"/>
                <w:szCs w:val="18"/>
              </w:rPr>
            </w:pPr>
            <w:r>
              <w:rPr>
                <w:rFonts w:ascii="宋体" w:hAnsi="宋体" w:cs="宋体" w:eastAsia="宋体" w:hint="default"/>
                <w:sz w:val="18"/>
                <w:szCs w:val="18"/>
              </w:rPr>
              <w:t>香港喜多来 集团有限公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312" w:lineRule="auto" w:before="63"/>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日止，不减持所持有的东港公司股 份，包括承诺期间该部分股份因资本公 积转增、派送股票红利、配股、增发等 新增的股份。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截至本报 告披露之 </w:t>
            </w:r>
            <w:r>
              <w:rPr>
                <w:rFonts w:ascii="宋体" w:hAnsi="宋体" w:cs="宋体" w:eastAsia="宋体" w:hint="default"/>
                <w:spacing w:val="-17"/>
                <w:sz w:val="18"/>
                <w:szCs w:val="18"/>
              </w:rPr>
              <w:t>日，已履行</w:t>
            </w:r>
            <w:r>
              <w:rPr>
                <w:rFonts w:ascii="宋体" w:hAnsi="宋体" w:cs="宋体" w:eastAsia="宋体" w:hint="default"/>
                <w:sz w:val="18"/>
                <w:szCs w:val="18"/>
              </w:rPr>
              <w:t> 完毕。</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11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811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56" w:lineRule="auto" w:before="36"/>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1"/>
        </w:rPr>
        <w:t> </w:t>
      </w:r>
      <w:r>
        <w:rPr>
          <w:spacing w:val="-61"/>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7"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27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90"/>
              <w:jc w:val="both"/>
              <w:rPr>
                <w:rFonts w:ascii="宋体" w:hAnsi="宋体" w:cs="宋体" w:eastAsia="宋体" w:hint="default"/>
                <w:sz w:val="18"/>
                <w:szCs w:val="18"/>
              </w:rPr>
            </w:pPr>
            <w:r>
              <w:rPr>
                <w:rFonts w:ascii="宋体" w:hAnsi="宋体" w:cs="宋体" w:eastAsia="宋体" w:hint="default"/>
                <w:sz w:val="18"/>
                <w:szCs w:val="18"/>
              </w:rPr>
              <w:t>收购三家控股 子公司少数股 东股权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8,763.96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9,419.99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详见在巨潮资 讯网</w:t>
            </w:r>
          </w:p>
          <w:p>
            <w:pPr>
              <w:pStyle w:val="TableParagraph"/>
              <w:spacing w:line="309" w:lineRule="auto" w:before="19"/>
              <w:ind w:left="23"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 披露的《关联 交易进展公 告》</w:t>
            </w:r>
          </w:p>
        </w:tc>
      </w:tr>
    </w:tbl>
    <w:p>
      <w:pPr>
        <w:pStyle w:val="BodyText"/>
        <w:spacing w:line="240" w:lineRule="auto" w:before="49"/>
        <w:ind w:right="0"/>
        <w:jc w:val="left"/>
      </w:pPr>
      <w:r>
        <w:rPr/>
        <w:t>公司股东、交易对手方在报告年度经营业绩做出的承诺情况</w:t>
      </w:r>
    </w:p>
    <w:p>
      <w:pPr>
        <w:pStyle w:val="BodyText"/>
        <w:spacing w:line="348"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业绩承诺的完成情况及其对商誉减值测试的影响 无</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ind w:left="472" w:right="0"/>
        <w:jc w:val="left"/>
        <w:rPr>
          <w:b w:val="0"/>
          <w:bCs w:val="0"/>
        </w:rPr>
      </w:pPr>
      <w:r>
        <w:rPr/>
        <w:t>一、本次会计政策变更概述</w:t>
      </w:r>
      <w:r>
        <w:rPr>
          <w:b w:val="0"/>
          <w:bCs w:val="0"/>
        </w:rPr>
      </w:r>
    </w:p>
    <w:p>
      <w:pPr>
        <w:pStyle w:val="BodyText"/>
        <w:spacing w:line="300" w:lineRule="auto" w:before="77"/>
        <w:ind w:left="472" w:right="1122"/>
        <w:jc w:val="left"/>
      </w:pPr>
      <w:r>
        <w:rPr>
          <w:rFonts w:ascii="Times New Roman" w:hAnsi="Times New Roman" w:cs="Times New Roman" w:eastAsia="Times New Roman" w:hint="default"/>
        </w:rPr>
        <w:t>1</w:t>
      </w:r>
      <w:r>
        <w:rPr/>
        <w:t>、变更原因 </w:t>
      </w:r>
      <w:r>
        <w:rPr>
          <w:spacing w:val="-4"/>
        </w:rPr>
        <w:t>财政部于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27</w:t>
      </w:r>
      <w:r>
        <w:rPr>
          <w:spacing w:val="-4"/>
        </w:rPr>
        <w:t>日颁布了《关于修订印发合并财务报表格式（</w:t>
      </w:r>
      <w:r>
        <w:rPr>
          <w:rFonts w:ascii="Times New Roman" w:hAnsi="Times New Roman" w:cs="Times New Roman" w:eastAsia="Times New Roman" w:hint="default"/>
          <w:spacing w:val="-4"/>
        </w:rPr>
        <w:t>2019</w:t>
      </w:r>
      <w:r>
        <w:rPr>
          <w:spacing w:val="-4"/>
        </w:rPr>
        <w:t>版）的通知》（财会【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16</w:t>
      </w:r>
      <w:r>
        <w:rPr>
          <w:spacing w:val="-4"/>
        </w:rPr>
        <w:t>号，以下简称</w:t>
      </w:r>
      <w:r>
        <w:rPr>
          <w:rFonts w:ascii="Times New Roman" w:hAnsi="Times New Roman" w:cs="Times New Roman" w:eastAsia="Times New Roman" w:hint="default"/>
          <w:spacing w:val="-4"/>
        </w:rPr>
        <w:t>“</w:t>
      </w:r>
      <w:r>
        <w:rPr>
          <w:spacing w:val="-4"/>
        </w:rPr>
        <w:t>修</w:t>
      </w:r>
    </w:p>
    <w:p>
      <w:pPr>
        <w:pStyle w:val="BodyText"/>
        <w:spacing w:line="300" w:lineRule="auto" w:before="13"/>
        <w:ind w:right="1134"/>
        <w:jc w:val="left"/>
      </w:pPr>
      <w:r>
        <w:rPr/>
        <w:t>订通知</w:t>
      </w:r>
      <w:r>
        <w:rPr>
          <w:rFonts w:ascii="Times New Roman" w:hAnsi="Times New Roman" w:cs="Times New Roman" w:eastAsia="Times New Roman" w:hint="default"/>
        </w:rPr>
        <w:t>”</w:t>
      </w:r>
      <w:r>
        <w:rPr/>
        <w:t>），对合并财务报表格式进行了修订，要求执行企业会计准则的企业按照会计准则和《修订通知》的要求编制</w:t>
      </w:r>
      <w:r>
        <w:rPr>
          <w:rFonts w:ascii="Times New Roman" w:hAnsi="Times New Roman" w:cs="Times New Roman" w:eastAsia="Times New Roman" w:hint="default"/>
        </w:rPr>
        <w:t>2019 </w:t>
      </w:r>
      <w:r>
        <w:rPr/>
        <w:t>年度合并财务报表及以后期间的合并财务报表。</w:t>
      </w:r>
    </w:p>
    <w:p>
      <w:pPr>
        <w:pStyle w:val="BodyText"/>
        <w:spacing w:line="307" w:lineRule="auto" w:before="31"/>
        <w:ind w:left="472" w:right="1974"/>
        <w:jc w:val="left"/>
      </w:pPr>
      <w:r>
        <w:rPr/>
        <w:t>根据《修订通知》的有关要求，公司结合《修订通知》的要求对合并财务报表格式进行相应调整。 </w:t>
      </w:r>
      <w:r>
        <w:rPr>
          <w:rFonts w:ascii="Times New Roman" w:hAnsi="Times New Roman" w:cs="Times New Roman" w:eastAsia="Times New Roman" w:hint="default"/>
        </w:rPr>
        <w:t>2</w:t>
      </w:r>
      <w:r>
        <w:rPr/>
        <w:t>、变更日期 公司</w:t>
      </w:r>
      <w:r>
        <w:rPr>
          <w:rFonts w:ascii="Times New Roman" w:hAnsi="Times New Roman" w:cs="Times New Roman" w:eastAsia="Times New Roman" w:hint="default"/>
        </w:rPr>
        <w:t>2019</w:t>
      </w:r>
      <w:r>
        <w:rPr/>
        <w:t>年度第三季度财务报表及以后期间的合并财务报表均执行《修订通知》规定的合并财务报表格式。 </w:t>
      </w:r>
      <w:r>
        <w:rPr>
          <w:rFonts w:ascii="Times New Roman" w:hAnsi="Times New Roman" w:cs="Times New Roman" w:eastAsia="Times New Roman" w:hint="default"/>
        </w:rPr>
        <w:t>3</w:t>
      </w:r>
      <w:r>
        <w:rPr/>
        <w:t>、变更前公司采用的会计政策</w:t>
      </w:r>
    </w:p>
    <w:p>
      <w:pPr>
        <w:pStyle w:val="BodyText"/>
        <w:spacing w:line="300" w:lineRule="auto" w:before="7"/>
        <w:ind w:right="1127" w:firstLine="319"/>
        <w:jc w:val="left"/>
      </w:pPr>
      <w:r>
        <w:rPr>
          <w:spacing w:val="-1"/>
        </w:rPr>
        <w:t>本次会计政策变更前，公司执行财政部颁布的《企业会计准则</w:t>
      </w:r>
      <w:r>
        <w:rPr>
          <w:rFonts w:ascii="Times New Roman" w:hAnsi="Times New Roman" w:cs="Times New Roman" w:eastAsia="Times New Roman" w:hint="default"/>
          <w:spacing w:val="-1"/>
        </w:rPr>
        <w:t>——</w:t>
      </w:r>
      <w:r>
        <w:rPr>
          <w:spacing w:val="-1"/>
        </w:rPr>
        <w:t>基本准则》和各项具体会计准则、企业会计准则应用</w:t>
      </w:r>
      <w:r>
        <w:rPr/>
        <w:t> 指南、企业会计准则解释公告及其他相关规定。</w:t>
      </w:r>
    </w:p>
    <w:p>
      <w:pPr>
        <w:pStyle w:val="BodyText"/>
        <w:spacing w:line="300" w:lineRule="auto" w:before="31"/>
        <w:ind w:left="472" w:right="0"/>
        <w:jc w:val="left"/>
      </w:pPr>
      <w:r>
        <w:rPr>
          <w:rFonts w:ascii="Times New Roman" w:hAnsi="Times New Roman" w:cs="Times New Roman" w:eastAsia="Times New Roman" w:hint="default"/>
        </w:rPr>
        <w:t>4</w:t>
      </w:r>
      <w:r>
        <w:rPr/>
        <w:t>、变更后公司采用的会计政策 </w:t>
      </w:r>
      <w:r>
        <w:rPr>
          <w:spacing w:val="-5"/>
        </w:rPr>
        <w:t>本次会计政策变更后，公司将按照《修订通知》的要求编制合并财务报表。其余未变更部分仍执行财政部前期颁布的《企</w:t>
      </w:r>
    </w:p>
    <w:p>
      <w:pPr>
        <w:pStyle w:val="BodyText"/>
        <w:spacing w:line="240" w:lineRule="auto" w:before="31"/>
        <w:ind w:right="0"/>
        <w:jc w:val="left"/>
      </w:pPr>
      <w:r>
        <w:rPr/>
        <w:t>业会计准则</w:t>
      </w:r>
      <w:r>
        <w:rPr>
          <w:rFonts w:ascii="Times New Roman" w:hAnsi="Times New Roman" w:cs="Times New Roman" w:eastAsia="Times New Roman" w:hint="default"/>
        </w:rPr>
        <w:t>——</w:t>
      </w:r>
      <w:r>
        <w:rPr/>
        <w:t>基本准则》和各项具体会计准则、企业会计准则应用指南、企业会计准则解释公告以及其他相关规定。</w:t>
      </w:r>
    </w:p>
    <w:p>
      <w:pPr>
        <w:pStyle w:val="BodyText"/>
        <w:spacing w:line="240" w:lineRule="auto" w:before="63"/>
        <w:ind w:left="472" w:right="0"/>
        <w:jc w:val="left"/>
      </w:pPr>
      <w:r>
        <w:rPr>
          <w:rFonts w:ascii="Times New Roman" w:hAnsi="Times New Roman" w:cs="Times New Roman" w:eastAsia="Times New Roman" w:hint="default"/>
        </w:rPr>
        <w:t>5</w:t>
      </w:r>
      <w:r>
        <w:rPr/>
        <w:t>、具体变更内容：</w:t>
      </w:r>
    </w:p>
    <w:p>
      <w:pPr>
        <w:pStyle w:val="BodyText"/>
        <w:spacing w:line="300" w:lineRule="auto" w:before="63"/>
        <w:ind w:left="472" w:right="2415"/>
        <w:jc w:val="left"/>
      </w:pPr>
      <w:r>
        <w:rPr/>
        <w:t>（</w:t>
      </w:r>
      <w:r>
        <w:rPr>
          <w:rFonts w:ascii="Times New Roman" w:hAnsi="Times New Roman" w:cs="Times New Roman" w:eastAsia="Times New Roman" w:hint="default"/>
        </w:rPr>
        <w:t>1</w:t>
      </w:r>
      <w:r>
        <w:rPr/>
        <w:t>）合并资产负债表 合并资产负债表原</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应收款项融资</w:t>
      </w:r>
      <w:r>
        <w:rPr>
          <w:rFonts w:ascii="Times New Roman" w:hAnsi="Times New Roman" w:cs="Times New Roman" w:eastAsia="Times New Roman" w:hint="default"/>
        </w:rPr>
        <w:t>”</w:t>
      </w:r>
      <w:r>
        <w:rPr/>
        <w:t>项目。 合并资产负债表原</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 合并资产负债表新增</w:t>
      </w:r>
      <w:r>
        <w:rPr>
          <w:rFonts w:ascii="Times New Roman" w:hAnsi="Times New Roman" w:cs="Times New Roman" w:eastAsia="Times New Roman" w:hint="default"/>
        </w:rPr>
        <w:t>“</w:t>
      </w:r>
      <w:r>
        <w:rPr/>
        <w:t>使用权资产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租赁负债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项目。</w:t>
      </w:r>
    </w:p>
    <w:p>
      <w:pPr>
        <w:pStyle w:val="BodyText"/>
        <w:spacing w:line="300" w:lineRule="auto" w:before="13"/>
        <w:ind w:left="472" w:right="3793"/>
        <w:jc w:val="left"/>
      </w:pPr>
      <w:r>
        <w:rPr/>
        <w:t>（</w:t>
      </w:r>
      <w:r>
        <w:rPr>
          <w:rFonts w:ascii="Times New Roman" w:hAnsi="Times New Roman" w:cs="Times New Roman" w:eastAsia="Times New Roman" w:hint="default"/>
        </w:rPr>
        <w:t>2</w:t>
      </w:r>
      <w:r>
        <w:rPr/>
        <w:t>）合并利润表 将合并利润表</w:t>
      </w:r>
      <w:r>
        <w:rPr>
          <w:rFonts w:ascii="Times New Roman" w:hAnsi="Times New Roman" w:cs="Times New Roman" w:eastAsia="Times New Roman" w:hint="default"/>
        </w:rPr>
        <w:t>“</w:t>
      </w:r>
      <w:r>
        <w:rPr/>
        <w:t>减：资产减值损失</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加：资产减值损失（损失以</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号填列）</w:t>
      </w:r>
      <w:r>
        <w:rPr>
          <w:rFonts w:ascii="Times New Roman" w:hAnsi="Times New Roman" w:cs="Times New Roman" w:eastAsia="Times New Roman" w:hint="default"/>
        </w:rPr>
        <w:t>”</w:t>
      </w:r>
      <w:r>
        <w:rPr/>
        <w:t>。 将合并利润表</w:t>
      </w:r>
      <w:r>
        <w:rPr>
          <w:rFonts w:ascii="Times New Roman" w:hAnsi="Times New Roman" w:cs="Times New Roman" w:eastAsia="Times New Roman" w:hint="default"/>
        </w:rPr>
        <w:t>“</w:t>
      </w:r>
      <w:r>
        <w:rPr/>
        <w:t>减：信用减值损失</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加：信用减值损失（损失以</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号填列）</w:t>
      </w:r>
      <w:r>
        <w:rPr>
          <w:rFonts w:ascii="Times New Roman" w:hAnsi="Times New Roman" w:cs="Times New Roman" w:eastAsia="Times New Roman" w:hint="default"/>
        </w:rPr>
        <w:t>”</w:t>
      </w:r>
      <w:r>
        <w:rPr/>
        <w:t>。</w:t>
      </w:r>
    </w:p>
    <w:p>
      <w:pPr>
        <w:pStyle w:val="BodyText"/>
        <w:spacing w:line="300" w:lineRule="auto" w:before="13"/>
        <w:ind w:left="472" w:right="3094"/>
        <w:jc w:val="left"/>
      </w:pPr>
      <w:r>
        <w:rPr/>
        <w:t>合并利润表中</w:t>
      </w:r>
      <w:r>
        <w:rPr>
          <w:rFonts w:ascii="Times New Roman" w:hAnsi="Times New Roman" w:cs="Times New Roman" w:eastAsia="Times New Roman" w:hint="default"/>
        </w:rPr>
        <w:t>“</w:t>
      </w:r>
      <w:r>
        <w:rPr/>
        <w:t>投资收益</w:t>
      </w:r>
      <w:r>
        <w:rPr>
          <w:rFonts w:ascii="Times New Roman" w:hAnsi="Times New Roman" w:cs="Times New Roman" w:eastAsia="Times New Roman" w:hint="default"/>
        </w:rPr>
        <w:t>”</w:t>
      </w:r>
      <w:r>
        <w:rPr/>
        <w:t>项目下增加</w:t>
      </w:r>
      <w:r>
        <w:rPr>
          <w:rFonts w:ascii="Times New Roman" w:hAnsi="Times New Roman" w:cs="Times New Roman" w:eastAsia="Times New Roman" w:hint="default"/>
        </w:rPr>
        <w:t>“</w:t>
      </w:r>
      <w:r>
        <w:rPr/>
        <w:t>其中：以摊余成本计量的金融资产终止确认收益</w:t>
      </w:r>
      <w:r>
        <w:rPr>
          <w:rFonts w:ascii="Times New Roman" w:hAnsi="Times New Roman" w:cs="Times New Roman" w:eastAsia="Times New Roman" w:hint="default"/>
        </w:rPr>
        <w:t>”</w:t>
      </w:r>
      <w:r>
        <w:rPr/>
        <w:t>项目。 合并利润表删除</w:t>
      </w:r>
      <w:r>
        <w:rPr>
          <w:rFonts w:ascii="Times New Roman" w:hAnsi="Times New Roman" w:cs="Times New Roman" w:eastAsia="Times New Roman" w:hint="default"/>
        </w:rPr>
        <w:t>“</w:t>
      </w:r>
      <w:r>
        <w:rPr/>
        <w:t>为交易目的而持有的金融资产净增加额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发行债券收到的现金</w:t>
      </w:r>
      <w:r>
        <w:rPr>
          <w:rFonts w:ascii="Times New Roman" w:hAnsi="Times New Roman" w:cs="Times New Roman" w:eastAsia="Times New Roman" w:hint="default"/>
        </w:rPr>
        <w:t>”</w:t>
      </w:r>
      <w:r>
        <w:rPr/>
        <w:t>项目。</w:t>
      </w:r>
    </w:p>
    <w:p>
      <w:pPr>
        <w:spacing w:line="300" w:lineRule="auto" w:before="13"/>
        <w:ind w:left="472" w:right="72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 所有者权益变动表增加</w:t>
      </w:r>
      <w:r>
        <w:rPr>
          <w:rFonts w:ascii="Times New Roman" w:hAnsi="Times New Roman" w:cs="Times New Roman" w:eastAsia="Times New Roman" w:hint="default"/>
          <w:sz w:val="18"/>
          <w:szCs w:val="18"/>
        </w:rPr>
        <w:t>“</w:t>
      </w: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w:t>
      </w:r>
      <w:r>
        <w:rPr>
          <w:rFonts w:ascii="宋体" w:hAnsi="宋体" w:cs="宋体" w:eastAsia="宋体" w:hint="default"/>
          <w:sz w:val="18"/>
          <w:szCs w:val="18"/>
        </w:rPr>
        <w:t>项目。 </w:t>
      </w:r>
      <w:r>
        <w:rPr>
          <w:rFonts w:ascii="宋体" w:hAnsi="宋体" w:cs="宋体" w:eastAsia="宋体" w:hint="default"/>
          <w:b/>
          <w:bCs/>
          <w:sz w:val="18"/>
          <w:szCs w:val="18"/>
        </w:rPr>
        <w:t>二、本次会计政策变更对公司的影响</w:t>
      </w:r>
      <w:r>
        <w:rPr>
          <w:rFonts w:ascii="宋体" w:hAnsi="宋体" w:cs="宋体" w:eastAsia="宋体" w:hint="default"/>
          <w:sz w:val="18"/>
          <w:szCs w:val="18"/>
        </w:rPr>
      </w:r>
    </w:p>
    <w:p>
      <w:pPr>
        <w:pStyle w:val="BodyText"/>
        <w:spacing w:line="338" w:lineRule="auto" w:before="31"/>
        <w:ind w:right="1127" w:firstLine="319"/>
        <w:jc w:val="left"/>
      </w:pPr>
      <w:r>
        <w:rPr>
          <w:spacing w:val="-1"/>
        </w:rPr>
        <w:t>公司本次会计政策变更仅对合并财务报表格式和部分科目列示产生影响，不涉及对公司以前年度的追溯调整，对公司净</w:t>
      </w:r>
      <w:r>
        <w:rPr/>
        <w:t> 资产、净利润等相关财务指标无实质性影响。 本次会计政策变更属于国家法律、法规的的要求，符合相关规定和公司的实际情况，不存在损害公司及股东利益的情形。</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527"/>
        <w:gridCol w:w="1277"/>
        <w:gridCol w:w="708"/>
        <w:gridCol w:w="994"/>
        <w:gridCol w:w="1133"/>
        <w:gridCol w:w="1702"/>
        <w:gridCol w:w="1875"/>
      </w:tblGrid>
      <w:tr>
        <w:trPr>
          <w:trHeight w:val="1291" w:hRule="exact"/>
        </w:trPr>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79" w:right="72"/>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400" w:right="36" w:hanging="360"/>
              <w:jc w:val="left"/>
              <w:rPr>
                <w:rFonts w:ascii="宋体" w:hAnsi="宋体" w:cs="宋体" w:eastAsia="宋体" w:hint="default"/>
                <w:sz w:val="18"/>
                <w:szCs w:val="18"/>
              </w:rPr>
            </w:pPr>
            <w:r>
              <w:rPr>
                <w:rFonts w:ascii="宋体" w:hAnsi="宋体" w:cs="宋体" w:eastAsia="宋体" w:hint="default"/>
                <w:sz w:val="18"/>
                <w:szCs w:val="18"/>
              </w:rPr>
              <w:t>股权处置方 式</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379" w:right="17" w:hanging="360"/>
              <w:jc w:val="left"/>
              <w:rPr>
                <w:rFonts w:ascii="宋体" w:hAnsi="宋体" w:cs="宋体" w:eastAsia="宋体" w:hint="default"/>
                <w:sz w:val="18"/>
                <w:szCs w:val="18"/>
              </w:rPr>
            </w:pPr>
            <w:r>
              <w:rPr>
                <w:rFonts w:ascii="宋体" w:hAnsi="宋体" w:cs="宋体" w:eastAsia="宋体" w:hint="default"/>
                <w:sz w:val="18"/>
                <w:szCs w:val="18"/>
              </w:rPr>
              <w:t>丧失控制权的 时点</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573" w:right="31" w:hanging="540"/>
              <w:jc w:val="left"/>
              <w:rPr>
                <w:rFonts w:ascii="宋体" w:hAnsi="宋体" w:cs="宋体" w:eastAsia="宋体" w:hint="default"/>
                <w:sz w:val="18"/>
                <w:szCs w:val="18"/>
              </w:rPr>
            </w:pPr>
            <w:r>
              <w:rPr>
                <w:rFonts w:ascii="宋体" w:hAnsi="宋体" w:cs="宋体" w:eastAsia="宋体" w:hint="default"/>
                <w:sz w:val="18"/>
                <w:szCs w:val="18"/>
              </w:rPr>
              <w:t>丧失控制权时点的确 定依据</w:t>
            </w:r>
          </w:p>
        </w:tc>
        <w:tc>
          <w:tcPr>
            <w:tcW w:w="1875"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31" w:right="34"/>
              <w:jc w:val="center"/>
              <w:rPr>
                <w:rFonts w:ascii="宋体" w:hAnsi="宋体" w:cs="宋体" w:eastAsia="宋体" w:hint="default"/>
                <w:sz w:val="18"/>
                <w:szCs w:val="18"/>
              </w:rPr>
            </w:pPr>
            <w:r>
              <w:rPr>
                <w:rFonts w:ascii="宋体" w:hAnsi="宋体" w:cs="宋体" w:eastAsia="宋体" w:hint="default"/>
                <w:sz w:val="18"/>
                <w:szCs w:val="18"/>
              </w:rPr>
              <w:t>处置价款与处置投资对 应的合并报表层面享有 该子公司净资产份额的 差额</w:t>
            </w:r>
          </w:p>
        </w:tc>
      </w:tr>
      <w:tr>
        <w:trPr>
          <w:trHeight w:val="353"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10"/>
              <w:jc w:val="center"/>
              <w:rPr>
                <w:rFonts w:ascii="宋体" w:hAnsi="宋体" w:cs="宋体" w:eastAsia="宋体" w:hint="default"/>
                <w:sz w:val="18"/>
                <w:szCs w:val="18"/>
              </w:rPr>
            </w:pPr>
            <w:r>
              <w:rPr>
                <w:rFonts w:ascii="宋体" w:hAnsi="宋体" w:cs="宋体" w:eastAsia="宋体" w:hint="default"/>
                <w:spacing w:val="9"/>
                <w:sz w:val="18"/>
                <w:szCs w:val="18"/>
              </w:rPr>
              <w:t>安徽东港瑞宏科技</w:t>
            </w:r>
            <w:r>
              <w:rPr>
                <w:rFonts w:ascii="宋体" w:hAnsi="宋体" w:cs="宋体" w:eastAsia="宋体" w:hint="default"/>
                <w:sz w:val="18"/>
                <w:szCs w:val="18"/>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40" w:right="0"/>
              <w:jc w:val="left"/>
              <w:rPr>
                <w:rFonts w:ascii="Times New Roman" w:hAnsi="Times New Roman" w:cs="Times New Roman" w:eastAsia="Times New Roman" w:hint="default"/>
                <w:sz w:val="18"/>
                <w:szCs w:val="18"/>
              </w:rPr>
            </w:pPr>
            <w:r>
              <w:rPr>
                <w:rFonts w:ascii="Times New Roman"/>
                <w:sz w:val="18"/>
              </w:rPr>
              <w:t>1,000,000</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87" w:right="-1"/>
              <w:jc w:val="left"/>
              <w:rPr>
                <w:rFonts w:ascii="Times New Roman" w:hAnsi="Times New Roman" w:cs="Times New Roman" w:eastAsia="Times New Roman" w:hint="default"/>
                <w:sz w:val="18"/>
                <w:szCs w:val="18"/>
              </w:rPr>
            </w:pPr>
            <w:r>
              <w:rPr>
                <w:rFonts w:ascii="Times New Roman"/>
                <w:sz w:val="18"/>
              </w:rPr>
              <w:t>60.00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7" w:right="0"/>
              <w:jc w:val="left"/>
              <w:rPr>
                <w:rFonts w:ascii="Times New Roman" w:hAnsi="Times New Roman" w:cs="Times New Roman" w:eastAsia="Times New Roman" w:hint="default"/>
                <w:sz w:val="18"/>
                <w:szCs w:val="18"/>
              </w:rPr>
            </w:pPr>
            <w:r>
              <w:rPr>
                <w:rFonts w:ascii="Times New Roman"/>
                <w:sz w:val="18"/>
              </w:rPr>
              <w:t>2019-1-30</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8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989" w:right="0"/>
              <w:jc w:val="left"/>
              <w:rPr>
                <w:rFonts w:ascii="Times New Roman" w:hAnsi="Times New Roman" w:cs="Times New Roman" w:eastAsia="Times New Roman" w:hint="default"/>
                <w:sz w:val="18"/>
                <w:szCs w:val="18"/>
              </w:rPr>
            </w:pPr>
            <w:r>
              <w:rPr>
                <w:rFonts w:ascii="Times New Roman"/>
                <w:sz w:val="18"/>
              </w:rPr>
              <w:t>-151,117.43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2"/>
        <w:rPr>
          <w:rFonts w:ascii="宋体" w:hAnsi="宋体" w:cs="宋体" w:eastAsia="宋体" w:hint="default"/>
          <w:sz w:val="27"/>
          <w:szCs w:val="27"/>
        </w:rPr>
      </w:pPr>
    </w:p>
    <w:p>
      <w:pPr>
        <w:spacing w:line="384" w:lineRule="exact"/>
        <w:ind w:left="13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2.6pt;height:19.25pt;mso-position-horizontal-relative:char;mso-position-vertical-relative:line" coordorigin="0,0" coordsize="9252,385">
            <v:group style="position:absolute;left:29;top:14;width:1513;height:2" coordorigin="29,14" coordsize="1513,2">
              <v:shape style="position:absolute;left:29;top:14;width:1513;height:2" coordorigin="29,14" coordsize="1513,0" path="m29,14l1541,14e" filled="false" stroked="true" strokeweight=".72pt" strokecolor="#000000">
                <v:path arrowok="t"/>
              </v:shape>
            </v:group>
            <v:group style="position:absolute;left:1556;top:14;width:1263;height:2" coordorigin="1556,14" coordsize="1263,2">
              <v:shape style="position:absolute;left:1556;top:14;width:1263;height:2" coordorigin="1556,14" coordsize="1263,0" path="m1556,14l2818,14e" filled="false" stroked="true" strokeweight=".72pt" strokecolor="#000000">
                <v:path arrowok="t"/>
              </v:shape>
            </v:group>
            <v:group style="position:absolute;left:2833;top:14;width:694;height:2" coordorigin="2833,14" coordsize="694,2">
              <v:shape style="position:absolute;left:2833;top:14;width:694;height:2" coordorigin="2833,14" coordsize="694,0" path="m2833,14l3527,14e" filled="false" stroked="true" strokeweight=".72pt" strokecolor="#000000">
                <v:path arrowok="t"/>
              </v:shape>
            </v:group>
            <v:group style="position:absolute;left:3541;top:14;width:980;height:2" coordorigin="3541,14" coordsize="980,2">
              <v:shape style="position:absolute;left:3541;top:14;width:980;height:2" coordorigin="3541,14" coordsize="980,0" path="m3541,14l4520,14e" filled="false" stroked="true" strokeweight=".72pt" strokecolor="#000000">
                <v:path arrowok="t"/>
              </v:shape>
            </v:group>
            <v:group style="position:absolute;left:4535;top:14;width:1119;height:2" coordorigin="4535,14" coordsize="1119,2">
              <v:shape style="position:absolute;left:4535;top:14;width:1119;height:2" coordorigin="4535,14" coordsize="1119,0" path="m4535,14l5653,14e" filled="false" stroked="true" strokeweight=".72pt" strokecolor="#000000">
                <v:path arrowok="t"/>
              </v:shape>
            </v:group>
            <v:group style="position:absolute;left:5668;top:14;width:1688;height:2" coordorigin="5668,14" coordsize="1688,2">
              <v:shape style="position:absolute;left:5668;top:14;width:1688;height:2" coordorigin="5668,14" coordsize="1688,0" path="m5668,14l7355,14e" filled="false" stroked="true" strokeweight=".72pt" strokecolor="#000000">
                <v:path arrowok="t"/>
              </v:shape>
            </v:group>
            <v:group style="position:absolute;left:7369;top:14;width:1868;height:2" coordorigin="7369,14" coordsize="1868,2">
              <v:shape style="position:absolute;left:7369;top:14;width:1868;height:2" coordorigin="7369,14" coordsize="1868,0" path="m7369,14l9237,14e" filled="false" stroked="true" strokeweight=".72pt" strokecolor="#000000">
                <v:path arrowok="t"/>
              </v:shape>
            </v:group>
            <v:group style="position:absolute;left:22;top:7;width:2;height:349" coordorigin="22,7" coordsize="2,349">
              <v:shape style="position:absolute;left:22;top:7;width:2;height:349" coordorigin="22,7" coordsize="0,349" path="m22,7l22,356e" filled="false" stroked="true" strokeweight=".72pt" strokecolor="#000000">
                <v:path arrowok="t"/>
              </v:shape>
            </v:group>
            <v:group style="position:absolute;left:14;top:370;width:1527;height:2" coordorigin="14,370" coordsize="1527,2">
              <v:shape style="position:absolute;left:14;top:370;width:1527;height:2" coordorigin="14,370" coordsize="1527,0" path="m14,370l1541,370e" filled="false" stroked="true" strokeweight="1.44pt" strokecolor="#000000">
                <v:path arrowok="t"/>
              </v:shape>
            </v:group>
            <v:group style="position:absolute;left:1548;top:7;width:2;height:349" coordorigin="1548,7" coordsize="2,349">
              <v:shape style="position:absolute;left:1548;top:7;width:2;height:349" coordorigin="1548,7" coordsize="0,349" path="m1548,7l1548,356e" filled="false" stroked="true" strokeweight=".71999pt" strokecolor="#000000">
                <v:path arrowok="t"/>
              </v:shape>
            </v:group>
            <v:group style="position:absolute;left:1541;top:370;width:29;height:2" coordorigin="1541,370" coordsize="29,2">
              <v:shape style="position:absolute;left:1541;top:370;width:29;height:2" coordorigin="1541,370" coordsize="29,0" path="m1541,370l1570,370e" filled="false" stroked="true" strokeweight="1.44pt" strokecolor="#000000">
                <v:path arrowok="t"/>
              </v:shape>
            </v:group>
            <v:group style="position:absolute;left:1570;top:370;width:1249;height:2" coordorigin="1570,370" coordsize="1249,2">
              <v:shape style="position:absolute;left:1570;top:370;width:1249;height:2" coordorigin="1570,370" coordsize="1249,0" path="m1570,370l2818,370e" filled="false" stroked="true" strokeweight="1.44pt" strokecolor="#000000">
                <v:path arrowok="t"/>
              </v:shape>
            </v:group>
            <v:group style="position:absolute;left:2826;top:7;width:2;height:349" coordorigin="2826,7" coordsize="2,349">
              <v:shape style="position:absolute;left:2826;top:7;width:2;height:349" coordorigin="2826,7" coordsize="0,349" path="m2826,7l2826,356e" filled="false" stroked="true" strokeweight=".72pt" strokecolor="#000000">
                <v:path arrowok="t"/>
              </v:shape>
            </v:group>
            <v:group style="position:absolute;left:2819;top:370;width:29;height:2" coordorigin="2819,370" coordsize="29,2">
              <v:shape style="position:absolute;left:2819;top:370;width:29;height:2" coordorigin="2819,370" coordsize="29,0" path="m2819,370l2847,370e" filled="false" stroked="true" strokeweight="1.44pt" strokecolor="#000000">
                <v:path arrowok="t"/>
              </v:shape>
            </v:group>
            <v:group style="position:absolute;left:2847;top:370;width:680;height:2" coordorigin="2847,370" coordsize="680,2">
              <v:shape style="position:absolute;left:2847;top:370;width:680;height:2" coordorigin="2847,370" coordsize="680,0" path="m2847,370l3527,370e" filled="false" stroked="true" strokeweight="1.44pt" strokecolor="#000000">
                <v:path arrowok="t"/>
              </v:shape>
            </v:group>
            <v:group style="position:absolute;left:3534;top:7;width:2;height:349" coordorigin="3534,7" coordsize="2,349">
              <v:shape style="position:absolute;left:3534;top:7;width:2;height:349" coordorigin="3534,7" coordsize="0,349" path="m3534,7l3534,356e" filled="false" stroked="true" strokeweight=".72pt" strokecolor="#000000">
                <v:path arrowok="t"/>
              </v:shape>
            </v:group>
            <v:group style="position:absolute;left:3527;top:370;width:29;height:2" coordorigin="3527,370" coordsize="29,2">
              <v:shape style="position:absolute;left:3527;top:370;width:29;height:2" coordorigin="3527,370" coordsize="29,0" path="m3527,370l3555,370e" filled="false" stroked="true" strokeweight="1.44pt" strokecolor="#000000">
                <v:path arrowok="t"/>
              </v:shape>
            </v:group>
            <v:group style="position:absolute;left:3555;top:370;width:965;height:2" coordorigin="3555,370" coordsize="965,2">
              <v:shape style="position:absolute;left:3555;top:370;width:965;height:2" coordorigin="3555,370" coordsize="965,0" path="m3555,370l4520,370e" filled="false" stroked="true" strokeweight="1.44pt" strokecolor="#000000">
                <v:path arrowok="t"/>
              </v:shape>
            </v:group>
            <v:group style="position:absolute;left:4527;top:7;width:2;height:349" coordorigin="4527,7" coordsize="2,349">
              <v:shape style="position:absolute;left:4527;top:7;width:2;height:349" coordorigin="4527,7" coordsize="0,349" path="m4527,7l4527,356e" filled="false" stroked="true" strokeweight=".72pt" strokecolor="#000000">
                <v:path arrowok="t"/>
              </v:shape>
            </v:group>
            <v:group style="position:absolute;left:4520;top:370;width:29;height:2" coordorigin="4520,370" coordsize="29,2">
              <v:shape style="position:absolute;left:4520;top:370;width:29;height:2" coordorigin="4520,370" coordsize="29,0" path="m4520,370l4549,370e" filled="false" stroked="true" strokeweight="1.44pt" strokecolor="#000000">
                <v:path arrowok="t"/>
              </v:shape>
            </v:group>
            <v:group style="position:absolute;left:4549;top:370;width:1105;height:2" coordorigin="4549,370" coordsize="1105,2">
              <v:shape style="position:absolute;left:4549;top:370;width:1105;height:2" coordorigin="4549,370" coordsize="1105,0" path="m4549,370l5653,370e" filled="false" stroked="true" strokeweight="1.44pt" strokecolor="#000000">
                <v:path arrowok="t"/>
              </v:shape>
            </v:group>
            <v:group style="position:absolute;left:5661;top:7;width:2;height:349" coordorigin="5661,7" coordsize="2,349">
              <v:shape style="position:absolute;left:5661;top:7;width:2;height:349" coordorigin="5661,7" coordsize="0,349" path="m5661,7l5661,356e" filled="false" stroked="true" strokeweight=".72pt" strokecolor="#000000">
                <v:path arrowok="t"/>
              </v:shape>
            </v:group>
            <v:group style="position:absolute;left:5653;top:370;width:29;height:2" coordorigin="5653,370" coordsize="29,2">
              <v:shape style="position:absolute;left:5653;top:370;width:29;height:2" coordorigin="5653,370" coordsize="29,0" path="m5653,370l5682,370e" filled="false" stroked="true" strokeweight="1.44pt" strokecolor="#000000">
                <v:path arrowok="t"/>
              </v:shape>
            </v:group>
            <v:group style="position:absolute;left:5682;top:370;width:1673;height:2" coordorigin="5682,370" coordsize="1673,2">
              <v:shape style="position:absolute;left:5682;top:370;width:1673;height:2" coordorigin="5682,370" coordsize="1673,0" path="m5682,370l7355,370e" filled="false" stroked="true" strokeweight="1.44pt" strokecolor="#000000">
                <v:path arrowok="t"/>
              </v:shape>
            </v:group>
            <v:group style="position:absolute;left:7362;top:7;width:2;height:349" coordorigin="7362,7" coordsize="2,349">
              <v:shape style="position:absolute;left:7362;top:7;width:2;height:349" coordorigin="7362,7" coordsize="0,349" path="m7362,7l7362,356e" filled="false" stroked="true" strokeweight=".72pt" strokecolor="#000000">
                <v:path arrowok="t"/>
              </v:shape>
            </v:group>
            <v:group style="position:absolute;left:7355;top:370;width:29;height:2" coordorigin="7355,370" coordsize="29,2">
              <v:shape style="position:absolute;left:7355;top:370;width:29;height:2" coordorigin="7355,370" coordsize="29,0" path="m7355,370l7384,370e" filled="false" stroked="true" strokeweight="1.44pt" strokecolor="#000000">
                <v:path arrowok="t"/>
              </v:shape>
            </v:group>
            <v:group style="position:absolute;left:7384;top:370;width:1854;height:2" coordorigin="7384,370" coordsize="1854,2">
              <v:shape style="position:absolute;left:7384;top:370;width:1854;height:2" coordorigin="7384,370" coordsize="1854,0" path="m7384,370l9237,370e" filled="false" stroked="true" strokeweight="1.44pt" strokecolor="#000000">
                <v:path arrowok="t"/>
              </v:shape>
              <v:shape style="position:absolute;left:22;top:14;width:1527;height:356" type="#_x0000_t202" filled="false" stroked="false">
                <v:textbox inset="0,0,0,0">
                  <w:txbxContent>
                    <w:p>
                      <w:pPr>
                        <w:spacing w:before="25"/>
                        <w:ind w:left="12"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崔迎、夏瑞</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当期是否改聘会计师事务所</w:t>
      </w:r>
    </w:p>
    <w:p>
      <w:pPr>
        <w:pStyle w:val="BodyText"/>
        <w:spacing w:line="338" w:lineRule="auto" w:before="117"/>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43"/>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39"/>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对改聘、变更会计师事务所情况的详细说明</w:t>
      </w:r>
    </w:p>
    <w:p>
      <w:pPr>
        <w:pStyle w:val="BodyText"/>
        <w:spacing w:line="300" w:lineRule="auto" w:before="41"/>
        <w:ind w:right="1129" w:firstLine="300"/>
        <w:jc w:val="both"/>
      </w:pPr>
      <w:r>
        <w:rPr/>
        <w:t>公司原审计机构瑞华会计师事务所（特殊普通合伙）（以下简称</w:t>
      </w:r>
      <w:r>
        <w:rPr>
          <w:rFonts w:ascii="Times New Roman" w:hAnsi="Times New Roman" w:cs="Times New Roman" w:eastAsia="Times New Roman" w:hint="default"/>
        </w:rPr>
        <w:t>“</w:t>
      </w:r>
      <w:r>
        <w:rPr/>
        <w:t>瑞华事务所</w:t>
      </w:r>
      <w:r>
        <w:rPr>
          <w:rFonts w:ascii="Times New Roman" w:hAnsi="Times New Roman" w:cs="Times New Roman" w:eastAsia="Times New Roman" w:hint="default"/>
        </w:rPr>
        <w:t>”</w:t>
      </w:r>
      <w:r>
        <w:rPr/>
        <w:t>）已连续多年为公司提供审计服务。为保 持公司审计工作的客观性和公允性，公司不再聘请瑞华事务所为</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年度审计机构，并就不再续聘及相关事宜与瑞华事务 所进行了事先沟通。</w:t>
      </w:r>
    </w:p>
    <w:p>
      <w:pPr>
        <w:pStyle w:val="BodyText"/>
        <w:spacing w:line="300" w:lineRule="auto" w:before="31"/>
        <w:ind w:right="1132" w:firstLine="300"/>
        <w:jc w:val="both"/>
      </w:pPr>
      <w:r>
        <w:rPr>
          <w:spacing w:val="-1"/>
        </w:rPr>
        <w:t>经综合考虑公司业务发展和未来审计的需要，经</w:t>
      </w:r>
      <w:r>
        <w:rPr>
          <w:rFonts w:ascii="Times New Roman" w:hAnsi="Times New Roman" w:cs="Times New Roman" w:eastAsia="Times New Roman" w:hint="default"/>
          <w:spacing w:val="-1"/>
        </w:rPr>
        <w:t>2018</w:t>
      </w:r>
      <w:r>
        <w:rPr>
          <w:spacing w:val="-1"/>
        </w:rPr>
        <w:t>年度股东大会审议，公司改聘信永中和会计师事务所（特殊普通合</w:t>
      </w:r>
      <w:r>
        <w:rPr/>
        <w:t> 伙）为公司</w:t>
      </w:r>
      <w:r>
        <w:rPr>
          <w:rFonts w:ascii="Times New Roman" w:hAnsi="Times New Roman" w:cs="Times New Roman" w:eastAsia="Times New Roman" w:hint="default"/>
        </w:rPr>
        <w:t>2019</w:t>
      </w:r>
      <w:r>
        <w:rPr/>
        <w:t>年度审计机构。</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聘请内部控制审计会计师事务所、财务顾问或保荐人情况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41" w:right="1122"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本公司第一期员工持股计划，于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日完成股票购买，详见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日对外披露的《关于第一期员工持股计划</w:t>
      </w:r>
    </w:p>
    <w:p>
      <w:pPr>
        <w:pStyle w:val="BodyText"/>
        <w:spacing w:line="228" w:lineRule="exact"/>
        <w:ind w:right="0"/>
        <w:jc w:val="left"/>
      </w:pPr>
      <w:r>
        <w:rPr/>
        <w:t>完成股票购买的公告》</w:t>
      </w:r>
      <w:r>
        <w:rPr>
          <w:rFonts w:ascii="MS Gothic" w:hAnsi="MS Gothic" w:cs="MS Gothic" w:eastAsia="MS Gothic" w:hint="default"/>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月，经公司第五届董事会第十七次会议审议，本公司第一期员工持股计划存续期在原定终止</w:t>
      </w:r>
    </w:p>
    <w:p>
      <w:pPr>
        <w:pStyle w:val="BodyText"/>
        <w:spacing w:line="300" w:lineRule="auto" w:before="63"/>
        <w:ind w:left="441" w:right="2275" w:hanging="289"/>
        <w:jc w:val="left"/>
      </w:pPr>
      <w:r>
        <w:rPr/>
        <w:t>日的基础上延长一年，至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日止。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日，第一期员工持股计划所持股票全部出售完毕，公司第一期员工持股计划实施完毕。</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spacing w:after="0" w:line="3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4"/>
      <w:bookmarkEnd w:id="94"/>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公司历来重视企业社会价值的实现，为客户和消费者提供优质的产品和服务，努力创造利润并分红，积极纳税，重视员</w:t>
      </w:r>
      <w:r>
        <w:rPr/>
        <w:t> 工和供应商的权益保护，与经营环境和谐共生，践行企业社会责任。</w:t>
      </w:r>
    </w:p>
    <w:p>
      <w:pPr>
        <w:pStyle w:val="BodyText"/>
        <w:spacing w:line="316" w:lineRule="auto" w:before="19"/>
        <w:ind w:left="513" w:right="0"/>
        <w:jc w:val="left"/>
      </w:pPr>
      <w:r>
        <w:rPr/>
        <w:t>（一）股东权益保护 </w:t>
      </w:r>
      <w:r>
        <w:rPr>
          <w:spacing w:val="-2"/>
        </w:rPr>
        <w:t>公司建立了较为完善的公司治理结构，形成了完整的内控制度，建立了与投资者的互动平台，在机制上保证了对所有股</w:t>
      </w:r>
    </w:p>
    <w:p>
      <w:pPr>
        <w:pStyle w:val="BodyText"/>
        <w:spacing w:line="316" w:lineRule="auto" w:before="19"/>
        <w:ind w:right="0"/>
        <w:jc w:val="left"/>
      </w:pPr>
      <w:r>
        <w:rPr>
          <w:spacing w:val="-4"/>
        </w:rPr>
        <w:t>东的公平、公正、公开，并充分享有法律、法规、规章所规定的各项合法权益。公司严格按照有关法律、法规、《公司章程》</w:t>
      </w:r>
      <w:r>
        <w:rPr>
          <w:spacing w:val="-49"/>
        </w:rPr>
        <w:t> </w:t>
      </w:r>
      <w:r>
        <w:rPr>
          <w:spacing w:val="-49"/>
        </w:rPr>
      </w:r>
      <w:r>
        <w:rPr>
          <w:spacing w:val="-4"/>
        </w:rPr>
        <w:t>和公司相关制度的要求，及时、真实、准确、完整地进行常规信息披露，确保公司所有股东能够以平等的机会获得公司信息，</w:t>
      </w:r>
      <w:r>
        <w:rPr>
          <w:spacing w:val="-45"/>
        </w:rPr>
        <w:t> </w:t>
      </w:r>
      <w:r>
        <w:rPr>
          <w:spacing w:val="-45"/>
        </w:rPr>
      </w:r>
      <w:r>
        <w:rPr>
          <w:spacing w:val="-4"/>
        </w:rPr>
        <w:t>保障全体股东的合法权益。同时，公司通过网上路演、投资者电话、投资者关系互动平台等多种方式与投资者进行沟通交流，</w:t>
      </w:r>
      <w:r>
        <w:rPr>
          <w:spacing w:val="-46"/>
        </w:rPr>
        <w:t> </w:t>
      </w:r>
      <w:r>
        <w:rPr>
          <w:spacing w:val="-46"/>
        </w:rPr>
      </w:r>
      <w:r>
        <w:rPr>
          <w:spacing w:val="-2"/>
        </w:rPr>
        <w:t>提高了公司的透明度和诚信度。公司重视对投资者的投资回报，在不影响公司正常经营和持续发展的前提下，公司采取积极</w:t>
      </w:r>
      <w:r>
        <w:rPr>
          <w:spacing w:val="-63"/>
        </w:rPr>
        <w:t> </w:t>
      </w:r>
      <w:r>
        <w:rPr>
          <w:spacing w:val="-63"/>
        </w:rPr>
      </w:r>
      <w:r>
        <w:rPr>
          <w:spacing w:val="-2"/>
        </w:rPr>
        <w:t>的利润分配方案。公司上市以来，连续多年实施了现金分红方案，每年的现金分红比率占合并报表中归属于上市公司股东净</w:t>
      </w:r>
      <w:r>
        <w:rPr>
          <w:spacing w:val="-63"/>
        </w:rPr>
        <w:t> </w:t>
      </w:r>
      <w:r>
        <w:rPr>
          <w:spacing w:val="-63"/>
        </w:rPr>
      </w:r>
      <w:r>
        <w:rPr/>
        <w:t>利润的</w:t>
      </w:r>
      <w:r>
        <w:rPr>
          <w:rFonts w:ascii="Times New Roman" w:hAnsi="Times New Roman" w:cs="Times New Roman" w:eastAsia="Times New Roman" w:hint="default"/>
        </w:rPr>
        <w:t>40%</w:t>
      </w:r>
      <w:r>
        <w:rPr/>
        <w:t>以上。</w:t>
      </w:r>
    </w:p>
    <w:p>
      <w:pPr>
        <w:pStyle w:val="BodyText"/>
        <w:spacing w:line="235" w:lineRule="exact"/>
        <w:ind w:left="513" w:right="0"/>
        <w:jc w:val="left"/>
      </w:pPr>
      <w:r>
        <w:rPr/>
        <w:t>（二）重视员工权益</w:t>
      </w:r>
    </w:p>
    <w:p>
      <w:pPr>
        <w:pStyle w:val="BodyText"/>
        <w:spacing w:line="314" w:lineRule="auto" w:before="76"/>
        <w:ind w:right="1033" w:firstLine="360"/>
        <w:jc w:val="left"/>
      </w:pPr>
      <w:r>
        <w:rPr>
          <w:spacing w:val="-3"/>
        </w:rPr>
        <w:t>公司始终秉承</w:t>
      </w:r>
      <w:r>
        <w:rPr>
          <w:rFonts w:ascii="Times New Roman" w:hAnsi="Times New Roman" w:cs="Times New Roman" w:eastAsia="Times New Roman" w:hint="default"/>
          <w:spacing w:val="-3"/>
        </w:rPr>
        <w:t>“</w:t>
      </w:r>
      <w:r>
        <w:rPr>
          <w:spacing w:val="-3"/>
        </w:rPr>
        <w:t>以人为本</w:t>
      </w:r>
      <w:r>
        <w:rPr>
          <w:rFonts w:ascii="Times New Roman" w:hAnsi="Times New Roman" w:cs="Times New Roman" w:eastAsia="Times New Roman" w:hint="default"/>
          <w:spacing w:val="-3"/>
        </w:rPr>
        <w:t>”</w:t>
      </w:r>
      <w:r>
        <w:rPr>
          <w:spacing w:val="-3"/>
        </w:rPr>
        <w:t>的管理理念，重视员工的利益和发展诉求。公司建立了</w:t>
      </w:r>
      <w:r>
        <w:rPr>
          <w:rFonts w:ascii="Times New Roman" w:hAnsi="Times New Roman" w:cs="Times New Roman" w:eastAsia="Times New Roman" w:hint="default"/>
          <w:spacing w:val="-3"/>
        </w:rPr>
        <w:t>GB/T28001-2001</w:t>
      </w:r>
      <w:r>
        <w:rPr>
          <w:spacing w:val="-3"/>
        </w:rPr>
        <w:t>职业安全健康管理体系，</w:t>
      </w:r>
      <w:r>
        <w:rPr/>
        <w:t> </w:t>
      </w:r>
      <w:r>
        <w:rPr>
          <w:spacing w:val="-2"/>
        </w:rPr>
        <w:t>并严格按照体系要求运行。公司严格遵守《劳动法》、《劳动合同法》、《妇女权益保护法》等相关法律法规，尊重和维护</w:t>
      </w:r>
      <w:r>
        <w:rPr>
          <w:spacing w:val="-71"/>
        </w:rPr>
        <w:t> </w:t>
      </w:r>
      <w:r>
        <w:rPr>
          <w:spacing w:val="-71"/>
        </w:rPr>
      </w:r>
      <w:r>
        <w:rPr>
          <w:spacing w:val="-2"/>
        </w:rPr>
        <w:t>员工的个人权益，切实关注员工健康、安全和满意度。公司依法与员工签订劳动合同，明确劳工关系；为员工参加和缴纳各</w:t>
      </w:r>
      <w:r>
        <w:rPr>
          <w:spacing w:val="-67"/>
        </w:rPr>
        <w:t> </w:t>
      </w:r>
      <w:r>
        <w:rPr>
          <w:spacing w:val="-67"/>
        </w:rPr>
      </w:r>
      <w:r>
        <w:rPr>
          <w:spacing w:val="-2"/>
        </w:rPr>
        <w:t>项社会保险，保障员工依法享受社会保障待遇；定期安排员工进行体检，定期组织文体活动，以期达到关心全体员工身心健</w:t>
      </w:r>
      <w:r>
        <w:rPr>
          <w:spacing w:val="-65"/>
        </w:rPr>
        <w:t> </w:t>
      </w:r>
      <w:r>
        <w:rPr>
          <w:spacing w:val="-65"/>
        </w:rPr>
      </w:r>
      <w:r>
        <w:rPr/>
        <w:t>康的目的。</w:t>
      </w:r>
    </w:p>
    <w:p>
      <w:pPr>
        <w:pStyle w:val="BodyText"/>
        <w:spacing w:line="316" w:lineRule="auto" w:before="20"/>
        <w:ind w:left="513" w:right="0" w:hanging="144"/>
        <w:jc w:val="left"/>
      </w:pPr>
      <w:r>
        <w:rPr/>
        <w:t>（三）重视供应商和客户权益，和谐共赢 </w:t>
      </w:r>
      <w:r>
        <w:rPr>
          <w:spacing w:val="-2"/>
        </w:rPr>
        <w:t>公司一直遵循</w:t>
      </w:r>
      <w:r>
        <w:rPr>
          <w:rFonts w:ascii="Times New Roman" w:hAnsi="Times New Roman" w:cs="Times New Roman" w:eastAsia="Times New Roman" w:hint="default"/>
          <w:spacing w:val="-2"/>
        </w:rPr>
        <w:t>“</w:t>
      </w:r>
      <w:r>
        <w:rPr>
          <w:spacing w:val="-2"/>
        </w:rPr>
        <w:t>平等、互利</w:t>
      </w:r>
      <w:r>
        <w:rPr>
          <w:rFonts w:ascii="Times New Roman" w:hAnsi="Times New Roman" w:cs="Times New Roman" w:eastAsia="Times New Roman" w:hint="default"/>
          <w:spacing w:val="-2"/>
        </w:rPr>
        <w:t>”</w:t>
      </w:r>
      <w:r>
        <w:rPr>
          <w:spacing w:val="-2"/>
        </w:rPr>
        <w:t>的原则，积极构建和发展与供应商、客户的战略合作伙伴关系，注重与各相关方的沟通与协</w:t>
      </w:r>
    </w:p>
    <w:p>
      <w:pPr>
        <w:pStyle w:val="BodyText"/>
        <w:spacing w:line="300" w:lineRule="auto"/>
        <w:ind w:right="1122"/>
        <w:jc w:val="left"/>
      </w:pPr>
      <w:r>
        <w:rPr>
          <w:spacing w:val="-2"/>
        </w:rPr>
        <w:t>调，共同构筑信任与合作的平台，切实履行公司对供应商、对客户的社会责任。公司已连续多年获得</w:t>
      </w:r>
      <w:r>
        <w:rPr>
          <w:rFonts w:ascii="Times New Roman" w:hAnsi="Times New Roman" w:cs="Times New Roman" w:eastAsia="Times New Roman" w:hint="default"/>
          <w:spacing w:val="-2"/>
        </w:rPr>
        <w:t>“</w:t>
      </w:r>
      <w:r>
        <w:rPr>
          <w:spacing w:val="-2"/>
        </w:rPr>
        <w:t>守合同、重信用</w:t>
      </w:r>
      <w:r>
        <w:rPr>
          <w:rFonts w:ascii="Times New Roman" w:hAnsi="Times New Roman" w:cs="Times New Roman" w:eastAsia="Times New Roman" w:hint="default"/>
          <w:spacing w:val="-2"/>
        </w:rPr>
        <w:t>”</w:t>
      </w:r>
      <w:r>
        <w:rPr>
          <w:spacing w:val="-2"/>
        </w:rPr>
        <w:t>单位</w:t>
      </w:r>
      <w:r>
        <w:rPr>
          <w:spacing w:val="-43"/>
        </w:rPr>
        <w:t> </w:t>
      </w:r>
      <w:r>
        <w:rPr/>
        <w:t>称号。</w:t>
      </w:r>
    </w:p>
    <w:p>
      <w:pPr>
        <w:pStyle w:val="BodyText"/>
        <w:spacing w:line="360" w:lineRule="auto" w:before="31"/>
        <w:ind w:left="513" w:right="0"/>
        <w:jc w:val="left"/>
      </w:pPr>
      <w:r>
        <w:rPr/>
        <w:t>（四）安全生产及环境保护 </w:t>
      </w:r>
      <w:r>
        <w:rPr>
          <w:spacing w:val="-2"/>
        </w:rPr>
        <w:t>公司高度重视安全生产，公司建立健全了安全生产责任制度，加强对员工的安全生产培训，并严格监督，多年来未发生</w:t>
      </w:r>
    </w:p>
    <w:p>
      <w:pPr>
        <w:pStyle w:val="BodyText"/>
        <w:spacing w:line="236" w:lineRule="exact"/>
        <w:ind w:right="0"/>
        <w:jc w:val="left"/>
      </w:pPr>
      <w:r>
        <w:rPr/>
        <w:t>重大安全事故。公司严格执行</w:t>
      </w:r>
      <w:r>
        <w:rPr>
          <w:rFonts w:ascii="Times New Roman" w:hAnsi="Times New Roman" w:cs="Times New Roman" w:eastAsia="Times New Roman" w:hint="default"/>
        </w:rPr>
        <w:t>ISO14001</w:t>
      </w:r>
      <w:r>
        <w:rPr/>
        <w:t>环境管理体系，将环境保护、节能减排工作纳入重要议事日程。公司努力按照有关</w:t>
      </w:r>
    </w:p>
    <w:p>
      <w:pPr>
        <w:pStyle w:val="BodyText"/>
        <w:spacing w:line="240" w:lineRule="auto" w:before="63"/>
        <w:ind w:right="0"/>
        <w:jc w:val="left"/>
      </w:pPr>
      <w:r>
        <w:rPr/>
        <w:t>环保法规及相应标准对废水、废气、废渣进行有效综合治理，积极践行企业环保责任。</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公司报告年度内未开展精准扶贫工作，也暂无后续精准扶贫计划。</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3、环境保护相关的情况" w:id="97"/>
      <w:bookmarkEnd w:id="9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316" w:lineRule="auto" w:before="29"/>
        <w:ind w:right="0" w:firstLine="362"/>
        <w:jc w:val="left"/>
      </w:pPr>
      <w:r>
        <w:rPr>
          <w:spacing w:val="-4"/>
        </w:rPr>
        <w:t>报告期内，公司及控股子公司按照各地环保要求，加强环境保护管理，积极做好废弃物管理。在重污染天气防控过程中，</w:t>
      </w:r>
      <w:r>
        <w:rPr/>
        <w:t> 本公司之控股子公司成都东港安全印刷有限公司，因未按规定使用废气防治设施，于</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月被成都市双流区环境生态</w:t>
      </w:r>
    </w:p>
    <w:p>
      <w:pPr>
        <w:pStyle w:val="BodyText"/>
        <w:spacing w:line="248" w:lineRule="exact"/>
        <w:ind w:right="0"/>
        <w:jc w:val="left"/>
      </w:pPr>
      <w:r>
        <w:rPr/>
        <w:t>局罚款</w:t>
      </w:r>
      <w:r>
        <w:rPr>
          <w:spacing w:val="-47"/>
        </w:rPr>
        <w:t> </w:t>
      </w:r>
      <w:r>
        <w:rPr>
          <w:rFonts w:ascii="Times New Roman" w:hAnsi="Times New Roman" w:cs="Times New Roman" w:eastAsia="Times New Roman" w:hint="default"/>
        </w:rPr>
        <w:t>72,900</w:t>
      </w:r>
      <w:r>
        <w:rPr>
          <w:rFonts w:ascii="Times New Roman" w:hAnsi="Times New Roman" w:cs="Times New Roman" w:eastAsia="Times New Roman" w:hint="default"/>
          <w:spacing w:val="-10"/>
        </w:rPr>
        <w:t> </w:t>
      </w:r>
      <w:r>
        <w:rPr/>
        <w:t>元。公司将认真吸取该项事件的教训，积极整改，杜绝类似事件的再次发生。</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九、其他重大事项的说明" w:id="98"/>
      <w:bookmarkEnd w:id="98"/>
      <w:r>
        <w:rPr>
          <w:b w:val="0"/>
          <w:bCs w:val="0"/>
        </w:rPr>
      </w:r>
      <w:r>
        <w:rPr/>
        <w:t>十九、其他重大事项的说明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99"/>
      <w:bookmarkEnd w:id="99"/>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0"/>
        <w:jc w:val="left"/>
        <w:rPr>
          <w:b w:val="0"/>
          <w:bCs w:val="0"/>
        </w:rPr>
      </w:pPr>
      <w:bookmarkStart w:name="第六节股份变动及股东情况" w:id="100"/>
      <w:bookmarkEnd w:id="100"/>
      <w:r>
        <w:rPr>
          <w:b w:val="0"/>
          <w:bCs w:val="0"/>
        </w:rPr>
      </w:r>
      <w:bookmarkStart w:name="_bookmark5" w:id="101"/>
      <w:bookmarkEnd w:id="101"/>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05"/>
        <w:gridCol w:w="823"/>
        <w:gridCol w:w="634"/>
        <w:gridCol w:w="975"/>
        <w:gridCol w:w="823"/>
        <w:gridCol w:w="566"/>
        <w:gridCol w:w="975"/>
        <w:gridCol w:w="1022"/>
        <w:gridCol w:w="794"/>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3" w:right="38"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9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34" w:type="dxa"/>
            <w:vMerge/>
            <w:tcBorders>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5"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63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10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4" w:type="dxa"/>
            <w:vMerge/>
            <w:tcBorders>
              <w:left w:val="single" w:sz="4" w:space="0" w:color="000000"/>
              <w:bottom w:val="single" w:sz="4" w:space="0" w:color="000000"/>
              <w:right w:val="single" w:sz="4" w:space="0" w:color="000000"/>
            </w:tcBorders>
            <w:shd w:val="clear" w:color="auto" w:fill="D2D2D2"/>
          </w:tcPr>
          <w:p>
            <w:pPr/>
          </w:p>
        </w:tc>
        <w:tc>
          <w:tcPr>
            <w:tcW w:w="9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116,849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6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58,424</w:t>
            </w:r>
          </w:p>
        </w:tc>
        <w:tc>
          <w:tcPr>
            <w:tcW w:w="82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116,849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6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58,424</w:t>
            </w:r>
          </w:p>
        </w:tc>
        <w:tc>
          <w:tcPr>
            <w:tcW w:w="82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116,849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6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58,424</w:t>
            </w:r>
          </w:p>
        </w:tc>
        <w:tc>
          <w:tcPr>
            <w:tcW w:w="82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363,660,765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99.97%</w:t>
            </w:r>
          </w:p>
        </w:tc>
        <w:tc>
          <w:tcPr>
            <w:tcW w:w="6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181,830,383</w:t>
            </w:r>
          </w:p>
        </w:tc>
        <w:tc>
          <w:tcPr>
            <w:tcW w:w="82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181,830,383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545,491,148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99.97%</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363,660,765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99.97%</w:t>
            </w:r>
          </w:p>
        </w:tc>
        <w:tc>
          <w:tcPr>
            <w:tcW w:w="6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181,830,383</w:t>
            </w:r>
          </w:p>
        </w:tc>
        <w:tc>
          <w:tcPr>
            <w:tcW w:w="82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181,830,383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545,491,148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99.97%</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363,777,614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181,888,807</w:t>
            </w:r>
          </w:p>
        </w:tc>
        <w:tc>
          <w:tcPr>
            <w:tcW w:w="82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181,888,807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545,666,421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股份变动的原因</w:t>
      </w:r>
    </w:p>
    <w:p>
      <w:pPr>
        <w:pStyle w:val="BodyText"/>
        <w:spacing w:line="319" w:lineRule="auto" w:before="117"/>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日实施了</w:t>
      </w:r>
      <w:r>
        <w:rPr>
          <w:rFonts w:ascii="Times New Roman" w:hAnsi="Times New Roman" w:cs="Times New Roman" w:eastAsia="Times New Roman" w:hint="default"/>
        </w:rPr>
        <w:t>2018</w:t>
      </w:r>
      <w:r>
        <w:rPr/>
        <w:t>年度利润分配方案，以公司</w:t>
      </w:r>
      <w:r>
        <w:rPr>
          <w:rFonts w:ascii="Times New Roman" w:hAnsi="Times New Roman" w:cs="Times New Roman" w:eastAsia="Times New Roman" w:hint="default"/>
        </w:rPr>
        <w:t>2018</w:t>
      </w:r>
      <w:r>
        <w:rPr/>
        <w:t>年底总股本</w:t>
      </w:r>
      <w:r>
        <w:rPr>
          <w:rFonts w:ascii="Times New Roman" w:hAnsi="Times New Roman" w:cs="Times New Roman" w:eastAsia="Times New Roman" w:hint="default"/>
        </w:rPr>
        <w:t>363,777,614</w:t>
      </w:r>
      <w:r>
        <w:rPr/>
        <w:t>股为基数，向全体股东每</w:t>
      </w:r>
      <w:r>
        <w:rPr>
          <w:rFonts w:ascii="Times New Roman" w:hAnsi="Times New Roman" w:cs="Times New Roman" w:eastAsia="Times New Roman" w:hint="default"/>
        </w:rPr>
        <w:t>10</w:t>
      </w:r>
      <w:r>
        <w:rPr/>
        <w:t>股送红 股</w:t>
      </w:r>
      <w:r>
        <w:rPr>
          <w:rFonts w:ascii="Times New Roman" w:hAnsi="Times New Roman" w:cs="Times New Roman" w:eastAsia="Times New Roman" w:hint="default"/>
        </w:rPr>
        <w:t>5</w:t>
      </w:r>
      <w:r>
        <w:rPr/>
        <w:t>股，公司总股本增加为</w:t>
      </w:r>
      <w:r>
        <w:rPr>
          <w:rFonts w:ascii="Times New Roman" w:hAnsi="Times New Roman" w:cs="Times New Roman" w:eastAsia="Times New Roman" w:hint="default"/>
        </w:rPr>
        <w:t>545,666,421</w:t>
      </w:r>
      <w:r>
        <w:rPr/>
        <w:t>股。</w:t>
      </w:r>
    </w:p>
    <w:p>
      <w:pPr>
        <w:pStyle w:val="BodyText"/>
        <w:spacing w:line="240" w:lineRule="auto" w:before="38"/>
        <w:ind w:right="0"/>
        <w:jc w:val="left"/>
      </w:pPr>
      <w:r>
        <w:rPr/>
        <w:t>股份变动的批准情况</w:t>
      </w:r>
    </w:p>
    <w:p>
      <w:pPr>
        <w:pStyle w:val="BodyText"/>
        <w:spacing w:line="338" w:lineRule="auto" w:before="117"/>
        <w:ind w:right="5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w:t>
      </w:r>
      <w:r>
        <w:rPr>
          <w:rFonts w:ascii="Times New Roman" w:hAnsi="Times New Roman" w:cs="Times New Roman" w:eastAsia="Times New Roman" w:hint="default"/>
        </w:rPr>
        <w:t>2018</w:t>
      </w:r>
      <w:r>
        <w:rPr/>
        <w:t>年度利润分配方案已经</w:t>
      </w:r>
      <w:r>
        <w:rPr>
          <w:rFonts w:ascii="Times New Roman" w:hAnsi="Times New Roman" w:cs="Times New Roman" w:eastAsia="Times New Roman" w:hint="default"/>
        </w:rPr>
        <w:t>2018</w:t>
      </w:r>
      <w:r>
        <w:rPr/>
        <w:t>年度股东大会审议通过。 股份变动的过户情况</w:t>
      </w:r>
    </w:p>
    <w:p>
      <w:pPr>
        <w:pStyle w:val="BodyText"/>
        <w:spacing w:line="338" w:lineRule="auto" w:before="43"/>
        <w:ind w:right="50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w:t>
      </w:r>
      <w:r>
        <w:rPr>
          <w:rFonts w:ascii="Times New Roman" w:hAnsi="Times New Roman" w:cs="Times New Roman" w:eastAsia="Times New Roman" w:hint="default"/>
        </w:rPr>
        <w:t>2018</w:t>
      </w:r>
      <w:r>
        <w:rPr/>
        <w:t>年度利润分配方案所送股于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日记入股东证券账户。 股份回购的实施进展情况</w:t>
      </w:r>
    </w:p>
    <w:p>
      <w:pPr>
        <w:pStyle w:val="BodyText"/>
        <w:spacing w:line="338"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4"/>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19" w:lineRule="auto" w:before="3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3"/>
        </w:rPr>
        <w:t>公司实施</w:t>
      </w:r>
      <w:r>
        <w:rPr>
          <w:rFonts w:ascii="Times New Roman" w:hAnsi="Times New Roman" w:cs="Times New Roman" w:eastAsia="Times New Roman" w:hint="default"/>
          <w:spacing w:val="-3"/>
        </w:rPr>
        <w:t>2018</w:t>
      </w:r>
      <w:r>
        <w:rPr>
          <w:spacing w:val="-3"/>
        </w:rPr>
        <w:t>年度利润分配方案后，按新股本</w:t>
      </w:r>
      <w:r>
        <w:rPr>
          <w:rFonts w:ascii="Times New Roman" w:hAnsi="Times New Roman" w:cs="Times New Roman" w:eastAsia="Times New Roman" w:hint="default"/>
          <w:spacing w:val="-3"/>
        </w:rPr>
        <w:t>545,666,421</w:t>
      </w:r>
      <w:r>
        <w:rPr>
          <w:spacing w:val="-3"/>
        </w:rPr>
        <w:t>股摊薄计算，</w:t>
      </w:r>
      <w:r>
        <w:rPr>
          <w:rFonts w:ascii="Times New Roman" w:hAnsi="Times New Roman" w:cs="Times New Roman" w:eastAsia="Times New Roman" w:hint="default"/>
          <w:spacing w:val="-3"/>
        </w:rPr>
        <w:t>2018</w:t>
      </w:r>
      <w:r>
        <w:rPr>
          <w:spacing w:val="-3"/>
        </w:rPr>
        <w:t>年年度每股净收益为</w:t>
      </w:r>
      <w:r>
        <w:rPr>
          <w:rFonts w:ascii="Times New Roman" w:hAnsi="Times New Roman" w:cs="Times New Roman" w:eastAsia="Times New Roman" w:hint="default"/>
          <w:spacing w:val="-3"/>
        </w:rPr>
        <w:t>0.4706</w:t>
      </w:r>
      <w:r>
        <w:rPr>
          <w:spacing w:val="-3"/>
        </w:rPr>
        <w:t>元，每股净资产为</w:t>
      </w:r>
      <w:r>
        <w:rPr>
          <w:rFonts w:ascii="Times New Roman" w:hAnsi="Times New Roman" w:cs="Times New Roman" w:eastAsia="Times New Roman" w:hint="default"/>
          <w:spacing w:val="-3"/>
        </w:rPr>
        <w:t>2.98</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元。</w:t>
      </w:r>
    </w:p>
    <w:p>
      <w:pPr>
        <w:pStyle w:val="BodyText"/>
        <w:spacing w:line="240" w:lineRule="auto" w:before="58"/>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140"/>
        <w:gridCol w:w="1368"/>
        <w:gridCol w:w="1044"/>
        <w:gridCol w:w="170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6" w:right="22"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26,531</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79,593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按高管股份管理规定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22,781</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68,343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按高管股份管理规定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3,375</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监事锁定股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按监事股份管理规定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5,737</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8"/>
              <w:jc w:val="right"/>
              <w:rPr>
                <w:rFonts w:ascii="宋体" w:hAnsi="宋体" w:cs="宋体" w:eastAsia="宋体" w:hint="default"/>
                <w:sz w:val="18"/>
                <w:szCs w:val="18"/>
              </w:rPr>
            </w:pPr>
            <w:r>
              <w:rPr>
                <w:rFonts w:ascii="宋体" w:hAnsi="宋体" w:cs="宋体" w:eastAsia="宋体" w:hint="default"/>
                <w:sz w:val="18"/>
                <w:szCs w:val="18"/>
              </w:rPr>
              <w:t>监事锁定股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按监事股份管理规定</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116,849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58,424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175,273</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441" w:right="335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报告期内，公司因实施每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股的利润分配方案，公司总股本增加，未分配利润减少。</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368.470001pt;margin-top:64.101723pt;width:63.15pt;height:29.9pt;mso-position-horizontal-relative:page;mso-position-vertical-relative:paragraph;z-index:-756592" coordorigin="7369,1282" coordsize="1263,598">
            <v:shape style="position:absolute;left:7369;top:1282;width:1263;height:598" coordorigin="7369,1282" coordsize="1263,598" path="m7369,1880l8632,1880,8632,1282,7369,1282,7369,1880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478"/>
        <w:gridCol w:w="697"/>
        <w:gridCol w:w="94"/>
        <w:gridCol w:w="937"/>
        <w:gridCol w:w="338"/>
        <w:gridCol w:w="549"/>
        <w:gridCol w:w="755"/>
        <w:gridCol w:w="937"/>
        <w:gridCol w:w="328"/>
        <w:gridCol w:w="1034"/>
        <w:gridCol w:w="139"/>
        <w:gridCol w:w="1208"/>
      </w:tblGrid>
      <w:tr>
        <w:trPr>
          <w:trHeight w:val="238"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63" w:right="0"/>
              <w:jc w:val="left"/>
              <w:rPr>
                <w:rFonts w:ascii="Times New Roman" w:hAnsi="Times New Roman" w:cs="Times New Roman" w:eastAsia="Times New Roman" w:hint="default"/>
                <w:sz w:val="18"/>
                <w:szCs w:val="18"/>
              </w:rPr>
            </w:pPr>
            <w:r>
              <w:rPr>
                <w:rFonts w:ascii="Times New Roman"/>
                <w:sz w:val="18"/>
              </w:rPr>
              <w:t>34,223</w:t>
            </w:r>
          </w:p>
        </w:tc>
        <w:tc>
          <w:tcPr>
            <w:tcW w:w="11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832" w:right="0"/>
              <w:jc w:val="left"/>
              <w:rPr>
                <w:rFonts w:ascii="Times New Roman" w:hAnsi="Times New Roman" w:cs="Times New Roman" w:eastAsia="Times New Roman" w:hint="default"/>
                <w:sz w:val="18"/>
                <w:szCs w:val="18"/>
              </w:rPr>
            </w:pPr>
            <w:r>
              <w:rPr>
                <w:rFonts w:ascii="Times New Roman"/>
                <w:sz w:val="18"/>
              </w:rPr>
              <w:t>29,011</w:t>
            </w:r>
          </w:p>
        </w:tc>
        <w:tc>
          <w:tcPr>
            <w:tcW w:w="13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6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12"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r>
      <w:tr>
        <w:trPr>
          <w:trHeight w:val="233"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69" w:type="dxa"/>
            <w:gridSpan w:val="3"/>
            <w:vMerge/>
            <w:tcBorders>
              <w:left w:val="single" w:sz="9" w:space="0" w:color="D2D2D2"/>
              <w:right w:val="single" w:sz="9" w:space="0" w:color="D2D2D2"/>
            </w:tcBorders>
          </w:tcPr>
          <w:p>
            <w:pPr/>
          </w:p>
        </w:tc>
        <w:tc>
          <w:tcPr>
            <w:tcW w:w="13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1" w:right="-24"/>
              <w:jc w:val="left"/>
              <w:rPr>
                <w:rFonts w:ascii="宋体" w:hAnsi="宋体" w:cs="宋体" w:eastAsia="宋体"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4"/>
                <w:sz w:val="18"/>
                <w:szCs w:val="18"/>
              </w:rPr>
              <w:t>股股东总数（如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65"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547"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3"/>
              <w:ind w:left="1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369" w:type="dxa"/>
            <w:gridSpan w:val="3"/>
            <w:vMerge/>
            <w:tcBorders>
              <w:left w:val="single" w:sz="9" w:space="0" w:color="D2D2D2"/>
              <w:right w:val="single" w:sz="9"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1265"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233"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369" w:type="dxa"/>
            <w:gridSpan w:val="3"/>
            <w:vMerge/>
            <w:tcBorders>
              <w:left w:val="single" w:sz="9" w:space="0" w:color="D2D2D2"/>
              <w:right w:val="single" w:sz="9" w:space="0" w:color="D2D2D2"/>
            </w:tcBorders>
          </w:tcPr>
          <w:p>
            <w:pPr/>
          </w:p>
        </w:tc>
        <w:tc>
          <w:tcPr>
            <w:tcW w:w="1304" w:type="dxa"/>
            <w:gridSpan w:val="2"/>
            <w:vMerge/>
            <w:tcBorders>
              <w:left w:val="single" w:sz="4" w:space="0" w:color="000000"/>
              <w:bottom w:val="nil" w:sz="6" w:space="0" w:color="auto"/>
              <w:right w:val="single" w:sz="4" w:space="0" w:color="000000"/>
            </w:tcBorders>
            <w:shd w:val="clear" w:color="auto" w:fill="D2D2D2"/>
          </w:tcPr>
          <w:p>
            <w:pPr/>
          </w:p>
        </w:tc>
        <w:tc>
          <w:tcPr>
            <w:tcW w:w="1265"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245"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3"/>
            <w:vMerge/>
            <w:tcBorders>
              <w:left w:val="single" w:sz="9" w:space="0" w:color="D2D2D2"/>
              <w:bottom w:val="single" w:sz="4" w:space="0" w:color="000000"/>
              <w:right w:val="single" w:sz="9" w:space="0" w:color="D2D2D2"/>
            </w:tcBorders>
          </w:tcPr>
          <w:p>
            <w:pPr/>
          </w:p>
        </w:tc>
        <w:tc>
          <w:tcPr>
            <w:tcW w:w="13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65"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88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1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7"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1" w:type="dxa"/>
            <w:gridSpan w:val="2"/>
            <w:vMerge w:val="restart"/>
            <w:tcBorders>
              <w:top w:val="single" w:sz="4" w:space="0" w:color="000000"/>
              <w:left w:val="single" w:sz="4" w:space="0" w:color="000000"/>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7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7"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24" w:right="8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1" w:type="dxa"/>
            <w:gridSpan w:val="2"/>
            <w:vMerge/>
            <w:tcBorders>
              <w:left w:val="single" w:sz="4" w:space="0" w:color="000000"/>
              <w:bottom w:val="nil" w:sz="6" w:space="0" w:color="auto"/>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4" w:right="10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8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2709" w:type="dxa"/>
            <w:gridSpan w:val="4"/>
            <w:vMerge/>
            <w:tcBorders>
              <w:left w:val="single" w:sz="4" w:space="0" w:color="000000"/>
              <w:right w:val="single" w:sz="4" w:space="0" w:color="000000"/>
            </w:tcBorders>
            <w:shd w:val="clear" w:color="auto" w:fill="D2D2D2"/>
          </w:tcPr>
          <w:p>
            <w:pPr/>
          </w:p>
        </w:tc>
      </w:tr>
      <w:tr>
        <w:trPr>
          <w:trHeight w:val="142"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37" w:type="dxa"/>
            <w:vMerge/>
            <w:tcBorders>
              <w:left w:val="single" w:sz="4" w:space="0" w:color="000000"/>
              <w:right w:val="single" w:sz="4" w:space="0" w:color="000000"/>
            </w:tcBorders>
            <w:shd w:val="clear" w:color="auto" w:fill="D2D2D2"/>
          </w:tcPr>
          <w:p>
            <w:pPr/>
          </w:p>
        </w:tc>
        <w:tc>
          <w:tcPr>
            <w:tcW w:w="88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2709"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1" w:type="dxa"/>
            <w:gridSpan w:val="2"/>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88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13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1" w:type="dxa"/>
            <w:gridSpan w:val="2"/>
            <w:vMerge w:val="restart"/>
            <w:tcBorders>
              <w:top w:val="nil" w:sz="6" w:space="0" w:color="auto"/>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88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1361"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1" w:type="dxa"/>
            <w:gridSpan w:val="2"/>
            <w:vMerge/>
            <w:tcBorders>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7"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361"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382"/>
        <w:gridCol w:w="408"/>
        <w:gridCol w:w="938"/>
        <w:gridCol w:w="886"/>
        <w:gridCol w:w="787"/>
        <w:gridCol w:w="917"/>
        <w:gridCol w:w="1349"/>
        <w:gridCol w:w="1349"/>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香港喜多来集团 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12.34%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67,316,950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22,438,983</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67,316,950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北京中嘉华信息 技术有限公司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11.17%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60,961,650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20,320,550</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60,961,650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济南发展国有工 业资产经营有限 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9.09%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49,593,600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16,531,200</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49,593,600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4,980,703</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浪潮电子信息产 业股份有限公司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3.57%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19,458,262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6,486,087</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19,458,262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1.89%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10,295,700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3,431,900</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10,295,700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施连宝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2" w:right="0"/>
              <w:jc w:val="left"/>
              <w:rPr>
                <w:rFonts w:ascii="Times New Roman" w:hAnsi="Times New Roman" w:cs="Times New Roman" w:eastAsia="Times New Roman" w:hint="default"/>
                <w:sz w:val="18"/>
                <w:szCs w:val="18"/>
              </w:rPr>
            </w:pPr>
            <w:r>
              <w:rPr>
                <w:rFonts w:ascii="Times New Roman"/>
                <w:sz w:val="18"/>
              </w:rPr>
              <w:t>1.52%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5" w:right="0"/>
              <w:jc w:val="center"/>
              <w:rPr>
                <w:rFonts w:ascii="Times New Roman" w:hAnsi="Times New Roman" w:cs="Times New Roman" w:eastAsia="Times New Roman" w:hint="default"/>
                <w:sz w:val="18"/>
                <w:szCs w:val="18"/>
              </w:rPr>
            </w:pPr>
            <w:r>
              <w:rPr>
                <w:rFonts w:ascii="Times New Roman"/>
                <w:sz w:val="18"/>
              </w:rPr>
              <w:t>8,315,800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2,898,178</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8,315,800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张云泉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1.45%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7,906,939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2,635,646</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7,906,939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西藏共立创业投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1.19%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6,520,000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海通证券股份有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1.10%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6,000,000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张鳌琼</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0.76%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4,140,000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1,377,600</w:t>
            </w:r>
          </w:p>
        </w:tc>
        <w:tc>
          <w:tcPr>
            <w:tcW w:w="78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16"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016"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40"/>
              <w:jc w:val="left"/>
              <w:rPr>
                <w:rFonts w:ascii="宋体" w:hAnsi="宋体" w:cs="宋体" w:eastAsia="宋体" w:hint="default"/>
                <w:sz w:val="18"/>
                <w:szCs w:val="18"/>
              </w:rPr>
            </w:pPr>
            <w:r>
              <w:rPr>
                <w:rFonts w:ascii="宋体" w:hAnsi="宋体" w:cs="宋体" w:eastAsia="宋体" w:hint="default"/>
                <w:sz w:val="18"/>
                <w:szCs w:val="18"/>
              </w:rPr>
              <w:t>北京中嘉华信息技术有限公司与西藏共立创业投资合伙企业（有限合伙）系一致行动人。</w:t>
            </w:r>
          </w:p>
        </w:tc>
      </w:tr>
      <w:tr>
        <w:trPr>
          <w:trHeight w:val="402" w:hRule="exact"/>
        </w:trPr>
        <w:tc>
          <w:tcPr>
            <w:tcW w:w="989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326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3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26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3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263" w:type="dxa"/>
            <w:gridSpan w:val="3"/>
            <w:vMerge/>
            <w:tcBorders>
              <w:left w:val="single" w:sz="4" w:space="0" w:color="000000"/>
              <w:bottom w:val="nil" w:sz="6" w:space="0" w:color="auto"/>
              <w:right w:val="single" w:sz="4" w:space="0" w:color="000000"/>
            </w:tcBorders>
            <w:shd w:val="clear" w:color="auto" w:fill="D2D2D2"/>
          </w:tcPr>
          <w:p>
            <w:pPr/>
          </w:p>
        </w:tc>
        <w:tc>
          <w:tcPr>
            <w:tcW w:w="3936"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26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3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67,316,950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67,316,950</w:t>
            </w:r>
          </w:p>
        </w:tc>
      </w:tr>
      <w:tr>
        <w:trPr>
          <w:trHeight w:val="401"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60,961,650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60,961,650</w:t>
            </w:r>
          </w:p>
        </w:tc>
      </w:tr>
      <w:tr>
        <w:trPr>
          <w:trHeight w:val="403"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49,593,600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49,593,600</w:t>
            </w:r>
          </w:p>
        </w:tc>
      </w:tr>
      <w:tr>
        <w:trPr>
          <w:trHeight w:val="401"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19,458,262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19,458,262</w:t>
            </w:r>
          </w:p>
        </w:tc>
      </w:tr>
      <w:tr>
        <w:trPr>
          <w:trHeight w:val="403"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10,295,700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10,295,700</w:t>
            </w:r>
          </w:p>
        </w:tc>
      </w:tr>
      <w:tr>
        <w:trPr>
          <w:trHeight w:val="401"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施连宝</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8,315,800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8,315,800</w:t>
            </w:r>
          </w:p>
        </w:tc>
      </w:tr>
      <w:tr>
        <w:trPr>
          <w:trHeight w:val="403"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张云泉</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7,906,939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7,906,939</w:t>
            </w:r>
          </w:p>
        </w:tc>
      </w:tr>
      <w:tr>
        <w:trPr>
          <w:trHeight w:val="401"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西藏共立创业投资合伙企业（有限合伙）</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6,520,000</w:t>
            </w:r>
          </w:p>
        </w:tc>
      </w:tr>
      <w:tr>
        <w:trPr>
          <w:trHeight w:val="403"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张鳌琼</w:t>
            </w:r>
          </w:p>
        </w:tc>
        <w:tc>
          <w:tcPr>
            <w:tcW w:w="39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7016"/>
      </w:tblGrid>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40"/>
              <w:jc w:val="left"/>
              <w:rPr>
                <w:rFonts w:ascii="宋体" w:hAnsi="宋体" w:cs="宋体" w:eastAsia="宋体" w:hint="default"/>
                <w:sz w:val="18"/>
                <w:szCs w:val="18"/>
              </w:rPr>
            </w:pPr>
            <w:r>
              <w:rPr>
                <w:rFonts w:ascii="宋体" w:hAnsi="宋体" w:cs="宋体" w:eastAsia="宋体" w:hint="default"/>
                <w:sz w:val="18"/>
                <w:szCs w:val="18"/>
              </w:rPr>
              <w:t>北京中嘉华信息技术有限公司与西藏共立创业投资合伙企业（有限合伙）系一致行动人。</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41"/>
              <w:jc w:val="left"/>
              <w:rPr>
                <w:rFonts w:ascii="宋体" w:hAnsi="宋体" w:cs="宋体" w:eastAsia="宋体" w:hint="default"/>
                <w:sz w:val="18"/>
                <w:szCs w:val="18"/>
              </w:rPr>
            </w:pPr>
            <w:r>
              <w:rPr>
                <w:rFonts w:ascii="宋体" w:hAnsi="宋体" w:cs="宋体" w:eastAsia="宋体" w:hint="default"/>
                <w:sz w:val="18"/>
                <w:szCs w:val="18"/>
              </w:rPr>
              <w:t>股东施连宝通过信用账户持股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8,315,800 </w:t>
            </w:r>
            <w:r>
              <w:rPr>
                <w:rFonts w:ascii="宋体" w:hAnsi="宋体" w:cs="宋体" w:eastAsia="宋体" w:hint="default"/>
                <w:sz w:val="18"/>
                <w:szCs w:val="18"/>
              </w:rPr>
              <w:t>股，股东张云泉通过信用账户持股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7,906,939 </w:t>
            </w:r>
            <w:r>
              <w:rPr>
                <w:rFonts w:ascii="宋体" w:hAnsi="宋体" w:cs="宋体" w:eastAsia="宋体" w:hint="default"/>
                <w:spacing w:val="-3"/>
                <w:sz w:val="18"/>
                <w:szCs w:val="18"/>
              </w:rPr>
              <w:t>股，</w:t>
            </w:r>
            <w:r>
              <w:rPr>
                <w:rFonts w:ascii="宋体" w:hAnsi="宋体" w:cs="宋体" w:eastAsia="宋体" w:hint="default"/>
                <w:sz w:val="18"/>
                <w:szCs w:val="18"/>
              </w:rPr>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股东张鳌琼通过信用账户持股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234"/>
        <w:jc w:val="left"/>
      </w:pPr>
      <w:r>
        <w:rPr/>
        <w:t>控股股东性质：无控股主体 控股股东类型：不存在 公司不存在控股股东情况的说明</w:t>
      </w:r>
    </w:p>
    <w:p>
      <w:pPr>
        <w:pStyle w:val="BodyText"/>
        <w:spacing w:line="300" w:lineRule="auto" w:before="29"/>
        <w:ind w:right="0" w:firstLine="360"/>
        <w:jc w:val="left"/>
      </w:pPr>
      <w:r>
        <w:rPr/>
        <w:t>目前我公司持股</w:t>
      </w:r>
      <w:r>
        <w:rPr>
          <w:rFonts w:ascii="Times New Roman" w:hAnsi="Times New Roman" w:cs="Times New Roman" w:eastAsia="Times New Roman" w:hint="default"/>
        </w:rPr>
        <w:t>5%</w:t>
      </w:r>
      <w:r>
        <w:rPr/>
        <w:t>以上各个股东之间的持股比例较为接近，任一股东（及一致行动人）无法通过表决权控制股东大会 </w:t>
      </w:r>
      <w:r>
        <w:rPr>
          <w:spacing w:val="-2"/>
        </w:rPr>
        <w:t>或对股东大会决议产生决定性影响；任一股东（及一致行动人）没有能力决定半数以上董事会成员的选任；公司的股东之间</w:t>
      </w:r>
    </w:p>
    <w:p>
      <w:pPr>
        <w:pStyle w:val="BodyText"/>
        <w:spacing w:line="300" w:lineRule="auto" w:before="31"/>
        <w:ind w:right="1154"/>
        <w:jc w:val="left"/>
      </w:pPr>
      <w:r>
        <w:rPr/>
        <w:t>（及一致行动人）均不存在一致行动安排。公司持股</w:t>
      </w:r>
      <w:r>
        <w:rPr>
          <w:rFonts w:ascii="Times New Roman" w:hAnsi="Times New Roman" w:cs="Times New Roman" w:eastAsia="Times New Roman" w:hint="default"/>
        </w:rPr>
        <w:t>5%</w:t>
      </w:r>
      <w:r>
        <w:rPr/>
        <w:t>以上股东的持股比例、表决权比例和董事会成员的选任方面均未能 达到有关公司控制权的标准，亦不存在共同控制公司的协议安排，因此，我公司为无控股股东和无实际控制人的公司。</w:t>
      </w:r>
    </w:p>
    <w:p>
      <w:pPr>
        <w:pStyle w:val="BodyText"/>
        <w:spacing w:line="240" w:lineRule="auto" w:before="72"/>
        <w:ind w:right="0"/>
        <w:jc w:val="left"/>
      </w:pPr>
      <w:r>
        <w:rPr/>
        <w:t>控股股东报告期内变更</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及其一致行动人" w:id="112"/>
      <w:bookmarkEnd w:id="11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054"/>
        <w:jc w:val="left"/>
      </w:pPr>
      <w:r>
        <w:rPr/>
        <w:t>实际控制人性质：无实际控制人 实际控制人类型：不存在 公司不存在实际控制人情况的说明</w:t>
      </w:r>
    </w:p>
    <w:p>
      <w:pPr>
        <w:pStyle w:val="BodyText"/>
        <w:spacing w:line="300" w:lineRule="auto" w:before="25"/>
        <w:ind w:right="0" w:firstLine="360"/>
        <w:jc w:val="left"/>
      </w:pPr>
      <w:r>
        <w:rPr/>
        <w:t>目前我公司持股</w:t>
      </w:r>
      <w:r>
        <w:rPr>
          <w:rFonts w:ascii="Times New Roman" w:hAnsi="Times New Roman" w:cs="Times New Roman" w:eastAsia="Times New Roman" w:hint="default"/>
        </w:rPr>
        <w:t>5%</w:t>
      </w:r>
      <w:r>
        <w:rPr/>
        <w:t>以上各个股东之间的持股比例较为接近，任一股东（及一致行动人）无法通过表决权控制股东大会 </w:t>
      </w:r>
      <w:r>
        <w:rPr>
          <w:spacing w:val="-2"/>
        </w:rPr>
        <w:t>或对股东大会决议产生决定性影响；任一股东（及一致行动人）没有能力决定半数以上董事会成员的选任；公司的股东之间</w:t>
      </w:r>
    </w:p>
    <w:p>
      <w:pPr>
        <w:pStyle w:val="BodyText"/>
        <w:spacing w:line="300" w:lineRule="auto" w:before="31"/>
        <w:ind w:right="1154"/>
        <w:jc w:val="left"/>
      </w:pPr>
      <w:r>
        <w:rPr/>
        <w:t>（及一致行动人）均不存在一致行动安排。公司持股</w:t>
      </w:r>
      <w:r>
        <w:rPr>
          <w:rFonts w:ascii="Times New Roman" w:hAnsi="Times New Roman" w:cs="Times New Roman" w:eastAsia="Times New Roman" w:hint="default"/>
        </w:rPr>
        <w:t>5%</w:t>
      </w:r>
      <w:r>
        <w:rPr/>
        <w:t>以上股东的持股比例、表决权比例和董事会成员的选任方面均未能 达到有关公司控制权的标准，亦不存在共同控制公司的协议安排，因此，我公司为无控股股东和无实际控制人的公司。</w:t>
      </w:r>
    </w:p>
    <w:p>
      <w:pPr>
        <w:pStyle w:val="BodyText"/>
        <w:spacing w:line="240" w:lineRule="auto" w:before="72"/>
        <w:ind w:right="0"/>
        <w:jc w:val="left"/>
      </w:pPr>
      <w:r>
        <w:rPr/>
        <w:t>公司最终控制层面是否存在持股比例在</w:t>
      </w:r>
      <w:r>
        <w:rPr>
          <w:spacing w:val="-44"/>
        </w:rPr>
        <w:t> </w:t>
      </w:r>
      <w:r>
        <w:rPr>
          <w:rFonts w:ascii="Times New Roman" w:hAnsi="Times New Roman" w:cs="Times New Roman" w:eastAsia="Times New Roman" w:hint="default"/>
        </w:rPr>
        <w:t>10%</w:t>
      </w:r>
      <w:r>
        <w:rPr/>
        <w:t>以上的股东情况</w:t>
      </w:r>
    </w:p>
    <w:p>
      <w:pPr>
        <w:pStyle w:val="BodyText"/>
        <w:spacing w:line="338" w:lineRule="auto" w:before="104"/>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法人</w:t>
      </w:r>
    </w:p>
    <w:p>
      <w:pPr>
        <w:pStyle w:val="BodyText"/>
        <w:spacing w:line="240" w:lineRule="auto" w:before="43"/>
        <w:ind w:right="0"/>
        <w:jc w:val="left"/>
      </w:pPr>
      <w:r>
        <w:rPr/>
        <w:t>最终控制层面持股情况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1265"/>
        <w:gridCol w:w="1558"/>
        <w:gridCol w:w="1419"/>
        <w:gridCol w:w="3401"/>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66" w:right="60" w:hanging="20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54"/>
              <w:jc w:val="righ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香港喜多来集团有限公 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05"/>
              <w:jc w:val="right"/>
              <w:rPr>
                <w:rFonts w:ascii="宋体" w:hAnsi="宋体" w:cs="宋体" w:eastAsia="宋体" w:hint="default"/>
                <w:sz w:val="18"/>
                <w:szCs w:val="18"/>
              </w:rPr>
            </w:pPr>
            <w:r>
              <w:rPr>
                <w:rFonts w:ascii="宋体" w:hAnsi="宋体" w:cs="宋体" w:eastAsia="宋体" w:hint="default"/>
                <w:sz w:val="18"/>
                <w:szCs w:val="18"/>
              </w:rPr>
              <w:t>国际原材料贸易和实业投资</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44"/>
        <w:ind w:left="0" w:right="1083"/>
        <w:jc w:val="right"/>
      </w:pPr>
      <w:r>
        <w:rPr/>
        <w:pict>
          <v:shape style="position:absolute;margin-left:56.400002pt;margin-top:-.728301pt;width:482.75pt;height:181.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265"/>
                    <w:gridCol w:w="1558"/>
                    <w:gridCol w:w="1419"/>
                    <w:gridCol w:w="3401"/>
                  </w:tblGrid>
                  <w:tr>
                    <w:trPr>
                      <w:trHeight w:val="258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北京中嘉华信息技术有 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911101027334796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7XD</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软件开发；数据处理服务；经济贸易咨询 </w:t>
                        </w:r>
                        <w:r>
                          <w:rPr>
                            <w:rFonts w:ascii="宋体" w:hAnsi="宋体" w:cs="宋体" w:eastAsia="宋体" w:hint="default"/>
                            <w:spacing w:val="-4"/>
                            <w:sz w:val="18"/>
                            <w:szCs w:val="18"/>
                          </w:rPr>
                          <w:t>投资咨询、企业管理咨询；销售计算机、软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件及辅助设备（计算机信息系统安全专用产</w:t>
                        </w:r>
                        <w:r>
                          <w:rPr>
                            <w:rFonts w:ascii="宋体" w:hAnsi="宋体" w:cs="宋体" w:eastAsia="宋体" w:hint="default"/>
                            <w:sz w:val="18"/>
                            <w:szCs w:val="18"/>
                          </w:rPr>
                          <w:t> </w:t>
                        </w:r>
                        <w:r>
                          <w:rPr>
                            <w:rFonts w:ascii="宋体" w:hAnsi="宋体" w:cs="宋体" w:eastAsia="宋体" w:hint="default"/>
                            <w:spacing w:val="-5"/>
                            <w:sz w:val="18"/>
                            <w:szCs w:val="18"/>
                          </w:rPr>
                          <w:t>品除外）、电子产品、日用品、五金交电、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机械设备、纸张、纸制品；接受金融机构委</w:t>
                        </w:r>
                        <w:r>
                          <w:rPr>
                            <w:rFonts w:ascii="宋体" w:hAnsi="宋体" w:cs="宋体" w:eastAsia="宋体" w:hint="default"/>
                            <w:sz w:val="18"/>
                            <w:szCs w:val="18"/>
                          </w:rPr>
                          <w:t> </w:t>
                        </w:r>
                        <w:r>
                          <w:rPr>
                            <w:rFonts w:ascii="宋体" w:hAnsi="宋体" w:cs="宋体" w:eastAsia="宋体" w:hint="default"/>
                            <w:spacing w:val="-5"/>
                            <w:sz w:val="18"/>
                            <w:szCs w:val="18"/>
                          </w:rPr>
                          <w:t>托从事金融业务流程外包。（依法须经批准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的项目，经相关部门批准后依批准的内容开</w:t>
                        </w:r>
                        <w:r>
                          <w:rPr>
                            <w:rFonts w:ascii="宋体" w:hAnsi="宋体" w:cs="宋体" w:eastAsia="宋体" w:hint="default"/>
                            <w:sz w:val="18"/>
                            <w:szCs w:val="18"/>
                          </w:rPr>
                          <w:t> </w:t>
                        </w:r>
                        <w:r>
                          <w:rPr>
                            <w:rFonts w:ascii="宋体" w:hAnsi="宋体" w:cs="宋体" w:eastAsia="宋体" w:hint="default"/>
                            <w:spacing w:val="-14"/>
                            <w:sz w:val="18"/>
                            <w:szCs w:val="18"/>
                          </w:rPr>
                          <w:t>展经营活动。）</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最终控制层面股东报告 期内控制的其他境内外 上市公司的股权情况</w:t>
                        </w:r>
                      </w:p>
                    </w:tc>
                    <w:tc>
                      <w:tcPr>
                        <w:tcW w:w="76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right="0"/>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实际控制人通过信托或其他资产管理方式控制公司</w:t>
      </w:r>
    </w:p>
    <w:p>
      <w:pPr>
        <w:pStyle w:val="BodyText"/>
        <w:spacing w:line="240" w:lineRule="auto" w:before="3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15"/>
      <w:bookmarkEnd w:id="115"/>
      <w:r>
        <w:rPr>
          <w:b w:val="0"/>
          <w:bCs w:val="0"/>
        </w:rPr>
      </w:r>
      <w:bookmarkStart w:name="_bookmark6" w:id="116"/>
      <w:bookmarkEnd w:id="116"/>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0"/>
        <w:jc w:val="left"/>
        <w:rPr>
          <w:b w:val="0"/>
          <w:bCs w:val="0"/>
        </w:rPr>
      </w:pPr>
      <w:bookmarkStart w:name="第八节可转换公司债券相关情况" w:id="117"/>
      <w:bookmarkEnd w:id="117"/>
      <w:r>
        <w:rPr>
          <w:b w:val="0"/>
          <w:bCs w:val="0"/>
        </w:rPr>
      </w:r>
      <w:bookmarkStart w:name="_bookmark7" w:id="118"/>
      <w:bookmarkEnd w:id="11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0"/>
        <w:jc w:val="left"/>
        <w:rPr>
          <w:b w:val="0"/>
          <w:bCs w:val="0"/>
        </w:rPr>
      </w:pPr>
      <w:bookmarkStart w:name="第九节董事、监事、高级管理人员和员工情况" w:id="119"/>
      <w:bookmarkEnd w:id="119"/>
      <w:r>
        <w:rPr>
          <w:b w:val="0"/>
          <w:bCs w:val="0"/>
        </w:rPr>
      </w:r>
      <w:bookmarkStart w:name="_bookmark8" w:id="120"/>
      <w:bookmarkEnd w:id="120"/>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790"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30" w:lineRule="exact"/>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30" w:lineRule="exact"/>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9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23"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44"/>
              <w:jc w:val="left"/>
              <w:rPr>
                <w:rFonts w:ascii="宋体" w:hAnsi="宋体" w:cs="宋体" w:eastAsia="宋体" w:hint="default"/>
                <w:sz w:val="18"/>
                <w:szCs w:val="18"/>
              </w:rPr>
            </w:pPr>
            <w:r>
              <w:rPr>
                <w:rFonts w:ascii="宋体" w:hAnsi="宋体" w:cs="宋体" w:eastAsia="宋体" w:hint="default"/>
                <w:sz w:val="18"/>
                <w:szCs w:val="18"/>
              </w:rPr>
              <w:t>楚伦巴特 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13,500</w:t>
            </w: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22,950</w:t>
            </w:r>
          </w:p>
        </w:tc>
      </w:tr>
      <w:tr>
        <w:trPr>
          <w:trHeight w:val="79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3" w:right="41"/>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41"/>
              <w:jc w:val="both"/>
              <w:rPr>
                <w:rFonts w:ascii="宋体" w:hAnsi="宋体" w:cs="宋体" w:eastAsia="宋体" w:hint="default"/>
                <w:sz w:val="18"/>
                <w:szCs w:val="18"/>
              </w:rPr>
            </w:pPr>
            <w:r>
              <w:rPr>
                <w:rFonts w:ascii="宋体" w:hAnsi="宋体" w:cs="宋体" w:eastAsia="宋体" w:hint="default"/>
                <w:sz w:val="18"/>
                <w:szCs w:val="18"/>
              </w:rPr>
              <w:t>副总裁、 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70,750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106,125</w:t>
            </w:r>
          </w:p>
        </w:tc>
      </w:tr>
      <w:tr>
        <w:trPr>
          <w:trHeight w:val="7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797" w:type="dxa"/>
            <w:tcBorders>
              <w:top w:val="single" w:sz="4" w:space="0" w:color="000000"/>
              <w:left w:val="single" w:sz="4" w:space="0" w:color="000000"/>
              <w:bottom w:val="single" w:sz="10" w:space="0" w:color="D2D2D2"/>
              <w:right w:val="single" w:sz="4" w:space="0" w:color="000000"/>
            </w:tcBorders>
          </w:tcPr>
          <w:p>
            <w:pPr>
              <w:pStyle w:val="TableParagraph"/>
              <w:spacing w:line="237" w:lineRule="auto" w:before="10"/>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10" w:space="0" w:color="D2D2D2"/>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10" w:space="0" w:color="D2D2D2"/>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60,750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91,125</w:t>
            </w:r>
          </w:p>
        </w:tc>
      </w:tr>
      <w:tr>
        <w:trPr>
          <w:trHeight w:val="310"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155,800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77,900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233,700</w:t>
            </w:r>
          </w:p>
        </w:tc>
      </w:tr>
    </w:tbl>
    <w:p>
      <w:pPr>
        <w:spacing w:line="240" w:lineRule="auto" w:before="8"/>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822"/>
        <w:gridCol w:w="382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3"/>
      <w:bookmarkEnd w:id="123"/>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3734"/>
        <w:jc w:val="left"/>
      </w:pPr>
      <w:r>
        <w:rPr/>
        <w:t>公司现任董事、监事、高级管理人员专业背景、主要工作经历以及目前在公司的主要职责 一、现任董事</w:t>
      </w:r>
    </w:p>
    <w:p>
      <w:pPr>
        <w:pStyle w:val="BodyText"/>
        <w:spacing w:line="222" w:lineRule="exact"/>
        <w:ind w:left="525" w:right="0"/>
        <w:jc w:val="left"/>
      </w:pPr>
      <w:r>
        <w:rPr/>
        <w:t>王爱先先生：大学学历，中共党员。曾任浪潮电子信息产业集团公司董事长、党委书记，中共十六大代表，现兼任北</w:t>
      </w:r>
    </w:p>
    <w:p>
      <w:pPr>
        <w:pStyle w:val="BodyText"/>
        <w:spacing w:line="240" w:lineRule="auto" w:before="77"/>
        <w:ind w:right="0"/>
        <w:jc w:val="left"/>
      </w:pPr>
      <w:r>
        <w:rPr/>
        <w:t>京东港嘉华安全信息技术有限公司董事</w:t>
      </w:r>
      <w:r>
        <w:rPr>
          <w:spacing w:val="-87"/>
        </w:rPr>
        <w:t>，</w:t>
      </w:r>
      <w:r>
        <w:rPr/>
        <w:t>山东东港数据处理有限公司董事长</w:t>
      </w:r>
      <w:r>
        <w:rPr>
          <w:spacing w:val="-87"/>
        </w:rPr>
        <w:t>。</w:t>
      </w:r>
      <w:r>
        <w:rPr/>
        <w:t>王爱先先生</w:t>
      </w:r>
      <w:r>
        <w:rPr>
          <w:spacing w:val="1"/>
        </w:rPr>
        <w:t>自</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02</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月起任本公司副董事长，</w:t>
      </w:r>
    </w:p>
    <w:p>
      <w:pPr>
        <w:pStyle w:val="BodyText"/>
        <w:spacing w:line="300" w:lineRule="auto" w:before="63"/>
        <w:ind w:left="525" w:right="1129" w:hanging="373"/>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月起任本公司董事长。 </w:t>
      </w:r>
      <w:r>
        <w:rPr>
          <w:spacing w:val="-2"/>
        </w:rPr>
        <w:t>史建中先生：大专学历，曾任山东省交通厅印刷所业务员、济南东港安全印务有限公司副总经理、常务副总经理。</w:t>
      </w:r>
      <w:r>
        <w:rPr>
          <w:rFonts w:ascii="Times New Roman" w:hAnsi="Times New Roman" w:cs="Times New Roman" w:eastAsia="Times New Roman" w:hint="default"/>
          <w:spacing w:val="-2"/>
        </w:rPr>
        <w:t>2002</w:t>
      </w:r>
    </w:p>
    <w:p>
      <w:pPr>
        <w:pStyle w:val="BodyText"/>
        <w:spacing w:line="300" w:lineRule="auto" w:before="13"/>
        <w:ind w:right="0"/>
        <w:jc w:val="left"/>
      </w:pPr>
      <w:r>
        <w:rPr>
          <w:spacing w:val="-2"/>
        </w:rPr>
        <w:t>年</w:t>
      </w:r>
      <w:r>
        <w:rPr>
          <w:rFonts w:ascii="Times New Roman" w:hAnsi="Times New Roman" w:cs="Times New Roman" w:eastAsia="Times New Roman" w:hint="default"/>
          <w:spacing w:val="-2"/>
        </w:rPr>
        <w:t>12</w:t>
      </w:r>
      <w:r>
        <w:rPr>
          <w:spacing w:val="-2"/>
        </w:rPr>
        <w:t>月起任本公司董事、总经理、总裁。现兼任北京东港安全印刷有限公司董事，北京中嘉华信息技术有限公司董事长，郑</w:t>
      </w:r>
      <w:r>
        <w:rPr>
          <w:spacing w:val="-66"/>
        </w:rPr>
        <w:t> </w:t>
      </w:r>
      <w:r>
        <w:rPr>
          <w:spacing w:val="-66"/>
        </w:rPr>
      </w:r>
      <w:r>
        <w:rPr/>
        <w:t>州东港安全印刷有限公司董事，北京东港嘉华安全信息技术有限公司董事，广州东港安全印刷有限公司董事。</w:t>
      </w:r>
    </w:p>
    <w:p>
      <w:pPr>
        <w:pStyle w:val="BodyText"/>
        <w:spacing w:line="240" w:lineRule="auto" w:before="31"/>
        <w:ind w:left="453" w:right="0"/>
        <w:jc w:val="left"/>
      </w:pPr>
      <w:r>
        <w:rPr/>
        <w:t>楚伦巴特尔先生：蒙古族，学士学位。曾任江苏银行支行副行长、江西信丰县金融局副局长（援边、非公务员）等职，</w:t>
      </w:r>
    </w:p>
    <w:p>
      <w:pPr>
        <w:pStyle w:val="BodyText"/>
        <w:spacing w:line="300" w:lineRule="auto" w:before="76"/>
        <w:ind w:left="525" w:right="0" w:hanging="37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月至今任内蒙古云曙碧公益事业基金会理事长。楚伦巴特尔先生自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月起任本公司董事。 刘宏先生：研究生学历，现兼任北京东港安全印刷有限公司董事长，北京东港嘉华安全信息技术有限公司董事长，北</w:t>
      </w:r>
    </w:p>
    <w:p>
      <w:pPr>
        <w:pStyle w:val="BodyText"/>
        <w:spacing w:line="300" w:lineRule="auto" w:before="31"/>
        <w:ind w:right="1124"/>
        <w:jc w:val="left"/>
      </w:pPr>
      <w:r>
        <w:rPr/>
        <w:t>京东港瑞宏科技有限公司董事长、东港瑞云档案管理有限公司董事长等职。刘宏先生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月起担任本公司副总裁，</w:t>
      </w:r>
      <w:r>
        <w:rPr>
          <w:rFonts w:ascii="Times New Roman" w:hAnsi="Times New Roman" w:cs="Times New Roman" w:eastAsia="Times New Roman" w:hint="default"/>
        </w:rPr>
        <w:t>2016</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w:t>
      </w:r>
      <w:r>
        <w:rPr>
          <w:rFonts w:ascii="Times New Roman" w:hAnsi="Times New Roman" w:cs="Times New Roman" w:eastAsia="Times New Roman" w:hint="default"/>
        </w:rPr>
        <w:t>1</w:t>
      </w:r>
      <w:r>
        <w:rPr/>
        <w:t>月起任本公司董事。</w:t>
      </w:r>
    </w:p>
    <w:p>
      <w:pPr>
        <w:pStyle w:val="BodyText"/>
        <w:spacing w:line="309" w:lineRule="auto" w:before="13"/>
        <w:ind w:right="1131" w:firstLine="372"/>
        <w:jc w:val="both"/>
      </w:pPr>
      <w:r>
        <w:rPr/>
        <w:t>夏文庆先生：大专学历，中共党员。曾任济南市历城区金属回收公司财务科科长，济南龙启鑫房屋租赁中心财务科科 长，现任济南龙启鑫房屋租赁中心经理，济南发展国有工业资产经营有限公司董事长兼总经理。夏文庆先生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月起任</w:t>
      </w:r>
      <w:r>
        <w:rPr>
          <w:spacing w:val="-84"/>
        </w:rPr>
        <w:t> </w:t>
      </w:r>
      <w:r>
        <w:rPr>
          <w:spacing w:val="-84"/>
        </w:rPr>
      </w:r>
      <w:r>
        <w:rPr/>
        <w:t>本公司董事。</w:t>
      </w:r>
    </w:p>
    <w:p>
      <w:pPr>
        <w:pStyle w:val="BodyText"/>
        <w:spacing w:line="240" w:lineRule="auto" w:before="24"/>
        <w:ind w:left="525" w:right="0"/>
        <w:jc w:val="left"/>
      </w:pPr>
      <w:r>
        <w:rPr/>
        <w:t>郝纪勇先生：律师，曾任山东大正泰和律师事务所律师、山东北方永丰律师事务所律师，现任山东京鲁律师事务所主</w:t>
      </w:r>
    </w:p>
    <w:p>
      <w:pPr>
        <w:pStyle w:val="BodyText"/>
        <w:spacing w:line="240" w:lineRule="auto" w:before="76"/>
        <w:ind w:right="0"/>
        <w:jc w:val="left"/>
      </w:pPr>
      <w:r>
        <w:rPr/>
        <w:t>任。</w:t>
      </w:r>
    </w:p>
    <w:p>
      <w:pPr>
        <w:pStyle w:val="BodyText"/>
        <w:spacing w:line="240" w:lineRule="auto" w:before="76"/>
        <w:ind w:left="525" w:right="0"/>
        <w:jc w:val="left"/>
      </w:pPr>
      <w:r>
        <w:rPr/>
        <w:t>万刚先生：硕士研究生学历，中级经济师，曾任中国建设银行青岛市分行营运管理部副总经理、中信银行青岛分行营</w:t>
      </w:r>
    </w:p>
    <w:p>
      <w:pPr>
        <w:pStyle w:val="BodyText"/>
        <w:spacing w:line="316" w:lineRule="auto" w:before="76"/>
        <w:ind w:left="585" w:right="0" w:hanging="433"/>
        <w:jc w:val="left"/>
      </w:pPr>
      <w:r>
        <w:rPr/>
        <w:t>业部总经理，长安国际信托股份有限公司总经理助理、中泰信托有限公司副总裁。现任中财龙马学院执行院长。 许斌先生：本科学历，曾任中友会计师事务所项目经理、华清基业投资管理有限公司财务总监，北京巅峰智业旅游文</w:t>
      </w:r>
    </w:p>
    <w:p>
      <w:pPr>
        <w:pStyle w:val="BodyText"/>
        <w:spacing w:line="316" w:lineRule="auto" w:before="19"/>
        <w:ind w:right="1122"/>
        <w:jc w:val="left"/>
      </w:pPr>
      <w:r>
        <w:rPr>
          <w:spacing w:val="-2"/>
        </w:rPr>
        <w:t>化创意股份有限公司董事会秘书兼财务总监，北京首旅景区投资管理有限公司财务总监，现任荣万家生活服务有限公司财务</w:t>
      </w:r>
      <w:r>
        <w:rPr>
          <w:spacing w:val="-63"/>
        </w:rPr>
        <w:t> </w:t>
      </w:r>
      <w:r>
        <w:rPr>
          <w:spacing w:val="-63"/>
        </w:rPr>
      </w:r>
      <w:r>
        <w:rPr/>
        <w:t>总监。</w:t>
      </w:r>
    </w:p>
    <w:p>
      <w:pPr>
        <w:spacing w:after="0" w:line="31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right="0"/>
        <w:jc w:val="left"/>
      </w:pPr>
      <w:r>
        <w:rPr/>
        <w:t>二、现任监事</w:t>
      </w:r>
    </w:p>
    <w:p>
      <w:pPr>
        <w:pStyle w:val="BodyText"/>
        <w:spacing w:line="316" w:lineRule="auto" w:before="76"/>
        <w:ind w:right="1134" w:firstLine="360"/>
        <w:jc w:val="both"/>
      </w:pPr>
      <w:r>
        <w:rPr>
          <w:spacing w:val="-2"/>
        </w:rPr>
        <w:t>李安龙先生：大学学历，中共党员。曾任济南益东纸制品有限公司总经理。现任济南益东纸制品有限公司董事长；北京</w:t>
      </w:r>
      <w:r>
        <w:rPr/>
        <w:t> 中嘉华信息技术有限公司董事，自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月起任本公司监事会主席。</w:t>
      </w:r>
    </w:p>
    <w:p>
      <w:pPr>
        <w:pStyle w:val="BodyText"/>
        <w:spacing w:line="316" w:lineRule="auto"/>
        <w:ind w:right="1134" w:firstLine="360"/>
        <w:jc w:val="both"/>
      </w:pPr>
      <w:r>
        <w:rPr/>
        <w:t>李丰先生：本科学历。曾任浪潮电子信息产业股份有限公司财务部副经理、</w:t>
      </w:r>
      <w:r>
        <w:rPr>
          <w:spacing w:val="1"/>
        </w:rPr>
        <w:t> </w:t>
      </w:r>
      <w:r>
        <w:rPr/>
        <w:t>证券事务代表、董事会秘书兼财务部总经</w:t>
      </w:r>
      <w:r>
        <w:rPr/>
        <w:t> 理等职。</w:t>
      </w:r>
    </w:p>
    <w:p>
      <w:pPr>
        <w:pStyle w:val="BodyText"/>
        <w:spacing w:line="316" w:lineRule="auto" w:before="19"/>
        <w:ind w:right="1133" w:firstLine="432"/>
        <w:jc w:val="both"/>
      </w:pPr>
      <w:r>
        <w:rPr/>
        <w:t>娄本美女士：大学学历，中共党员。曾任济南市历城区再生资源公司会计，济南市历城区盘龙山建材厂会计，现任济 南发展国有工业资产经营有限公司监事、会计。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月起任本公司监事。</w:t>
      </w:r>
    </w:p>
    <w:p>
      <w:pPr>
        <w:pStyle w:val="BodyText"/>
        <w:spacing w:line="300" w:lineRule="auto"/>
        <w:ind w:left="657" w:right="0" w:hanging="204"/>
        <w:jc w:val="left"/>
      </w:pPr>
      <w:r>
        <w:rPr>
          <w:spacing w:val="-3"/>
        </w:rPr>
        <w:t>王晓延先生：经济师。</w:t>
      </w:r>
      <w:r>
        <w:rPr>
          <w:rFonts w:ascii="Times New Roman" w:hAnsi="Times New Roman" w:cs="Times New Roman" w:eastAsia="Times New Roman" w:hint="default"/>
          <w:spacing w:val="-3"/>
        </w:rPr>
        <w:t>1996</w:t>
      </w:r>
      <w:r>
        <w:rPr>
          <w:spacing w:val="-3"/>
        </w:rPr>
        <w:t>年进入本公司工作，曾任本公司销售业务员、证券事务代表，现在本公司销售管理总部工作。</w:t>
      </w:r>
      <w:r>
        <w:rPr>
          <w:spacing w:val="-42"/>
        </w:rPr>
        <w:t> </w:t>
      </w:r>
      <w:r>
        <w:rPr>
          <w:spacing w:val="-42"/>
        </w:rPr>
      </w:r>
      <w:r>
        <w:rPr/>
        <w:t>张力女士：高级工程师。</w:t>
      </w:r>
      <w:r>
        <w:rPr>
          <w:rFonts w:ascii="Times New Roman" w:hAnsi="Times New Roman" w:cs="Times New Roman" w:eastAsia="Times New Roman" w:hint="default"/>
        </w:rPr>
        <w:t>1996</w:t>
      </w:r>
      <w:r>
        <w:rPr/>
        <w:t>年进入本公司工作，历任本公司技术处副处长、处长，质量管理部经理，现任生产管理</w:t>
      </w:r>
    </w:p>
    <w:p>
      <w:pPr>
        <w:pStyle w:val="BodyText"/>
        <w:spacing w:line="316" w:lineRule="auto" w:before="13"/>
        <w:ind w:right="8954"/>
        <w:jc w:val="left"/>
      </w:pPr>
      <w:r>
        <w:rPr/>
        <w:t>总部技术质量主管。 三、现任高级管理人员</w:t>
      </w:r>
    </w:p>
    <w:p>
      <w:pPr>
        <w:pStyle w:val="BodyText"/>
        <w:spacing w:line="316" w:lineRule="auto" w:before="19"/>
        <w:ind w:left="513" w:right="6505" w:hanging="72"/>
        <w:jc w:val="left"/>
      </w:pPr>
      <w:r>
        <w:rPr/>
        <w:t>总裁史建中先生：详见现任董事史建中先生简介。 副总裁刘宏先生：详见现任董事刘宏先生简介。</w:t>
      </w:r>
    </w:p>
    <w:p>
      <w:pPr>
        <w:pStyle w:val="BodyText"/>
        <w:spacing w:line="316" w:lineRule="auto" w:before="19"/>
        <w:ind w:right="1049" w:firstLine="360"/>
        <w:jc w:val="both"/>
      </w:pPr>
      <w:r>
        <w:rPr/>
        <w:t>常务副总裁唐国奇先生：硕士，经济师。现兼任郑州东港安全印刷有限公司董事长，上海东港数据处理有限公司董事， 山东东港数据处理有限公司董事。</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月起任本公司常务副总裁、技术负责人。</w:t>
      </w:r>
    </w:p>
    <w:p>
      <w:pPr>
        <w:pStyle w:val="BodyText"/>
        <w:spacing w:line="316" w:lineRule="auto"/>
        <w:ind w:right="1132" w:firstLine="360"/>
        <w:jc w:val="both"/>
      </w:pPr>
      <w:r>
        <w:rPr>
          <w:spacing w:val="-2"/>
        </w:rPr>
        <w:t>副总裁朱震先生：大学学历。现兼任广州东港安全印刷有限公司董事长，山东东港数据处理有限公司董事长，新疆东港</w:t>
      </w:r>
      <w:r>
        <w:rPr/>
        <w:t> 安全印刷有限公司董事，成都东港安全印刷有限公司董事。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月起任本公司副总裁。</w:t>
      </w:r>
    </w:p>
    <w:p>
      <w:pPr>
        <w:pStyle w:val="BodyText"/>
        <w:spacing w:line="309" w:lineRule="auto"/>
        <w:ind w:right="1130" w:firstLine="360"/>
        <w:jc w:val="both"/>
      </w:pPr>
      <w:r>
        <w:rPr>
          <w:spacing w:val="-2"/>
        </w:rPr>
        <w:t>副总裁、财务负责人郑理女士：硕士，高级会计师。现兼任成都东港安全印刷有限公司董事长，青海东港安全印刷有限</w:t>
      </w:r>
      <w:r>
        <w:rPr/>
        <w:t> 公司监事，东港瑞云档案管理有限公司监事，北京东港瑞宏科技有限公司监事，山东东港数据处理有限公司监事。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月起任副总裁兼财务负责人。</w:t>
      </w:r>
    </w:p>
    <w:p>
      <w:pPr>
        <w:pStyle w:val="BodyText"/>
        <w:spacing w:line="316" w:lineRule="auto" w:before="65"/>
        <w:ind w:right="1131" w:firstLine="360"/>
        <w:jc w:val="both"/>
      </w:pPr>
      <w:r>
        <w:rPr>
          <w:spacing w:val="-2"/>
        </w:rPr>
        <w:t>副总裁、董事会秘书齐利国先生：硕士。现兼任山东东港彩意网络科技有限公司董事长，甘肃图腾印务有限公司执行董</w:t>
      </w:r>
      <w:r>
        <w:rPr/>
        <w:t> </w:t>
      </w:r>
      <w:r>
        <w:rPr>
          <w:spacing w:val="-2"/>
        </w:rPr>
        <w:t>事，北京瑞云档案管理有限公司董事，上海东港安全印刷有限公司监事，上海东港数据处理有限公司监事，成都东港安全印</w:t>
      </w:r>
      <w:r>
        <w:rPr>
          <w:spacing w:val="-65"/>
        </w:rPr>
        <w:t> </w:t>
      </w:r>
      <w:r>
        <w:rPr>
          <w:spacing w:val="-65"/>
        </w:rPr>
      </w:r>
      <w:r>
        <w:rPr/>
        <w:t>刷有限公司监事。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月起任本公司副总裁兼董事会秘书、办公室主任。</w:t>
      </w:r>
    </w:p>
    <w:p>
      <w:pPr>
        <w:pStyle w:val="BodyText"/>
        <w:spacing w:line="240" w:lineRule="auto" w:before="38"/>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366"/>
        <w:gridCol w:w="1558"/>
        <w:gridCol w:w="1349"/>
        <w:gridCol w:w="1483"/>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8" w:right="46"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3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55"/>
              <w:jc w:val="left"/>
              <w:rPr>
                <w:rFonts w:ascii="宋体" w:hAnsi="宋体" w:cs="宋体" w:eastAsia="宋体" w:hint="default"/>
                <w:sz w:val="18"/>
                <w:szCs w:val="18"/>
              </w:rPr>
            </w:pPr>
            <w:r>
              <w:rPr>
                <w:rFonts w:ascii="宋体" w:hAnsi="宋体" w:cs="宋体" w:eastAsia="宋体" w:hint="default"/>
                <w:sz w:val="18"/>
                <w:szCs w:val="18"/>
              </w:rPr>
              <w:t>西藏共立创业投资合伙企业（有限合伙）</w:t>
            </w:r>
          </w:p>
        </w:tc>
        <w:tc>
          <w:tcPr>
            <w:tcW w:w="1366"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49"/>
              <w:ind w:left="12" w:right="70"/>
              <w:jc w:val="left"/>
              <w:rPr>
                <w:rFonts w:ascii="宋体" w:hAnsi="宋体" w:cs="宋体" w:eastAsia="宋体" w:hint="default"/>
                <w:sz w:val="18"/>
                <w:szCs w:val="18"/>
              </w:rPr>
            </w:pPr>
            <w:r>
              <w:rPr>
                <w:rFonts w:ascii="宋体" w:hAnsi="宋体" w:cs="宋体" w:eastAsia="宋体" w:hint="default"/>
                <w:sz w:val="18"/>
                <w:szCs w:val="18"/>
              </w:rPr>
              <w:t>执行事务合伙人 委派代表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9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020"/>
        <w:gridCol w:w="1092"/>
        <w:gridCol w:w="1627"/>
        <w:gridCol w:w="1136"/>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5"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济南龙启鑫房屋租赁中心经理</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山东京鲁律师事务所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中财龙马学院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执行院长</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荣万家生活服务有限公司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2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0" w:hanging="361"/>
        <w:jc w:val="left"/>
      </w:pPr>
      <w:r>
        <w:rPr/>
        <w:t>董事、监事、高级管理人员报酬的决策程序、确定依据、实际支付情况 </w:t>
      </w:r>
      <w:r>
        <w:rPr>
          <w:spacing w:val="-2"/>
        </w:rPr>
        <w:t>公司按照《公司章程》的规定确定董事、监事和高级管理人员的报酬。董事和监事实行津贴制，报酬和支付方法由股东</w:t>
      </w:r>
    </w:p>
    <w:p>
      <w:pPr>
        <w:pStyle w:val="BodyText"/>
        <w:spacing w:line="224" w:lineRule="exact"/>
        <w:ind w:right="0"/>
        <w:jc w:val="left"/>
      </w:pPr>
      <w:r>
        <w:rPr>
          <w:spacing w:val="-4"/>
        </w:rPr>
        <w:t>大会确定；高级管理人员实行年薪制，报酬和支付方法由董事会确定。公司以行业薪酬水平、经济发展状况、居民生活标准、</w:t>
      </w:r>
    </w:p>
    <w:p>
      <w:pPr>
        <w:pStyle w:val="BodyText"/>
        <w:spacing w:line="360" w:lineRule="auto" w:before="76"/>
        <w:ind w:right="4094"/>
        <w:jc w:val="left"/>
      </w:pPr>
      <w:r>
        <w:rPr/>
        <w:t>公司经营业绩、岗位职责要求等为依据确定董事、监事和高级管理人员的年度薪酬。 公司报告期内董事、监事和高级管理人员报酬情况</w:t>
      </w:r>
    </w:p>
    <w:p>
      <w:pPr>
        <w:pStyle w:val="BodyText"/>
        <w:spacing w:line="240" w:lineRule="auto" w:before="2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楚伦巴特尔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副总裁、财务负 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6"/>
              <w:jc w:val="right"/>
              <w:rPr>
                <w:rFonts w:ascii="Times New Roman" w:hAnsi="Times New Roman" w:cs="Times New Roman" w:eastAsia="Times New Roman" w:hint="default"/>
                <w:sz w:val="18"/>
                <w:szCs w:val="18"/>
              </w:rPr>
            </w:pPr>
            <w:r>
              <w:rPr>
                <w:rFonts w:ascii="Times New Roman"/>
                <w:spacing w:val="-1"/>
                <w:sz w:val="18"/>
              </w:rPr>
              <w:t>647.30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40" w:firstLine="434"/>
        <w:jc w:val="left"/>
      </w:pPr>
      <w:r>
        <w:rPr/>
        <w:t>本公司根据实际情况，结合不同岗位类别和层级的特点，本着合法、公平、竞争、激励、经济的原则建立了一整套完 善的薪酬体系，并依法缴纳五险一金。</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129" w:firstLine="360"/>
        <w:jc w:val="both"/>
      </w:pPr>
      <w:r>
        <w:rPr>
          <w:spacing w:val="-2"/>
        </w:rPr>
        <w:t>本公司建立了科学的培训体系，根据新员工、在职员工、管理人员的不同情况开展有针对性的课程。培训内容涵盖企业</w:t>
      </w:r>
      <w:r>
        <w:rPr/>
        <w:t> </w:t>
      </w:r>
      <w:r>
        <w:rPr>
          <w:spacing w:val="-2"/>
        </w:rPr>
        <w:t>文化、行业现状及发展、业务技能、沟通能力、管理能力等。经过</w:t>
      </w:r>
      <w:r>
        <w:rPr>
          <w:rFonts w:ascii="Times New Roman" w:hAnsi="Times New Roman" w:cs="Times New Roman" w:eastAsia="Times New Roman" w:hint="default"/>
          <w:spacing w:val="-2"/>
        </w:rPr>
        <w:t>20</w:t>
      </w:r>
      <w:r>
        <w:rPr>
          <w:spacing w:val="-2"/>
        </w:rPr>
        <w:t>多年的摸索和实践，总结出具有东港特色的传、帮、带</w:t>
      </w:r>
      <w:r>
        <w:rPr>
          <w:spacing w:val="-63"/>
        </w:rPr>
        <w:t> </w:t>
      </w:r>
      <w:r>
        <w:rPr>
          <w:spacing w:val="-63"/>
        </w:rPr>
      </w:r>
      <w:r>
        <w:rPr/>
        <w:t>培训实践体系，使之能快速的获得相关工作技能，迅速融入工作团队。</w:t>
      </w:r>
    </w:p>
    <w:p>
      <w:pPr>
        <w:pStyle w:val="BodyText"/>
        <w:spacing w:line="316" w:lineRule="auto" w:before="62"/>
        <w:ind w:right="1034" w:firstLine="360"/>
        <w:jc w:val="left"/>
      </w:pPr>
      <w:r>
        <w:rPr>
          <w:spacing w:val="-2"/>
        </w:rPr>
        <w:t>所有入职的新员工均会接受入职培训和安全教育，其目的是让其了解公司目标、企业文化、政策及公司各部门的职能和</w:t>
      </w:r>
      <w:r>
        <w:rPr/>
        <w:t> 运作方式。在职员工与管理人员培训方面，通过不断的企业文化渗透及业务能力塑造，公司培养了一批批有能力、有责任、 能担当的高素质人才。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484"/>
        <w:jc w:val="center"/>
        <w:rPr>
          <w:b w:val="0"/>
          <w:bCs w:val="0"/>
        </w:rPr>
      </w:pPr>
      <w:bookmarkStart w:name="第十节公司治理" w:id="130"/>
      <w:bookmarkEnd w:id="130"/>
      <w:r>
        <w:rPr>
          <w:b w:val="0"/>
          <w:bCs w:val="0"/>
        </w:rPr>
      </w:r>
      <w:bookmarkStart w:name="_bookmark9" w:id="131"/>
      <w:bookmarkEnd w:id="131"/>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公司根据中国证监会关于规范公司治理结构的相关文件，建立健全了包括《股东大会议事规则》、《董事会议事规则》、</w:t>
      </w:r>
    </w:p>
    <w:p>
      <w:pPr>
        <w:pStyle w:val="BodyText"/>
        <w:spacing w:line="319" w:lineRule="auto" w:before="76"/>
        <w:ind w:right="1034"/>
        <w:jc w:val="left"/>
      </w:pPr>
      <w:r>
        <w:rPr/>
        <w:t>《监事会议事规则》、《独立董事制度》、《募集资金管理制度》等在内的内部控制制度，并在上市公司治理专项活动中， </w:t>
      </w:r>
      <w:r>
        <w:rPr>
          <w:spacing w:val="-2"/>
        </w:rPr>
        <w:t>进行了修订和完善，达到了证券监管部门的要求。董事会及其下设的专业委员会发挥职能，负责审议公司的经营战略和重大</w:t>
      </w:r>
      <w:r>
        <w:rPr>
          <w:spacing w:val="-63"/>
        </w:rPr>
        <w:t> </w:t>
      </w:r>
      <w:r>
        <w:rPr>
          <w:spacing w:val="-63"/>
        </w:rPr>
      </w:r>
      <w:r>
        <w:rPr>
          <w:spacing w:val="-2"/>
        </w:rPr>
        <w:t>决策，公司管理层在董事会的授权范围内，负责公司的日常生产经营活动，管理层和董事会之间责权关系明确。公司的各项</w:t>
      </w:r>
      <w:r>
        <w:rPr>
          <w:spacing w:val="-65"/>
        </w:rPr>
        <w:t> </w:t>
      </w:r>
      <w:r>
        <w:rPr>
          <w:spacing w:val="-65"/>
        </w:rPr>
      </w:r>
      <w:r>
        <w:rPr>
          <w:spacing w:val="-2"/>
        </w:rPr>
        <w:t>内部控制制度健全，并将内控制度的检查融入了日常工作中，不断完善，以适应公司管理和发展的需要，有效保证了公司正</w:t>
      </w:r>
      <w:r>
        <w:rPr>
          <w:spacing w:val="-64"/>
        </w:rPr>
        <w:t> </w:t>
      </w:r>
      <w:r>
        <w:rPr>
          <w:spacing w:val="-64"/>
        </w:rPr>
      </w:r>
      <w:r>
        <w:rPr>
          <w:spacing w:val="-2"/>
        </w:rPr>
        <w:t>常的生产经营和规范化运作。董事会下属的审计委员会和审计部认真履行职责，通过内部审计发现问题，预防风险，通过对</w:t>
      </w:r>
      <w:r>
        <w:rPr>
          <w:spacing w:val="-64"/>
        </w:rPr>
        <w:t> </w:t>
      </w:r>
      <w:r>
        <w:rPr>
          <w:spacing w:val="-64"/>
        </w:rPr>
      </w:r>
      <w:r>
        <w:rPr>
          <w:spacing w:val="-2"/>
        </w:rPr>
        <w:t>内部财务数据和工作流程的审计，规范内部运作，提高财务信息披露质量，保证了公司日常生产经营的合法性和规范化。公</w:t>
      </w:r>
      <w:r>
        <w:rPr>
          <w:spacing w:val="-64"/>
        </w:rPr>
        <w:t> </w:t>
      </w:r>
      <w:r>
        <w:rPr>
          <w:spacing w:val="-64"/>
        </w:rPr>
      </w:r>
      <w:r>
        <w:rPr/>
        <w:t>司将在今后的工作中进一步完善内部控制制度，规范运作，为公司健康稳定的发展奠定基础。</w:t>
      </w:r>
    </w:p>
    <w:p>
      <w:pPr>
        <w:pStyle w:val="BodyText"/>
        <w:spacing w:line="240" w:lineRule="auto" w:before="58"/>
        <w:ind w:right="0"/>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公司具备完整、规范的产、供、销生产经营管理体制和运行机制，公司与主要股东在业务、人员、资产、机构、财务等</w:t>
      </w:r>
      <w:r>
        <w:rPr/>
        <w:t> 方面完全分开，具有独立完整的业务及自主经营能力。</w:t>
      </w:r>
    </w:p>
    <w:p>
      <w:pPr>
        <w:pStyle w:val="BodyText"/>
        <w:spacing w:line="319" w:lineRule="auto" w:before="57"/>
        <w:ind w:right="1122" w:firstLine="288"/>
        <w:jc w:val="left"/>
      </w:pPr>
      <w:r>
        <w:rPr>
          <w:spacing w:val="-2"/>
        </w:rPr>
        <w:t>（一）业务独立：公司具有完整的采购供应体系、完整的生产管理体系和独立的销售运作体系， 独立开展业务，不依赖</w:t>
      </w:r>
      <w:r>
        <w:rPr/>
        <w:t> 于任何股东及关联方。</w:t>
      </w:r>
    </w:p>
    <w:p>
      <w:pPr>
        <w:pStyle w:val="BodyText"/>
        <w:spacing w:line="316" w:lineRule="auto" w:before="58"/>
        <w:ind w:right="0" w:firstLine="288"/>
        <w:jc w:val="left"/>
      </w:pPr>
      <w:r>
        <w:rPr>
          <w:spacing w:val="-1"/>
        </w:rPr>
        <w:t>（二）人员独立：本公司董事、监事及高级管理人员严格按照《公司法》《公司章程》的有关规定产生；公司建有独立</w:t>
      </w:r>
      <w:r>
        <w:rPr/>
        <w:t> 的人事及工资管理系统；公司还制订了严格的《人力资源管理制度》，人员管理做到了制度化。</w:t>
      </w:r>
    </w:p>
    <w:p>
      <w:pPr>
        <w:pStyle w:val="BodyText"/>
        <w:spacing w:line="316" w:lineRule="auto" w:before="59"/>
        <w:ind w:right="1142" w:firstLine="432"/>
        <w:jc w:val="left"/>
      </w:pPr>
      <w:r>
        <w:rPr/>
        <w:t>（三）资产独立：本公司的主要资产包括主营业务所需的完整的生产设备、土地、厂房、办公用房、仓储用房、交通 工具和知识产权，具有完整的配套设施。上述资产产权清晰，完全独立于股东单位。</w:t>
      </w:r>
    </w:p>
    <w:p>
      <w:pPr>
        <w:pStyle w:val="BodyText"/>
        <w:spacing w:line="316" w:lineRule="auto" w:before="57"/>
        <w:ind w:right="0" w:firstLine="288"/>
        <w:jc w:val="left"/>
      </w:pPr>
      <w:r>
        <w:rPr>
          <w:spacing w:val="-1"/>
        </w:rPr>
        <w:t>（四）机构独立：本公司设股东大会、董事会、监事会，按照《公司章程》的规定履行相关权利和义务。公司拥有独立</w:t>
      </w:r>
      <w:r>
        <w:rPr/>
        <w:t> 的组织机构，拥有独立的运作、管理和考核机制。公司总裁、副总裁等高级管理人员均在公司领取报酬。</w:t>
      </w:r>
    </w:p>
    <w:p>
      <w:pPr>
        <w:pStyle w:val="BodyText"/>
        <w:spacing w:line="316" w:lineRule="auto" w:before="59"/>
        <w:ind w:right="0" w:firstLine="288"/>
        <w:jc w:val="left"/>
      </w:pPr>
      <w:r>
        <w:rPr>
          <w:spacing w:val="-1"/>
        </w:rPr>
        <w:t>（五）财务独立：公司设有独立的财务部门，建立独立的财务会计核算体系和财务管理制度，财务人员与股东单位完全</w:t>
      </w:r>
      <w:r>
        <w:rPr/>
        <w:t> 独立，不存在交叉任职情况。公司独立开设银行帐户，作为独立的纳税人依法独立纳税。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172"/>
        <w:gridCol w:w="1135"/>
        <w:gridCol w:w="2538"/>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172"/>
        <w:gridCol w:w="1135"/>
        <w:gridCol w:w="2549"/>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40.54%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300" w:lineRule="auto" w:before="63"/>
              <w:ind w:left="23" w:right="305"/>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年度股东大会决议公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2019-017</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300" w:lineRule="auto" w:before="63"/>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 </w:t>
            </w:r>
            <w:r>
              <w:rPr>
                <w:rFonts w:ascii="宋体" w:hAnsi="宋体" w:cs="宋体" w:eastAsia="宋体" w:hint="default"/>
                <w:spacing w:val="-10"/>
                <w:sz w:val="18"/>
                <w:szCs w:val="18"/>
              </w:rPr>
              <w:t>决议公告》，公告编号：</w:t>
            </w:r>
            <w:r>
              <w:rPr>
                <w:rFonts w:ascii="Times New Roman" w:hAnsi="Times New Roman" w:cs="Times New Roman" w:eastAsia="Times New Roman" w:hint="default"/>
                <w:spacing w:val="-10"/>
                <w:sz w:val="18"/>
                <w:szCs w:val="18"/>
              </w:rPr>
              <w:t>2019-025</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49"/>
        <w:ind w:right="8054"/>
        <w:jc w:val="left"/>
      </w:pPr>
      <w:r>
        <w:rPr/>
        <w:t>连续两次未亲自出席董事会的说明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39"/>
        <w:ind w:right="1129" w:firstLine="288"/>
        <w:jc w:val="both"/>
      </w:pPr>
      <w:r>
        <w:rPr>
          <w:spacing w:val="-1"/>
        </w:rPr>
        <w:t>报告期内，公司尊重独立董事提出的各项建议和意见，在信息披露、财务审计、利润分配、公司发展战略、重大投资决</w:t>
      </w:r>
      <w:r>
        <w:rPr/>
        <w:t> </w:t>
      </w:r>
      <w:r>
        <w:rPr>
          <w:spacing w:val="-2"/>
        </w:rPr>
        <w:t>策等方面，提请独立董事审议，确保独立董事能够全面和深入了解具体内容，为公司规范化治理的提高，起到了积极地推动</w:t>
      </w:r>
      <w:r>
        <w:rPr>
          <w:spacing w:val="-64"/>
        </w:rPr>
        <w:t> </w:t>
      </w:r>
      <w:r>
        <w:rPr>
          <w:spacing w:val="-64"/>
        </w:rPr>
      </w:r>
      <w:r>
        <w:rPr/>
        <w:t>作用。</w:t>
      </w:r>
    </w:p>
    <w:p>
      <w:pPr>
        <w:spacing w:after="0" w:line="316"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t>（一）董事会审计委员会履职情况</w:t>
      </w:r>
      <w:r>
        <w:rPr>
          <w:b w:val="0"/>
          <w:bCs w:val="0"/>
        </w:rPr>
      </w:r>
    </w:p>
    <w:p>
      <w:pPr>
        <w:pStyle w:val="BodyText"/>
        <w:spacing w:line="300" w:lineRule="auto" w:before="58"/>
        <w:ind w:right="1124" w:firstLine="360"/>
        <w:jc w:val="left"/>
      </w:pPr>
      <w:r>
        <w:rPr>
          <w:rFonts w:ascii="Times New Roman" w:hAnsi="Times New Roman" w:cs="Times New Roman" w:eastAsia="Times New Roman" w:hint="default"/>
        </w:rPr>
        <w:t>1</w:t>
      </w:r>
      <w:r>
        <w:rPr/>
        <w:t>、审计委员会认真审议了公司编制的</w:t>
      </w:r>
      <w:r>
        <w:rPr>
          <w:rFonts w:ascii="Times New Roman" w:hAnsi="Times New Roman" w:cs="Times New Roman" w:eastAsia="Times New Roman" w:hint="default"/>
        </w:rPr>
        <w:t>2019</w:t>
      </w:r>
      <w:r>
        <w:rPr/>
        <w:t>年各期的财务报表，审议认为公司的财务报表符合会计准则和《企业会计制 度》的相关规定，能够如实反映企业的生产经营状况，财务数据准确无误，不存在重大遗漏或篡改财务数据的情况。</w:t>
      </w:r>
    </w:p>
    <w:p>
      <w:pPr>
        <w:pStyle w:val="BodyText"/>
        <w:spacing w:line="300" w:lineRule="auto" w:before="31"/>
        <w:ind w:right="1139" w:firstLine="360"/>
        <w:jc w:val="both"/>
      </w:pPr>
      <w:r>
        <w:rPr>
          <w:rFonts w:ascii="Times New Roman" w:hAnsi="Times New Roman" w:cs="Times New Roman" w:eastAsia="Times New Roman" w:hint="default"/>
        </w:rPr>
        <w:t>2</w:t>
      </w:r>
      <w:r>
        <w:rPr/>
        <w:t>、在信永中和会计师事务所对公司</w:t>
      </w:r>
      <w:r>
        <w:rPr>
          <w:rFonts w:ascii="Times New Roman" w:hAnsi="Times New Roman" w:cs="Times New Roman" w:eastAsia="Times New Roman" w:hint="default"/>
        </w:rPr>
        <w:t>2019</w:t>
      </w:r>
      <w:r>
        <w:rPr/>
        <w:t>年度财务状况的审计过程中，审计委员会按照《审计委员会年度财务报告审议 工作规则》的要求，在审计前审阅了公司编制的财务报表，并出具了</w:t>
      </w:r>
      <w:r>
        <w:rPr>
          <w:rFonts w:ascii="Times New Roman" w:hAnsi="Times New Roman" w:cs="Times New Roman" w:eastAsia="Times New Roman" w:hint="default"/>
        </w:rPr>
        <w:t>“</w:t>
      </w:r>
      <w:r>
        <w:rPr/>
        <w:t>公司编制的财务报表，符合会计准则的相关规定，反 映了公司的财务状况，不存在重大偏差或重大遗漏</w:t>
      </w:r>
      <w:r>
        <w:rPr>
          <w:rFonts w:ascii="Times New Roman" w:hAnsi="Times New Roman" w:cs="Times New Roman" w:eastAsia="Times New Roman" w:hint="default"/>
        </w:rPr>
        <w:t>”</w:t>
      </w:r>
      <w:r>
        <w:rPr/>
        <w:t>的审阅意见。</w:t>
      </w:r>
    </w:p>
    <w:p>
      <w:pPr>
        <w:pStyle w:val="BodyText"/>
        <w:spacing w:line="314" w:lineRule="auto" w:before="13"/>
        <w:ind w:right="1124" w:firstLine="360"/>
        <w:jc w:val="left"/>
      </w:pPr>
      <w:r>
        <w:rPr>
          <w:rFonts w:ascii="Times New Roman" w:hAnsi="Times New Roman" w:cs="Times New Roman" w:eastAsia="Times New Roman" w:hint="default"/>
        </w:rPr>
        <w:t>3</w:t>
      </w:r>
      <w:r>
        <w:rPr/>
        <w:t>、审计委员与会计师事务所的审计人员就审计计划和工作安排进行了沟通，确定了审计报告的出具日期。在审计过程 </w:t>
      </w:r>
      <w:r>
        <w:rPr>
          <w:spacing w:val="-2"/>
        </w:rPr>
        <w:t>中，审计委员会根据审计计划，督促会计师事务所在约定的时间内提交审计报告，并在审计会计师出具初步审计意见后和董</w:t>
      </w:r>
      <w:r>
        <w:rPr>
          <w:spacing w:val="-63"/>
        </w:rPr>
        <w:t> </w:t>
      </w:r>
      <w:r>
        <w:rPr>
          <w:spacing w:val="-63"/>
        </w:rPr>
      </w:r>
      <w:r>
        <w:rPr>
          <w:spacing w:val="-2"/>
        </w:rPr>
        <w:t>事会审议年报前，与注册会计师沟通，了解到在审计过程中未发现重大问题。通过审阅经会计师审计的公司财务报表，审计</w:t>
      </w:r>
      <w:r>
        <w:rPr>
          <w:spacing w:val="-65"/>
        </w:rPr>
        <w:t> </w:t>
      </w:r>
      <w:r>
        <w:rPr>
          <w:spacing w:val="-65"/>
        </w:rPr>
      </w:r>
      <w:r>
        <w:rPr/>
        <w:t>委员会认为公司在审计前编制的财务报表与审计后的财务报表没有重大出入，经审计的财务报表如实反映了公司的财务状</w:t>
      </w:r>
      <w:r>
        <w:rPr/>
        <w:t> 况。</w:t>
      </w:r>
    </w:p>
    <w:p>
      <w:pPr>
        <w:pStyle w:val="BodyText"/>
        <w:spacing w:line="309" w:lineRule="auto" w:before="20"/>
        <w:ind w:right="1131" w:firstLine="360"/>
        <w:jc w:val="both"/>
      </w:pPr>
      <w:r>
        <w:rPr>
          <w:rFonts w:ascii="Times New Roman" w:hAnsi="Times New Roman" w:cs="Times New Roman" w:eastAsia="Times New Roman" w:hint="default"/>
        </w:rPr>
        <w:t>4</w:t>
      </w:r>
      <w:r>
        <w:rPr/>
        <w:t>、审计委员会认为，经审计的</w:t>
      </w:r>
      <w:r>
        <w:rPr>
          <w:rFonts w:ascii="Times New Roman" w:hAnsi="Times New Roman" w:cs="Times New Roman" w:eastAsia="Times New Roman" w:hint="default"/>
        </w:rPr>
        <w:t>2019</w:t>
      </w:r>
      <w:r>
        <w:rPr/>
        <w:t>年度财务报表和公司财务报告符合会计准则和《企业会计制度》的相关规定，能够 </w:t>
      </w:r>
      <w:r>
        <w:rPr>
          <w:spacing w:val="-2"/>
        </w:rPr>
        <w:t>如实反映企业的生产经营状况，财务数据准确无误，不存在重大遗漏，同意提交董事会审议。审计委员会就会计师事务所的</w:t>
      </w:r>
      <w:r>
        <w:rPr>
          <w:spacing w:val="-64"/>
        </w:rPr>
        <w:t> </w:t>
      </w:r>
      <w:r>
        <w:rPr>
          <w:spacing w:val="-64"/>
        </w:rPr>
      </w:r>
      <w:r>
        <w:rPr/>
        <w:t>审计工作出具了总结报告，认为审计人员认真、尽责的完成了年度审计工作。</w:t>
      </w:r>
    </w:p>
    <w:p>
      <w:pPr>
        <w:spacing w:line="316" w:lineRule="auto" w:before="24"/>
        <w:ind w:left="513" w:right="3193" w:hanging="361"/>
        <w:jc w:val="left"/>
        <w:rPr>
          <w:rFonts w:ascii="宋体" w:hAnsi="宋体" w:cs="宋体" w:eastAsia="宋体" w:hint="default"/>
          <w:sz w:val="18"/>
          <w:szCs w:val="18"/>
        </w:rPr>
      </w:pPr>
      <w:r>
        <w:rPr>
          <w:rFonts w:ascii="宋体" w:hAnsi="宋体" w:cs="宋体" w:eastAsia="宋体" w:hint="default"/>
          <w:b/>
          <w:bCs/>
          <w:sz w:val="18"/>
          <w:szCs w:val="18"/>
        </w:rPr>
        <w:t>（二）董事会薪酬与考核委员会履职情况</w:t>
      </w:r>
      <w:r>
        <w:rPr>
          <w:rFonts w:ascii="宋体" w:hAnsi="宋体" w:cs="宋体" w:eastAsia="宋体" w:hint="default"/>
          <w:b/>
          <w:bCs/>
          <w:w w:val="99"/>
          <w:sz w:val="18"/>
          <w:szCs w:val="18"/>
        </w:rPr>
        <w:t> </w:t>
      </w:r>
      <w:r>
        <w:rPr>
          <w:rFonts w:ascii="宋体" w:hAnsi="宋体" w:cs="宋体" w:eastAsia="宋体" w:hint="default"/>
          <w:sz w:val="18"/>
          <w:szCs w:val="18"/>
        </w:rPr>
        <w:t>本年度薪酬与考核委员会对公司高级管理人员的工作情况进行了考核，并提出了奖励方案。</w:t>
      </w:r>
    </w:p>
    <w:p>
      <w:pPr>
        <w:spacing w:line="316" w:lineRule="auto" w:before="19"/>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（三）董事会提名委员会履职情况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报告期内，公司一名董事因个人原因辞职，董事会提名委员会对增补董事候选人任职资格进行了审议，并发表了认可意</w:t>
      </w:r>
    </w:p>
    <w:p>
      <w:pPr>
        <w:pStyle w:val="BodyText"/>
        <w:spacing w:line="240" w:lineRule="auto" w:before="19"/>
        <w:ind w:right="0"/>
        <w:jc w:val="left"/>
      </w:pPr>
      <w:r>
        <w:rPr/>
        <w:t>见。</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54" w:firstLine="346"/>
        <w:jc w:val="both"/>
      </w:pPr>
      <w:r>
        <w:rPr>
          <w:rFonts w:ascii="Times New Roman" w:hAnsi="Times New Roman" w:cs="Times New Roman" w:eastAsia="Times New Roman" w:hint="default"/>
        </w:rPr>
        <w:t>1</w:t>
      </w:r>
      <w:r>
        <w:rPr/>
        <w:t>、考评机制：公司董事会按年度对公司高级管理人员的业绩和履职情况进行考评，并根据工作业绩决定年度薪酬，以 考核结果作为下一年度的岗位安排、年薪档次、是否续聘及职位升降和下一届任免的依据。</w:t>
      </w:r>
    </w:p>
    <w:p>
      <w:pPr>
        <w:pStyle w:val="BodyText"/>
        <w:spacing w:line="309" w:lineRule="auto" w:before="72"/>
        <w:ind w:right="1129" w:firstLine="360"/>
        <w:jc w:val="both"/>
      </w:pPr>
      <w:r>
        <w:rPr>
          <w:rFonts w:ascii="Times New Roman" w:hAnsi="Times New Roman" w:cs="Times New Roman" w:eastAsia="Times New Roman" w:hint="default"/>
        </w:rPr>
        <w:t>2</w:t>
      </w:r>
      <w:r>
        <w:rPr/>
        <w:t>、激励机制：公司对高级管理人员实行年薪制，分为工资和奖金两部分。董事会根据公司近几年的经营状况和个人的 </w:t>
      </w:r>
      <w:r>
        <w:rPr>
          <w:spacing w:val="-2"/>
        </w:rPr>
        <w:t>岗位职责，确定年度工资额；每年年终董事会将根据高级管理人员本年度的工作业绩进行考评，并依据考评结果确定高管人</w:t>
      </w:r>
      <w:r>
        <w:rPr>
          <w:spacing w:val="-65"/>
        </w:rPr>
        <w:t> </w:t>
      </w:r>
      <w:r>
        <w:rPr>
          <w:spacing w:val="-65"/>
        </w:rPr>
      </w:r>
      <w:r>
        <w:rPr/>
        <w:t>员的奖金总额。</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240" w:lineRule="auto" w:before="44"/>
        <w:ind w:left="0" w:right="1136"/>
        <w:jc w:val="right"/>
      </w:pPr>
      <w:r>
        <w:rPr/>
        <w:pict>
          <v:shape style="position:absolute;margin-left:56.400002pt;margin-top:-163.598282pt;width:479.3pt;height:656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请见在巨潮资讯网披露的《内部控制自我评价报告》</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0" w:lineRule="auto" w:before="49"/>
                          <w:ind w:left="23" w:right="43"/>
                          <w:jc w:val="both"/>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w:t>
                        </w:r>
                        <w:r>
                          <w:rPr>
                            <w:rFonts w:ascii="宋体" w:hAnsi="宋体" w:cs="宋体" w:eastAsia="宋体" w:hint="default"/>
                            <w:spacing w:val="-83"/>
                            <w:sz w:val="18"/>
                            <w:szCs w:val="18"/>
                          </w:rPr>
                          <w:t> </w:t>
                        </w:r>
                        <w:r>
                          <w:rPr>
                            <w:rFonts w:ascii="宋体" w:hAnsi="宋体" w:cs="宋体" w:eastAsia="宋体" w:hint="default"/>
                            <w:sz w:val="18"/>
                            <w:szCs w:val="18"/>
                          </w:rPr>
                          <w:t>董事、监事和高级管理人员的舞弊行为；</w:t>
                        </w:r>
                      </w:p>
                      <w:p>
                        <w:pPr>
                          <w:pStyle w:val="TableParagraph"/>
                          <w:spacing w:line="309" w:lineRule="auto" w:before="32"/>
                          <w:ind w:left="23" w:right="17"/>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）公司更正已公布的财务报告；（</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）注</w:t>
                        </w:r>
                        <w:r>
                          <w:rPr>
                            <w:rFonts w:ascii="宋体" w:hAnsi="宋体" w:cs="宋体" w:eastAsia="宋体" w:hint="default"/>
                            <w:spacing w:val="-87"/>
                            <w:sz w:val="18"/>
                            <w:szCs w:val="18"/>
                          </w:rPr>
                          <w:t> </w:t>
                        </w:r>
                        <w:r>
                          <w:rPr>
                            <w:rFonts w:ascii="宋体" w:hAnsi="宋体" w:cs="宋体" w:eastAsia="宋体" w:hint="default"/>
                            <w:sz w:val="18"/>
                            <w:szCs w:val="18"/>
                          </w:rPr>
                          <w:t>册会计师发现的却未被公司内部控制识别</w:t>
                        </w:r>
                        <w:r>
                          <w:rPr>
                            <w:rFonts w:ascii="宋体" w:hAnsi="宋体" w:cs="宋体" w:eastAsia="宋体" w:hint="default"/>
                            <w:sz w:val="18"/>
                            <w:szCs w:val="18"/>
                          </w:rPr>
                          <w:t> </w:t>
                        </w:r>
                        <w:r>
                          <w:rPr>
                            <w:rFonts w:ascii="宋体" w:hAnsi="宋体" w:cs="宋体" w:eastAsia="宋体" w:hint="default"/>
                            <w:spacing w:val="-5"/>
                            <w:sz w:val="18"/>
                            <w:szCs w:val="18"/>
                          </w:rPr>
                          <w:t>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w:t>
                        </w:r>
                        <w:r>
                          <w:rPr>
                            <w:rFonts w:ascii="宋体" w:hAnsi="宋体" w:cs="宋体" w:eastAsia="宋体" w:hint="default"/>
                            <w:spacing w:val="-83"/>
                            <w:sz w:val="18"/>
                            <w:szCs w:val="18"/>
                          </w:rPr>
                          <w:t> </w:t>
                        </w:r>
                        <w:r>
                          <w:rPr>
                            <w:rFonts w:ascii="宋体" w:hAnsi="宋体" w:cs="宋体" w:eastAsia="宋体" w:hint="default"/>
                            <w:sz w:val="18"/>
                            <w:szCs w:val="18"/>
                          </w:rPr>
                          <w:t>委员会和审计部门对公司的对外财务报告 和财务报告内部控制监督无效。财务报告 </w:t>
                        </w:r>
                        <w:r>
                          <w:rPr>
                            <w:rFonts w:ascii="宋体" w:hAnsi="宋体" w:cs="宋体" w:eastAsia="宋体" w:hint="default"/>
                            <w:spacing w:val="-5"/>
                            <w:sz w:val="18"/>
                            <w:szCs w:val="18"/>
                          </w:rPr>
                          <w:t>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6"/>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4"/>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6"/>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6"/>
                            <w:sz w:val="18"/>
                            <w:szCs w:val="18"/>
                          </w:rPr>
                          <w:t> </w:t>
                        </w:r>
                        <w:r>
                          <w:rPr>
                            <w:rFonts w:ascii="宋体" w:hAnsi="宋体" w:cs="宋体" w:eastAsia="宋体" w:hint="default"/>
                            <w:sz w:val="18"/>
                            <w:szCs w:val="18"/>
                          </w:rPr>
                          <w:t>在一项或多项缺陷且不能合理保证编制的 </w:t>
                        </w:r>
                        <w:r>
                          <w:rPr>
                            <w:rFonts w:ascii="宋体" w:hAnsi="宋体" w:cs="宋体" w:eastAsia="宋体" w:hint="default"/>
                            <w:spacing w:val="-3"/>
                            <w:sz w:val="18"/>
                            <w:szCs w:val="18"/>
                          </w:rPr>
                          <w:t>财务报表达到真实、完整的目标。</w:t>
                        </w:r>
                        <w:r>
                          <w:rPr>
                            <w:rFonts w:ascii="宋体" w:hAnsi="宋体" w:cs="宋体" w:eastAsia="宋体" w:hint="default"/>
                            <w:spacing w:val="-21"/>
                            <w:sz w:val="18"/>
                            <w:szCs w:val="18"/>
                          </w:rPr>
                          <w:t> </w:t>
                        </w:r>
                        <w:r>
                          <w:rPr>
                            <w:rFonts w:ascii="宋体" w:hAnsi="宋体" w:cs="宋体" w:eastAsia="宋体" w:hint="default"/>
                            <w:sz w:val="18"/>
                            <w:szCs w:val="18"/>
                          </w:rPr>
                          <w:t>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陷是指除上述重大缺陷、重要缺陷之外的 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6" w:right="109"/>
                          <w:jc w:val="left"/>
                          <w:rPr>
                            <w:rFonts w:ascii="宋体" w:hAnsi="宋体" w:cs="宋体" w:eastAsia="宋体" w:hint="default"/>
                            <w:sz w:val="18"/>
                            <w:szCs w:val="18"/>
                          </w:rPr>
                        </w:pPr>
                        <w:r>
                          <w:rPr>
                            <w:rFonts w:ascii="宋体" w:hAnsi="宋体" w:cs="宋体" w:eastAsia="宋体" w:hint="default"/>
                            <w:spacing w:val="-4"/>
                            <w:sz w:val="18"/>
                            <w:szCs w:val="18"/>
                          </w:rPr>
                          <w:t>非财务报告重大缺陷的迹象包括：（</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违反国家法律、法规或规范性文件；</w:t>
                        </w:r>
                      </w:p>
                      <w:p>
                        <w:pPr>
                          <w:pStyle w:val="TableParagraph"/>
                          <w:spacing w:line="304" w:lineRule="auto" w:before="31"/>
                          <w:ind w:left="26"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）决策程序不科学导致重大决策失 误；</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）重要业务制度性缺失或系统 性失效；</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）重大或重要缺陷不能得 到有效整改；</w:t>
                        </w:r>
                        <w:r>
                          <w:rPr>
                            <w:rFonts w:ascii="宋体" w:hAnsi="宋体" w:cs="宋体" w:eastAsia="宋体" w:hint="default"/>
                            <w:spacing w:val="-32"/>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）安全、环保事故对</w:t>
                        </w:r>
                        <w:r>
                          <w:rPr>
                            <w:rFonts w:ascii="宋体" w:hAnsi="宋体" w:cs="宋体" w:eastAsia="宋体" w:hint="default"/>
                            <w:sz w:val="18"/>
                            <w:szCs w:val="18"/>
                          </w:rPr>
                          <w:t> 公司造成重大负面影响的情形。</w:t>
                        </w:r>
                        <w:r>
                          <w:rPr>
                            <w:rFonts w:ascii="宋体" w:hAnsi="宋体" w:cs="宋体" w:eastAsia="宋体" w:hint="default"/>
                            <w:spacing w:val="1"/>
                            <w:sz w:val="18"/>
                            <w:szCs w:val="18"/>
                          </w:rPr>
                          <w:t> </w:t>
                        </w:r>
                        <w:r>
                          <w:rPr>
                            <w:rFonts w:ascii="宋体" w:hAnsi="宋体" w:cs="宋体" w:eastAsia="宋体" w:hint="default"/>
                            <w:sz w:val="18"/>
                            <w:szCs w:val="18"/>
                          </w:rPr>
                          <w:t>非财</w:t>
                        </w:r>
                        <w:r>
                          <w:rPr>
                            <w:rFonts w:ascii="宋体" w:hAnsi="宋体" w:cs="宋体" w:eastAsia="宋体" w:hint="default"/>
                            <w:sz w:val="18"/>
                            <w:szCs w:val="18"/>
                          </w:rPr>
                          <w:t> </w:t>
                        </w:r>
                        <w:r>
                          <w:rPr>
                            <w:rFonts w:ascii="宋体" w:hAnsi="宋体" w:cs="宋体" w:eastAsia="宋体" w:hint="default"/>
                            <w:spacing w:val="-11"/>
                            <w:sz w:val="18"/>
                            <w:szCs w:val="18"/>
                          </w:rPr>
                          <w:t>务报告内部控制重要缺陷包括：（</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）重</w:t>
                        </w:r>
                        <w:r>
                          <w:rPr>
                            <w:rFonts w:ascii="宋体" w:hAnsi="宋体" w:cs="宋体" w:eastAsia="宋体" w:hint="default"/>
                            <w:spacing w:val="-82"/>
                            <w:sz w:val="18"/>
                            <w:szCs w:val="18"/>
                          </w:rPr>
                          <w:t> </w:t>
                        </w:r>
                        <w:r>
                          <w:rPr>
                            <w:rFonts w:ascii="宋体" w:hAnsi="宋体" w:cs="宋体" w:eastAsia="宋体" w:hint="default"/>
                            <w:spacing w:val="-11"/>
                            <w:sz w:val="18"/>
                            <w:szCs w:val="18"/>
                          </w:rPr>
                          <w:t>要业务制度或系统存在的缺陷；（</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）内</w:t>
                        </w:r>
                        <w:r>
                          <w:rPr>
                            <w:rFonts w:ascii="宋体" w:hAnsi="宋体" w:cs="宋体" w:eastAsia="宋体" w:hint="default"/>
                            <w:spacing w:val="-82"/>
                            <w:sz w:val="18"/>
                            <w:szCs w:val="18"/>
                          </w:rPr>
                          <w:t> </w:t>
                        </w:r>
                        <w:r>
                          <w:rPr>
                            <w:rFonts w:ascii="宋体" w:hAnsi="宋体" w:cs="宋体" w:eastAsia="宋体" w:hint="default"/>
                            <w:sz w:val="18"/>
                            <w:szCs w:val="18"/>
                          </w:rPr>
                          <w:t>部控制内部监督发现的重要缺陷未及</w:t>
                        </w:r>
                        <w:r>
                          <w:rPr>
                            <w:rFonts w:ascii="宋体" w:hAnsi="宋体" w:cs="宋体" w:eastAsia="宋体" w:hint="default"/>
                            <w:sz w:val="18"/>
                            <w:szCs w:val="18"/>
                          </w:rPr>
                          <w:t> </w:t>
                        </w:r>
                        <w:r>
                          <w:rPr>
                            <w:rFonts w:ascii="宋体" w:hAnsi="宋体" w:cs="宋体" w:eastAsia="宋体" w:hint="default"/>
                            <w:spacing w:val="-9"/>
                            <w:sz w:val="18"/>
                            <w:szCs w:val="18"/>
                          </w:rPr>
                          <w:t>时整改；（</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）重要业务系统运转效率低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下。非财务报告内部控制一般缺陷：一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般业务制度或系统存在缺陷。</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50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34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3" w:right="17"/>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润表相关的，以营业收入指标衡量。如果 该缺陷单独或连同其他缺陷可能导致的财 务报告错报金额小于营业收入的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0.5%</w:t>
                        </w:r>
                        <w:r>
                          <w:rPr>
                            <w:rFonts w:ascii="宋体" w:hAnsi="宋体" w:cs="宋体" w:eastAsia="宋体" w:hint="default"/>
                            <w:spacing w:val="-12"/>
                            <w:sz w:val="18"/>
                            <w:szCs w:val="18"/>
                          </w:rPr>
                          <w:t>，则</w:t>
                        </w:r>
                        <w:r>
                          <w:rPr>
                            <w:rFonts w:ascii="宋体" w:hAnsi="宋体" w:cs="宋体" w:eastAsia="宋体" w:hint="default"/>
                            <w:spacing w:val="-88"/>
                            <w:sz w:val="18"/>
                            <w:szCs w:val="18"/>
                          </w:rPr>
                          <w:t> </w:t>
                        </w:r>
                        <w:r>
                          <w:rPr>
                            <w:rFonts w:ascii="宋体" w:hAnsi="宋体" w:cs="宋体" w:eastAsia="宋体" w:hint="default"/>
                            <w:sz w:val="18"/>
                            <w:szCs w:val="18"/>
                          </w:rPr>
                          <w:t>认定为一般缺陷；如果超过营业收入的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，则为重要缺陷；如果超 过营业收入的</w:t>
                        </w:r>
                        <w:r>
                          <w:rPr>
                            <w:rFonts w:ascii="宋体" w:hAnsi="宋体" w:cs="宋体" w:eastAsia="宋体" w:hint="default"/>
                            <w:spacing w:val="-37"/>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，则认定为重大缺陷。内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部控制缺陷可能导致或导致的损失与资产 管理相关的，以资产总额指标衡量。如果 该缺陷单独或连同其他缺陷可能导致的财 务报告错报金额小于资产总额的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0.5%</w:t>
                        </w:r>
                        <w:r>
                          <w:rPr>
                            <w:rFonts w:ascii="宋体" w:hAnsi="宋体" w:cs="宋体" w:eastAsia="宋体" w:hint="default"/>
                            <w:spacing w:val="-12"/>
                            <w:sz w:val="18"/>
                            <w:szCs w:val="18"/>
                          </w:rPr>
                          <w:t>，则</w:t>
                        </w:r>
                        <w:r>
                          <w:rPr>
                            <w:rFonts w:ascii="宋体" w:hAnsi="宋体" w:cs="宋体" w:eastAsia="宋体" w:hint="default"/>
                            <w:spacing w:val="-88"/>
                            <w:sz w:val="18"/>
                            <w:szCs w:val="18"/>
                          </w:rPr>
                          <w:t> </w:t>
                        </w:r>
                        <w:r>
                          <w:rPr>
                            <w:rFonts w:ascii="宋体" w:hAnsi="宋体" w:cs="宋体" w:eastAsia="宋体" w:hint="default"/>
                            <w:sz w:val="18"/>
                            <w:szCs w:val="18"/>
                          </w:rPr>
                          <w:t>认定为一般缺陷；如果超过资产总额的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3" w:type="dxa"/>
                        <w:vMerge w:val="restart"/>
                        <w:tcBorders>
                          <w:top w:val="single" w:sz="4" w:space="0" w:color="000000"/>
                          <w:left w:val="single" w:sz="4" w:space="0" w:color="000000"/>
                          <w:right w:val="single" w:sz="4" w:space="0" w:color="000000"/>
                        </w:tcBorders>
                      </w:tcPr>
                      <w:p>
                        <w:pPr>
                          <w:pStyle w:val="TableParagraph"/>
                          <w:spacing w:line="312" w:lineRule="auto" w:before="49"/>
                          <w:ind w:left="26" w:right="-43"/>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w:t>
                        </w:r>
                        <w:r>
                          <w:rPr>
                            <w:rFonts w:ascii="宋体" w:hAnsi="宋体" w:cs="宋体" w:eastAsia="宋体" w:hint="default"/>
                            <w:spacing w:val="-4"/>
                            <w:sz w:val="18"/>
                            <w:szCs w:val="18"/>
                          </w:rPr>
                          <w:t>与利润报表相关的，以营业收入指标衡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量。如果该缺陷单独或连同其他缺陷可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能导致的财务报告错报金额小于营业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 果超过营业收入的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 </w:t>
                        </w:r>
                        <w:r>
                          <w:rPr>
                            <w:rFonts w:ascii="宋体" w:hAnsi="宋体" w:cs="宋体" w:eastAsia="宋体" w:hint="default"/>
                            <w:spacing w:val="-4"/>
                            <w:sz w:val="18"/>
                            <w:szCs w:val="18"/>
                          </w:rPr>
                          <w:t>定为重要缺陷；如果超过税前利润营业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，则认定为重大缺陷。内部 控制缺陷可能导致或导致的损失与资 产管理相关的，以资产总额指标衡量。 如果该缺陷单独或连同其他缺陷可能 导致的财务报告错报金额小于资产总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 超过资产总额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 为重要缺陷；如果超过资产总额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则认定为重大缺陷。</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34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5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东港股份有限公司全体股东：</w:t>
            </w:r>
          </w:p>
          <w:p>
            <w:pPr>
              <w:pStyle w:val="TableParagraph"/>
              <w:spacing w:line="240" w:lineRule="auto" w:before="115"/>
              <w:ind w:left="372" w:right="0"/>
              <w:jc w:val="left"/>
              <w:rPr>
                <w:rFonts w:ascii="宋体" w:hAnsi="宋体" w:cs="宋体" w:eastAsia="宋体" w:hint="default"/>
                <w:sz w:val="18"/>
                <w:szCs w:val="18"/>
              </w:rPr>
            </w:pPr>
            <w:r>
              <w:rPr>
                <w:rFonts w:ascii="宋体" w:hAnsi="宋体" w:cs="宋体" w:eastAsia="宋体" w:hint="default"/>
                <w:spacing w:val="-3"/>
                <w:sz w:val="18"/>
                <w:szCs w:val="18"/>
              </w:rPr>
              <w:t>我们接受委托，审核了东港股份有限公司（以下简称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东港股份公司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）管理层对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日与财务报表相关的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内部控制有效性的认定。东港股份公司管理层的责任是建立健全内部控制并保持其有效性，同时对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财务报表相关的内部控制有效性作出认定并确保该认定的真实性和完整性。我们的责任是对东港股份公司截至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日止与财务报表相关的内部控制的有效性发表鉴证意见。</w:t>
            </w:r>
          </w:p>
          <w:p>
            <w:pPr>
              <w:pStyle w:val="TableParagraph"/>
              <w:spacing w:line="312" w:lineRule="auto" w:before="103"/>
              <w:ind w:left="24" w:right="22" w:firstLine="348"/>
              <w:jc w:val="left"/>
              <w:rPr>
                <w:rFonts w:ascii="宋体" w:hAnsi="宋体" w:cs="宋体" w:eastAsia="宋体" w:hint="default"/>
                <w:sz w:val="18"/>
                <w:szCs w:val="18"/>
              </w:rPr>
            </w:pPr>
            <w:r>
              <w:rPr>
                <w:rFonts w:ascii="宋体" w:hAnsi="宋体" w:cs="宋体" w:eastAsia="宋体" w:hint="default"/>
                <w:sz w:val="18"/>
                <w:szCs w:val="18"/>
              </w:rPr>
              <w:t>我们按照《中国注册会计师其他鉴证业务准则第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历史财务信息审计或审阅以外的鉴证业务》并参照《内 </w:t>
            </w:r>
            <w:r>
              <w:rPr>
                <w:rFonts w:ascii="宋体" w:hAnsi="宋体" w:cs="宋体" w:eastAsia="宋体" w:hint="default"/>
                <w:spacing w:val="-1"/>
                <w:sz w:val="18"/>
                <w:szCs w:val="18"/>
              </w:rPr>
              <w:t>部控制审核指导意见》的规定执行了鉴证业务。上述规定要求我们计划和执行鉴证工作，以对鉴证对象信息是否不存在重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大错报获取合理保证。在鉴证过程中，我们实施了包括了解、测试和评价内部控制系统的建立和实施情况，以及我们认为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必要的其他程序。我们相信，我们的鉴证工作为发表意见提供了合理的基础。</w:t>
            </w:r>
          </w:p>
          <w:p>
            <w:pPr>
              <w:pStyle w:val="TableParagraph"/>
              <w:spacing w:line="309" w:lineRule="auto" w:before="22"/>
              <w:ind w:left="24" w:right="23" w:firstLine="362"/>
              <w:jc w:val="both"/>
              <w:rPr>
                <w:rFonts w:ascii="宋体" w:hAnsi="宋体" w:cs="宋体" w:eastAsia="宋体" w:hint="default"/>
                <w:sz w:val="18"/>
                <w:szCs w:val="18"/>
              </w:rPr>
            </w:pPr>
            <w:r>
              <w:rPr>
                <w:rFonts w:ascii="宋体" w:hAnsi="宋体" w:cs="宋体" w:eastAsia="宋体" w:hint="default"/>
                <w:spacing w:val="-1"/>
                <w:sz w:val="18"/>
                <w:szCs w:val="18"/>
              </w:rPr>
              <w:t>内部控制具有固有限制，存在由于错误或舞弊导致错报发生和未被发现的可能性。此外，由于情况的变化可能导致内</w:t>
            </w:r>
            <w:r>
              <w:rPr>
                <w:rFonts w:ascii="宋体" w:hAnsi="宋体" w:cs="宋体" w:eastAsia="宋体" w:hint="default"/>
                <w:sz w:val="18"/>
                <w:szCs w:val="18"/>
              </w:rPr>
              <w:t> 部控制变得不恰当，或降低对控制政策、程序遵循的程度，因此，于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日有效的内部控制，并不保证在未 来也必然有效，根据内部控制评价结果推测未来内部控制有效性具有一定的风险。</w:t>
            </w:r>
          </w:p>
          <w:p>
            <w:pPr>
              <w:pStyle w:val="TableParagraph"/>
              <w:spacing w:line="240" w:lineRule="auto" w:before="24"/>
              <w:ind w:left="478" w:right="0"/>
              <w:jc w:val="left"/>
              <w:rPr>
                <w:rFonts w:ascii="宋体" w:hAnsi="宋体" w:cs="宋体" w:eastAsia="宋体" w:hint="default"/>
                <w:sz w:val="18"/>
                <w:szCs w:val="18"/>
              </w:rPr>
            </w:pPr>
            <w:r>
              <w:rPr>
                <w:rFonts w:ascii="宋体" w:hAnsi="宋体" w:cs="宋体" w:eastAsia="宋体" w:hint="default"/>
                <w:sz w:val="18"/>
                <w:szCs w:val="18"/>
              </w:rPr>
              <w:t>我们认为，东港股份公司于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p>
            <w:pPr>
              <w:pStyle w:val="TableParagraph"/>
              <w:spacing w:line="240" w:lineRule="auto" w:before="63"/>
              <w:ind w:left="478" w:right="0"/>
              <w:jc w:val="left"/>
              <w:rPr>
                <w:rFonts w:ascii="宋体" w:hAnsi="宋体" w:cs="宋体" w:eastAsia="宋体" w:hint="default"/>
                <w:sz w:val="18"/>
                <w:szCs w:val="18"/>
              </w:rPr>
            </w:pPr>
            <w:r>
              <w:rPr>
                <w:rFonts w:ascii="宋体" w:hAnsi="宋体" w:cs="宋体" w:eastAsia="宋体" w:hint="default"/>
                <w:sz w:val="18"/>
                <w:szCs w:val="18"/>
              </w:rPr>
              <w:t>本鉴证报告仅供东港股份有限公司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年度年报披露之目的使用，不得用作任何其他目的。</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请见在巨潮资讯网披露的《内部控制自我评价报告》</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0"/>
        <w:jc w:val="left"/>
        <w:rPr>
          <w:b w:val="0"/>
          <w:bCs w:val="0"/>
        </w:rPr>
      </w:pPr>
      <w:bookmarkStart w:name="第十一节公司债券相关情况" w:id="149"/>
      <w:bookmarkEnd w:id="149"/>
      <w:r>
        <w:rPr>
          <w:b w:val="0"/>
          <w:bCs w:val="0"/>
        </w:rPr>
      </w:r>
      <w:bookmarkStart w:name="_bookmark10" w:id="150"/>
      <w:bookmarkEnd w:id="150"/>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第十二节 财务报告" w:id="151"/>
      <w:bookmarkEnd w:id="151"/>
      <w:r>
        <w:rPr>
          <w:b w:val="0"/>
          <w:bCs w:val="0"/>
        </w:rPr>
      </w:r>
      <w:bookmarkStart w:name="_bookmark11" w:id="152"/>
      <w:bookmarkEnd w:id="15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XYZH/2020BJA120015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崔迎，夏瑞</w:t>
            </w:r>
          </w:p>
        </w:tc>
      </w:tr>
    </w:tbl>
    <w:p>
      <w:pPr>
        <w:pStyle w:val="BodyText"/>
        <w:spacing w:line="240" w:lineRule="auto" w:before="49"/>
        <w:ind w:left="3506" w:right="4484"/>
        <w:jc w:val="center"/>
      </w:pPr>
      <w:r>
        <w:rPr/>
        <w:t>审计报告正文</w:t>
      </w:r>
    </w:p>
    <w:p>
      <w:pPr>
        <w:pStyle w:val="Heading5"/>
        <w:spacing w:line="240" w:lineRule="auto" w:before="118"/>
        <w:ind w:right="0"/>
        <w:jc w:val="left"/>
        <w:rPr>
          <w:b w:val="0"/>
          <w:bCs w:val="0"/>
        </w:rPr>
      </w:pPr>
      <w:r>
        <w:rPr/>
        <w:t>东港股份有限公司全体股东：</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0"/>
        <w:jc w:val="left"/>
        <w:rPr>
          <w:b w:val="0"/>
          <w:bCs w:val="0"/>
        </w:rPr>
      </w:pPr>
      <w:r>
        <w:rPr/>
        <w:t>一、审计意见</w:t>
      </w:r>
      <w:r>
        <w:rPr>
          <w:b w:val="0"/>
          <w:bCs w:val="0"/>
        </w:rPr>
      </w:r>
    </w:p>
    <w:p>
      <w:pPr>
        <w:pStyle w:val="BodyText"/>
        <w:spacing w:line="240" w:lineRule="auto" w:before="76"/>
        <w:ind w:left="513" w:right="0"/>
        <w:jc w:val="left"/>
      </w:pPr>
      <w:r>
        <w:rPr/>
        <w:t>我们审计了东港股份有限公司（以下简称东港股份公司）财务报表，包括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p>
    <w:p>
      <w:pPr>
        <w:pStyle w:val="BodyText"/>
        <w:spacing w:line="300" w:lineRule="auto" w:before="63"/>
        <w:ind w:left="513" w:right="0" w:hanging="361"/>
        <w:jc w:val="left"/>
      </w:pPr>
      <w:r>
        <w:rPr>
          <w:rFonts w:ascii="Times New Roman" w:hAnsi="Times New Roman" w:cs="Times New Roman" w:eastAsia="Times New Roman" w:hint="default"/>
        </w:rPr>
        <w:t>2019</w:t>
      </w:r>
      <w:r>
        <w:rPr/>
        <w:t>年度的合并及母公司利润表、合并及母公司现金流量表、合并及母公司股东权益变动表，以及相关财务报表附注。 </w:t>
      </w:r>
      <w:r>
        <w:rPr>
          <w:spacing w:val="-2"/>
        </w:rPr>
        <w:t>我们认为，后附的财务报表在所有重大方面按照企业会计准则的规定编制，公允反映了东港股份公司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p>
    <w:p>
      <w:pPr>
        <w:pStyle w:val="BodyText"/>
        <w:spacing w:line="240" w:lineRule="auto" w:before="13"/>
        <w:ind w:right="0"/>
        <w:jc w:val="left"/>
      </w:pPr>
      <w:r>
        <w:rPr/>
        <w:t>合并及母公司财务状况以及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0"/>
        <w:rPr>
          <w:rFonts w:ascii="宋体" w:hAnsi="宋体" w:cs="宋体" w:eastAsia="宋体" w:hint="default"/>
          <w:sz w:val="18"/>
          <w:szCs w:val="18"/>
        </w:rPr>
      </w:pPr>
    </w:p>
    <w:p>
      <w:pPr>
        <w:pStyle w:val="BodyText"/>
        <w:spacing w:line="316" w:lineRule="auto" w:before="139"/>
        <w:ind w:left="513" w:right="0" w:hanging="36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9" w:lineRule="auto"/>
        <w:ind w:right="0"/>
        <w:jc w:val="left"/>
      </w:pPr>
      <w:r>
        <w:rPr>
          <w:spacing w:val="-2"/>
        </w:rPr>
        <w:t>阐述了我们在这些准则下的责任。按照中国注册会计师职业道德守则，我们独立于东港股份公司，并履行了职业道德方面的</w:t>
      </w:r>
      <w:r>
        <w:rPr>
          <w:spacing w:val="-63"/>
        </w:rPr>
        <w:t> </w:t>
      </w:r>
      <w:r>
        <w:rPr>
          <w:spacing w:val="-63"/>
        </w:rPr>
      </w:r>
      <w:r>
        <w:rPr/>
        <w:t>其他责任。我们相信，我们获取的审计证据是充分、适当的，为发表审计意见提供了基础。</w:t>
      </w:r>
    </w:p>
    <w:p>
      <w:pPr>
        <w:spacing w:line="240" w:lineRule="auto" w:before="2"/>
        <w:rPr>
          <w:rFonts w:ascii="宋体" w:hAnsi="宋体" w:cs="宋体" w:eastAsia="宋体" w:hint="default"/>
          <w:sz w:val="25"/>
          <w:szCs w:val="25"/>
        </w:rPr>
      </w:pPr>
    </w:p>
    <w:p>
      <w:pPr>
        <w:pStyle w:val="BodyText"/>
        <w:spacing w:line="316" w:lineRule="auto"/>
        <w:ind w:left="513" w:right="1122" w:hanging="36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left"/>
      </w:pPr>
      <w:r>
        <w:rPr/>
        <w:t>审计并形成审计意见为背景，我们不对这些事项单独发表意见。</w:t>
      </w:r>
    </w:p>
    <w:p>
      <w:pPr>
        <w:spacing w:line="240" w:lineRule="auto" w:before="3"/>
        <w:rPr>
          <w:rFonts w:ascii="宋体" w:hAnsi="宋体" w:cs="宋体" w:eastAsia="宋体" w:hint="default"/>
          <w:sz w:val="5"/>
          <w:szCs w:val="5"/>
        </w:rPr>
      </w:pPr>
    </w:p>
    <w:tbl>
      <w:tblPr>
        <w:tblW w:w="0" w:type="auto"/>
        <w:jc w:val="left"/>
        <w:tblInd w:w="712" w:type="dxa"/>
        <w:tblLayout w:type="fixed"/>
        <w:tblCellMar>
          <w:top w:w="0" w:type="dxa"/>
          <w:left w:w="0" w:type="dxa"/>
          <w:bottom w:w="0" w:type="dxa"/>
          <w:right w:w="0" w:type="dxa"/>
        </w:tblCellMar>
        <w:tblLook w:val="01E0"/>
      </w:tblPr>
      <w:tblGrid>
        <w:gridCol w:w="4383"/>
        <w:gridCol w:w="4124"/>
      </w:tblGrid>
      <w:tr>
        <w:trPr>
          <w:trHeight w:val="346"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4"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收入确认</w:t>
            </w:r>
            <w:r>
              <w:rPr>
                <w:rFonts w:ascii="宋体" w:hAnsi="宋体" w:cs="宋体" w:eastAsia="宋体" w:hint="default"/>
                <w:sz w:val="18"/>
                <w:szCs w:val="18"/>
              </w:rPr>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4093"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firstLine="359"/>
              <w:jc w:val="both"/>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11"/>
                <w:sz w:val="18"/>
                <w:szCs w:val="18"/>
              </w:rPr>
              <w:t> </w:t>
            </w:r>
            <w:r>
              <w:rPr>
                <w:rFonts w:ascii="宋体" w:hAnsi="宋体" w:cs="宋体" w:eastAsia="宋体" w:hint="default"/>
                <w:sz w:val="18"/>
                <w:szCs w:val="18"/>
              </w:rPr>
              <w:t>港</w:t>
            </w:r>
            <w:r>
              <w:rPr>
                <w:rFonts w:ascii="宋体" w:hAnsi="宋体" w:cs="宋体" w:eastAsia="宋体" w:hint="default"/>
                <w:spacing w:val="-11"/>
                <w:sz w:val="18"/>
                <w:szCs w:val="18"/>
              </w:rPr>
              <w:t> </w:t>
            </w:r>
            <w:r>
              <w:rPr>
                <w:rFonts w:ascii="宋体" w:hAnsi="宋体" w:cs="宋体" w:eastAsia="宋体" w:hint="default"/>
                <w:sz w:val="18"/>
                <w:szCs w:val="18"/>
              </w:rPr>
              <w:t>股</w:t>
            </w:r>
            <w:r>
              <w:rPr>
                <w:rFonts w:ascii="宋体" w:hAnsi="宋体" w:cs="宋体" w:eastAsia="宋体" w:hint="default"/>
                <w:spacing w:val="-9"/>
                <w:sz w:val="18"/>
                <w:szCs w:val="18"/>
              </w:rPr>
              <w:t> </w:t>
            </w:r>
            <w:r>
              <w:rPr>
                <w:rFonts w:ascii="宋体" w:hAnsi="宋体" w:cs="宋体" w:eastAsia="宋体" w:hint="default"/>
                <w:sz w:val="18"/>
                <w:szCs w:val="18"/>
              </w:rPr>
              <w:t>份</w:t>
            </w:r>
            <w:r>
              <w:rPr>
                <w:rFonts w:ascii="宋体" w:hAnsi="宋体" w:cs="宋体" w:eastAsia="宋体" w:hint="default"/>
                <w:spacing w:val="-11"/>
                <w:sz w:val="18"/>
                <w:szCs w:val="18"/>
              </w:rPr>
              <w:t> </w:t>
            </w:r>
            <w:r>
              <w:rPr>
                <w:rFonts w:ascii="宋体" w:hAnsi="宋体" w:cs="宋体" w:eastAsia="宋体" w:hint="default"/>
                <w:sz w:val="18"/>
                <w:szCs w:val="18"/>
              </w:rPr>
              <w:t>公</w:t>
            </w:r>
            <w:r>
              <w:rPr>
                <w:rFonts w:ascii="宋体" w:hAnsi="宋体" w:cs="宋体" w:eastAsia="宋体" w:hint="default"/>
                <w:spacing w:val="-9"/>
                <w:sz w:val="18"/>
                <w:szCs w:val="18"/>
              </w:rPr>
              <w:t> </w:t>
            </w:r>
            <w:r>
              <w:rPr>
                <w:rFonts w:ascii="宋体" w:hAnsi="宋体" w:cs="宋体" w:eastAsia="宋体" w:hint="default"/>
                <w:sz w:val="18"/>
                <w:szCs w:val="18"/>
              </w:rPr>
              <w:t>司</w:t>
            </w:r>
            <w:r>
              <w:rPr>
                <w:rFonts w:ascii="宋体" w:hAnsi="宋体" w:cs="宋体" w:eastAsia="宋体" w:hint="default"/>
                <w:spacing w:val="-10"/>
                <w:sz w:val="18"/>
                <w:szCs w:val="18"/>
              </w:rPr>
              <w:t> </w:t>
            </w:r>
            <w:r>
              <w:rPr>
                <w:rFonts w:ascii="宋体" w:hAnsi="宋体" w:cs="宋体" w:eastAsia="宋体" w:hint="default"/>
                <w:sz w:val="18"/>
                <w:szCs w:val="18"/>
              </w:rPr>
              <w:t>2019</w:t>
            </w:r>
            <w:r>
              <w:rPr>
                <w:rFonts w:ascii="宋体" w:hAnsi="宋体" w:cs="宋体" w:eastAsia="宋体"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14"/>
                <w:sz w:val="18"/>
                <w:szCs w:val="18"/>
              </w:rPr>
              <w:t> </w:t>
            </w:r>
            <w:r>
              <w:rPr>
                <w:rFonts w:ascii="宋体" w:hAnsi="宋体" w:cs="宋体" w:eastAsia="宋体" w:hint="default"/>
                <w:sz w:val="18"/>
                <w:szCs w:val="18"/>
              </w:rPr>
              <w:t>度</w:t>
            </w:r>
            <w:r>
              <w:rPr>
                <w:rFonts w:ascii="宋体" w:hAnsi="宋体" w:cs="宋体" w:eastAsia="宋体" w:hint="default"/>
                <w:spacing w:val="-11"/>
                <w:sz w:val="18"/>
                <w:szCs w:val="18"/>
              </w:rPr>
              <w:t> </w:t>
            </w:r>
            <w:r>
              <w:rPr>
                <w:rFonts w:ascii="宋体" w:hAnsi="宋体" w:cs="宋体" w:eastAsia="宋体" w:hint="default"/>
                <w:sz w:val="18"/>
                <w:szCs w:val="18"/>
              </w:rPr>
              <w:t>实</w:t>
            </w:r>
            <w:r>
              <w:rPr>
                <w:rFonts w:ascii="宋体" w:hAnsi="宋体" w:cs="宋体" w:eastAsia="宋体" w:hint="default"/>
                <w:spacing w:val="-11"/>
                <w:sz w:val="18"/>
                <w:szCs w:val="18"/>
              </w:rPr>
              <w:t> </w:t>
            </w:r>
            <w:r>
              <w:rPr>
                <w:rFonts w:ascii="宋体" w:hAnsi="宋体" w:cs="宋体" w:eastAsia="宋体" w:hint="default"/>
                <w:sz w:val="18"/>
                <w:szCs w:val="18"/>
              </w:rPr>
              <w:t>现</w:t>
            </w:r>
            <w:r>
              <w:rPr>
                <w:rFonts w:ascii="宋体" w:hAnsi="宋体" w:cs="宋体" w:eastAsia="宋体" w:hint="default"/>
                <w:spacing w:val="-9"/>
                <w:sz w:val="18"/>
                <w:szCs w:val="18"/>
              </w:rPr>
              <w:t> </w:t>
            </w:r>
            <w:r>
              <w:rPr>
                <w:rFonts w:ascii="宋体" w:hAnsi="宋体" w:cs="宋体" w:eastAsia="宋体" w:hint="default"/>
                <w:sz w:val="18"/>
                <w:szCs w:val="18"/>
              </w:rPr>
              <w:t>营</w:t>
            </w:r>
            <w:r>
              <w:rPr>
                <w:rFonts w:ascii="宋体" w:hAnsi="宋体" w:cs="宋体" w:eastAsia="宋体" w:hint="default"/>
                <w:spacing w:val="-11"/>
                <w:sz w:val="18"/>
                <w:szCs w:val="18"/>
              </w:rPr>
              <w:t> </w:t>
            </w:r>
            <w:r>
              <w:rPr>
                <w:rFonts w:ascii="宋体" w:hAnsi="宋体" w:cs="宋体" w:eastAsia="宋体" w:hint="default"/>
                <w:sz w:val="18"/>
                <w:szCs w:val="18"/>
              </w:rPr>
              <w:t>业</w:t>
            </w:r>
            <w:r>
              <w:rPr>
                <w:rFonts w:ascii="宋体" w:hAnsi="宋体" w:cs="宋体" w:eastAsia="宋体" w:hint="default"/>
                <w:spacing w:val="-9"/>
                <w:sz w:val="18"/>
                <w:szCs w:val="18"/>
              </w:rPr>
              <w:t> </w:t>
            </w:r>
            <w:r>
              <w:rPr>
                <w:rFonts w:ascii="宋体" w:hAnsi="宋体" w:cs="宋体" w:eastAsia="宋体" w:hint="default"/>
                <w:sz w:val="18"/>
                <w:szCs w:val="18"/>
              </w:rPr>
              <w:t>收</w:t>
            </w:r>
            <w:r>
              <w:rPr>
                <w:rFonts w:ascii="宋体" w:hAnsi="宋体" w:cs="宋体" w:eastAsia="宋体" w:hint="default"/>
                <w:spacing w:val="-11"/>
                <w:sz w:val="18"/>
                <w:szCs w:val="18"/>
              </w:rPr>
              <w:t> </w:t>
            </w:r>
            <w:r>
              <w:rPr>
                <w:rFonts w:ascii="宋体" w:hAnsi="宋体" w:cs="宋体" w:eastAsia="宋体" w:hint="default"/>
                <w:sz w:val="18"/>
                <w:szCs w:val="18"/>
              </w:rPr>
              <w:t>入</w:t>
            </w:r>
            <w:r>
              <w:rPr>
                <w:rFonts w:ascii="宋体" w:hAnsi="宋体" w:cs="宋体" w:eastAsia="宋体" w:hint="default"/>
                <w:sz w:val="18"/>
                <w:szCs w:val="18"/>
              </w:rPr>
              <w:t> </w:t>
            </w:r>
            <w:r>
              <w:rPr>
                <w:rFonts w:ascii="宋体" w:hAnsi="宋体" w:cs="宋体" w:eastAsia="宋体" w:hint="default"/>
                <w:sz w:val="18"/>
                <w:szCs w:val="18"/>
              </w:rPr>
              <w:t>1,495,634,115.55</w:t>
            </w:r>
            <w:r>
              <w:rPr>
                <w:rFonts w:ascii="宋体" w:hAnsi="宋体" w:cs="宋体" w:eastAsia="宋体" w:hint="default"/>
                <w:sz w:val="18"/>
                <w:szCs w:val="18"/>
              </w:rPr>
              <w:t>元。公司以印刷及相关产品为主营业</w:t>
            </w:r>
            <w:r>
              <w:rPr>
                <w:rFonts w:ascii="宋体" w:hAnsi="宋体" w:cs="宋体" w:eastAsia="宋体" w:hint="default"/>
                <w:spacing w:val="-61"/>
                <w:sz w:val="18"/>
                <w:szCs w:val="18"/>
              </w:rPr>
              <w:t> </w:t>
            </w:r>
            <w:r>
              <w:rPr>
                <w:rFonts w:ascii="宋体" w:hAnsi="宋体" w:cs="宋体" w:eastAsia="宋体" w:hint="default"/>
                <w:sz w:val="18"/>
                <w:szCs w:val="18"/>
              </w:rPr>
              <w:t>务，并且该类销售业务交易发生频繁，涉及众多机构。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根据销售合同的约定，通常以与货物所有权上的风险和</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报酬转移作为收入的确认时点，由于收入是公司的关键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业绩指标之一，存在管理层为了达到特定目标或期望而</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操纵收入确认时点的固有风险，因此，我们将收入确认</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识别为关键审计事项。</w:t>
            </w:r>
          </w:p>
          <w:p>
            <w:pPr>
              <w:pStyle w:val="TableParagraph"/>
              <w:spacing w:line="240" w:lineRule="auto" w:before="19"/>
              <w:ind w:left="364" w:right="-5"/>
              <w:jc w:val="left"/>
              <w:rPr>
                <w:rFonts w:ascii="宋体" w:hAnsi="宋体" w:cs="宋体" w:eastAsia="宋体" w:hint="default"/>
                <w:sz w:val="18"/>
                <w:szCs w:val="18"/>
              </w:rPr>
            </w:pPr>
            <w:r>
              <w:rPr>
                <w:rFonts w:ascii="宋体" w:hAnsi="宋体" w:cs="宋体" w:eastAsia="宋体" w:hint="default"/>
                <w:sz w:val="18"/>
                <w:szCs w:val="18"/>
              </w:rPr>
              <w:t>相关信息披露参见财务报表附注四、</w:t>
            </w:r>
            <w:r>
              <w:rPr>
                <w:rFonts w:ascii="Times New Roman" w:hAnsi="Times New Roman" w:cs="Times New Roman" w:eastAsia="Times New Roman" w:hint="default"/>
                <w:sz w:val="18"/>
                <w:szCs w:val="18"/>
              </w:rPr>
              <w:t>25</w:t>
            </w:r>
            <w:r>
              <w:rPr>
                <w:rFonts w:ascii="宋体" w:hAnsi="宋体" w:cs="宋体" w:eastAsia="宋体" w:hint="default"/>
                <w:sz w:val="18"/>
                <w:szCs w:val="18"/>
              </w:rPr>
              <w:t>及附注六、</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）评价、测试与收入确认相关的关键内部控制的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设计和运行的有效性。</w:t>
            </w:r>
          </w:p>
          <w:p>
            <w:pPr>
              <w:pStyle w:val="TableParagraph"/>
              <w:spacing w:line="309" w:lineRule="auto" w:before="31"/>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）选取样本检查签订的销售合同，识别与商品所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有权相关的风险报酬转移的条款和条件，评价收入确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认的时点是否符合企业会计准则的要求。</w:t>
            </w:r>
          </w:p>
          <w:p>
            <w:pPr>
              <w:pStyle w:val="TableParagraph"/>
              <w:spacing w:line="309" w:lineRule="auto" w:before="24"/>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）在本年账面记录的销售收入中选取样本，检查</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销售合同、货物发运单、验收单等评价收入的确认是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否符合收入确认的会计政策。</w:t>
            </w:r>
          </w:p>
          <w:p>
            <w:pPr>
              <w:pStyle w:val="TableParagraph"/>
              <w:spacing w:line="300" w:lineRule="auto" w:before="24"/>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）将出库记录与账面收入记录核对，检查收入记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录是否完整。</w:t>
            </w:r>
          </w:p>
          <w:p>
            <w:pPr>
              <w:pStyle w:val="TableParagraph"/>
              <w:spacing w:line="300" w:lineRule="auto" w:before="31"/>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）向重要客户实施函证程序，询证本年发生的销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售金额及往来款项余额。</w:t>
            </w:r>
          </w:p>
          <w:p>
            <w:pPr>
              <w:pStyle w:val="TableParagraph"/>
              <w:spacing w:line="240" w:lineRule="auto" w:before="31"/>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）选取资产负债表日前后的收入确认交易样本，</w:t>
            </w:r>
          </w:p>
        </w:tc>
      </w:tr>
    </w:tbl>
    <w:p>
      <w:pPr>
        <w:spacing w:after="0" w:line="24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left="0" w:right="1616"/>
        <w:jc w:val="right"/>
      </w:pPr>
      <w:r>
        <w:rPr/>
        <w:pict>
          <v:shape style="position:absolute;margin-left:84.624001pt;margin-top:-98.308258pt;width:426.45pt;height:273.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3"/>
                    <w:gridCol w:w="4124"/>
                  </w:tblGrid>
                  <w:tr>
                    <w:trPr>
                      <w:trHeight w:val="660" w:hRule="exact"/>
                    </w:trPr>
                    <w:tc>
                      <w:tcPr>
                        <w:tcW w:w="4383" w:type="dxa"/>
                        <w:tcBorders>
                          <w:top w:val="single" w:sz="6" w:space="0" w:color="000000"/>
                          <w:left w:val="single" w:sz="6" w:space="0" w:color="000000"/>
                          <w:bottom w:val="single" w:sz="6" w:space="0" w:color="000000"/>
                          <w:right w:val="single" w:sz="6" w:space="0" w:color="000000"/>
                        </w:tcBorders>
                      </w:tcPr>
                      <w:p>
                        <w:pP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检查货物发运单等相关文件，评价收入是否记录在恰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当的会计期间。</w:t>
                        </w:r>
                      </w:p>
                    </w:tc>
                  </w:tr>
                  <w:tr>
                    <w:trPr>
                      <w:trHeight w:val="346"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4"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应收账款的坏账准备</w:t>
                        </w:r>
                        <w:r>
                          <w:rPr>
                            <w:rFonts w:ascii="宋体" w:hAnsi="宋体" w:cs="宋体" w:eastAsia="宋体" w:hint="default"/>
                            <w:sz w:val="18"/>
                            <w:szCs w:val="18"/>
                          </w:rPr>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4093"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pacing w:val="15"/>
                            <w:sz w:val="18"/>
                            <w:szCs w:val="18"/>
                          </w:rPr>
                          <w:t>东港股份</w:t>
                        </w:r>
                        <w:r>
                          <w:rPr>
                            <w:rFonts w:ascii="宋体" w:hAnsi="宋体" w:cs="宋体" w:eastAsia="宋体" w:hint="default"/>
                            <w:spacing w:val="-66"/>
                            <w:sz w:val="18"/>
                            <w:szCs w:val="18"/>
                          </w:rPr>
                          <w:t> </w:t>
                        </w:r>
                        <w:r>
                          <w:rPr>
                            <w:rFonts w:ascii="宋体" w:hAnsi="宋体" w:cs="宋体" w:eastAsia="宋体" w:hint="default"/>
                            <w:spacing w:val="10"/>
                            <w:sz w:val="18"/>
                            <w:szCs w:val="18"/>
                          </w:rPr>
                          <w:t>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4"/>
                            <w:sz w:val="18"/>
                            <w:szCs w:val="18"/>
                          </w:rPr>
                          <w:t> </w:t>
                        </w:r>
                        <w:r>
                          <w:rPr>
                            <w:rFonts w:ascii="宋体" w:hAnsi="宋体" w:cs="宋体" w:eastAsia="宋体" w:hint="default"/>
                            <w:spacing w:val="15"/>
                            <w:sz w:val="18"/>
                            <w:szCs w:val="18"/>
                          </w:rPr>
                          <w:t>日应收账</w:t>
                        </w:r>
                        <w:r>
                          <w:rPr>
                            <w:rFonts w:ascii="宋体" w:hAnsi="宋体" w:cs="宋体" w:eastAsia="宋体" w:hint="default"/>
                            <w:spacing w:val="-66"/>
                            <w:sz w:val="18"/>
                            <w:szCs w:val="18"/>
                          </w:rPr>
                          <w:t> </w:t>
                        </w:r>
                        <w:r>
                          <w:rPr>
                            <w:rFonts w:ascii="宋体" w:hAnsi="宋体" w:cs="宋体" w:eastAsia="宋体" w:hint="default"/>
                            <w:spacing w:val="15"/>
                            <w:sz w:val="18"/>
                            <w:szCs w:val="18"/>
                          </w:rPr>
                          <w:t>款余额为</w:t>
                        </w:r>
                      </w:p>
                      <w:p>
                        <w:pPr>
                          <w:pStyle w:val="TableParagraph"/>
                          <w:spacing w:line="240" w:lineRule="auto" w:before="6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289,733,628.16</w:t>
                        </w:r>
                        <w:r>
                          <w:rPr>
                            <w:rFonts w:ascii="宋体" w:hAnsi="宋体" w:cs="宋体" w:eastAsia="宋体" w:hint="default"/>
                            <w:sz w:val="18"/>
                            <w:szCs w:val="18"/>
                          </w:rPr>
                          <w:t>元，坏账准备为</w:t>
                        </w:r>
                        <w:r>
                          <w:rPr>
                            <w:rFonts w:ascii="Times New Roman" w:hAnsi="Times New Roman" w:cs="Times New Roman" w:eastAsia="Times New Roman" w:hint="default"/>
                            <w:sz w:val="18"/>
                            <w:szCs w:val="18"/>
                          </w:rPr>
                          <w:t>17,559,793.08</w:t>
                        </w:r>
                        <w:r>
                          <w:rPr>
                            <w:rFonts w:ascii="宋体" w:hAnsi="宋体" w:cs="宋体" w:eastAsia="宋体" w:hint="default"/>
                            <w:sz w:val="18"/>
                            <w:szCs w:val="18"/>
                          </w:rPr>
                          <w:t>元，净值为</w:t>
                        </w:r>
                      </w:p>
                      <w:p>
                        <w:pPr>
                          <w:pStyle w:val="TableParagraph"/>
                          <w:spacing w:line="240" w:lineRule="auto" w:before="6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272,173,835.08</w:t>
                        </w:r>
                        <w:r>
                          <w:rPr>
                            <w:rFonts w:ascii="宋体" w:hAnsi="宋体" w:cs="宋体" w:eastAsia="宋体" w:hint="default"/>
                            <w:sz w:val="18"/>
                            <w:szCs w:val="18"/>
                          </w:rPr>
                          <w:t>元，应收账款余额占</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年度营业收入的</w:t>
                        </w:r>
                      </w:p>
                      <w:p>
                        <w:pPr>
                          <w:pStyle w:val="TableParagraph"/>
                          <w:spacing w:line="314" w:lineRule="auto" w:before="6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19.37%</w:t>
                        </w:r>
                        <w:r>
                          <w:rPr>
                            <w:rFonts w:ascii="宋体" w:hAnsi="宋体" w:cs="宋体" w:eastAsia="宋体" w:hint="default"/>
                            <w:sz w:val="18"/>
                            <w:szCs w:val="18"/>
                          </w:rPr>
                          <w:t>，占</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年末资产总额的</w:t>
                        </w:r>
                        <w:r>
                          <w:rPr>
                            <w:rFonts w:ascii="Times New Roman" w:hAnsi="Times New Roman" w:cs="Times New Roman" w:eastAsia="Times New Roman" w:hint="default"/>
                            <w:sz w:val="18"/>
                            <w:szCs w:val="18"/>
                          </w:rPr>
                          <w:t>12.41%</w:t>
                        </w:r>
                        <w:r>
                          <w:rPr>
                            <w:rFonts w:ascii="宋体" w:hAnsi="宋体" w:cs="宋体" w:eastAsia="宋体" w:hint="default"/>
                            <w:sz w:val="18"/>
                            <w:szCs w:val="18"/>
                          </w:rPr>
                          <w:t>。由于东港股份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公司管理层在确定应收账款预计可收回金额时需要运用</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重要会计估计和判断，且应收账款不能按期收回或者无</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法收回对财务报表的影响较为重大，因此我们将应收账</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款的坏账准备识别为关键审计事项。</w:t>
                        </w:r>
                      </w:p>
                      <w:p>
                        <w:pPr>
                          <w:pStyle w:val="TableParagraph"/>
                          <w:spacing w:line="240" w:lineRule="auto" w:before="21"/>
                          <w:ind w:left="364" w:right="-20"/>
                          <w:jc w:val="left"/>
                          <w:rPr>
                            <w:rFonts w:ascii="宋体" w:hAnsi="宋体" w:cs="宋体" w:eastAsia="宋体" w:hint="default"/>
                            <w:sz w:val="18"/>
                            <w:szCs w:val="18"/>
                          </w:rPr>
                        </w:pPr>
                        <w:r>
                          <w:rPr>
                            <w:rFonts w:ascii="宋体" w:hAnsi="宋体" w:cs="宋体" w:eastAsia="宋体" w:hint="default"/>
                            <w:sz w:val="18"/>
                            <w:szCs w:val="18"/>
                          </w:rPr>
                          <w:t>相关信息披露参见财务报表附注四</w:t>
                        </w:r>
                        <w:r>
                          <w:rPr>
                            <w:rFonts w:ascii="宋体" w:hAnsi="宋体" w:cs="宋体" w:eastAsia="宋体" w:hint="default"/>
                            <w:spacing w:val="-69"/>
                            <w:sz w:val="18"/>
                            <w:szCs w:val="18"/>
                          </w:rPr>
                          <w:t>、</w:t>
                        </w:r>
                        <w:r>
                          <w:rPr>
                            <w:rFonts w:ascii="Times New Roman" w:hAnsi="Times New Roman" w:cs="Times New Roman" w:eastAsia="Times New Roman" w:hint="default"/>
                            <w:spacing w:val="1"/>
                            <w:sz w:val="18"/>
                            <w:szCs w:val="18"/>
                          </w:rPr>
                          <w:t>11</w:t>
                        </w:r>
                        <w:r>
                          <w:rPr>
                            <w:rFonts w:ascii="宋体" w:hAnsi="宋体" w:cs="宋体" w:eastAsia="宋体" w:hint="default"/>
                            <w:sz w:val="18"/>
                            <w:szCs w:val="18"/>
                          </w:rPr>
                          <w:t>及附注六</w:t>
                        </w:r>
                        <w:r>
                          <w:rPr>
                            <w:rFonts w:ascii="宋体" w:hAnsi="宋体" w:cs="宋体" w:eastAsia="宋体" w:hint="default"/>
                            <w:spacing w:val="-70"/>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）评价、测试与应收账款管理相关的关键内部控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制制度的设计和运行的有效性。</w:t>
                        </w:r>
                      </w:p>
                      <w:p>
                        <w:pPr>
                          <w:pStyle w:val="TableParagraph"/>
                          <w:spacing w:line="309" w:lineRule="auto" w:before="31"/>
                          <w:ind w:left="4" w:right="-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）通过查阅销售合同、检查以往货款的回收情况 </w:t>
                        </w:r>
                        <w:r>
                          <w:rPr>
                            <w:rFonts w:ascii="宋体" w:hAnsi="宋体" w:cs="宋体" w:eastAsia="宋体" w:hint="default"/>
                            <w:spacing w:val="6"/>
                            <w:sz w:val="18"/>
                            <w:szCs w:val="18"/>
                          </w:rPr>
                          <w:t>与管理层沟通等程序了解和评价管理层对应收账款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坏账准备计提的会计估计是否合理。</w:t>
                        </w:r>
                      </w:p>
                      <w:p>
                        <w:pPr>
                          <w:pStyle w:val="TableParagraph"/>
                          <w:spacing w:line="309" w:lineRule="auto" w:before="24"/>
                          <w:ind w:left="4" w:right="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）复核东港股份公司对应收账款坏账准备的计提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过程，包括对按账龄分析法进行计提以及单项计提的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坏账准备。</w:t>
                        </w:r>
                      </w:p>
                      <w:p>
                        <w:pPr>
                          <w:pStyle w:val="TableParagraph"/>
                          <w:spacing w:line="240" w:lineRule="auto" w:before="25"/>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）对应收账款期末余额选取样本执行函证程序。</w:t>
                        </w:r>
                      </w:p>
                      <w:p>
                        <w:pPr>
                          <w:pStyle w:val="TableParagraph"/>
                          <w:spacing w:line="240" w:lineRule="auto" w:before="63"/>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）对账龄较长应收账款分析是否存在减值迹象。</w:t>
                        </w:r>
                      </w:p>
                      <w:p>
                        <w:pPr>
                          <w:pStyle w:val="TableParagraph"/>
                          <w:spacing w:line="309" w:lineRule="auto" w:before="63"/>
                          <w:ind w:left="4" w:right="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）比较前期坏账准备的计提数和实际发生数，对</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应收账款余额进行期后收款测试，评价本期应收账款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坏账准备计提的合理性。</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四、其他信息</w:t>
      </w:r>
      <w:r>
        <w:rPr>
          <w:b w:val="0"/>
          <w:bCs w:val="0"/>
        </w:rPr>
      </w:r>
    </w:p>
    <w:p>
      <w:pPr>
        <w:pStyle w:val="BodyText"/>
        <w:spacing w:line="300" w:lineRule="auto" w:before="76"/>
        <w:ind w:right="1134" w:firstLine="360"/>
        <w:jc w:val="both"/>
      </w:pPr>
      <w:r>
        <w:rPr>
          <w:spacing w:val="-1"/>
        </w:rPr>
        <w:t>东港股份公司管理层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对其他信息负责。其他信息包括东港股份公司</w:t>
      </w:r>
      <w:r>
        <w:rPr>
          <w:rFonts w:ascii="Times New Roman" w:hAnsi="Times New Roman" w:cs="Times New Roman" w:eastAsia="Times New Roman" w:hint="default"/>
          <w:spacing w:val="-1"/>
        </w:rPr>
        <w:t>2019</w:t>
      </w:r>
      <w:r>
        <w:rPr>
          <w:spacing w:val="-1"/>
        </w:rPr>
        <w:t>年年度报告中涵盖的信息，但</w:t>
      </w:r>
      <w:r>
        <w:rPr/>
        <w:t> 不包括财务报表和我们的审计报告。</w:t>
      </w:r>
    </w:p>
    <w:p>
      <w:pPr>
        <w:pStyle w:val="BodyText"/>
        <w:spacing w:line="316" w:lineRule="auto" w:before="31"/>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0"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spacing w:line="240" w:lineRule="auto" w:before="0"/>
        <w:rPr>
          <w:rFonts w:ascii="宋体" w:hAnsi="宋体" w:cs="宋体" w:eastAsia="宋体" w:hint="default"/>
          <w:sz w:val="18"/>
          <w:szCs w:val="18"/>
        </w:rPr>
      </w:pPr>
    </w:p>
    <w:p>
      <w:pPr>
        <w:spacing w:line="316" w:lineRule="auto" w:before="153"/>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东港股份公司管理层负责按照企业会计准则的规定编制财务报表，使其实现公允反映，并设计、执行和维护必要的内部</w:t>
      </w:r>
    </w:p>
    <w:p>
      <w:pPr>
        <w:pStyle w:val="BodyText"/>
        <w:spacing w:line="316" w:lineRule="auto" w:before="19"/>
        <w:ind w:left="513" w:right="0" w:hanging="361"/>
        <w:jc w:val="left"/>
      </w:pPr>
      <w:r>
        <w:rPr/>
        <w:t>控制，以使财务报表不存在由于舞弊或错误导致的重大错报。 </w:t>
      </w:r>
      <w:r>
        <w:rPr>
          <w:spacing w:val="-2"/>
        </w:rPr>
        <w:t>在编制财务报表时，管理层负责评估东港股份公司的持续经营能力，披露与持续经营相关的事项（如适用），并运用持</w:t>
      </w:r>
    </w:p>
    <w:p>
      <w:pPr>
        <w:pStyle w:val="BodyText"/>
        <w:spacing w:line="316" w:lineRule="auto" w:before="19"/>
        <w:ind w:left="513" w:right="4094" w:hanging="361"/>
        <w:jc w:val="left"/>
      </w:pPr>
      <w:r>
        <w:rPr/>
        <w:t>续经营假设，除非管理层计划清算东港股份公司、终止运营或别无其他现实的选择。 治理层负责监督东港股份公司的财务报告过程。</w:t>
      </w:r>
    </w:p>
    <w:p>
      <w:pPr>
        <w:spacing w:line="240" w:lineRule="auto" w:before="4"/>
        <w:rPr>
          <w:rFonts w:ascii="宋体" w:hAnsi="宋体" w:cs="宋体" w:eastAsia="宋体" w:hint="default"/>
          <w:sz w:val="25"/>
          <w:szCs w:val="25"/>
        </w:rPr>
      </w:pPr>
    </w:p>
    <w:p>
      <w:pPr>
        <w:spacing w:line="319" w:lineRule="auto" w:before="0"/>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7"/>
        <w:ind w:right="1130"/>
        <w:jc w:val="both"/>
      </w:pP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3"/>
        </w:rPr>
        <w:t> </w:t>
      </w:r>
      <w:r>
        <w:rPr>
          <w:spacing w:val="-63"/>
        </w:rPr>
      </w:r>
      <w:r>
        <w:rPr/>
        <w:t>重大的。</w:t>
      </w:r>
    </w:p>
    <w:p>
      <w:pPr>
        <w:pStyle w:val="BodyText"/>
        <w:spacing w:line="240" w:lineRule="auto" w:before="19"/>
        <w:ind w:left="513" w:right="0"/>
        <w:jc w:val="left"/>
      </w:pPr>
      <w:r>
        <w:rPr/>
        <w:t>在按照审计准则执行审计工作的过程中，我们运用职业判断，并保持职业怀疑。同时，我们也执行以下工作：</w:t>
      </w:r>
    </w:p>
    <w:p>
      <w:pPr>
        <w:pStyle w:val="BodyText"/>
        <w:spacing w:line="316" w:lineRule="auto" w:before="76"/>
        <w:ind w:right="105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3" w:right="0"/>
        <w:jc w:val="left"/>
      </w:pPr>
      <w:r>
        <w:rPr/>
        <w:t>（二）了解与审计相关的内部控制，以设计恰当的审计程序。</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653" w:right="0"/>
        <w:jc w:val="left"/>
      </w:pPr>
      <w:r>
        <w:rPr/>
        <w:t>（三）评价管理层选用会计政策的恰当性和作出会计估计及相关披露的合理性。</w:t>
      </w:r>
    </w:p>
    <w:p>
      <w:pPr>
        <w:pStyle w:val="BodyText"/>
        <w:spacing w:line="316" w:lineRule="auto" w:before="77"/>
        <w:ind w:left="292" w:right="1131" w:firstLine="360"/>
        <w:jc w:val="both"/>
      </w:pPr>
      <w:r>
        <w:rPr>
          <w:spacing w:val="-2"/>
        </w:rPr>
        <w:t>（四）对管理层使用持续经营假设的恰当性得出结论。同时，根据获取的审计证据，就可能导致对东港股份公司持续经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论基于截至审计报告日可获得的信息。然而，未来的事项或情况可能导致东港股份公司不能持续经营。</w:t>
      </w:r>
    </w:p>
    <w:p>
      <w:pPr>
        <w:pStyle w:val="BodyText"/>
        <w:spacing w:line="240" w:lineRule="auto" w:before="19"/>
        <w:ind w:left="653" w:right="0"/>
        <w:jc w:val="left"/>
      </w:pPr>
      <w:r>
        <w:rPr/>
        <w:t>（五）评价财务报表的总体列报、结构和内容，并评价财务报表是否公允反映相关交易和事项。</w:t>
      </w:r>
    </w:p>
    <w:p>
      <w:pPr>
        <w:pStyle w:val="BodyText"/>
        <w:spacing w:line="316" w:lineRule="auto" w:before="76"/>
        <w:ind w:left="292" w:right="1133" w:firstLine="360"/>
        <w:jc w:val="both"/>
      </w:pPr>
      <w:r>
        <w:rPr>
          <w:spacing w:val="-2"/>
        </w:rPr>
        <w:t>（六）就东港股份公司中实体或业务活动的财务信息获取充分、适当的审计证据，以对财务报表发表审计意见。我们负</w:t>
      </w:r>
      <w:r>
        <w:rPr/>
        <w:t> 责指导、监督和执行集团审计，并对审计意见承担全部责任。</w:t>
      </w:r>
    </w:p>
    <w:p>
      <w:pPr>
        <w:pStyle w:val="BodyText"/>
        <w:spacing w:line="316" w:lineRule="auto" w:before="19"/>
        <w:ind w:left="292"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left="292"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left="292"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971"/>
        <w:gridCol w:w="4247"/>
      </w:tblGrid>
      <w:tr>
        <w:trPr>
          <w:trHeight w:val="583"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4247"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sz w:val="18"/>
                <w:szCs w:val="18"/>
              </w:rPr>
              <w:t>中国注册会计师：  （项目合伙人）</w:t>
            </w:r>
            <w:r>
              <w:rPr>
                <w:rFonts w:ascii="宋体" w:hAnsi="宋体" w:cs="宋体" w:eastAsia="宋体" w:hint="default"/>
                <w:spacing w:val="-54"/>
                <w:sz w:val="18"/>
                <w:szCs w:val="18"/>
              </w:rPr>
              <w:t> </w:t>
            </w:r>
            <w:r>
              <w:rPr>
                <w:rFonts w:ascii="宋体" w:hAnsi="宋体" w:cs="宋体" w:eastAsia="宋体" w:hint="default"/>
                <w:sz w:val="18"/>
                <w:szCs w:val="18"/>
              </w:rPr>
              <w:t>崔迎</w:t>
            </w:r>
          </w:p>
        </w:tc>
      </w:tr>
      <w:tr>
        <w:trPr>
          <w:trHeight w:val="971" w:hRule="exact"/>
        </w:trPr>
        <w:tc>
          <w:tcPr>
            <w:tcW w:w="3971" w:type="dxa"/>
            <w:tcBorders>
              <w:top w:val="nil" w:sz="6" w:space="0" w:color="auto"/>
              <w:left w:val="nil" w:sz="6" w:space="0" w:color="auto"/>
              <w:bottom w:val="nil" w:sz="6" w:space="0" w:color="auto"/>
              <w:right w:val="nil" w:sz="6" w:space="0" w:color="auto"/>
            </w:tcBorders>
          </w:tcPr>
          <w:p>
            <w:pP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tabs>
                <w:tab w:pos="2810" w:val="left" w:leader="none"/>
              </w:tabs>
              <w:spacing w:line="240" w:lineRule="auto"/>
              <w:ind w:right="303"/>
              <w:jc w:val="right"/>
              <w:rPr>
                <w:rFonts w:ascii="宋体" w:hAnsi="宋体" w:cs="宋体" w:eastAsia="宋体" w:hint="default"/>
                <w:sz w:val="18"/>
                <w:szCs w:val="18"/>
              </w:rPr>
            </w:pPr>
            <w:r>
              <w:rPr>
                <w:rFonts w:ascii="宋体" w:hAnsi="宋体" w:cs="宋体" w:eastAsia="宋体" w:hint="default"/>
                <w:sz w:val="18"/>
                <w:szCs w:val="18"/>
              </w:rPr>
              <w:t>中国注册会计师：</w:t>
              <w:tab/>
              <w:t>夏瑞</w:t>
            </w:r>
          </w:p>
        </w:tc>
      </w:tr>
      <w:tr>
        <w:trPr>
          <w:trHeight w:val="587"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83"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30"/>
                <w:sz w:val="18"/>
                <w:szCs w:val="18"/>
              </w:rPr>
              <w:t> </w:t>
            </w:r>
            <w:r>
              <w:rPr>
                <w:rFonts w:ascii="宋体" w:hAnsi="宋体" w:cs="宋体" w:eastAsia="宋体" w:hint="default"/>
                <w:sz w:val="18"/>
                <w:szCs w:val="18"/>
              </w:rPr>
              <w:t>北京</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90"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二〇年四月十二日</w:t>
            </w:r>
          </w:p>
        </w:tc>
      </w:tr>
    </w:tbl>
    <w:p>
      <w:pPr>
        <w:spacing w:after="0" w:line="240" w:lineRule="auto"/>
        <w:jc w:val="left"/>
        <w:rPr>
          <w:rFonts w:ascii="宋体" w:hAnsi="宋体" w:cs="宋体" w:eastAsia="宋体" w:hint="default"/>
          <w:sz w:val="18"/>
          <w:szCs w:val="18"/>
        </w:rPr>
        <w:sectPr>
          <w:pgSz w:w="11910" w:h="16840"/>
          <w:pgMar w:header="745" w:footer="980" w:top="1060" w:bottom="116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left"/>
        <w:rPr>
          <w:b w:val="0"/>
          <w:bCs w:val="0"/>
        </w:rPr>
      </w:pPr>
      <w:bookmarkStart w:name="二、财务报表" w:id="154"/>
      <w:bookmarkEnd w:id="154"/>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编制单位：东港股份有限公司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357,685,689.17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793,811,459.31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32,815.27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998,180.50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272,173,835.08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332,268,049.03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642,673.00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15,700,426.95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23,772,705.94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34,175,099.35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47,741,689.91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112,105,004.33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106,983,342.62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13,930,585.15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26,309,913.88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1,346,446,128.30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1,331,885,341.19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37,349,291.42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29,163,943.11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710,275,688.13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701,049,206.02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99,041,468.08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111,599,031.54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97,335,535.94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99,049,283.33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16,775,163.91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14,065,263.59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2,485,097.93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2,485,097.93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18,747,969.91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16,921,287.54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6,696,848.31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6,498,381.74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988,707,063.63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980,831,494.80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2,335,153,191.93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2,312,716,835.99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163,510,543.57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152,102,726.71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187,884,374.61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201,134,164.65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184,335,174.35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150,646,639.28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44,421,776.28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42,193,707.76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25,219,343.68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36,467,615.38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38,663,541.70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35,210,990.42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13,120,027.74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14,034,237.43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657,154,781.93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631,790,081.63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13,120,027.74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7,607,241.32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9,485,278.32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29,678,349.55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30,706,849.34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37,285,590.87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53,312,155.40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694,440,372.80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685,102,237.03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545,666,421.00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363,777,614.00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249,782,710.21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249,782,710.21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280,268,963.92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250,675,235.33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562,991,326.83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762,396,515.29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1,638,709,421.96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1,626,632,074.83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2,003,397.17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982,524.13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1,640,712,819.13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1,627,614,598.96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2,335,153,191.93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2,312,716,835.99</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before="44"/>
        <w:ind w:left="0" w:right="1224"/>
        <w:jc w:val="right"/>
      </w:pPr>
      <w:r>
        <w:rPr/>
        <w:t>法定代表人：王爱先</w:t>
        <w:tab/>
      </w:r>
      <w:r>
        <w:rPr>
          <w:spacing w:val="-1"/>
        </w:rPr>
        <w:t>主管会计工作负责人：史建中</w:t>
        <w:tab/>
      </w:r>
      <w:r>
        <w:rPr/>
        <w:t>会计机构负责人：郑理</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217,262,392.31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747,482,533.77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832,839.49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178,526,165.72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239,634,101.95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450,673.00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5,980,636.61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10,827,327.52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43,405,998.18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78,010,380.99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51,874,731.80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50,710,229.32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6,198,670.51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21,145,555.85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1,043,732,083.40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1,148,642,968.89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568,726,791.39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576,226,791.39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3,009,300.59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385,973,441.38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347,754,415.71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98,965,078.08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111,393,903.32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53,702,299.82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57,972,316.59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11,870,586.23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5,576,399.25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3,235,060.47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1,993,123.64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3,697,961.46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3,935,170.87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1,129,180,519.42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1,104,852,120.77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2,172,912,602.82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2,253,495,089.66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163,510,543.57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152,102,726.71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81,947,803.49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111,214,461.16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123,824,912.19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104,546,132.12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22,721,882.12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21,160,049.96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8,921,583.19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19,904,945.60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286,869,887.34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288,846,017.26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13,120,027.74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700,916,639.64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710,904,332.81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13,120,027.74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792,740.00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670,780.00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13,912,767.74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701,587,419.64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724,817,100.55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545,666,421.00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363,777,614.00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378,000,186.04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378,000,186.04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280,268,963.92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250,675,235.33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267,389,612.22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536,224,953.74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1,471,325,183.18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1,528,677,989.11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2,172,912,602.82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2,253,495,089.66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1,495,634,115.55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1,545,650,437.20</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1,495,634,115.55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1,545,650,437.20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1,212,763,316.23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1,270,773,185.60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878,890,291.36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943,649,953.84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19,068,947.64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23,368,554.83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120,387,181.50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117,266,552.50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103,387,980.93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102,077,220.01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91,259,247.22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91,371,286.08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-230,332.42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-6,960,381.66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6,415.21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119,241.74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920,222.27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7,572,699.07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11,089,375.49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10,691,948.04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19,591,358.84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13,243,641.17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07.719986pt;width:158.9pt;height:20.65pt;mso-position-horizontal-relative:page;mso-position-vertical-relative:page;z-index:-756496"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366.589996pt;width:158.9pt;height:20.65pt;mso-position-horizontal-relative:page;mso-position-vertical-relative:page;z-index:-756472" coordorigin="4220,7332" coordsize="3178,413">
            <v:group style="position:absolute;left:4231;top:7343;width:2;height:392" coordorigin="4231,7343" coordsize="2,392">
              <v:shape style="position:absolute;left:4231;top:7343;width:2;height:392" coordorigin="4231,7343" coordsize="0,392" path="m4231,7343l4231,7734e" filled="false" stroked="true" strokeweight="1.08pt" strokecolor="#ffffff">
                <v:path arrowok="t"/>
              </v:shape>
            </v:group>
            <v:group style="position:absolute;left:4242;top:7343;width:3157;height:392" coordorigin="4242,7343" coordsize="3157,392">
              <v:shape style="position:absolute;left:4242;top:7343;width:3157;height:392" coordorigin="4242,7343" coordsize="3157,392" path="m4242,7734l7398,7734,7398,7343,4242,7343,4242,77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-571,972.16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-2,414,095.65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-437,471.48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-65,610.75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312,542,090.01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296,333,134.41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636,759.53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2,795,446.39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256,774.29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212,351.23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312,922,075.25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298,916,229.57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45,331,430.82</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41,263,729.85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267,590,644.43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257,652,499.72</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267,590,644.43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257,652,499.72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266,721,676.93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256,767,604.63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868,967.50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884,895.09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267,590,644.43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257,652,499.72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266,721,676.93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256,767,604.63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868,967.50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884,895.09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0.4888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0.4706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0.4888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0.4706</w:t>
            </w:r>
          </w:p>
        </w:tc>
      </w:tr>
    </w:tbl>
    <w:p>
      <w:pPr>
        <w:pStyle w:val="BodyText"/>
        <w:tabs>
          <w:tab w:pos="3667" w:val="left" w:leader="none"/>
          <w:tab w:pos="7899" w:val="left" w:leader="none"/>
        </w:tabs>
        <w:spacing w:line="595" w:lineRule="auto" w:before="49"/>
        <w:ind w:right="1224"/>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法定代表人：王爱先</w:t>
        <w:tab/>
      </w:r>
      <w:r>
        <w:rPr>
          <w:spacing w:val="-1"/>
        </w:rPr>
        <w:t>主管会计工作负责人：史建中</w:t>
        <w:tab/>
      </w:r>
      <w:r>
        <w:rPr/>
        <w:t>会计机构负责人：郑理</w:t>
      </w:r>
      <w:r>
        <w:rPr/>
        <w:t> </w:t>
      </w:r>
      <w:bookmarkStart w:name="4、母公司利润表" w:id="158"/>
      <w:bookmarkEnd w:id="15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1,041,619,625.24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1,123,666,525.88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806,464,000.93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858,733,246.31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7,080,722.87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10,478,558.64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58,326,888.12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56,171,213.71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52,910,576.67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49,470,109.45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34,263,149.54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33,226,448.33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-58,775.32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-7,081,970.33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624,662.36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7,420,335.60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1,392,691.71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2,888,955.66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127,123,478.39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141,766,710.76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2,254,032.44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-2,651,133.44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-418,502.90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212,984,762.07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264,673,452.75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298,591.88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2,072,958.07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2,262.99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31,433.53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213,281,090.96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266,714,977.29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15,989,567.09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22,163,533.10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197,291,523.87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244,551,444.19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197,291,523.87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244,551,444.19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197,291,523.87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244,551,444.19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1,753,274,675.18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1,764,003,103.97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1,593,416.95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271,775,516.33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204,333,716.40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2,025,099,481.53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1,969,930,237.32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887,121,067.51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978,716,902.07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170,425,658.06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195,837,440.17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156,323,314.92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142,907,898.77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388,070,522.62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336,778,839.98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1,601,940,563.11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1,654,241,080.99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423,158,918.42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315,689,156.33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2,142,360,000.00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1,657,000,204.45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19,779,569.03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13,259,295.94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64,951.72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80,159.93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101,073.20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2,162,231,306.10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1,670,440,733.52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89,571,472.98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130,191,140.58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2,682,360,000.00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1,617,000,204.45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2,620,922.74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2,771,931,472.98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1,749,812,267.77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-609,700,166.88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-79,371,534.25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4,877,515.05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65,679,010.45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4,877,515.05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65,679,010.45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254,650,745.01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145,630,287.34</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19,162,245.92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77,297,310.49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273,812,990.93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222,927,597.83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-268,935,475.88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-157,248,587.38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1,593.15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-455,475,131.19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79,070,007.29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776,364,534.21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697,294,526.92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320,889,403.02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776,364,534.21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1,255,994,456.98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1,263,222,882.29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49,290.02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38,006.79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600,948,274.33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745,315,889.92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1,856,992,021.33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2,008,576,779.00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1,007,740,329.87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1,077,715,072.16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77,134,551.31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75,627,611.85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65,018,168.42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60,056,621.97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521,566,468.01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507,593,686.76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1,671,459,517.61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1,720,992,992.74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185,532,503.72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287,583,786.26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2,174,381,024.26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1,659,807,659.71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128,139,546.89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145,964,549.70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5,237,664.99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26,785.35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101,073.20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2,307,785,021.49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1,805,888,282.61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69,099,560.20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110,255,229.88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2,720,790,000.00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1,698,308,405.54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2,789,889,560.20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1,808,563,635.42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-482,104,538.71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-2,675,352.81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2,877,515.05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65,679,010.45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2,877,515.05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65,679,010.45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254,644,329.80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145,511,045.60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4,232,245.92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62,732,315.95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258,876,575.72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208,243,361.55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-255,999,060.67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-142,564,351.10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1,593.15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-552,569,502.51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142,345,054.94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734,035,608.67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591,690,553.73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181,466,106.16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734,035,608.67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363,7</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77,61</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4.00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249,78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2,710.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250,67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5,235.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33</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762,39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6,515.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1,626,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632,07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982,52</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4.13</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75" w:right="0"/>
              <w:jc w:val="center"/>
              <w:rPr>
                <w:rFonts w:ascii="Times New Roman" w:hAnsi="Times New Roman" w:cs="Times New Roman" w:eastAsia="Times New Roman" w:hint="default"/>
                <w:sz w:val="18"/>
                <w:szCs w:val="18"/>
              </w:rPr>
            </w:pPr>
            <w:r>
              <w:rPr>
                <w:rFonts w:ascii="Times New Roman"/>
                <w:sz w:val="18"/>
              </w:rPr>
              <w:t>1,627,</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614,59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8.96</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363,7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77,61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249,78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2,710.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250,67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5,235.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762,39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6,515.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1,626,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632,07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982,52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4.13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1,627,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614,59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8.96</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88,80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29,593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-199,4</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05,188</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.46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12,077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873.04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266,72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1,676.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266,72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1,676.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868,96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7.50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267,59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0,644.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43</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151,90</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5.54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151,90</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5.54</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151,90</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5.54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151,90</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5.54</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-284,2</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38,058</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.39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44,329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44,329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.80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29,593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-29,59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3,728.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44,329</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44,329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44,329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88,80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88,807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88,80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88,807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545,6</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66,42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249,78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2,710.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280,26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8,963.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562,99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1,326.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1,638,</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709,42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1.96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2,003,</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397.17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712,81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9.13</w:t>
            </w:r>
          </w:p>
        </w:tc>
      </w:tr>
    </w:tbl>
    <w:p>
      <w:pPr>
        <w:pStyle w:val="BodyText"/>
        <w:spacing w:line="240" w:lineRule="auto" w:before="49"/>
        <w:ind w:right="0"/>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7"/>
        <w:gridCol w:w="569"/>
        <w:gridCol w:w="641"/>
        <w:gridCol w:w="653"/>
      </w:tblGrid>
      <w:tr>
        <w:trPr>
          <w:trHeight w:val="403"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0"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4"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363,7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77,61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249,78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2,710.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8"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213,99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2,518.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70</w:t>
            </w:r>
          </w:p>
        </w:tc>
        <w:tc>
          <w:tcPr>
            <w:tcW w:w="578" w:type="dxa"/>
            <w:vMerge w:val="restart"/>
            <w:tcBorders>
              <w:top w:val="single" w:sz="18" w:space="0" w:color="D2D2D2"/>
              <w:left w:val="single" w:sz="4" w:space="0" w:color="000000"/>
              <w:right w:val="single" w:sz="4" w:space="0" w:color="000000"/>
            </w:tcBorders>
          </w:tcPr>
          <w:p>
            <w:pPr/>
          </w:p>
        </w:tc>
        <w:tc>
          <w:tcPr>
            <w:tcW w:w="588" w:type="dxa"/>
            <w:vMerge w:val="restart"/>
            <w:tcBorders>
              <w:top w:val="single" w:sz="18" w:space="0" w:color="D2D2D2"/>
              <w:left w:val="single" w:sz="4" w:space="0" w:color="000000"/>
              <w:right w:val="single" w:sz="4" w:space="0" w:color="000000"/>
            </w:tcBorders>
          </w:tcPr>
          <w:p>
            <w:pPr>
              <w:pStyle w:val="TableParagraph"/>
              <w:spacing w:line="240" w:lineRule="auto" w:before="73"/>
              <w:ind w:left="62" w:right="0"/>
              <w:jc w:val="left"/>
              <w:rPr>
                <w:rFonts w:ascii="Times New Roman" w:hAnsi="Times New Roman" w:cs="Times New Roman" w:eastAsia="Times New Roman" w:hint="default"/>
                <w:sz w:val="18"/>
                <w:szCs w:val="18"/>
              </w:rPr>
            </w:pPr>
            <w:r>
              <w:rPr>
                <w:rFonts w:ascii="Times New Roman"/>
                <w:sz w:val="18"/>
              </w:rPr>
              <w:t>687,82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2,672.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89</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375,51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5.80</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2,753,7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99.11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363,7</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77,61</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4.00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249,78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2,710.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213,99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2,518.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687,82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2,672.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375,51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5.80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2,753,7</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99.11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74,573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111,25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6,559.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-1,771,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274.98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109,485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,284.05</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256,76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7,604.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256,76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7,604.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884,895</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.09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257,652</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,499.72</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-2,656,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170.07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-2,656,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170.07</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-2,656,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170.07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-2,656,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170.07</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36,682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-182,1</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93,762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-145,5</w:t>
            </w:r>
          </w:p>
          <w:p>
            <w:pPr>
              <w:pStyle w:val="TableParagraph"/>
              <w:spacing w:line="240" w:lineRule="auto" w:before="102"/>
              <w:ind w:left="48"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-145,51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1,045.6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-36,68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2,716.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-145,5</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-145,5</w:t>
            </w:r>
          </w:p>
          <w:p>
            <w:pPr>
              <w:pStyle w:val="TableParagraph"/>
              <w:spacing w:line="240" w:lineRule="auto" w:before="105"/>
              <w:ind w:left="48"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1,045.6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363,7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77,61</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4.00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249,78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2,710.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250,67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5,235.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762,39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6,515.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1,626,</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632,07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4.83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982,524</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14,598.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8"/>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363,77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7,614.0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378,000,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186.04</w:t>
            </w:r>
          </w:p>
        </w:tc>
        <w:tc>
          <w:tcPr>
            <w:tcW w:w="728"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250,675,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235.33</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536,22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4,953.7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1,528,677,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989.11</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7,614.0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378,000,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186.04</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250,675,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235.33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4,953.7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1,528,677,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989.11</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8,807.0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29,593,7</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28.59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-268,83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5,341.5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-57,352,80</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5.93</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1,523.8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197,291,5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23.87</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29,593,7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28.59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8,058.3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-254,644,3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29.80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29,593,7</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28.59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-29,593</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,728.59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4,329.8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-254,644,3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29.80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8,807.0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8,807.0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8,807.0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8,807.0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545,66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6,421.0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378,000,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186.04</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280,268,</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963.92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9,612.2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1,471,325,</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183.18</w:t>
            </w:r>
          </w:p>
        </w:tc>
      </w:tr>
    </w:tbl>
    <w:p>
      <w:pPr>
        <w:pStyle w:val="BodyText"/>
        <w:spacing w:line="240" w:lineRule="auto" w:before="49"/>
        <w:ind w:right="0"/>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8"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378,000</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,186.04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213,992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,518.70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473,867,2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71.78</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1,429,637,5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90.52</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378,000</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,186.04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213,992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,518.70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473,867,2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71.78</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1,429,637,5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90.52</w:t>
            </w:r>
          </w:p>
        </w:tc>
      </w:tr>
      <w:tr>
        <w:trPr>
          <w:trHeight w:val="704"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36,682,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716.63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62,357,68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99,040,398.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244,551,4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44.19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244,551,44</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4.19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Times New Roman" w:hAnsi="Times New Roman" w:cs="Times New Roman" w:eastAsia="Times New Roman" w:hint="default"/>
                <w:sz w:val="18"/>
                <w:szCs w:val="18"/>
              </w:rPr>
            </w:pPr>
            <w:r>
              <w:rPr>
                <w:rFonts w:ascii="Times New Roman"/>
                <w:sz w:val="18"/>
              </w:rPr>
              <w:t>36,682,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716.63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 w:right="0"/>
              <w:jc w:val="center"/>
              <w:rPr>
                <w:rFonts w:ascii="Times New Roman" w:hAnsi="Times New Roman" w:cs="Times New Roman" w:eastAsia="Times New Roman" w:hint="default"/>
                <w:sz w:val="18"/>
                <w:szCs w:val="18"/>
              </w:rPr>
            </w:pPr>
            <w:r>
              <w:rPr>
                <w:rFonts w:ascii="Times New Roman"/>
                <w:sz w:val="18"/>
              </w:rPr>
              <w:t>-182,193,</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762.23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 w:right="0"/>
              <w:jc w:val="left"/>
              <w:rPr>
                <w:rFonts w:ascii="Times New Roman" w:hAnsi="Times New Roman" w:cs="Times New Roman" w:eastAsia="Times New Roman" w:hint="default"/>
                <w:sz w:val="18"/>
                <w:szCs w:val="18"/>
              </w:rPr>
            </w:pPr>
            <w:r>
              <w:rPr>
                <w:rFonts w:ascii="Times New Roman"/>
                <w:sz w:val="18"/>
              </w:rPr>
              <w:t>-145,511,04</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5.60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36,682,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716.63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-36,682,7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16.63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-145,511,</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045.60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-145,511,04</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5.60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378,000</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,186.04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250,675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,235.33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536,224,9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53.74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1,528,677,9</w:t>
            </w:r>
          </w:p>
          <w:p>
            <w:pPr>
              <w:pStyle w:val="TableParagraph"/>
              <w:spacing w:line="240" w:lineRule="auto" w:before="102"/>
              <w:ind w:left="499" w:right="0"/>
              <w:jc w:val="left"/>
              <w:rPr>
                <w:rFonts w:ascii="Times New Roman" w:hAnsi="Times New Roman" w:cs="Times New Roman" w:eastAsia="Times New Roman" w:hint="default"/>
                <w:sz w:val="18"/>
                <w:szCs w:val="18"/>
              </w:rPr>
            </w:pPr>
            <w:r>
              <w:rPr>
                <w:rFonts w:ascii="Times New Roman"/>
                <w:sz w:val="18"/>
              </w:rPr>
              <w:t>89.11</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29" w:firstLine="360"/>
        <w:jc w:val="both"/>
      </w:pPr>
      <w:r>
        <w:rPr>
          <w:spacing w:val="-1"/>
        </w:rPr>
        <w:t>东港股份有限公司（以下简称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）是由香港喜多来集团有限公司、浪潮电子信息产业股份有限公司、北</w:t>
      </w:r>
      <w:r>
        <w:rPr/>
        <w:t> </w:t>
      </w:r>
      <w:r>
        <w:rPr>
          <w:spacing w:val="-2"/>
        </w:rPr>
        <w:t>京中嘉华信息技术有限公司、济南发展国有工业资产经营有限公司等公司共同发起设立的股份有限公司，注册地为中华人民</w:t>
      </w:r>
      <w:r>
        <w:rPr>
          <w:spacing w:val="-64"/>
        </w:rPr>
        <w:t> </w:t>
      </w:r>
      <w:r>
        <w:rPr>
          <w:spacing w:val="-64"/>
        </w:rPr>
      </w:r>
      <w:r>
        <w:rPr/>
        <w:t>共和国山东省济南市。公司于</w:t>
      </w:r>
      <w:r>
        <w:rPr>
          <w:rFonts w:ascii="Times New Roman" w:hAnsi="Times New Roman" w:cs="Times New Roman" w:eastAsia="Times New Roman" w:hint="default"/>
        </w:rPr>
        <w:t>1996</w:t>
      </w:r>
      <w:r>
        <w:rPr/>
        <w:t>年经山东省工商行政管理局核准登记，统一社会信用代码为：</w:t>
      </w:r>
      <w:r>
        <w:rPr>
          <w:rFonts w:ascii="Times New Roman" w:hAnsi="Times New Roman" w:cs="Times New Roman" w:eastAsia="Times New Roman" w:hint="default"/>
        </w:rPr>
        <w:t>91370000613207311A</w:t>
      </w:r>
      <w:r>
        <w:rPr/>
        <w:t>。</w:t>
      </w:r>
    </w:p>
    <w:p>
      <w:pPr>
        <w:pStyle w:val="BodyText"/>
        <w:spacing w:line="300" w:lineRule="auto" w:before="5"/>
        <w:ind w:right="0" w:firstLine="360"/>
        <w:jc w:val="left"/>
      </w:pPr>
      <w:r>
        <w:rPr/>
        <w:t>本公司前身为济南东港安全印务有限公司，</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日在该公司基础上改制为股份有限公司。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日经中 </w:t>
      </w:r>
      <w:r>
        <w:rPr>
          <w:spacing w:val="-2"/>
        </w:rPr>
        <w:t>国证券监督管理委员会证监发行字</w:t>
      </w:r>
      <w:r>
        <w:rPr>
          <w:rFonts w:ascii="Times New Roman" w:hAnsi="Times New Roman" w:cs="Times New Roman" w:eastAsia="Times New Roman" w:hint="default"/>
          <w:spacing w:val="-2"/>
        </w:rPr>
        <w:t>[2007]24</w:t>
      </w:r>
      <w:r>
        <w:rPr>
          <w:spacing w:val="-2"/>
        </w:rPr>
        <w:t>号文核准，本公司于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日向社会发行人民币普通股股票</w:t>
      </w:r>
      <w:r>
        <w:rPr>
          <w:rFonts w:ascii="Times New Roman" w:hAnsi="Times New Roman" w:cs="Times New Roman" w:eastAsia="Times New Roman" w:hint="default"/>
          <w:spacing w:val="-2"/>
        </w:rPr>
        <w:t>2,800</w:t>
      </w:r>
      <w:r>
        <w:rPr>
          <w:spacing w:val="-2"/>
        </w:rPr>
        <w:t>万股，发行</w:t>
      </w:r>
      <w:r>
        <w:rPr>
          <w:spacing w:val="-37"/>
        </w:rPr>
        <w:t> </w:t>
      </w:r>
      <w:r>
        <w:rPr>
          <w:spacing w:val="-37"/>
        </w:rPr>
      </w:r>
      <w:r>
        <w:rPr>
          <w:spacing w:val="-3"/>
        </w:rPr>
        <w:t>后累计注册资本金额为人民币</w:t>
      </w:r>
      <w:r>
        <w:rPr>
          <w:rFonts w:ascii="Times New Roman" w:hAnsi="Times New Roman" w:cs="Times New Roman" w:eastAsia="Times New Roman" w:hint="default"/>
          <w:spacing w:val="-3"/>
        </w:rPr>
        <w:t>110,000,000.00</w:t>
      </w:r>
      <w:r>
        <w:rPr>
          <w:spacing w:val="-3"/>
        </w:rPr>
        <w:t>元，股本为人民币</w:t>
      </w:r>
      <w:r>
        <w:rPr>
          <w:rFonts w:ascii="Times New Roman" w:hAnsi="Times New Roman" w:cs="Times New Roman" w:eastAsia="Times New Roman" w:hint="default"/>
          <w:spacing w:val="-3"/>
        </w:rPr>
        <w:t>110,000,000.00</w:t>
      </w:r>
      <w:r>
        <w:rPr>
          <w:spacing w:val="-3"/>
        </w:rPr>
        <w:t>元，股票面值为每股人民币</w:t>
      </w:r>
      <w:r>
        <w:rPr>
          <w:rFonts w:ascii="Times New Roman" w:hAnsi="Times New Roman" w:cs="Times New Roman" w:eastAsia="Times New Roman" w:hint="default"/>
          <w:spacing w:val="-3"/>
        </w:rPr>
        <w:t>1</w:t>
      </w:r>
      <w:r>
        <w:rPr>
          <w:spacing w:val="-3"/>
        </w:rPr>
        <w:t>元。公司注册地址：</w:t>
      </w:r>
      <w:r>
        <w:rPr>
          <w:spacing w:val="-58"/>
        </w:rPr>
        <w:t> </w:t>
      </w:r>
      <w:r>
        <w:rPr>
          <w:spacing w:val="-58"/>
        </w:rPr>
      </w:r>
      <w:r>
        <w:rPr/>
        <w:t>山东省济南市山大北路</w:t>
      </w:r>
      <w:r>
        <w:rPr>
          <w:rFonts w:ascii="Times New Roman" w:hAnsi="Times New Roman" w:cs="Times New Roman" w:eastAsia="Times New Roman" w:hint="default"/>
        </w:rPr>
        <w:t>23</w:t>
      </w:r>
      <w:r>
        <w:rPr/>
        <w:t>号。法定代表人：王爱先。注册资本：</w:t>
      </w:r>
      <w:r>
        <w:rPr>
          <w:rFonts w:ascii="Times New Roman" w:hAnsi="Times New Roman" w:cs="Times New Roman" w:eastAsia="Times New Roman" w:hint="default"/>
        </w:rPr>
        <w:t>545,666,421.00</w:t>
      </w:r>
      <w:r>
        <w:rPr/>
        <w:t>元人民币。</w:t>
      </w:r>
    </w:p>
    <w:p>
      <w:pPr>
        <w:pStyle w:val="BodyText"/>
        <w:spacing w:line="312" w:lineRule="auto" w:before="13"/>
        <w:ind w:right="1028" w:firstLine="360"/>
        <w:jc w:val="left"/>
      </w:pPr>
      <w:r>
        <w:rPr/>
        <w:t>本公司属于印刷行业，经营范围：</w:t>
      </w:r>
      <w:r>
        <w:rPr>
          <w:spacing w:val="-18"/>
        </w:rPr>
        <w:t> </w:t>
      </w:r>
      <w:r>
        <w:rPr/>
        <w:t>出版物、包装装潢印刷品及其他印刷品印刷（有效期以许可证为准）；办公用纸、</w:t>
      </w:r>
      <w:r>
        <w:rPr/>
        <w:t> </w:t>
      </w:r>
      <w:r>
        <w:rPr>
          <w:spacing w:val="-2"/>
        </w:rPr>
        <w:t>纸制品的生产；高档纸张的防伪处理，磁卡、</w:t>
      </w:r>
      <w:r>
        <w:rPr>
          <w:rFonts w:ascii="Times New Roman" w:hAnsi="Times New Roman" w:cs="Times New Roman" w:eastAsia="Times New Roman" w:hint="default"/>
          <w:spacing w:val="-2"/>
        </w:rPr>
        <w:t>IC</w:t>
      </w:r>
      <w:r>
        <w:rPr>
          <w:spacing w:val="-2"/>
        </w:rPr>
        <w:t>卡、智能卡、识别卡和智能标签、印刷器材、电子设备及产品、办公自动化</w:t>
      </w:r>
      <w:r>
        <w:rPr>
          <w:spacing w:val="-63"/>
        </w:rPr>
        <w:t> </w:t>
      </w:r>
      <w:r>
        <w:rPr>
          <w:spacing w:val="-63"/>
        </w:rPr>
      </w:r>
      <w:r>
        <w:rPr>
          <w:spacing w:val="-2"/>
        </w:rPr>
        <w:t>设备及产品、电子元器件、软件产品的开发、生产，销售本公司生产的产品；信息系统集成工程及技术服务，数据及信息处</w:t>
      </w:r>
      <w:r>
        <w:rPr>
          <w:spacing w:val="-68"/>
        </w:rPr>
        <w:t> </w:t>
      </w:r>
      <w:r>
        <w:rPr>
          <w:spacing w:val="-68"/>
        </w:rPr>
      </w:r>
      <w:r>
        <w:rPr>
          <w:spacing w:val="-4"/>
        </w:rPr>
        <w:t>理服务，科技信息咨询服务；从事上述产品的批发；图书期刊、音像制品、电子出版物的批发及网络销售（凭许可证经营）；</w:t>
      </w:r>
      <w:r>
        <w:rPr>
          <w:spacing w:val="-38"/>
        </w:rPr>
        <w:t> </w:t>
      </w:r>
      <w:r>
        <w:rPr>
          <w:spacing w:val="-38"/>
        </w:rPr>
      </w:r>
      <w:r>
        <w:rPr>
          <w:spacing w:val="-4"/>
        </w:rPr>
        <w:t>档案存储及数字化加工服务，档案管理、咨询服务；代理广告业务；接受金融机构委托从事金融业务流程外包；技术进出口，</w:t>
      </w:r>
      <w:r>
        <w:rPr>
          <w:spacing w:val="-42"/>
        </w:rPr>
        <w:t> </w:t>
      </w:r>
      <w:r>
        <w:rPr>
          <w:spacing w:val="-42"/>
        </w:rPr>
      </w:r>
      <w:r>
        <w:rPr>
          <w:spacing w:val="-2"/>
        </w:rPr>
        <w:t>自有房屋租赁；经国家密码管理机构批准的商用密码产品开发、生产，销售经国家密码管理局批准并通过指定检测机构产品</w:t>
      </w:r>
      <w:r>
        <w:rPr>
          <w:spacing w:val="-66"/>
        </w:rPr>
        <w:t> </w:t>
      </w:r>
      <w:r>
        <w:rPr>
          <w:spacing w:val="-66"/>
        </w:rPr>
      </w:r>
      <w:r>
        <w:rPr>
          <w:spacing w:val="-4"/>
        </w:rPr>
        <w:t>质量检测的商用密码产品（以上两项有效期以许可证为准）；自助终端设备的开发、生产、销售</w:t>
      </w:r>
      <w:r>
        <w:rPr>
          <w:rFonts w:ascii="Times New Roman" w:hAnsi="Times New Roman" w:cs="Times New Roman" w:eastAsia="Times New Roman" w:hint="default"/>
          <w:spacing w:val="-4"/>
        </w:rPr>
        <w:t>;</w:t>
      </w:r>
      <w:r>
        <w:rPr>
          <w:spacing w:val="-4"/>
        </w:rPr>
        <w:t>普通货运（凭许可证经营）；</w:t>
      </w:r>
      <w:r>
        <w:rPr/>
        <w:t> 仓储服务（不含危险品）；物流配送；标牌制作，</w:t>
      </w:r>
      <w:r>
        <w:rPr>
          <w:rFonts w:ascii="Times New Roman" w:hAnsi="Times New Roman" w:cs="Times New Roman" w:eastAsia="Times New Roman" w:hint="default"/>
        </w:rPr>
        <w:t>RFID</w:t>
      </w:r>
      <w:r>
        <w:rPr/>
        <w:t>产品的研发、生产及销售。（依法须经批准的项目，经相关部门批 准后方可开展经营活动）。</w:t>
      </w:r>
    </w:p>
    <w:p>
      <w:pPr>
        <w:pStyle w:val="BodyText"/>
        <w:spacing w:line="309" w:lineRule="auto" w:before="23"/>
        <w:ind w:right="1133" w:firstLine="360"/>
        <w:jc w:val="both"/>
      </w:pPr>
      <w:r>
        <w:rPr>
          <w:spacing w:val="-2"/>
        </w:rPr>
        <w:t>目前公司的主要业务分为印刷类业务，覆合类业务和技术服务类业务。其中印刷类业务包括：商业票证印刷，数据处理</w:t>
      </w:r>
      <w:r>
        <w:rPr/>
        <w:t> 打印与邮发封装，个性化彩色印刷和普通商业标签；覆合类业务包括：智能卡制造与个性化处理与</w:t>
      </w:r>
      <w:r>
        <w:rPr>
          <w:rFonts w:ascii="Times New Roman" w:hAnsi="Times New Roman" w:cs="Times New Roman" w:eastAsia="Times New Roman" w:hint="default"/>
        </w:rPr>
        <w:t>RFID</w:t>
      </w:r>
      <w:r>
        <w:rPr/>
        <w:t>智能标签；技术服 务类业务包括：电子票证服务，彩票销售终端的研发、运营以及档案存储与电子化等。</w:t>
      </w:r>
    </w:p>
    <w:p>
      <w:pPr>
        <w:pStyle w:val="BodyText"/>
        <w:spacing w:line="240" w:lineRule="auto" w:before="24"/>
        <w:ind w:left="369" w:right="0"/>
        <w:jc w:val="left"/>
      </w:pPr>
      <w:r>
        <w:rPr/>
        <w:t>本财务报告业经本公司董事会于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日决议批准报出。</w:t>
      </w:r>
    </w:p>
    <w:p>
      <w:pPr>
        <w:spacing w:line="240" w:lineRule="auto" w:before="2"/>
        <w:rPr>
          <w:rFonts w:ascii="宋体" w:hAnsi="宋体" w:cs="宋体" w:eastAsia="宋体" w:hint="default"/>
          <w:sz w:val="23"/>
          <w:szCs w:val="23"/>
        </w:rPr>
      </w:pPr>
    </w:p>
    <w:p>
      <w:pPr>
        <w:pStyle w:val="BodyText"/>
        <w:spacing w:line="300" w:lineRule="auto"/>
        <w:ind w:right="1124" w:firstLine="360"/>
        <w:jc w:val="left"/>
      </w:pPr>
      <w:r>
        <w:rPr/>
        <w:t>本公司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8</w:t>
      </w:r>
      <w:r>
        <w:rPr/>
        <w:t>户，与上年相比，本年无新增子公司，注销子公司（包括二级子公司、三级 及三级以下子公司）</w:t>
      </w:r>
      <w:r>
        <w:rPr>
          <w:rFonts w:ascii="Times New Roman" w:hAnsi="Times New Roman" w:cs="Times New Roman" w:eastAsia="Times New Roman" w:hint="default"/>
        </w:rPr>
        <w:t>4</w:t>
      </w:r>
      <w:r>
        <w:rPr/>
        <w:t>家。</w:t>
      </w:r>
    </w:p>
    <w:p>
      <w:pPr>
        <w:pStyle w:val="BodyText"/>
        <w:spacing w:line="240" w:lineRule="auto" w:before="13"/>
        <w:ind w:left="441" w:right="0"/>
        <w:jc w:val="left"/>
      </w:pPr>
      <w:r>
        <w:rPr/>
        <w:t>详见本附注</w:t>
      </w:r>
      <w:r>
        <w:rPr>
          <w:rFonts w:ascii="Times New Roman" w:hAnsi="Times New Roman" w:cs="Times New Roman" w:eastAsia="Times New Roman" w:hint="default"/>
        </w:rPr>
        <w:t>“</w:t>
      </w:r>
      <w:r>
        <w:rPr/>
        <w:t>七、合并范围的变化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及本附注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相关内容。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288"/>
        <w:jc w:val="left"/>
      </w:pPr>
      <w:r>
        <w:rPr>
          <w:spacing w:val="-1"/>
        </w:rPr>
        <w:t>本公司财务报表以持续经营为基础，根据实际发生的交易和事项，按照财政部颁布的《企业会计准则》及相关规定，并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0"/>
        <w:jc w:val="left"/>
      </w:pPr>
      <w:r>
        <w:rPr/>
        <w:t>本公司自报告期末起后的</w:t>
      </w:r>
      <w:r>
        <w:rPr>
          <w:rFonts w:ascii="Times New Roman" w:hAnsi="Times New Roman" w:cs="Times New Roman" w:eastAsia="Times New Roman" w:hint="default"/>
        </w:rPr>
        <w:t>12</w:t>
      </w:r>
      <w:r>
        <w:rPr/>
        <w:t>个月具有持续经营能力，无影响持续经营能力的重大事项。</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1" w:right="0" w:hanging="289"/>
        <w:jc w:val="left"/>
      </w:pPr>
      <w:r>
        <w:rPr/>
        <w:t>具体会计政策和会计估计提示： </w:t>
      </w:r>
      <w:r>
        <w:rPr>
          <w:spacing w:val="-1"/>
        </w:rPr>
        <w:t>具体会计政策和会计估计提示：本公司根据实际生产经营特点制定的具体会计政策和会计估计包括应收款项坏账准备的</w:t>
      </w:r>
    </w:p>
    <w:p>
      <w:pPr>
        <w:pStyle w:val="BodyText"/>
        <w:spacing w:line="224" w:lineRule="exact"/>
        <w:ind w:right="0"/>
        <w:jc w:val="left"/>
      </w:pPr>
      <w:r>
        <w:rPr/>
        <w:t>确认和计量、发出存货计量、固定资产分类及折旧方法、无形资产摊销、研发费用资本化条件、收入确认和计量等。</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2" w:firstLine="288"/>
        <w:jc w:val="left"/>
      </w:pPr>
      <w:r>
        <w:rPr>
          <w:spacing w:val="-1"/>
        </w:rPr>
        <w:t>本公司编制的财务报表符合企业会计准则的要求，真实、完整地反映了本公司的财务状况、经营成果和现金流量等有关</w:t>
      </w:r>
      <w:r>
        <w:rPr/>
        <w:t> 信息。</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286" w:firstLine="288"/>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0"/>
        <w:jc w:val="left"/>
      </w:pPr>
      <w:r>
        <w:rPr/>
        <w:t>本公司以人民币为记账本位币。</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91"/>
        <w:jc w:val="both"/>
      </w:pPr>
      <w:r>
        <w:rPr/>
        <w:t>本公司作为合并方，在同一控制下企业合并中取得的资产和负债，在合并日按被合并方在最终控制方合并报表中的账 </w:t>
      </w:r>
      <w:r>
        <w:rPr>
          <w:spacing w:val="-2"/>
        </w:rPr>
        <w:t>面价值计量。取得的净资产账面价值与支付的合并对价账面价值的差额，调整资本公积；资本公积不足冲减的，调整留存收</w:t>
      </w:r>
      <w:r>
        <w:rPr>
          <w:spacing w:val="-64"/>
        </w:rPr>
        <w:t> </w:t>
      </w:r>
      <w:r>
        <w:rPr>
          <w:spacing w:val="-64"/>
        </w:rPr>
      </w:r>
      <w:r>
        <w:rPr/>
        <w:t>益。</w:t>
      </w:r>
    </w:p>
    <w:p>
      <w:pPr>
        <w:pStyle w:val="BodyText"/>
        <w:spacing w:line="319" w:lineRule="auto" w:before="19"/>
        <w:ind w:right="0" w:firstLine="288"/>
        <w:jc w:val="left"/>
      </w:pPr>
      <w:r>
        <w:rPr/>
        <w:t>在非同一控制下企业合并中取得的被购买方可辨认资产、负债及或有负债在收购日以公允价值计量。合并成本为本公司 </w:t>
      </w:r>
      <w:r>
        <w:rPr>
          <w:spacing w:val="-2"/>
        </w:rPr>
        <w:t>在购买日为取得对被购买方的控制权而支付的现金或非现金资产、发行或承担的负债、发行的权益性证券等的公允价值以及</w:t>
      </w:r>
      <w:r>
        <w:rPr>
          <w:spacing w:val="-64"/>
        </w:rPr>
        <w:t> </w:t>
      </w:r>
      <w:r>
        <w:rPr>
          <w:spacing w:val="-64"/>
        </w:rPr>
      </w:r>
      <w:r>
        <w:rPr>
          <w:spacing w:val="-4"/>
        </w:rPr>
        <w:t>在企业合并中发生的各项直接相关费用之和（通过多次交易分步实现的企业合并，其合并成本为每一单项交易的成本之和）。</w:t>
      </w:r>
      <w:r>
        <w:rPr>
          <w:spacing w:val="-43"/>
        </w:rPr>
        <w:t> </w:t>
      </w:r>
      <w:r>
        <w:rPr>
          <w:spacing w:val="-43"/>
        </w:rPr>
      </w:r>
      <w:r>
        <w:rPr>
          <w:spacing w:val="-2"/>
        </w:rPr>
        <w:t>合并成本大于合并中取得的被购买方可辨认净资产公允价值份额的差额，确认为商誉；合并成本小于合并中取得的被购买方</w:t>
      </w:r>
      <w:r>
        <w:rPr>
          <w:spacing w:val="-64"/>
        </w:rPr>
        <w:t> </w:t>
      </w:r>
      <w:r>
        <w:rPr>
          <w:spacing w:val="-64"/>
        </w:rPr>
      </w:r>
      <w:r>
        <w:rPr>
          <w:spacing w:val="-2"/>
        </w:rPr>
        <w:t>可辨认净资产公允价值份额的，首先对合并中取得的各项可辨认资产、负债及或有负债的公允价值、以及合并对价的非现金</w:t>
      </w:r>
      <w:r>
        <w:rPr>
          <w:spacing w:val="-63"/>
        </w:rPr>
        <w:t> </w:t>
      </w:r>
      <w:r>
        <w:rPr>
          <w:spacing w:val="-63"/>
        </w:rPr>
      </w:r>
      <w:r>
        <w:rPr>
          <w:spacing w:val="-2"/>
        </w:rPr>
        <w:t>资产或发行的权益性证券等的公允价值进行复核，经复核后，合并成本仍小于合并中取得的被购买方可辨认净资产公允价值</w:t>
      </w:r>
      <w:r>
        <w:rPr>
          <w:spacing w:val="-64"/>
        </w:rPr>
        <w:t> </w:t>
      </w:r>
      <w:r>
        <w:rPr>
          <w:spacing w:val="-64"/>
        </w:rPr>
      </w:r>
      <w:r>
        <w:rPr/>
        <w:t>份额的，将其差额计入合并当期营业外收入。</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410" w:lineRule="atLeast" w:before="167"/>
        <w:ind w:left="513" w:right="0"/>
        <w:jc w:val="left"/>
      </w:pPr>
      <w:r>
        <w:rPr/>
        <w:t>本公司将所有控制的子公司纳入合并财务报表范围。 </w:t>
      </w:r>
      <w:r>
        <w:rPr>
          <w:spacing w:val="-2"/>
        </w:rPr>
        <w:t>在编制合并财务报表时，子公司与本公司采用的会计政策或会计期间不一致的，按照本公司的会计政策或会计期间对子</w:t>
      </w:r>
    </w:p>
    <w:p>
      <w:pPr>
        <w:pStyle w:val="BodyText"/>
        <w:spacing w:line="240" w:lineRule="auto" w:before="76"/>
        <w:ind w:right="0"/>
        <w:jc w:val="left"/>
      </w:pPr>
      <w:r>
        <w:rPr/>
        <w:t>公司财务报表进行必要的调整。</w:t>
      </w:r>
    </w:p>
    <w:p>
      <w:pPr>
        <w:spacing w:line="240" w:lineRule="auto" w:before="7"/>
        <w:rPr>
          <w:rFonts w:ascii="宋体" w:hAnsi="宋体" w:cs="宋体" w:eastAsia="宋体" w:hint="default"/>
          <w:sz w:val="13"/>
          <w:szCs w:val="13"/>
        </w:rPr>
      </w:pPr>
    </w:p>
    <w:p>
      <w:pPr>
        <w:pStyle w:val="BodyText"/>
        <w:spacing w:line="316" w:lineRule="auto"/>
        <w:ind w:right="0" w:firstLine="360"/>
        <w:jc w:val="left"/>
      </w:pPr>
      <w:r>
        <w:rPr>
          <w:spacing w:val="-2"/>
        </w:rPr>
        <w:t>合并范围内的所有重大内部交易、往来余额及未实现利润在合并报表编制时予以抵销。子公司的所有者权益中不属于母</w:t>
      </w:r>
      <w:r>
        <w:rPr/>
        <w:t> 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spacing w:line="240" w:lineRule="auto" w:before="2"/>
        <w:rPr>
          <w:rFonts w:ascii="宋体" w:hAnsi="宋体" w:cs="宋体" w:eastAsia="宋体" w:hint="default"/>
          <w:sz w:val="23"/>
          <w:szCs w:val="23"/>
        </w:rPr>
      </w:pPr>
    </w:p>
    <w:p>
      <w:pPr>
        <w:pStyle w:val="BodyText"/>
        <w:spacing w:line="316" w:lineRule="auto"/>
        <w:ind w:right="1134" w:firstLine="439"/>
        <w:jc w:val="both"/>
      </w:pPr>
      <w:r>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spacing w:line="240" w:lineRule="auto" w:before="10"/>
        <w:rPr>
          <w:rFonts w:ascii="宋体" w:hAnsi="宋体" w:cs="宋体" w:eastAsia="宋体" w:hint="default"/>
          <w:sz w:val="19"/>
          <w:szCs w:val="19"/>
        </w:rPr>
      </w:pPr>
    </w:p>
    <w:p>
      <w:pPr>
        <w:pStyle w:val="BodyText"/>
        <w:spacing w:line="316" w:lineRule="auto"/>
        <w:ind w:right="1129" w:firstLine="439"/>
        <w:jc w:val="both"/>
      </w:pPr>
      <w:r>
        <w:rPr/>
        <w:t>通过多次交易分步取得同一控制下被投资单位的股权，最终形成企业合并的，应在取得控制权的报告期，补充披露在 </w:t>
      </w:r>
      <w:r>
        <w:rPr>
          <w:spacing w:val="-2"/>
        </w:rPr>
        <w:t>合并财务报表中的处理方法。例如：通过多次交易分步取得同一控制下被投资单位的股权，最终形成企业合并，编制合并报</w:t>
      </w:r>
      <w:r>
        <w:rPr>
          <w:spacing w:val="-64"/>
        </w:rPr>
        <w:t> </w:t>
      </w:r>
      <w:r>
        <w:rPr>
          <w:spacing w:val="-64"/>
        </w:rPr>
      </w:r>
      <w:r>
        <w:rPr>
          <w:spacing w:val="-2"/>
        </w:rPr>
        <w:t>表时，视同在最终控制方开始控制时即以目前的状态存在进行调整，在编制比较报表时，以不早于本公司和被合并方同处于</w:t>
      </w:r>
      <w:r>
        <w:rPr>
          <w:spacing w:val="-65"/>
        </w:rPr>
        <w:t> </w:t>
      </w:r>
      <w:r>
        <w:rPr>
          <w:spacing w:val="-65"/>
        </w:rPr>
      </w:r>
      <w:r>
        <w:rPr>
          <w:spacing w:val="-2"/>
        </w:rPr>
        <w:t>最终控制方的控制之下的时点为限，将被合并方的有关资产、负债并入本公司合并财务报表的比较报表中，并将合并而增加</w:t>
      </w:r>
      <w:r>
        <w:rPr>
          <w:spacing w:val="-62"/>
        </w:rPr>
        <w:t> </w:t>
      </w:r>
      <w:r>
        <w:rPr>
          <w:spacing w:val="-62"/>
        </w:rPr>
      </w:r>
      <w:r>
        <w:rPr>
          <w:spacing w:val="-2"/>
        </w:rPr>
        <w:t>的净资产在比较报表中调整所有者权益项下的相关项目。为避免对被合并方净资产的价值进行重复计算，本公司在达到合并</w:t>
      </w:r>
      <w:r>
        <w:rPr>
          <w:spacing w:val="-64"/>
        </w:rPr>
        <w:t> </w:t>
      </w:r>
      <w:r>
        <w:rPr>
          <w:spacing w:val="-64"/>
        </w:rPr>
      </w:r>
      <w:r>
        <w:rPr>
          <w:spacing w:val="-2"/>
        </w:rPr>
        <w:t>之前持有的长期股权投资，在取得原股权之日与本公司和被合并方处于同一方最终控制之日孰晚日起至合并日之间已确认有</w:t>
      </w:r>
      <w:r>
        <w:rPr>
          <w:spacing w:val="-64"/>
        </w:rPr>
        <w:t> </w:t>
      </w:r>
      <w:r>
        <w:rPr>
          <w:spacing w:val="-64"/>
        </w:rPr>
      </w:r>
      <w:r>
        <w:rPr/>
        <w:t>关损益、其他综合收益和其他净资产变动，应分别冲减比较报表期间的期初留存收益和当期损益。</w:t>
      </w:r>
    </w:p>
    <w:p>
      <w:pPr>
        <w:spacing w:line="240" w:lineRule="auto" w:before="11"/>
        <w:rPr>
          <w:rFonts w:ascii="宋体" w:hAnsi="宋体" w:cs="宋体" w:eastAsia="宋体" w:hint="default"/>
          <w:sz w:val="19"/>
          <w:szCs w:val="19"/>
        </w:rPr>
      </w:pPr>
    </w:p>
    <w:p>
      <w:pPr>
        <w:pStyle w:val="BodyText"/>
        <w:spacing w:line="316" w:lineRule="auto"/>
        <w:ind w:right="1136" w:firstLine="439"/>
        <w:jc w:val="both"/>
      </w:pPr>
      <w:r>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spacing w:line="240" w:lineRule="auto" w:before="10"/>
        <w:rPr>
          <w:rFonts w:ascii="宋体" w:hAnsi="宋体" w:cs="宋体" w:eastAsia="宋体" w:hint="default"/>
          <w:sz w:val="19"/>
          <w:szCs w:val="19"/>
        </w:rPr>
      </w:pPr>
    </w:p>
    <w:p>
      <w:pPr>
        <w:pStyle w:val="BodyText"/>
        <w:spacing w:line="316" w:lineRule="auto"/>
        <w:ind w:right="1034" w:firstLine="439"/>
        <w:jc w:val="left"/>
      </w:pPr>
      <w:r>
        <w:rPr/>
        <w:t>通过多次交易分步取得非同一控制下被投资单位的股权，最终形成企业合并的，应在取得控制权的报告期，补充披露 </w:t>
      </w:r>
      <w:r>
        <w:rPr>
          <w:spacing w:val="-2"/>
        </w:rPr>
        <w:t>在合并财务报表中的处理方法。例如：通过多次交易分步取得非同一控制下被投资单位的股权，最终形成企业合并，编制合</w:t>
      </w:r>
      <w:r>
        <w:rPr>
          <w:spacing w:val="-66"/>
        </w:rPr>
        <w:t> </w:t>
      </w:r>
      <w:r>
        <w:rPr>
          <w:spacing w:val="-66"/>
        </w:rPr>
      </w:r>
      <w:r>
        <w:rPr>
          <w:spacing w:val="-2"/>
        </w:rPr>
        <w:t>并报表时，对于购买日之前持有的被购买方的股权，按照该股权在购买日的公允价值进行重新计量，公允价值与其账面价值</w:t>
      </w:r>
      <w:r>
        <w:rPr>
          <w:spacing w:val="-63"/>
        </w:rPr>
        <w:t> </w:t>
      </w:r>
      <w:r>
        <w:rPr>
          <w:spacing w:val="-63"/>
        </w:rPr>
      </w:r>
      <w:r>
        <w:rPr/>
        <w:t>的差额计入当期投资收益；与其相关的购买日之前持有的被购买方的股权涉及权益法核算下的其他综合收益以及除净损益、 </w:t>
      </w:r>
      <w:r>
        <w:rPr>
          <w:spacing w:val="-2"/>
        </w:rPr>
        <w:t>其他综合收益和利润分配外的其他所有者权益变动，在购买日所属当期转为投资损益，由于被投资方重新计量设定受益计划</w:t>
      </w:r>
      <w:r>
        <w:rPr>
          <w:spacing w:val="-63"/>
        </w:rPr>
        <w:t> </w:t>
      </w:r>
      <w:r>
        <w:rPr>
          <w:spacing w:val="-63"/>
        </w:rPr>
      </w:r>
      <w:r>
        <w:rPr/>
        <w:t>净负债或净资产变动而产生的其他综合收益除外。</w:t>
      </w:r>
    </w:p>
    <w:p>
      <w:pPr>
        <w:spacing w:line="240" w:lineRule="auto" w:before="10"/>
        <w:rPr>
          <w:rFonts w:ascii="宋体" w:hAnsi="宋体" w:cs="宋体" w:eastAsia="宋体" w:hint="default"/>
          <w:sz w:val="19"/>
          <w:szCs w:val="19"/>
        </w:rPr>
      </w:pPr>
    </w:p>
    <w:p>
      <w:pPr>
        <w:pStyle w:val="BodyText"/>
        <w:spacing w:line="319" w:lineRule="auto"/>
        <w:ind w:right="1133" w:firstLine="439"/>
        <w:jc w:val="both"/>
      </w:pPr>
      <w:r>
        <w:rPr/>
        <w:t>本公司在不丧失控制权的情况下部分处置对子公司的长期股权投资，在合并财务报表中，处置价款与处置长期股权投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4"/>
        </w:rPr>
        <w:t> </w:t>
      </w:r>
      <w:r>
        <w:rPr>
          <w:spacing w:val="-64"/>
        </w:rPr>
      </w:r>
      <w:r>
        <w:rPr/>
        <w:t>减的，调整留存收益。</w:t>
      </w:r>
    </w:p>
    <w:p>
      <w:pPr>
        <w:spacing w:line="240" w:lineRule="auto" w:before="8"/>
        <w:rPr>
          <w:rFonts w:ascii="宋体" w:hAnsi="宋体" w:cs="宋体" w:eastAsia="宋体" w:hint="default"/>
          <w:sz w:val="19"/>
          <w:szCs w:val="19"/>
        </w:rPr>
      </w:pPr>
    </w:p>
    <w:p>
      <w:pPr>
        <w:pStyle w:val="BodyText"/>
        <w:spacing w:line="316" w:lineRule="auto"/>
        <w:ind w:right="1131" w:firstLine="439"/>
        <w:jc w:val="both"/>
      </w:pPr>
      <w:r>
        <w:rPr/>
        <w:t>本公司因处置部分股权投资等原因丧失了对被投资方的控制权的，在编制合并财务报表时，对于剩余股权，按照其在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3"/>
        </w:rPr>
        <w:t> </w:t>
      </w:r>
      <w:r>
        <w:rPr>
          <w:spacing w:val="-63"/>
        </w:rPr>
      </w:r>
      <w:r>
        <w:rPr>
          <w:spacing w:val="-2"/>
        </w:rPr>
        <w:t>子公司自购买日或合并日开始持续计算的净资产的份额之间的差额，计入丧失控制权当期的投资损益，同时冲减商誉。与原</w:t>
      </w:r>
      <w:r>
        <w:rPr>
          <w:spacing w:val="-65"/>
        </w:rPr>
        <w:t> </w:t>
      </w:r>
      <w:r>
        <w:rPr>
          <w:spacing w:val="-65"/>
        </w:rPr>
      </w:r>
      <w:r>
        <w:rPr/>
        <w:t>有子公司股权投资相关的其他综合收益等，在丧失控制权时转为当期投资损益</w:t>
      </w:r>
      <w:r>
        <w:rPr>
          <w:spacing w:val="-17"/>
        </w:rPr>
        <w:t> </w:t>
      </w:r>
      <w:r>
        <w:rPr/>
        <w:t>。</w:t>
      </w:r>
    </w:p>
    <w:p>
      <w:pPr>
        <w:pStyle w:val="BodyText"/>
        <w:spacing w:line="316" w:lineRule="auto" w:before="19"/>
        <w:ind w:right="1131" w:firstLine="288"/>
        <w:jc w:val="both"/>
      </w:pPr>
      <w:r>
        <w:rPr>
          <w:spacing w:val="-1"/>
        </w:rPr>
        <w:t>本公司通过多次交易分步处置对子公司股权投资直至丧失控制权的，如果处置对子公司股权投资直至丧失控制权的各项</w:t>
      </w:r>
      <w:r>
        <w:rPr/>
        <w:t> </w:t>
      </w:r>
      <w:r>
        <w:rPr>
          <w:spacing w:val="-2"/>
        </w:rPr>
        <w:t>交易属于一揽子交易的，应当将各项交易作为一项处置子公司并丧失控制权的交易进行会计处理；但是，在丧失控制权之前</w:t>
      </w:r>
      <w:r>
        <w:rPr>
          <w:spacing w:val="-66"/>
        </w:rPr>
        <w:t> </w:t>
      </w:r>
      <w:r>
        <w:rPr>
          <w:spacing w:val="-66"/>
        </w:rPr>
      </w:r>
      <w:r>
        <w:rPr>
          <w:spacing w:val="-2"/>
        </w:rPr>
        <w:t>每一次处置价款与处置投资对应的享有该子公司净资产份额的差额，在合并财务报表中确认为其他综合收益，在丧失控制权</w:t>
      </w:r>
      <w:r>
        <w:rPr>
          <w:spacing w:val="-63"/>
        </w:rPr>
        <w:t> </w:t>
      </w:r>
      <w:r>
        <w:rPr>
          <w:spacing w:val="-63"/>
        </w:rPr>
      </w:r>
      <w:r>
        <w:rPr/>
        <w:t>时一并转入丧失控制权当期的投资损益。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130" w:firstLine="288"/>
        <w:jc w:val="both"/>
      </w:pPr>
      <w:r>
        <w:rPr>
          <w:spacing w:val="-2"/>
        </w:rPr>
        <w:t>本公司的合营安排包括共同经营和合营企业。对于共同经营项目</w:t>
      </w:r>
      <w:r>
        <w:rPr>
          <w:rFonts w:ascii="Times New Roman" w:hAnsi="Times New Roman" w:cs="Times New Roman" w:eastAsia="Times New Roman" w:hint="default"/>
          <w:spacing w:val="-2"/>
        </w:rPr>
        <w:t>,</w:t>
      </w:r>
      <w:r>
        <w:rPr>
          <w:spacing w:val="-2"/>
        </w:rPr>
        <w:t>本公司作为共同经营中的合营方确认单独持有的资产和</w:t>
      </w:r>
      <w:r>
        <w:rPr/>
        <w:t> </w:t>
      </w:r>
      <w:r>
        <w:rPr>
          <w:spacing w:val="-2"/>
        </w:rPr>
        <w:t>承担的负债，以及按份额确认持有的资产和承担的负债，根据相关约定单独或按份额确认相关的收入和费用。与共同经营发</w:t>
      </w:r>
      <w:r>
        <w:rPr>
          <w:spacing w:val="-63"/>
        </w:rPr>
        <w:t> </w:t>
      </w:r>
      <w:r>
        <w:rPr>
          <w:spacing w:val="-63"/>
        </w:rPr>
      </w:r>
      <w:r>
        <w:rPr/>
        <w:t>生购买、销售不构成业务的资产交易的，仅确认因该交易产生的损益中归属于共同经营其他参与方的部分。</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40" w:firstLine="288"/>
        <w:jc w:val="both"/>
      </w:pPr>
      <w:r>
        <w:rPr>
          <w:spacing w:val="-1"/>
        </w:rPr>
        <w:t>本公司现金流量表之现金指库存现金以及可以随时用于支付的存款。现金流量表之现金等价物指持有期限不超过</w:t>
      </w:r>
      <w:r>
        <w:rPr>
          <w:rFonts w:ascii="Times New Roman" w:hAnsi="Times New Roman" w:cs="Times New Roman" w:eastAsia="Times New Roman" w:hint="default"/>
          <w:spacing w:val="-1"/>
        </w:rPr>
        <w:t>3</w:t>
      </w:r>
      <w:r>
        <w:rPr>
          <w:spacing w:val="-1"/>
        </w:rPr>
        <w:t>个月、</w:t>
      </w:r>
      <w:r>
        <w:rPr/>
        <w:t> 流动性强、易于转换为已知金额现金且价值变动风险很小的投资。</w:t>
      </w:r>
    </w:p>
    <w:p>
      <w:pPr>
        <w:spacing w:after="0" w:line="30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55" w:right="0"/>
        <w:jc w:val="left"/>
      </w:pPr>
      <w:r>
        <w:rPr>
          <w:rFonts w:ascii="Times New Roman" w:hAnsi="Times New Roman" w:cs="Times New Roman" w:eastAsia="Times New Roman" w:hint="default"/>
        </w:rPr>
        <w:t>1</w:t>
      </w:r>
      <w:r>
        <w:rPr/>
        <w:t>、外币交易</w:t>
      </w:r>
    </w:p>
    <w:p>
      <w:pPr>
        <w:spacing w:line="240" w:lineRule="auto" w:before="2"/>
        <w:rPr>
          <w:rFonts w:ascii="宋体" w:hAnsi="宋体" w:cs="宋体" w:eastAsia="宋体" w:hint="default"/>
          <w:sz w:val="23"/>
          <w:szCs w:val="23"/>
        </w:rPr>
      </w:pPr>
    </w:p>
    <w:p>
      <w:pPr>
        <w:pStyle w:val="BodyText"/>
        <w:spacing w:line="316" w:lineRule="auto"/>
        <w:ind w:left="255" w:right="1132" w:firstLine="576"/>
        <w:jc w:val="both"/>
      </w:pPr>
      <w:r>
        <w:rPr>
          <w:spacing w:val="-1"/>
        </w:rPr>
        <w:t>本公司外币交易按交易发生日的即期汇率将外币金额折算为人民币金额。于资产负债表日，外币货币性项目采用资</w:t>
      </w:r>
      <w:r>
        <w:rPr/>
        <w:t> 产负债表日的即期汇率折算为人民币，所产生的折算差额除了为购建或生产符合资本化条件的资产而借入的外币专门借款 产生的汇兑差额按资本化的原则处理外，直接计入当期损益。</w:t>
      </w:r>
    </w:p>
    <w:p>
      <w:pPr>
        <w:pStyle w:val="BodyText"/>
        <w:spacing w:line="552" w:lineRule="exact" w:before="27"/>
        <w:ind w:left="441" w:right="1125" w:hanging="289"/>
        <w:jc w:val="left"/>
      </w:pPr>
      <w:r>
        <w:rPr>
          <w:rFonts w:ascii="Times New Roman" w:hAnsi="Times New Roman" w:cs="Times New Roman" w:eastAsia="Times New Roman" w:hint="default"/>
        </w:rPr>
        <w:t>2</w:t>
      </w:r>
      <w:r>
        <w:rPr/>
        <w:t>、外币财务报表的折算 外币资产负债表中资产、负债类项目采用资产负债表日的即期汇率折算；所有者权益类项目除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外，均按业</w:t>
      </w:r>
    </w:p>
    <w:p>
      <w:pPr>
        <w:pStyle w:val="BodyText"/>
        <w:spacing w:line="319" w:lineRule="auto"/>
        <w:ind w:right="1130"/>
        <w:jc w:val="both"/>
      </w:pPr>
      <w:r>
        <w:rPr>
          <w:spacing w:val="-2"/>
        </w:rPr>
        <w:t>务发生时的即期汇率折算；利润表中的收入与费用项目，采用交易发生日的即期汇率折算。上述折算产生的外币报表折算差</w:t>
      </w:r>
      <w:r>
        <w:rPr>
          <w:spacing w:val="-63"/>
        </w:rPr>
        <w:t> </w:t>
      </w:r>
      <w:r>
        <w:rPr>
          <w:spacing w:val="-63"/>
        </w:rPr>
      </w:r>
      <w:r>
        <w:rPr>
          <w:spacing w:val="-2"/>
        </w:rPr>
        <w:t>额，在其他综合收益项目中列示。外币现金流量采用现金流量发生日的即期汇率折算。汇率变动对现金的影响额，在现金流</w:t>
      </w:r>
      <w:r>
        <w:rPr>
          <w:spacing w:val="-65"/>
        </w:rPr>
        <w:t> </w:t>
      </w:r>
      <w:r>
        <w:rPr>
          <w:spacing w:val="-65"/>
        </w:rPr>
      </w:r>
      <w:r>
        <w:rPr/>
        <w:t>量表中单独列示。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both"/>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本公司成为金融工具合同的一方时确认一项金融资产或金融负债。</w:t>
      </w:r>
    </w:p>
    <w:p>
      <w:pPr>
        <w:spacing w:line="240" w:lineRule="auto" w:before="2"/>
        <w:rPr>
          <w:rFonts w:ascii="宋体" w:hAnsi="宋体" w:cs="宋体" w:eastAsia="宋体" w:hint="default"/>
          <w:sz w:val="24"/>
          <w:szCs w:val="24"/>
        </w:rPr>
      </w:pPr>
    </w:p>
    <w:p>
      <w:pPr>
        <w:pStyle w:val="BodyText"/>
        <w:spacing w:line="240" w:lineRule="auto"/>
        <w:ind w:left="155" w:right="0"/>
        <w:jc w:val="both"/>
      </w:pPr>
      <w:r>
        <w:rPr>
          <w:rFonts w:ascii="Times New Roman" w:hAnsi="Times New Roman" w:cs="Times New Roman" w:eastAsia="Times New Roman" w:hint="default"/>
        </w:rPr>
        <w:t>1</w:t>
      </w:r>
      <w:r>
        <w:rPr/>
        <w:t>、金融资产</w:t>
      </w:r>
    </w:p>
    <w:p>
      <w:pPr>
        <w:spacing w:line="240" w:lineRule="auto" w:before="7"/>
        <w:rPr>
          <w:rFonts w:ascii="宋体" w:hAnsi="宋体" w:cs="宋体" w:eastAsia="宋体" w:hint="default"/>
          <w:sz w:val="12"/>
          <w:szCs w:val="12"/>
        </w:rPr>
      </w:pPr>
    </w:p>
    <w:p>
      <w:pPr>
        <w:pStyle w:val="BodyText"/>
        <w:spacing w:line="240" w:lineRule="auto"/>
        <w:ind w:left="518" w:right="0"/>
        <w:jc w:val="left"/>
      </w:pPr>
      <w:r>
        <w:rPr/>
        <w:t>金融资产分类、确认依据和计量方法</w:t>
      </w:r>
    </w:p>
    <w:p>
      <w:pPr>
        <w:spacing w:line="240" w:lineRule="auto" w:before="2"/>
        <w:rPr>
          <w:rFonts w:ascii="宋体" w:hAnsi="宋体" w:cs="宋体" w:eastAsia="宋体" w:hint="default"/>
          <w:sz w:val="24"/>
          <w:szCs w:val="24"/>
        </w:rPr>
      </w:pPr>
    </w:p>
    <w:p>
      <w:pPr>
        <w:pStyle w:val="BodyText"/>
        <w:spacing w:line="316" w:lineRule="auto"/>
        <w:ind w:right="1131" w:firstLine="360"/>
        <w:jc w:val="both"/>
      </w:pPr>
      <w:r>
        <w:rPr>
          <w:spacing w:val="-2"/>
        </w:rPr>
        <w:t>本公司根据管理金融资产的业务模式和金融资产的合同现金流特征，将金融资产分类为以摊余成本计量的金融资产、以</w:t>
      </w:r>
      <w:r>
        <w:rPr/>
        <w:t> 公允价值计量且其变动计入其他综合收益的金融资产、以公允价值计量且其变动计入当期损益的金融资产。</w:t>
      </w:r>
    </w:p>
    <w:p>
      <w:pPr>
        <w:spacing w:line="240" w:lineRule="auto" w:before="11"/>
        <w:rPr>
          <w:rFonts w:ascii="宋体" w:hAnsi="宋体" w:cs="宋体" w:eastAsia="宋体" w:hint="default"/>
          <w:sz w:val="19"/>
          <w:szCs w:val="19"/>
        </w:rPr>
      </w:pPr>
    </w:p>
    <w:p>
      <w:pPr>
        <w:pStyle w:val="BodyText"/>
        <w:spacing w:line="316" w:lineRule="auto"/>
        <w:ind w:right="1131" w:firstLine="360"/>
        <w:jc w:val="both"/>
      </w:pPr>
      <w:r>
        <w:rPr>
          <w:spacing w:val="-2"/>
        </w:rPr>
        <w:t>金融资产在初始确认时以公允价值计量。对于以公允价值计量且其变动计入当期损益的金融资产，相关交易费用直接计</w:t>
      </w:r>
      <w:r>
        <w:rPr/>
        <w:t> </w:t>
      </w:r>
      <w:r>
        <w:rPr>
          <w:spacing w:val="-2"/>
        </w:rPr>
        <w:t>入当期损益；对于其他类别的金融资产，相关交易费用计入初始确认金额。因销售产品或提供劳务而产生的、未包含或不考</w:t>
      </w:r>
      <w:r>
        <w:rPr>
          <w:spacing w:val="-65"/>
        </w:rPr>
        <w:t> </w:t>
      </w:r>
      <w:r>
        <w:rPr>
          <w:spacing w:val="-65"/>
        </w:rPr>
      </w:r>
      <w:r>
        <w:rPr/>
        <w:t>虑重大融资成分的应收账款或应收票据，本公司按照预期有权收取的对价金额作为初始确认金额。</w:t>
      </w:r>
    </w:p>
    <w:p>
      <w:pPr>
        <w:pStyle w:val="BodyText"/>
        <w:spacing w:line="432" w:lineRule="exact" w:before="3"/>
        <w:ind w:left="539" w:right="0" w:firstLine="14"/>
        <w:jc w:val="left"/>
      </w:pPr>
      <w:r>
        <w:rPr/>
        <w:t>①以摊余成本计量的金融资产 本公司管理以摊余成本计量的金融资产的业务模式为以收取合同现金流量为目标，且此类金融资产的合同现金流量特</w:t>
      </w:r>
    </w:p>
    <w:p>
      <w:pPr>
        <w:pStyle w:val="BodyText"/>
        <w:spacing w:line="316" w:lineRule="auto" w:before="15"/>
        <w:ind w:left="193" w:right="0"/>
        <w:jc w:val="left"/>
      </w:pPr>
      <w:r>
        <w:rPr/>
        <w:t>征与基本借贷安排相一致，即在特定日期产生的现金流量，仅为对本金和以未偿付本金金额为基础的利息的支付。本公司</w:t>
      </w:r>
      <w:r>
        <w:rPr>
          <w:spacing w:val="-43"/>
        </w:rPr>
        <w:t> </w:t>
      </w:r>
      <w:r>
        <w:rPr>
          <w:spacing w:val="-43"/>
        </w:rPr>
      </w:r>
      <w:r>
        <w:rPr/>
        <w:t>对于此类金融资产，采用实际利率法，按照摊余成本进行后续计量，其摊销或减值产生的利得或损失，计入当期损益。</w:t>
      </w:r>
    </w:p>
    <w:p>
      <w:pPr>
        <w:pStyle w:val="BodyText"/>
        <w:spacing w:line="432" w:lineRule="exact" w:before="3"/>
        <w:ind w:left="539" w:right="0" w:firstLine="14"/>
        <w:jc w:val="left"/>
      </w:pPr>
      <w:r>
        <w:rPr/>
        <w:t>②以公允价值计量且其变动计入其他综合收益的金融资产 本公司管理此类金融资产的业务模式为既以收取合同现金流量为目标又以出售为目标，且此类金融资产的合同现金流</w:t>
      </w:r>
    </w:p>
    <w:p>
      <w:pPr>
        <w:pStyle w:val="BodyText"/>
        <w:spacing w:line="316" w:lineRule="auto" w:before="16"/>
        <w:ind w:left="193" w:right="0"/>
        <w:jc w:val="left"/>
      </w:pPr>
      <w:r>
        <w:rPr>
          <w:spacing w:val="-1"/>
        </w:rPr>
        <w:t>量特征与基本借贷安排相一致。本公司对此类金融资产按照公允价值计量且其变动计入其他综合收益，但减值损失或利得、</w:t>
      </w:r>
      <w:r>
        <w:rPr>
          <w:spacing w:val="-69"/>
        </w:rPr>
        <w:t> </w:t>
      </w:r>
      <w:r>
        <w:rPr>
          <w:spacing w:val="-69"/>
        </w:rPr>
      </w:r>
      <w:r>
        <w:rPr/>
        <w:t>汇兑损益和按照实际利率法计算的利息收入计入当期损益。</w:t>
      </w:r>
    </w:p>
    <w:p>
      <w:pPr>
        <w:pStyle w:val="BodyText"/>
        <w:spacing w:line="316" w:lineRule="auto" w:before="19"/>
        <w:ind w:left="193" w:right="1135" w:firstLine="346"/>
        <w:jc w:val="both"/>
      </w:pPr>
      <w:r>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w:t>
      </w:r>
      <w:r>
        <w:rPr>
          <w:spacing w:val="-43"/>
        </w:rPr>
        <w:t> </w:t>
      </w:r>
      <w:r>
        <w:rPr>
          <w:spacing w:val="-43"/>
        </w:rPr>
      </w:r>
      <w:r>
        <w:rPr/>
        <w:t>综合收益的累计利得或损失将从其他综合收益转入留存收益，不计入当期损益。</w:t>
      </w:r>
    </w:p>
    <w:p>
      <w:pPr>
        <w:pStyle w:val="BodyText"/>
        <w:spacing w:line="432" w:lineRule="exact" w:before="3"/>
        <w:ind w:left="539" w:right="0" w:firstLine="14"/>
        <w:jc w:val="left"/>
      </w:pPr>
      <w:r>
        <w:rPr/>
        <w:t>③以公允价值计量且其变动计入当期损益的金融资产 本公司将上述以摊余成本计量的金融资产和以公允价值计量且其变动计入其他综合收益的金融资产之外的金融资产，</w:t>
      </w:r>
    </w:p>
    <w:p>
      <w:pPr>
        <w:pStyle w:val="BodyText"/>
        <w:spacing w:line="240" w:lineRule="auto" w:before="15"/>
        <w:ind w:left="193" w:right="0"/>
        <w:jc w:val="both"/>
      </w:pPr>
      <w:r>
        <w:rPr/>
        <w:t>分类为以公允价值计量且其变动计入当期损益的金融资产。此外，在初始确认时，本公司为了消除或显著减少会计错配，</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193" w:right="1138"/>
        <w:jc w:val="both"/>
      </w:pPr>
      <w:r>
        <w:rPr/>
        <w:t>将部分金融资产指定为以公允价值计量且其变动计入当期损益的金融资产。对于此类金融资产，本公司采用公允价值进行</w:t>
      </w:r>
      <w:r>
        <w:rPr>
          <w:spacing w:val="-43"/>
        </w:rPr>
        <w:t> </w:t>
      </w:r>
      <w:r>
        <w:rPr>
          <w:spacing w:val="-43"/>
        </w:rPr>
      </w:r>
      <w:r>
        <w:rPr/>
        <w:t>后续计量，公允价值变动计入当期损益。</w:t>
      </w:r>
    </w:p>
    <w:p>
      <w:pPr>
        <w:spacing w:line="240" w:lineRule="auto" w:before="8"/>
        <w:rPr>
          <w:rFonts w:ascii="宋体" w:hAnsi="宋体" w:cs="宋体" w:eastAsia="宋体" w:hint="default"/>
          <w:sz w:val="19"/>
          <w:szCs w:val="19"/>
        </w:rPr>
      </w:pPr>
    </w:p>
    <w:p>
      <w:pPr>
        <w:pStyle w:val="BodyText"/>
        <w:spacing w:line="398" w:lineRule="auto"/>
        <w:ind w:left="513" w:right="0" w:hanging="361"/>
        <w:jc w:val="left"/>
      </w:pPr>
      <w:r>
        <w:rPr>
          <w:rFonts w:ascii="Times New Roman" w:hAnsi="Times New Roman" w:cs="Times New Roman" w:eastAsia="Times New Roman" w:hint="default"/>
        </w:rPr>
        <w:t>2</w:t>
      </w:r>
      <w:r>
        <w:rPr/>
        <w:t>、金融资产转移的确认依据和计量方法 </w:t>
      </w:r>
      <w:r>
        <w:rPr>
          <w:spacing w:val="-2"/>
        </w:rPr>
        <w:t>本公司将满足下列条件之一的金融资产予以终止确认：①收取该金融资产现金流量的合同权利终止；②金融资产发生转</w:t>
      </w:r>
    </w:p>
    <w:p>
      <w:pPr>
        <w:pStyle w:val="BodyText"/>
        <w:spacing w:line="193" w:lineRule="exact"/>
        <w:ind w:right="0"/>
        <w:jc w:val="left"/>
      </w:pPr>
      <w:r>
        <w:rPr/>
        <w:t>移，本公司转移了金融资产所有权上几乎所有风险和报酬；③金融资产发生转移，本公司既没有转移也没有保留金融资产所</w:t>
      </w:r>
    </w:p>
    <w:p>
      <w:pPr>
        <w:pStyle w:val="BodyText"/>
        <w:spacing w:line="240" w:lineRule="auto" w:before="76"/>
        <w:ind w:right="0"/>
        <w:jc w:val="left"/>
      </w:pPr>
      <w:r>
        <w:rPr/>
        <w:t>有权上几乎所有风险和报酬，且未保留对该金融资产控制的。</w:t>
      </w:r>
    </w:p>
    <w:p>
      <w:pPr>
        <w:spacing w:line="240" w:lineRule="auto" w:before="7"/>
        <w:rPr>
          <w:rFonts w:ascii="宋体" w:hAnsi="宋体" w:cs="宋体" w:eastAsia="宋体" w:hint="default"/>
          <w:sz w:val="13"/>
          <w:szCs w:val="13"/>
        </w:rPr>
      </w:pPr>
    </w:p>
    <w:p>
      <w:pPr>
        <w:pStyle w:val="BodyText"/>
        <w:spacing w:line="316" w:lineRule="auto"/>
        <w:ind w:right="0" w:firstLine="360"/>
        <w:jc w:val="left"/>
      </w:pPr>
      <w:r>
        <w:rPr>
          <w:spacing w:val="-2"/>
        </w:rPr>
        <w:t>金融资产整体转移满足终止确认条件的，将所转移金融资产的账面价值，与因转移而收到的对价及原直接计入其他综合</w:t>
      </w:r>
      <w:r>
        <w:rPr/>
        <w:t> </w:t>
      </w:r>
      <w:r>
        <w:rPr>
          <w:spacing w:val="-4"/>
        </w:rPr>
        <w:t>收益的公允价值变动累计额中对应终止确认部分的金额（涉及转移的金融资产的合同条款规定，在特定日期产生的现金流量，</w:t>
      </w:r>
      <w:r>
        <w:rPr>
          <w:spacing w:val="-44"/>
        </w:rPr>
        <w:t> </w:t>
      </w:r>
      <w:r>
        <w:rPr>
          <w:spacing w:val="-44"/>
        </w:rPr>
      </w:r>
      <w:r>
        <w:rPr/>
        <w:t>仅为对本金和以未偿付本金金额为基础的利息的支付）之和的差额计入当期损益。</w:t>
      </w:r>
    </w:p>
    <w:p>
      <w:pPr>
        <w:spacing w:line="240" w:lineRule="auto" w:before="10"/>
        <w:rPr>
          <w:rFonts w:ascii="宋体" w:hAnsi="宋体" w:cs="宋体" w:eastAsia="宋体" w:hint="default"/>
          <w:sz w:val="19"/>
          <w:szCs w:val="19"/>
        </w:rPr>
      </w:pPr>
    </w:p>
    <w:p>
      <w:pPr>
        <w:pStyle w:val="BodyText"/>
        <w:spacing w:line="319" w:lineRule="auto"/>
        <w:ind w:right="1034"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3"/>
        </w:rPr>
        <w:t> </w:t>
      </w:r>
      <w:r>
        <w:rPr>
          <w:spacing w:val="-63"/>
        </w:rPr>
      </w:r>
      <w:r>
        <w:rPr>
          <w:spacing w:val="-2"/>
        </w:rPr>
        <w:t>动累计额中对应终止确认部分的金额（涉及转移的金融资产的合同条款规定，在特定日期产生的现金流量，仅为对本金和以</w:t>
      </w:r>
      <w:r>
        <w:rPr>
          <w:spacing w:val="-63"/>
        </w:rPr>
        <w:t> </w:t>
      </w:r>
      <w:r>
        <w:rPr>
          <w:spacing w:val="-63"/>
        </w:rPr>
      </w:r>
      <w:r>
        <w:rPr/>
        <w:t>未偿付本金金额为基础的利息的支付）之和，与分摊的前述金融资产整体账面价值的差额计入当期损益。</w:t>
      </w:r>
    </w:p>
    <w:p>
      <w:pPr>
        <w:spacing w:line="240" w:lineRule="auto" w:before="8"/>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3</w:t>
      </w:r>
      <w:r>
        <w:rPr/>
        <w:t>、金融负债</w:t>
      </w:r>
    </w:p>
    <w:p>
      <w:pPr>
        <w:spacing w:line="240" w:lineRule="auto" w:before="2"/>
        <w:rPr>
          <w:rFonts w:ascii="宋体" w:hAnsi="宋体" w:cs="宋体" w:eastAsia="宋体" w:hint="default"/>
          <w:sz w:val="23"/>
          <w:szCs w:val="23"/>
        </w:rPr>
      </w:pPr>
    </w:p>
    <w:p>
      <w:pPr>
        <w:pStyle w:val="BodyText"/>
        <w:spacing w:line="240" w:lineRule="auto"/>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7"/>
        </w:rPr>
        <w:t> </w:t>
      </w:r>
      <w:r>
        <w:rPr/>
        <w:t>金融负债分类、确认依据和计量方法</w:t>
      </w:r>
    </w:p>
    <w:p>
      <w:pPr>
        <w:spacing w:line="240" w:lineRule="auto" w:before="2"/>
        <w:rPr>
          <w:rFonts w:ascii="宋体" w:hAnsi="宋体" w:cs="宋体" w:eastAsia="宋体" w:hint="default"/>
          <w:sz w:val="23"/>
          <w:szCs w:val="23"/>
        </w:rPr>
      </w:pPr>
    </w:p>
    <w:p>
      <w:pPr>
        <w:pStyle w:val="BodyText"/>
        <w:spacing w:line="316" w:lineRule="auto"/>
        <w:ind w:left="453" w:right="0"/>
        <w:jc w:val="left"/>
      </w:pPr>
      <w:r>
        <w:rPr/>
        <w:t>本公司的金融负债于初始确认时分类为以公允价值计量且其变动计入当期损益的金融负债和其他金融负债。 </w:t>
      </w:r>
      <w:r>
        <w:rPr>
          <w:spacing w:val="-1"/>
        </w:rPr>
        <w:t>金融负债于初始确认时分类为以公允价值计量且其变动计入当期损益的金融负债和其他金融负债。对于以公允价值计量</w:t>
      </w:r>
    </w:p>
    <w:p>
      <w:pPr>
        <w:pStyle w:val="BodyText"/>
        <w:spacing w:line="240" w:lineRule="auto" w:before="19"/>
        <w:ind w:right="0"/>
        <w:jc w:val="left"/>
      </w:pPr>
      <w:r>
        <w:rPr/>
        <w:t>且其变动计入当期损益的金融负债，相关交易费用直接计入当期损益，其他金融负债的相关交易费用计入其初始确认金额。</w:t>
      </w:r>
    </w:p>
    <w:p>
      <w:pPr>
        <w:pStyle w:val="BodyText"/>
        <w:spacing w:line="432" w:lineRule="exact" w:before="61"/>
        <w:ind w:left="501" w:right="0" w:firstLine="12"/>
        <w:jc w:val="left"/>
      </w:pPr>
      <w:r>
        <w:rPr/>
        <w:t>①以公允价值计量且其变动计入当期损益的金融负债 </w:t>
      </w:r>
      <w:r>
        <w:rPr>
          <w:spacing w:val="-2"/>
        </w:rPr>
        <w:t>以公允价值计量且其变动计入当期损益的金融负债，包括交易性金融负债（含属于金融负债的衍生工具）和初始确认时</w:t>
      </w:r>
    </w:p>
    <w:p>
      <w:pPr>
        <w:pStyle w:val="BodyText"/>
        <w:spacing w:line="316" w:lineRule="auto" w:before="15"/>
        <w:ind w:left="501" w:right="0" w:hanging="349"/>
        <w:jc w:val="left"/>
      </w:pPr>
      <w:r>
        <w:rPr/>
        <w:t>指定为以公允价值计量且其变动计入当期损益的金融负债。 </w:t>
      </w:r>
      <w:r>
        <w:rPr>
          <w:spacing w:val="-2"/>
        </w:rPr>
        <w:t>交易性金融负债（含属于金融负债的衍生工具），按照公允价值进行后续计量，除与套期会计有关外，公允价值变动计</w:t>
      </w:r>
    </w:p>
    <w:p>
      <w:pPr>
        <w:pStyle w:val="BodyText"/>
        <w:spacing w:line="240" w:lineRule="auto" w:before="19"/>
        <w:ind w:right="0"/>
        <w:jc w:val="left"/>
      </w:pPr>
      <w:r>
        <w:rPr/>
        <w:t>入当期损益。</w:t>
      </w:r>
    </w:p>
    <w:p>
      <w:pPr>
        <w:pStyle w:val="BodyText"/>
        <w:spacing w:line="316" w:lineRule="auto" w:before="76"/>
        <w:ind w:right="0" w:firstLine="348"/>
        <w:jc w:val="left"/>
      </w:pPr>
      <w:r>
        <w:rPr>
          <w:spacing w:val="-2"/>
        </w:rPr>
        <w:t>被指定为以公允价值计量且其变动计入当期损益的金融负债，该负债由本公司自身信用风险变动引起的公允价值变动计</w:t>
      </w:r>
      <w:r>
        <w:rPr/>
        <w:t> </w:t>
      </w:r>
      <w:r>
        <w:rPr>
          <w:spacing w:val="-4"/>
        </w:rPr>
        <w:t>入其他综合收益，且终止确认该负债时，计入其他综合收益的自身信用风险变动引起的其公允价值累计变动额转入留存收益。</w:t>
      </w:r>
      <w:r>
        <w:rPr>
          <w:spacing w:val="-44"/>
        </w:rPr>
        <w:t> </w:t>
      </w:r>
      <w:r>
        <w:rPr>
          <w:spacing w:val="-44"/>
        </w:rPr>
      </w:r>
      <w:r>
        <w:rPr>
          <w:spacing w:val="-2"/>
        </w:rPr>
        <w:t>其余公允价值变动计入当期损益。若按上述方式对该等金融负债的自身信用风险变动的影响进行处理会造成或扩大损益中的</w:t>
      </w:r>
      <w:r>
        <w:rPr>
          <w:spacing w:val="-64"/>
        </w:rPr>
        <w:t> </w:t>
      </w:r>
      <w:r>
        <w:rPr>
          <w:spacing w:val="-64"/>
        </w:rPr>
      </w:r>
      <w:r>
        <w:rPr/>
        <w:t>会计错配的，本公司将该金融负债的全部利得或损失（包括企业自身信用风险变动的影响金额）计入当期损益。</w:t>
      </w:r>
    </w:p>
    <w:p>
      <w:pPr>
        <w:pStyle w:val="BodyText"/>
        <w:spacing w:line="432" w:lineRule="exact" w:before="3"/>
        <w:ind w:left="501" w:right="0" w:firstLine="12"/>
        <w:jc w:val="left"/>
      </w:pPr>
      <w:r>
        <w:rPr/>
        <w:t>②其他金融负债 </w:t>
      </w:r>
      <w:r>
        <w:rPr>
          <w:spacing w:val="-2"/>
        </w:rPr>
        <w:t>除金融资产转移不符合终止确认条件或继续涉入被转移金融资产所形成的金融负债、财务担保合同外的其他金融负债分</w:t>
      </w:r>
    </w:p>
    <w:p>
      <w:pPr>
        <w:pStyle w:val="BodyText"/>
        <w:spacing w:line="240" w:lineRule="auto" w:before="16"/>
        <w:ind w:right="0"/>
        <w:jc w:val="left"/>
      </w:pPr>
      <w:r>
        <w:rPr/>
        <w:t>类为以摊余成本计量的金融负债，按摊余成本进行后续计量，终止确认或摊销产生的利得或损失计入当期损益。</w:t>
      </w:r>
    </w:p>
    <w:p>
      <w:pPr>
        <w:pStyle w:val="BodyText"/>
        <w:spacing w:line="540" w:lineRule="atLeast" w:before="25"/>
        <w:ind w:left="525" w:right="0" w:hanging="373"/>
        <w:jc w:val="left"/>
      </w:pPr>
      <w:r>
        <w:rPr>
          <w:rFonts w:ascii="Times New Roman" w:hAnsi="Times New Roman" w:cs="Times New Roman" w:eastAsia="Times New Roman" w:hint="default"/>
        </w:rPr>
        <w:t>3.2</w:t>
      </w:r>
      <w:r>
        <w:rPr>
          <w:rFonts w:ascii="Times New Roman" w:hAnsi="Times New Roman" w:cs="Times New Roman" w:eastAsia="Times New Roman" w:hint="default"/>
          <w:spacing w:val="11"/>
        </w:rPr>
        <w:t> </w:t>
      </w:r>
      <w:r>
        <w:rPr/>
        <w:t>金融负债终止确认条件 当金融负债的现时义务全部或部分已经解除时，终止确认该金融负债或义务已解除的部分。本公司与债权人之间签订</w:t>
      </w:r>
    </w:p>
    <w:p>
      <w:pPr>
        <w:pStyle w:val="BodyText"/>
        <w:spacing w:line="316" w:lineRule="auto" w:before="76"/>
        <w:ind w:right="1130"/>
        <w:jc w:val="both"/>
      </w:pPr>
      <w:r>
        <w:rPr>
          <w:spacing w:val="-2"/>
        </w:rPr>
        <w:t>协议，以承担新金融负债方式替换现存金融负债，且新金融负债与现存金融负债的合同条款实质上不同的，终止确认现存金</w:t>
      </w:r>
      <w:r>
        <w:rPr>
          <w:spacing w:val="-63"/>
        </w:rPr>
        <w:t> </w:t>
      </w:r>
      <w:r>
        <w:rPr>
          <w:spacing w:val="-63"/>
        </w:rPr>
      </w:r>
      <w:r>
        <w:rPr>
          <w:spacing w:val="-2"/>
        </w:rPr>
        <w:t>融负债，并同时确认新金融负债。本公司对现存金融负债全部或部分的合同条款作出实质性修改的，终止确认现存金融负债</w:t>
      </w:r>
      <w:r>
        <w:rPr>
          <w:spacing w:val="-63"/>
        </w:rPr>
        <w:t> </w:t>
      </w:r>
      <w:r>
        <w:rPr>
          <w:spacing w:val="-63"/>
        </w:rPr>
      </w:r>
      <w:r>
        <w:rPr>
          <w:spacing w:val="-2"/>
        </w:rPr>
        <w:t>或其一部分，同时将修改条款后的金融负债确认为一项新金融负债。终止确认部分的账面价值与支付的对价之间的差额，计</w:t>
      </w:r>
      <w:r>
        <w:rPr>
          <w:spacing w:val="-63"/>
        </w:rPr>
        <w:t> </w:t>
      </w:r>
      <w:r>
        <w:rPr>
          <w:spacing w:val="-63"/>
        </w:rPr>
      </w:r>
      <w:r>
        <w:rPr/>
        <w:t>入当期损益。</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4</w:t>
      </w:r>
      <w:r>
        <w:rPr/>
        <w:t>、金融资产和金融负债的公允价值确定方法</w:t>
      </w:r>
    </w:p>
    <w:p>
      <w:pPr>
        <w:spacing w:line="240" w:lineRule="auto" w:before="2"/>
        <w:rPr>
          <w:rFonts w:ascii="宋体" w:hAnsi="宋体" w:cs="宋体" w:eastAsia="宋体" w:hint="default"/>
          <w:sz w:val="23"/>
          <w:szCs w:val="23"/>
        </w:rPr>
      </w:pPr>
    </w:p>
    <w:p>
      <w:pPr>
        <w:pStyle w:val="BodyText"/>
        <w:spacing w:line="316" w:lineRule="auto"/>
        <w:ind w:right="1034" w:firstLine="360"/>
        <w:jc w:val="left"/>
      </w:pPr>
      <w:r>
        <w:rPr>
          <w:spacing w:val="-2"/>
        </w:rPr>
        <w:t>公允价值，是指市场参与者在计量日发生的有序交易中，出售一项资产所能收到或者转移一项负债所需支付的价格。金</w:t>
      </w:r>
      <w:r>
        <w:rPr/>
        <w:t> </w:t>
      </w: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spacing w:val="-2"/>
        </w:rPr>
        <w:t>照实质上相同的其他金融工具当前的公允价值、现金流量折现法和期权定价模型等。在估值时，公司采用在当前情况下适用</w:t>
      </w:r>
      <w:r>
        <w:rPr>
          <w:spacing w:val="-62"/>
        </w:rPr>
        <w:t> </w:t>
      </w:r>
      <w:r>
        <w:rPr>
          <w:spacing w:val="-62"/>
        </w:rPr>
      </w:r>
      <w:r>
        <w:rPr>
          <w:spacing w:val="-2"/>
        </w:rPr>
        <w:t>并且有足够可利用数据和其他信息支持的估值技术，选择与市场参与者在相关资产或负债的交易中所考虑的资产或负债特征</w:t>
      </w:r>
      <w:r>
        <w:rPr>
          <w:spacing w:val="-64"/>
        </w:rPr>
        <w:t> </w:t>
      </w:r>
      <w:r>
        <w:rPr>
          <w:spacing w:val="-64"/>
        </w:rPr>
      </w:r>
      <w:r>
        <w:rPr>
          <w:spacing w:val="-2"/>
        </w:rPr>
        <w:t>相一致的输入值，并尽可能优先使用相关可观察输入值。在相关可观察输入值无法取得或取得不切实可行的情况下，使用不</w:t>
      </w:r>
      <w:r>
        <w:rPr>
          <w:spacing w:val="-63"/>
        </w:rPr>
        <w:t> </w:t>
      </w:r>
      <w:r>
        <w:rPr>
          <w:spacing w:val="-63"/>
        </w:rPr>
      </w:r>
      <w:r>
        <w:rPr/>
        <w:t>可输入值。</w:t>
      </w:r>
    </w:p>
    <w:p>
      <w:pPr>
        <w:pStyle w:val="BodyText"/>
        <w:spacing w:line="552" w:lineRule="exact" w:before="27"/>
        <w:ind w:left="513" w:right="0" w:hanging="361"/>
        <w:jc w:val="left"/>
      </w:pPr>
      <w:r>
        <w:rPr>
          <w:rFonts w:ascii="Times New Roman" w:hAnsi="Times New Roman" w:cs="Times New Roman" w:eastAsia="Times New Roman" w:hint="default"/>
        </w:rPr>
        <w:t>5</w:t>
      </w:r>
      <w:r>
        <w:rPr/>
        <w:t>、金融资产和金融负债的抵销 </w:t>
      </w:r>
      <w:r>
        <w:rPr>
          <w:spacing w:val="-2"/>
        </w:rPr>
        <w:t>本公司的金融资产和金融负债在资产负债表内分别列示，不相互抵销。但同时满足下列条件时，以相互抵销后的净额在</w:t>
      </w:r>
    </w:p>
    <w:p>
      <w:pPr>
        <w:pStyle w:val="BodyText"/>
        <w:spacing w:line="300" w:lineRule="auto"/>
        <w:ind w:right="1131"/>
        <w:jc w:val="both"/>
      </w:pPr>
      <w:r>
        <w:rPr>
          <w:spacing w:val="-2"/>
        </w:rPr>
        <w:t>资产负债表内列示：（</w:t>
      </w:r>
      <w:r>
        <w:rPr>
          <w:rFonts w:ascii="Times New Roman" w:hAnsi="Times New Roman" w:cs="Times New Roman" w:eastAsia="Times New Roman" w:hint="default"/>
          <w:spacing w:val="-2"/>
        </w:rPr>
        <w:t>1</w:t>
      </w:r>
      <w:r>
        <w:rPr>
          <w:spacing w:val="-2"/>
        </w:rPr>
        <w:t>）本公司具有抵销已确认金额的法定权利，且该种法定权利是当前可执行的；（</w:t>
      </w:r>
      <w:r>
        <w:rPr>
          <w:rFonts w:ascii="Times New Roman" w:hAnsi="Times New Roman" w:cs="Times New Roman" w:eastAsia="Times New Roman" w:hint="default"/>
          <w:spacing w:val="-2"/>
        </w:rPr>
        <w:t>2</w:t>
      </w:r>
      <w:r>
        <w:rPr>
          <w:spacing w:val="-2"/>
        </w:rPr>
        <w:t>）本公司计划以净</w:t>
      </w:r>
      <w:r>
        <w:rPr>
          <w:spacing w:val="-64"/>
        </w:rPr>
        <w:t> </w:t>
      </w:r>
      <w:r>
        <w:rPr>
          <w:spacing w:val="-64"/>
        </w:rPr>
      </w:r>
      <w:r>
        <w:rPr/>
        <w:t>额结算，或同时变现该金融资产和清偿该金融负债。</w:t>
      </w:r>
    </w:p>
    <w:p>
      <w:pPr>
        <w:pStyle w:val="BodyText"/>
        <w:spacing w:line="430" w:lineRule="atLeast" w:before="90"/>
        <w:ind w:left="525" w:right="1111" w:hanging="373"/>
        <w:jc w:val="left"/>
      </w:pPr>
      <w:r>
        <w:rPr>
          <w:rFonts w:ascii="Times New Roman" w:hAnsi="Times New Roman" w:cs="Times New Roman" w:eastAsia="Times New Roman" w:hint="default"/>
        </w:rPr>
        <w:t>6</w:t>
      </w:r>
      <w:r>
        <w:rPr/>
        <w:t>、金融负债与权益工具的区分及相关处理方法 本公司按照以下原则区分金融负债与权益工具：（</w:t>
      </w:r>
      <w:r>
        <w:rPr>
          <w:rFonts w:ascii="Times New Roman" w:hAnsi="Times New Roman" w:cs="Times New Roman" w:eastAsia="Times New Roman" w:hint="default"/>
        </w:rPr>
        <w:t>1</w:t>
      </w:r>
      <w:r>
        <w:rPr/>
        <w:t>）如果本公司不能无条件地避免以交付现金或其他金融资产来履行</w:t>
      </w:r>
    </w:p>
    <w:p>
      <w:pPr>
        <w:pStyle w:val="BodyText"/>
        <w:spacing w:line="314" w:lineRule="auto" w:before="63"/>
        <w:ind w:right="1128"/>
        <w:jc w:val="both"/>
      </w:pPr>
      <w:r>
        <w:rPr>
          <w:spacing w:val="-2"/>
        </w:rPr>
        <w:t>一项合同义务，则该合同义务符合金融负债的定义。有些金融工具虽然没有明确地包含交付现金或其他金融资产义务的条款</w:t>
      </w:r>
      <w:r>
        <w:rPr>
          <w:spacing w:val="-64"/>
        </w:rPr>
        <w:t> </w:t>
      </w:r>
      <w:r>
        <w:rPr>
          <w:spacing w:val="-64"/>
        </w:rPr>
      </w:r>
      <w:r>
        <w:rPr/>
        <w:t>和条件，但有可能通过其他条款和条件间接地形成合同义务。（</w:t>
      </w:r>
      <w:r>
        <w:rPr>
          <w:rFonts w:ascii="Times New Roman" w:hAnsi="Times New Roman" w:cs="Times New Roman" w:eastAsia="Times New Roman" w:hint="default"/>
        </w:rPr>
        <w:t>2</w:t>
      </w:r>
      <w:r>
        <w:rPr/>
        <w:t>）如果一项金融工具须用或可用本公司自身权益工具进行</w:t>
      </w:r>
      <w:r>
        <w:rPr>
          <w:spacing w:val="-83"/>
        </w:rPr>
        <w:t> </w:t>
      </w:r>
      <w:r>
        <w:rPr>
          <w:spacing w:val="-83"/>
        </w:rPr>
      </w:r>
      <w:r>
        <w:rPr>
          <w:spacing w:val="-2"/>
        </w:rPr>
        <w:t>结算，需要考虑用于结算该工具的本公司自身权益工具，是作为现金或其他金融资产的替代品，还是为了使该工具持有方享</w:t>
      </w:r>
      <w:r>
        <w:rPr>
          <w:spacing w:val="-61"/>
        </w:rPr>
        <w:t> </w:t>
      </w:r>
      <w:r>
        <w:rPr>
          <w:spacing w:val="-61"/>
        </w:rPr>
      </w:r>
      <w:r>
        <w:rPr>
          <w:spacing w:val="-2"/>
        </w:rPr>
        <w:t>有在发行方扣除所有负债后的资产中的剩余权益。如果是前者，该工具是发行方的金融负债；如果是后者，该工具是发行方</w:t>
      </w:r>
      <w:r>
        <w:rPr>
          <w:spacing w:val="-64"/>
        </w:rPr>
        <w:t> </w:t>
      </w:r>
      <w:r>
        <w:rPr>
          <w:spacing w:val="-64"/>
        </w:rPr>
      </w:r>
      <w:r>
        <w:rPr>
          <w:spacing w:val="-2"/>
        </w:rPr>
        <w:t>的权益工具。在某些情况下，一项金融工具合同规定本公司须用或可用自身权益工具结算该金融工具，其中合同权利或合同</w:t>
      </w:r>
      <w:r>
        <w:rPr>
          <w:spacing w:val="-65"/>
        </w:rPr>
        <w:t> </w:t>
      </w:r>
      <w:r>
        <w:rPr>
          <w:spacing w:val="-65"/>
        </w:rPr>
      </w:r>
      <w:r>
        <w:rPr/>
        <w:t>义务的金额等于可获取或需交付的自身权益工具的数量乘以其结算时的公允价值，则无论该合同权利或义务的金额是固定</w:t>
      </w:r>
      <w:r>
        <w:rPr>
          <w:spacing w:val="-11"/>
        </w:rPr>
        <w:t> </w:t>
      </w:r>
      <w:r>
        <w:rPr>
          <w:spacing w:val="-11"/>
        </w:rPr>
      </w:r>
      <w:r>
        <w:rPr>
          <w:spacing w:val="-2"/>
        </w:rPr>
        <w:t>的，还是完全或部分地基于除本公司自身权益工具的市场价格以外的变量（例如利率、某种商品的价格或某项金融工具的价</w:t>
      </w:r>
      <w:r>
        <w:rPr>
          <w:spacing w:val="-66"/>
        </w:rPr>
        <w:t> </w:t>
      </w:r>
      <w:r>
        <w:rPr>
          <w:spacing w:val="-66"/>
        </w:rPr>
      </w:r>
      <w:r>
        <w:rPr/>
        <w:t>格）的变动而变动，该合同分类为金融负债。</w:t>
      </w:r>
    </w:p>
    <w:p>
      <w:pPr>
        <w:pStyle w:val="BodyText"/>
        <w:spacing w:line="316" w:lineRule="auto" w:before="140"/>
        <w:ind w:right="1132" w:firstLine="466"/>
        <w:jc w:val="both"/>
      </w:pPr>
      <w:r>
        <w:rPr>
          <w:spacing w:val="-1"/>
        </w:rPr>
        <w:t>本公司在合并报表中对金融工具（或其组成部分）进行分类时，考虑了公司成员和金融工具持有方之间达成的所有条</w:t>
      </w:r>
      <w:r>
        <w:rPr/>
        <w:t> </w:t>
      </w:r>
      <w:r>
        <w:rPr>
          <w:spacing w:val="-2"/>
        </w:rPr>
        <w:t>款和条件。如果公司作为一个整体由于该工具而承担了交付现金、其他金融资产或者以其他导致该工具成为金融负债的方式</w:t>
      </w:r>
      <w:r>
        <w:rPr>
          <w:spacing w:val="-64"/>
        </w:rPr>
        <w:t> </w:t>
      </w:r>
      <w:r>
        <w:rPr>
          <w:spacing w:val="-64"/>
        </w:rPr>
      </w:r>
      <w:r>
        <w:rPr/>
        <w:t>进行结算的义务，则该工具应当分类为金融负债。</w:t>
      </w:r>
    </w:p>
    <w:p>
      <w:pPr>
        <w:pStyle w:val="BodyText"/>
        <w:spacing w:line="316" w:lineRule="auto" w:before="139"/>
        <w:ind w:right="1130" w:firstLine="466"/>
        <w:jc w:val="both"/>
      </w:pPr>
      <w:r>
        <w:rPr>
          <w:spacing w:val="-1"/>
        </w:rPr>
        <w:t>金融工具或其组成部分属于金融负债的，相关利息、股利（或股息）、利得或损失，以及赎回或再融资产生的利得或</w:t>
      </w:r>
      <w:r>
        <w:rPr/>
        <w:t> 损失等，本公司计入当期损益。</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金融工具或其组成部分属于权益工具的，其发行（含再融资）、回购、出售或注销时，本公司作为权益的变动处理，不</w:t>
      </w:r>
      <w:r>
        <w:rPr/>
        <w:t> 确认权益工具的公允价值变动。</w:t>
      </w:r>
    </w:p>
    <w:p>
      <w:pPr>
        <w:spacing w:line="240" w:lineRule="auto" w:before="11"/>
        <w:rPr>
          <w:rFonts w:ascii="宋体" w:hAnsi="宋体" w:cs="宋体" w:eastAsia="宋体" w:hint="default"/>
          <w:sz w:val="19"/>
          <w:szCs w:val="19"/>
        </w:rPr>
      </w:pPr>
    </w:p>
    <w:p>
      <w:pPr>
        <w:pStyle w:val="BodyText"/>
        <w:spacing w:line="300" w:lineRule="auto"/>
        <w:ind w:left="513" w:right="1122" w:hanging="361"/>
        <w:jc w:val="left"/>
      </w:pPr>
      <w:r>
        <w:rPr>
          <w:rFonts w:ascii="Times New Roman" w:hAnsi="Times New Roman" w:cs="Times New Roman" w:eastAsia="Times New Roman" w:hint="default"/>
        </w:rPr>
        <w:t>7</w:t>
      </w:r>
      <w:r>
        <w:rPr/>
        <w:t>、金融资产减值 </w:t>
      </w:r>
      <w:r>
        <w:rPr>
          <w:spacing w:val="-2"/>
        </w:rPr>
        <w:t>本公司需确认减值损失的金融资产系以摊余成本计量的金融资产、以公允价值计量且其变动计入其他综合收益的债务工</w:t>
      </w:r>
    </w:p>
    <w:p>
      <w:pPr>
        <w:pStyle w:val="BodyText"/>
        <w:spacing w:line="240" w:lineRule="auto" w:before="31"/>
        <w:ind w:right="0"/>
        <w:jc w:val="left"/>
      </w:pPr>
      <w:r>
        <w:rPr/>
        <w:t>具投资、租赁应收款，主要包括应收票据、应收账款、其他应收款、债权投资、其他债权投资、长期应收款等。</w:t>
      </w:r>
    </w:p>
    <w:p>
      <w:pPr>
        <w:pStyle w:val="BodyText"/>
        <w:spacing w:line="300" w:lineRule="auto" w:before="76"/>
        <w:ind w:left="513" w:right="0" w:hanging="361"/>
        <w:jc w:val="left"/>
      </w:pPr>
      <w:r>
        <w:rPr>
          <w:rFonts w:ascii="Times New Roman" w:hAnsi="Times New Roman" w:cs="Times New Roman" w:eastAsia="Times New Roman" w:hint="default"/>
        </w:rPr>
        <w:t>7.1</w:t>
      </w:r>
      <w:r>
        <w:rPr/>
        <w:t>减值准备的确认方法 </w:t>
      </w:r>
      <w:r>
        <w:rPr>
          <w:spacing w:val="-2"/>
        </w:rPr>
        <w:t>本公司以预期信用损失为基础，对上述各项目按照其适用的预期信用损失计量方法（一般方法或简化方法）计提减值准</w:t>
      </w:r>
    </w:p>
    <w:p>
      <w:pPr>
        <w:pStyle w:val="BodyText"/>
        <w:spacing w:line="316" w:lineRule="auto" w:before="31"/>
        <w:ind w:left="513" w:right="0" w:hanging="361"/>
        <w:jc w:val="left"/>
      </w:pPr>
      <w:r>
        <w:rPr/>
        <w:t>备并确认信用减值损失。 </w:t>
      </w:r>
      <w:r>
        <w:rPr>
          <w:spacing w:val="-2"/>
        </w:rPr>
        <w:t>信用损失，是指本公司按照原实际利率折现的、根据合同应收的所有合同现金流量与预期收取的所有现金流量之间的差</w:t>
      </w:r>
    </w:p>
    <w:p>
      <w:pPr>
        <w:pStyle w:val="BodyText"/>
        <w:spacing w:line="316" w:lineRule="auto" w:before="18"/>
        <w:ind w:right="1130"/>
        <w:jc w:val="both"/>
      </w:pPr>
      <w:r>
        <w:rPr>
          <w:spacing w:val="-2"/>
        </w:rPr>
        <w:t>额，即全部现金短缺的现值。其中，对于购买或源生的已发生信用减值的金融资产，本公司按照该金融资产经信用调整的实</w:t>
      </w:r>
      <w:r>
        <w:rPr>
          <w:spacing w:val="-63"/>
        </w:rPr>
        <w:t> </w:t>
      </w:r>
      <w:r>
        <w:rPr>
          <w:spacing w:val="-63"/>
        </w:rPr>
      </w:r>
      <w:r>
        <w:rPr/>
        <w:t>际利率折现。</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130" w:firstLine="360"/>
        <w:jc w:val="both"/>
      </w:pPr>
      <w:r>
        <w:rPr>
          <w:spacing w:val="-2"/>
        </w:rPr>
        <w:t>预期信用损失计量的一般方法是指，本公司在每个资产负债表日评估金融资产的信用风险自初始确认后是否已经显著增</w:t>
      </w:r>
      <w:r>
        <w:rPr/>
        <w:t> </w:t>
      </w:r>
      <w:r>
        <w:rPr>
          <w:spacing w:val="-2"/>
        </w:rPr>
        <w:t>加，如果信用风险自初始确认后已显著增加，本公司按照相当于整个存续期内预期信用损失的金额计量损失准备；如果信用</w:t>
      </w:r>
      <w:r>
        <w:rPr>
          <w:spacing w:val="-63"/>
        </w:rPr>
        <w:t> </w:t>
      </w:r>
      <w:r>
        <w:rPr>
          <w:spacing w:val="-63"/>
        </w:rPr>
      </w:r>
      <w:r>
        <w:rPr>
          <w:spacing w:val="-2"/>
        </w:rPr>
        <w:t>风险自初始确认后未显著增加，本公司按照相当于未来</w:t>
      </w:r>
      <w:r>
        <w:rPr>
          <w:rFonts w:ascii="Times New Roman" w:hAnsi="Times New Roman" w:cs="Times New Roman" w:eastAsia="Times New Roman" w:hint="default"/>
          <w:spacing w:val="-2"/>
        </w:rPr>
        <w:t>12</w:t>
      </w:r>
      <w:r>
        <w:rPr>
          <w:spacing w:val="-2"/>
        </w:rPr>
        <w:t>个月内预期信用损失的金额计量损失准备。本公司在评估预期信用</w:t>
      </w:r>
      <w:r>
        <w:rPr>
          <w:spacing w:val="-62"/>
        </w:rPr>
        <w:t> </w:t>
      </w:r>
      <w:r>
        <w:rPr>
          <w:spacing w:val="-62"/>
        </w:rPr>
      </w:r>
      <w:r>
        <w:rPr/>
        <w:t>损失时，考虑所有合理且有依据的信息，包括前瞻性信息。</w:t>
      </w:r>
    </w:p>
    <w:p>
      <w:pPr>
        <w:pStyle w:val="BodyText"/>
        <w:spacing w:line="240" w:lineRule="auto" w:before="22"/>
        <w:ind w:left="513" w:right="0"/>
        <w:jc w:val="left"/>
      </w:pPr>
      <w:r>
        <w:rPr/>
        <w:t>对于在资产负债表日具有较低信用风险的金融工具，本公司假设其信用风险自初始确认后并未显著增加，选择按照未来</w:t>
      </w:r>
    </w:p>
    <w:p>
      <w:pPr>
        <w:pStyle w:val="BodyText"/>
        <w:spacing w:line="240" w:lineRule="auto" w:before="76"/>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个月内的预期信用损失计量损失准备。</w:t>
      </w:r>
    </w:p>
    <w:p>
      <w:pPr>
        <w:pStyle w:val="BodyText"/>
        <w:spacing w:line="300" w:lineRule="auto" w:before="63"/>
        <w:ind w:left="513" w:right="1213" w:hanging="361"/>
        <w:jc w:val="left"/>
      </w:pPr>
      <w:r>
        <w:rPr>
          <w:rFonts w:ascii="Times New Roman" w:hAnsi="Times New Roman" w:cs="Times New Roman" w:eastAsia="Times New Roman" w:hint="default"/>
        </w:rPr>
        <w:t>7.2</w:t>
      </w:r>
      <w:r>
        <w:rPr>
          <w:rFonts w:ascii="Times New Roman" w:hAnsi="Times New Roman" w:cs="Times New Roman" w:eastAsia="Times New Roman" w:hint="default"/>
          <w:spacing w:val="9"/>
        </w:rPr>
        <w:t> </w:t>
      </w:r>
      <w:r>
        <w:rPr/>
        <w:t>信用风险自初始确认后是否显著增加的判断标准 如果某项金融资产在资产负债表日确定的预计存续期内的违约概率显著高于在初始确认时确定的预计存续期内的违约</w:t>
      </w:r>
    </w:p>
    <w:p>
      <w:pPr>
        <w:pStyle w:val="BodyText"/>
        <w:spacing w:line="300" w:lineRule="auto" w:before="31"/>
        <w:ind w:right="0"/>
        <w:jc w:val="left"/>
      </w:pPr>
      <w:r>
        <w:rPr>
          <w:spacing w:val="-2"/>
        </w:rPr>
        <w:t>概率，则表明该项金融资产的信用风险显著增加。除特殊情况外，本公司采用未来</w:t>
      </w:r>
      <w:r>
        <w:rPr>
          <w:rFonts w:ascii="Times New Roman" w:hAnsi="Times New Roman" w:cs="Times New Roman" w:eastAsia="Times New Roman" w:hint="default"/>
          <w:spacing w:val="-2"/>
        </w:rPr>
        <w:t>12</w:t>
      </w:r>
      <w:r>
        <w:rPr>
          <w:spacing w:val="-2"/>
        </w:rPr>
        <w:t>个月内发生的违约风险的变化作为整个</w:t>
      </w:r>
      <w:r>
        <w:rPr>
          <w:spacing w:val="-61"/>
        </w:rPr>
        <w:t> </w:t>
      </w:r>
      <w:r>
        <w:rPr>
          <w:spacing w:val="-61"/>
        </w:rPr>
      </w:r>
      <w:r>
        <w:rPr/>
        <w:t>存续期内发生违约风险变化的合理估计，来确定自初始确认后信用风险是否显著增加。</w:t>
      </w:r>
    </w:p>
    <w:p>
      <w:pPr>
        <w:pStyle w:val="BodyText"/>
        <w:spacing w:line="300" w:lineRule="auto" w:before="31"/>
        <w:ind w:left="513" w:right="0" w:hanging="361"/>
        <w:jc w:val="left"/>
      </w:pPr>
      <w:r>
        <w:rPr>
          <w:rFonts w:ascii="Times New Roman" w:hAnsi="Times New Roman" w:cs="Times New Roman" w:eastAsia="Times New Roman" w:hint="default"/>
        </w:rPr>
        <w:t>7.3</w:t>
      </w:r>
      <w:r>
        <w:rPr>
          <w:rFonts w:ascii="Times New Roman" w:hAnsi="Times New Roman" w:cs="Times New Roman" w:eastAsia="Times New Roman" w:hint="default"/>
          <w:spacing w:val="9"/>
        </w:rPr>
        <w:t> </w:t>
      </w:r>
      <w:r>
        <w:rPr/>
        <w:t>以组合为基础评估预期信用风险的组合方法 </w:t>
      </w:r>
      <w:r>
        <w:rPr>
          <w:spacing w:val="-2"/>
        </w:rPr>
        <w:t>本公司对信用风险显著不同的金融资产单项评价信用风险，如：应收关联方款项；与对方存在争议或涉及诉讼、仲裁的</w:t>
      </w:r>
    </w:p>
    <w:p>
      <w:pPr>
        <w:pStyle w:val="BodyText"/>
        <w:spacing w:line="316" w:lineRule="auto" w:before="32"/>
        <w:ind w:left="513" w:right="0" w:hanging="361"/>
        <w:jc w:val="left"/>
      </w:pPr>
      <w:r>
        <w:rPr/>
        <w:t>应收款项；已有明显迹象表明债务人很可能无法履行还款义务的应收款项等。 </w:t>
      </w:r>
      <w:r>
        <w:rPr>
          <w:spacing w:val="-2"/>
        </w:rPr>
        <w:t>除了单项评估信用风险的金融资产外，本公司基于共同风险特征将金融资产划分为不同的组别，在组合的基础上评估信</w:t>
      </w:r>
    </w:p>
    <w:p>
      <w:pPr>
        <w:pStyle w:val="BodyText"/>
        <w:spacing w:line="240" w:lineRule="auto" w:before="19"/>
        <w:ind w:right="0"/>
        <w:jc w:val="left"/>
      </w:pPr>
      <w:r>
        <w:rPr/>
        <w:t>用风险。</w:t>
      </w:r>
    </w:p>
    <w:p>
      <w:pPr>
        <w:pStyle w:val="BodyText"/>
        <w:spacing w:line="300" w:lineRule="auto" w:before="76"/>
        <w:ind w:left="441" w:right="0" w:hanging="289"/>
        <w:jc w:val="left"/>
      </w:pPr>
      <w:r>
        <w:rPr>
          <w:rFonts w:ascii="Times New Roman" w:hAnsi="Times New Roman" w:cs="Times New Roman" w:eastAsia="Times New Roman" w:hint="default"/>
        </w:rPr>
        <w:t>7.4</w:t>
      </w:r>
      <w:r>
        <w:rPr>
          <w:rFonts w:ascii="Times New Roman" w:hAnsi="Times New Roman" w:cs="Times New Roman" w:eastAsia="Times New Roman" w:hint="default"/>
          <w:spacing w:val="9"/>
        </w:rPr>
        <w:t> </w:t>
      </w:r>
      <w:r>
        <w:rPr/>
        <w:t>金融资产减值的会计处理方法 </w:t>
      </w:r>
      <w:r>
        <w:rPr>
          <w:spacing w:val="-1"/>
        </w:rPr>
        <w:t>期末，本公司计算各类金融资产的预计信用损失，如果该预计信用损失大于其当前减值准备的账面金额，将其差额确认</w:t>
      </w:r>
    </w:p>
    <w:p>
      <w:pPr>
        <w:pStyle w:val="BodyText"/>
        <w:spacing w:line="240" w:lineRule="auto" w:before="31"/>
        <w:ind w:right="0"/>
        <w:jc w:val="left"/>
      </w:pPr>
      <w:r>
        <w:rPr/>
        <w:t>为减值损失；如果小于当前减值准备的账面金额，则将差额确认为减值利得。</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11、应收票据" w:id="178"/>
      <w:bookmarkEnd w:id="178"/>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420" w:lineRule="auto"/>
        <w:ind w:left="580" w:right="4206"/>
        <w:jc w:val="left"/>
      </w:pPr>
      <w:r>
        <w:rPr/>
        <w:pict>
          <v:shape style="position:absolute;margin-left:56.279999pt;margin-top:35.711742pt;width:455.05pt;height:51.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66"/>
                    <w:gridCol w:w="6308"/>
                  </w:tblGrid>
                  <w:tr>
                    <w:trPr>
                      <w:trHeight w:val="351" w:hRule="exact"/>
                    </w:trPr>
                    <w:tc>
                      <w:tcPr>
                        <w:tcW w:w="276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630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660" w:hRule="exact"/>
                    </w:trPr>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6308" w:type="dxa"/>
                        <w:tcBorders>
                          <w:top w:val="single" w:sz="8" w:space="0" w:color="000000"/>
                          <w:left w:val="single" w:sz="6" w:space="0" w:color="000000"/>
                          <w:bottom w:val="single" w:sz="8" w:space="0" w:color="000000"/>
                          <w:right w:val="nil" w:sz="6" w:space="0" w:color="auto"/>
                        </w:tcBorders>
                      </w:tcPr>
                      <w:p>
                        <w:pPr>
                          <w:pStyle w:val="TableParagraph"/>
                          <w:spacing w:line="300" w:lineRule="auto" w:before="13"/>
                          <w:ind w:left="4" w:right="19"/>
                          <w:jc w:val="left"/>
                          <w:rPr>
                            <w:rFonts w:ascii="宋体" w:hAnsi="宋体" w:cs="宋体" w:eastAsia="宋体" w:hint="default"/>
                            <w:sz w:val="18"/>
                            <w:szCs w:val="18"/>
                          </w:rPr>
                        </w:pPr>
                        <w:r>
                          <w:rPr>
                            <w:rFonts w:ascii="宋体" w:hAnsi="宋体" w:cs="宋体" w:eastAsia="宋体" w:hint="default"/>
                            <w:spacing w:val="-3"/>
                            <w:sz w:val="18"/>
                            <w:szCs w:val="18"/>
                          </w:rPr>
                          <w:t>根据承兑人的信用风险划分，与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组合划分相同，详见四、</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）②</w:t>
                        </w:r>
                        <w:r>
                          <w:rPr>
                            <w:rFonts w:ascii="宋体" w:hAnsi="宋体" w:cs="宋体" w:eastAsia="宋体" w:hint="default"/>
                            <w:spacing w:val="-76"/>
                            <w:sz w:val="18"/>
                            <w:szCs w:val="18"/>
                          </w:rPr>
                          <w:t> </w:t>
                        </w:r>
                        <w:r>
                          <w:rPr>
                            <w:rFonts w:ascii="宋体" w:hAnsi="宋体" w:cs="宋体" w:eastAsia="宋体" w:hint="default"/>
                            <w:sz w:val="18"/>
                            <w:szCs w:val="18"/>
                          </w:rPr>
                          <w:t>应收账款</w:t>
                        </w:r>
                      </w:p>
                    </w:tc>
                  </w:tr>
                </w:tbl>
                <w:p>
                  <w:pPr/>
                </w:p>
              </w:txbxContent>
            </v:textbox>
            <w10:wrap type="none"/>
          </v:shape>
        </w:pict>
      </w:r>
      <w:r>
        <w:rPr/>
        <w:t>司对于应收票据按照相当于整个存续期内的预期信用损失金额计量损失准备。 基于应收票据的信用风险特征，将其划分为不同组合：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bookmarkStart w:name="12、应收账款" w:id="179"/>
      <w:bookmarkEnd w:id="179"/>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对于不含重大融资成分的应收款项，本公司按照相当于整个存续期内的预期信用损失金额计量损失准备。</w:t>
      </w:r>
    </w:p>
    <w:p>
      <w:pPr>
        <w:spacing w:line="240" w:lineRule="auto" w:before="2"/>
        <w:rPr>
          <w:rFonts w:ascii="宋体" w:hAnsi="宋体" w:cs="宋体" w:eastAsia="宋体" w:hint="default"/>
          <w:sz w:val="10"/>
          <w:szCs w:val="10"/>
        </w:rPr>
      </w:pPr>
    </w:p>
    <w:p>
      <w:pPr>
        <w:pStyle w:val="BodyText"/>
        <w:spacing w:line="240" w:lineRule="auto" w:before="44"/>
        <w:ind w:left="513" w:right="0"/>
        <w:jc w:val="left"/>
      </w:pPr>
      <w:r>
        <w:rPr/>
        <w:t>对于包含重大融资成分的应收款项和租赁应收款</w:t>
      </w:r>
      <w:r>
        <w:rPr>
          <w:spacing w:val="-82"/>
        </w:rPr>
        <w:t>，</w:t>
      </w:r>
      <w:r>
        <w:rPr/>
        <w:t>本公司选择始终按照相当于存续期内预期信用损失的金额计量损失准</w:t>
      </w:r>
    </w:p>
    <w:p>
      <w:pPr>
        <w:pStyle w:val="BodyText"/>
        <w:spacing w:line="240" w:lineRule="auto" w:before="76"/>
        <w:ind w:right="0"/>
        <w:jc w:val="left"/>
      </w:pPr>
      <w:r>
        <w:rPr/>
        <w:t>备。</w:t>
      </w:r>
    </w:p>
    <w:p>
      <w:pPr>
        <w:spacing w:line="240" w:lineRule="auto" w:before="2"/>
        <w:rPr>
          <w:rFonts w:ascii="宋体" w:hAnsi="宋体" w:cs="宋体" w:eastAsia="宋体" w:hint="default"/>
          <w:sz w:val="10"/>
          <w:szCs w:val="10"/>
        </w:rPr>
      </w:pPr>
    </w:p>
    <w:p>
      <w:pPr>
        <w:pStyle w:val="BodyText"/>
        <w:spacing w:line="240" w:lineRule="auto" w:before="44"/>
        <w:ind w:left="513" w:right="0"/>
        <w:jc w:val="left"/>
      </w:pPr>
      <w:r>
        <w:rPr/>
        <w:t>除了单项评估信用风险的应收账款以及无信用风险的应收账款外，基于其信用风险特征，将其划分为不同组合：</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410"/>
        <w:gridCol w:w="6664"/>
      </w:tblGrid>
      <w:tr>
        <w:trPr>
          <w:trHeight w:val="348" w:hRule="exact"/>
        </w:trPr>
        <w:tc>
          <w:tcPr>
            <w:tcW w:w="241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666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49"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666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以应收款项的账龄作为信用风险特征。</w:t>
            </w:r>
          </w:p>
        </w:tc>
      </w:tr>
      <w:tr>
        <w:trPr>
          <w:trHeight w:val="348"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（关联方组合）</w:t>
            </w:r>
          </w:p>
        </w:tc>
        <w:tc>
          <w:tcPr>
            <w:tcW w:w="666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合并范围内的关联方之间具有类似信用风险特征</w:t>
            </w:r>
          </w:p>
        </w:tc>
      </w:tr>
    </w:tbl>
    <w:p>
      <w:pPr>
        <w:spacing w:line="240" w:lineRule="auto" w:before="12"/>
        <w:rPr>
          <w:rFonts w:ascii="宋体" w:hAnsi="宋体" w:cs="宋体" w:eastAsia="宋体" w:hint="default"/>
          <w:sz w:val="4"/>
          <w:szCs w:val="4"/>
        </w:rPr>
      </w:pPr>
    </w:p>
    <w:p>
      <w:pPr>
        <w:pStyle w:val="BodyText"/>
        <w:spacing w:line="417" w:lineRule="auto" w:before="44"/>
        <w:ind w:left="513" w:right="7423"/>
        <w:jc w:val="left"/>
      </w:pPr>
      <w:r>
        <w:rPr/>
        <w:pict>
          <v:shape style="position:absolute;margin-left:56.279999pt;margin-top:37.911694pt;width:448.8pt;height:70.4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67"/>
                    <w:gridCol w:w="5183"/>
                  </w:tblGrid>
                  <w:tr>
                    <w:trPr>
                      <w:trHeight w:val="350" w:hRule="exact"/>
                    </w:trPr>
                    <w:tc>
                      <w:tcPr>
                        <w:tcW w:w="3767" w:type="dxa"/>
                        <w:tcBorders>
                          <w:top w:val="single" w:sz="6" w:space="0" w:color="000000"/>
                          <w:left w:val="single" w:sz="6" w:space="0" w:color="000000"/>
                          <w:bottom w:val="single" w:sz="8" w:space="0" w:color="000000"/>
                          <w:right w:val="single" w:sz="6" w:space="0" w:color="000000"/>
                        </w:tcBorders>
                      </w:tcPr>
                      <w:p>
                        <w:pPr>
                          <w:pStyle w:val="TableParagraph"/>
                          <w:tabs>
                            <w:tab w:pos="417" w:val="left" w:leader="none"/>
                          </w:tabs>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w w:val="95"/>
                            <w:sz w:val="18"/>
                            <w:szCs w:val="18"/>
                          </w:rPr>
                          <w:t>账</w:t>
                          <w:tab/>
                        </w:r>
                        <w:r>
                          <w:rPr>
                            <w:rFonts w:ascii="宋体" w:hAnsi="宋体" w:cs="宋体" w:eastAsia="宋体" w:hint="default"/>
                            <w:b/>
                            <w:bCs/>
                            <w:sz w:val="18"/>
                            <w:szCs w:val="18"/>
                          </w:rPr>
                          <w:t>龄</w:t>
                        </w:r>
                        <w:r>
                          <w:rPr>
                            <w:rFonts w:ascii="宋体" w:hAnsi="宋体" w:cs="宋体" w:eastAsia="宋体" w:hint="default"/>
                            <w:sz w:val="18"/>
                            <w:szCs w:val="18"/>
                          </w:rPr>
                        </w:r>
                      </w:p>
                    </w:tc>
                    <w:tc>
                      <w:tcPr>
                        <w:tcW w:w="518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应收账款预期信用损失率（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年，下同）</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10.00</w:t>
                        </w:r>
                      </w:p>
                    </w:tc>
                  </w:tr>
                  <w:tr>
                    <w:trPr>
                      <w:trHeight w:val="348"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20.00</w:t>
                        </w:r>
                      </w:p>
                    </w:tc>
                  </w:tr>
                </w:tbl>
                <w:p>
                  <w:pPr/>
                </w:p>
              </w:txbxContent>
            </v:textbox>
            <w10:wrap type="none"/>
          </v:shape>
        </w:pict>
      </w:r>
      <w:r>
        <w:rPr/>
        <w:t>各组合预期信用损失率如下列示： 组合</w:t>
      </w:r>
      <w:r>
        <w:rPr>
          <w:rFonts w:ascii="Times New Roman" w:hAnsi="Times New Roman" w:cs="Times New Roman" w:eastAsia="Times New Roman" w:hint="default"/>
        </w:rPr>
        <w:t>1</w:t>
      </w:r>
      <w:r>
        <w:rPr/>
        <w:t>（账龄组合）：预期信用损失率</w:t>
      </w:r>
    </w:p>
    <w:p>
      <w:pPr>
        <w:spacing w:after="0" w:line="417"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767"/>
        <w:gridCol w:w="5183"/>
      </w:tblGrid>
      <w:tr>
        <w:trPr>
          <w:trHeight w:val="351" w:hRule="exact"/>
        </w:trPr>
        <w:tc>
          <w:tcPr>
            <w:tcW w:w="376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518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50.00</w:t>
            </w:r>
          </w:p>
        </w:tc>
      </w:tr>
      <w:tr>
        <w:trPr>
          <w:trHeight w:val="346"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50.00</w:t>
            </w:r>
          </w:p>
        </w:tc>
      </w:tr>
      <w:tr>
        <w:trPr>
          <w:trHeight w:val="348"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50.00</w:t>
            </w:r>
          </w:p>
        </w:tc>
      </w:tr>
    </w:tbl>
    <w:p>
      <w:pPr>
        <w:spacing w:line="240" w:lineRule="auto" w:before="12"/>
        <w:rPr>
          <w:rFonts w:ascii="宋体" w:hAnsi="宋体" w:cs="宋体" w:eastAsia="宋体" w:hint="default"/>
          <w:sz w:val="4"/>
          <w:szCs w:val="4"/>
        </w:rPr>
      </w:pPr>
    </w:p>
    <w:p>
      <w:pPr>
        <w:pStyle w:val="BodyText"/>
        <w:spacing w:line="300" w:lineRule="auto" w:before="44"/>
        <w:ind w:right="1124" w:firstLine="360"/>
        <w:jc w:val="left"/>
      </w:pPr>
      <w:r>
        <w:rPr/>
        <w:t>组合</w:t>
      </w:r>
      <w:r>
        <w:rPr>
          <w:rFonts w:ascii="Times New Roman" w:hAnsi="Times New Roman" w:cs="Times New Roman" w:eastAsia="Times New Roman" w:hint="default"/>
        </w:rPr>
        <w:t>2</w:t>
      </w:r>
      <w:r>
        <w:rPr/>
        <w:t>（关联方组合）：结合历史违约损失经验及目前经济状况、考虑前瞻性信息，对合并范围内关联方组合单独进行 测试，如不存在减值的，不计提。</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13、应收款项融资" w:id="180"/>
      <w:bookmarkEnd w:id="180"/>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本公司对于应收款项融资按照相当于整个存续期内的预期信用损失金额计量损失准备。基于应收款项融资的信用风险特</w:t>
      </w:r>
      <w:r>
        <w:rPr/>
        <w:t> 征，将其划分为不同组合：</w:t>
      </w:r>
    </w:p>
    <w:tbl>
      <w:tblPr>
        <w:tblW w:w="0" w:type="auto"/>
        <w:jc w:val="left"/>
        <w:tblInd w:w="145" w:type="dxa"/>
        <w:tblLayout w:type="fixed"/>
        <w:tblCellMar>
          <w:top w:w="0" w:type="dxa"/>
          <w:left w:w="0" w:type="dxa"/>
          <w:bottom w:w="0" w:type="dxa"/>
          <w:right w:w="0" w:type="dxa"/>
        </w:tblCellMar>
        <w:tblLook w:val="01E0"/>
      </w:tblPr>
      <w:tblGrid>
        <w:gridCol w:w="2766"/>
        <w:gridCol w:w="6308"/>
      </w:tblGrid>
      <w:tr>
        <w:trPr>
          <w:trHeight w:val="350" w:hRule="exact"/>
        </w:trPr>
        <w:tc>
          <w:tcPr>
            <w:tcW w:w="276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630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left="354"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49" w:hRule="exact"/>
        </w:trPr>
        <w:tc>
          <w:tcPr>
            <w:tcW w:w="27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630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承兑人为信用风险较小的银行或财务公司</w:t>
            </w:r>
          </w:p>
        </w:tc>
      </w:tr>
    </w:tbl>
    <w:p>
      <w:pPr>
        <w:pStyle w:val="BodyText"/>
        <w:spacing w:line="316" w:lineRule="auto" w:before="19"/>
        <w:ind w:right="1135" w:firstLine="439"/>
        <w:jc w:val="left"/>
      </w:pPr>
      <w:r>
        <w:rPr/>
        <w:t>结合历史违约损失经验及目前经济状况，考虑前瞻性信息，对银行承兑汇票组合单独进行测试，如不存在减值的，不 计提。</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14、其他应收款" w:id="181"/>
      <w:bookmarkEnd w:id="181"/>
      <w:r>
        <w:rPr>
          <w:b w:val="0"/>
          <w:bCs w:val="0"/>
        </w:rPr>
      </w:r>
      <w:r>
        <w:rPr>
          <w:rFonts w:ascii="Times New Roman" w:hAnsi="Times New Roman" w:cs="Times New Roman" w:eastAsia="Times New Roman" w:hint="default"/>
        </w:rPr>
        <w:t>14</w:t>
      </w:r>
      <w:r>
        <w:rPr/>
        <w:t>、其他应收款</w:t>
      </w:r>
      <w:r>
        <w:rPr>
          <w:b w:val="0"/>
          <w:bCs w:val="0"/>
        </w:rPr>
      </w:r>
    </w:p>
    <w:p>
      <w:pPr>
        <w:pStyle w:val="BodyText"/>
        <w:spacing w:line="420" w:lineRule="atLeast" w:before="157"/>
        <w:ind w:left="513" w:right="0" w:hanging="361"/>
        <w:jc w:val="left"/>
      </w:pPr>
      <w:r>
        <w:rPr/>
        <w:t>其他应收款的预期信用损失的确定方法及会计处理方法 </w:t>
      </w:r>
      <w:r>
        <w:rPr>
          <w:spacing w:val="-2"/>
        </w:rPr>
        <w:t>本公司依据其他应收款信用风险自初始确认后是否已经显著增加，采用相当于未来</w:t>
      </w:r>
      <w:r>
        <w:rPr>
          <w:rFonts w:ascii="Times New Roman" w:hAnsi="Times New Roman" w:cs="Times New Roman" w:eastAsia="Times New Roman" w:hint="default"/>
          <w:spacing w:val="-2"/>
        </w:rPr>
        <w:t>12</w:t>
      </w:r>
      <w:r>
        <w:rPr>
          <w:spacing w:val="-2"/>
        </w:rPr>
        <w:t>个月内、或整个存续期的预期信用</w:t>
      </w:r>
    </w:p>
    <w:p>
      <w:pPr>
        <w:pStyle w:val="BodyText"/>
        <w:spacing w:line="240" w:lineRule="auto" w:before="63"/>
        <w:ind w:right="0"/>
        <w:jc w:val="left"/>
      </w:pPr>
      <w:r>
        <w:rPr/>
        <w:t>损失的金额计量减值损失。除了单项评估信用风险的其他应收款外，基于其信用风险特征，将其划分为不同组合：</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410"/>
        <w:gridCol w:w="6664"/>
      </w:tblGrid>
      <w:tr>
        <w:trPr>
          <w:trHeight w:val="350" w:hRule="exact"/>
        </w:trPr>
        <w:tc>
          <w:tcPr>
            <w:tcW w:w="241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666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46"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666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以其他应收款的账龄作为信用风险特征。</w:t>
            </w:r>
          </w:p>
        </w:tc>
      </w:tr>
      <w:tr>
        <w:trPr>
          <w:trHeight w:val="348"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（关联方组合）</w:t>
            </w:r>
          </w:p>
        </w:tc>
        <w:tc>
          <w:tcPr>
            <w:tcW w:w="666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合并范围内的关联方之间具有类似信用风险特征</w:t>
            </w:r>
          </w:p>
        </w:tc>
      </w:tr>
    </w:tbl>
    <w:p>
      <w:pPr>
        <w:spacing w:line="240" w:lineRule="auto" w:before="12"/>
        <w:rPr>
          <w:rFonts w:ascii="宋体" w:hAnsi="宋体" w:cs="宋体" w:eastAsia="宋体" w:hint="default"/>
          <w:sz w:val="4"/>
          <w:szCs w:val="4"/>
        </w:rPr>
      </w:pPr>
    </w:p>
    <w:p>
      <w:pPr>
        <w:pStyle w:val="BodyText"/>
        <w:spacing w:line="420" w:lineRule="auto" w:before="44"/>
        <w:ind w:left="513" w:right="7423"/>
        <w:jc w:val="left"/>
      </w:pPr>
      <w:r>
        <w:rPr/>
        <w:pict>
          <v:shape style="position:absolute;margin-left:56.279999pt;margin-top:37.911713pt;width:448.8pt;height:122.5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67"/>
                    <w:gridCol w:w="5183"/>
                  </w:tblGrid>
                  <w:tr>
                    <w:trPr>
                      <w:trHeight w:val="350" w:hRule="exact"/>
                    </w:trPr>
                    <w:tc>
                      <w:tcPr>
                        <w:tcW w:w="3767" w:type="dxa"/>
                        <w:tcBorders>
                          <w:top w:val="single" w:sz="6" w:space="0" w:color="000000"/>
                          <w:left w:val="single" w:sz="6" w:space="0" w:color="000000"/>
                          <w:bottom w:val="single" w:sz="8" w:space="0" w:color="000000"/>
                          <w:right w:val="single" w:sz="6" w:space="0" w:color="000000"/>
                        </w:tcBorders>
                      </w:tcPr>
                      <w:p>
                        <w:pPr>
                          <w:pStyle w:val="TableParagraph"/>
                          <w:tabs>
                            <w:tab w:pos="417" w:val="left" w:leader="none"/>
                          </w:tabs>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w w:val="95"/>
                            <w:sz w:val="18"/>
                            <w:szCs w:val="18"/>
                          </w:rPr>
                          <w:t>账</w:t>
                          <w:tab/>
                        </w:r>
                        <w:r>
                          <w:rPr>
                            <w:rFonts w:ascii="宋体" w:hAnsi="宋体" w:cs="宋体" w:eastAsia="宋体" w:hint="default"/>
                            <w:b/>
                            <w:bCs/>
                            <w:sz w:val="18"/>
                            <w:szCs w:val="18"/>
                          </w:rPr>
                          <w:t>龄</w:t>
                        </w:r>
                        <w:r>
                          <w:rPr>
                            <w:rFonts w:ascii="宋体" w:hAnsi="宋体" w:cs="宋体" w:eastAsia="宋体" w:hint="default"/>
                            <w:sz w:val="18"/>
                            <w:szCs w:val="18"/>
                          </w:rPr>
                        </w:r>
                      </w:p>
                    </w:tc>
                    <w:tc>
                      <w:tcPr>
                        <w:tcW w:w="518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left="1231" w:right="0"/>
                          <w:jc w:val="left"/>
                          <w:rPr>
                            <w:rFonts w:ascii="宋体" w:hAnsi="宋体" w:cs="宋体" w:eastAsia="宋体" w:hint="default"/>
                            <w:sz w:val="18"/>
                            <w:szCs w:val="18"/>
                          </w:rPr>
                        </w:pPr>
                        <w:r>
                          <w:rPr>
                            <w:rFonts w:ascii="宋体" w:hAnsi="宋体" w:cs="宋体" w:eastAsia="宋体" w:hint="default"/>
                            <w:b/>
                            <w:bCs/>
                            <w:sz w:val="18"/>
                            <w:szCs w:val="18"/>
                          </w:rPr>
                          <w:t>其他应收款预期信用损失率（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年，下同）</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5.00</w:t>
                        </w:r>
                      </w:p>
                    </w:tc>
                  </w:tr>
                  <w:tr>
                    <w:trPr>
                      <w:trHeight w:val="346"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10.00</w:t>
                        </w:r>
                      </w:p>
                    </w:tc>
                  </w:tr>
                  <w:tr>
                    <w:trPr>
                      <w:trHeight w:val="348"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4" w:right="0"/>
                          <w:jc w:val="left"/>
                          <w:rPr>
                            <w:rFonts w:ascii="Times New Roman" w:hAnsi="Times New Roman" w:cs="Times New Roman" w:eastAsia="Times New Roman" w:hint="default"/>
                            <w:sz w:val="18"/>
                            <w:szCs w:val="18"/>
                          </w:rPr>
                        </w:pPr>
                        <w:r>
                          <w:rPr>
                            <w:rFonts w:ascii="Times New Roman"/>
                            <w:sz w:val="18"/>
                          </w:rPr>
                          <w:t>20.00</w:t>
                        </w:r>
                      </w:p>
                    </w:tc>
                  </w:tr>
                  <w:tr>
                    <w:trPr>
                      <w:trHeight w:val="346"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50.00</w:t>
                        </w:r>
                      </w:p>
                    </w:tc>
                  </w:tr>
                  <w:tr>
                    <w:trPr>
                      <w:trHeight w:val="348"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4" w:right="0"/>
                          <w:jc w:val="left"/>
                          <w:rPr>
                            <w:rFonts w:ascii="Times New Roman" w:hAnsi="Times New Roman" w:cs="Times New Roman" w:eastAsia="Times New Roman" w:hint="default"/>
                            <w:sz w:val="18"/>
                            <w:szCs w:val="18"/>
                          </w:rPr>
                        </w:pPr>
                        <w:r>
                          <w:rPr>
                            <w:rFonts w:ascii="Times New Roman"/>
                            <w:sz w:val="18"/>
                          </w:rPr>
                          <w:t>50.00</w:t>
                        </w:r>
                      </w:p>
                    </w:tc>
                  </w:tr>
                  <w:tr>
                    <w:trPr>
                      <w:trHeight w:val="348" w:hRule="exact"/>
                    </w:trPr>
                    <w:tc>
                      <w:tcPr>
                        <w:tcW w:w="3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518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50.00</w:t>
                        </w:r>
                      </w:p>
                    </w:tc>
                  </w:tr>
                </w:tbl>
                <w:p>
                  <w:pPr/>
                </w:p>
              </w:txbxContent>
            </v:textbox>
            <w10:wrap type="none"/>
          </v:shape>
        </w:pict>
      </w:r>
      <w:r>
        <w:rPr/>
        <w:t>各组合预期信用损失率如下列示： 组合</w:t>
      </w:r>
      <w:r>
        <w:rPr>
          <w:rFonts w:ascii="Times New Roman" w:hAnsi="Times New Roman" w:cs="Times New Roman" w:eastAsia="Times New Roman" w:hint="default"/>
        </w:rPr>
        <w:t>1</w:t>
      </w:r>
      <w:r>
        <w:rPr/>
        <w:t>（账龄组合）：预期信用损失率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97" w:lineRule="auto" w:before="44"/>
        <w:ind w:right="1124" w:firstLine="360"/>
        <w:jc w:val="left"/>
      </w:pPr>
      <w:r>
        <w:rPr/>
        <w:t>组合</w:t>
      </w:r>
      <w:r>
        <w:rPr>
          <w:rFonts w:ascii="Times New Roman" w:hAnsi="Times New Roman" w:cs="Times New Roman" w:eastAsia="Times New Roman" w:hint="default"/>
        </w:rPr>
        <w:t>2</w:t>
      </w:r>
      <w:r>
        <w:rPr/>
        <w:t>（关联方组合）：结合历史违约损失经验及目前经济状况、考虑前瞻性信息，对合并范围内关联方组合单独进行 测试，如不存在减值的，不计提。</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15、存货" w:id="182"/>
      <w:bookmarkEnd w:id="182"/>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532" w:lineRule="auto"/>
        <w:ind w:left="513" w:right="4633"/>
        <w:jc w:val="left"/>
      </w:pPr>
      <w:r>
        <w:rPr/>
        <w:t>（</w:t>
      </w:r>
      <w:r>
        <w:rPr>
          <w:rFonts w:ascii="Times New Roman" w:hAnsi="Times New Roman" w:cs="Times New Roman" w:eastAsia="Times New Roman" w:hint="default"/>
        </w:rPr>
        <w:t>1</w:t>
      </w:r>
      <w:r>
        <w:rPr/>
        <w:t>）存货的分类 存货主要包括原材料、辅助材料、在产品、库存商品、委托加工物资等。</w:t>
      </w:r>
    </w:p>
    <w:p>
      <w:pPr>
        <w:pStyle w:val="BodyText"/>
        <w:spacing w:line="240" w:lineRule="auto" w:before="96"/>
        <w:ind w:left="513" w:right="0"/>
        <w:jc w:val="left"/>
      </w:pPr>
      <w:r>
        <w:rPr/>
        <w:t>（</w:t>
      </w:r>
      <w:r>
        <w:rPr>
          <w:rFonts w:ascii="Times New Roman" w:hAnsi="Times New Roman" w:cs="Times New Roman" w:eastAsia="Times New Roman" w:hint="default"/>
        </w:rPr>
        <w:t>2</w:t>
      </w:r>
      <w:r>
        <w:rPr/>
        <w:t>）存货取得和发出的计价方法</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360"/>
        <w:jc w:val="both"/>
      </w:pPr>
      <w:r>
        <w:rPr>
          <w:spacing w:val="-2"/>
        </w:rPr>
        <w:t>存货在取得时按实际成本计价，原材料成本包括采购成本、加工成本和其他成本。原材料以计划成本核算，对原材料的</w:t>
      </w:r>
      <w:r>
        <w:rPr/>
        <w:t> </w:t>
      </w:r>
      <w:r>
        <w:rPr>
          <w:spacing w:val="-2"/>
        </w:rPr>
        <w:t>计划成本和实际成本之间的差异，通过材料成本差异科目核算，并按期结转发出存货应负担的成本差异，将计划成本调整为</w:t>
      </w:r>
      <w:r>
        <w:rPr>
          <w:spacing w:val="-62"/>
        </w:rPr>
        <w:t> </w:t>
      </w:r>
      <w:r>
        <w:rPr>
          <w:spacing w:val="-62"/>
        </w:rPr>
      </w:r>
      <w:r>
        <w:rPr/>
        <w:t>实际成本。</w:t>
      </w:r>
    </w:p>
    <w:p>
      <w:pPr>
        <w:pStyle w:val="BodyText"/>
        <w:spacing w:line="552" w:lineRule="exact" w:before="25"/>
        <w:ind w:left="513"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227" w:lineRule="exact"/>
        <w:ind w:right="0"/>
        <w:jc w:val="left"/>
      </w:pPr>
      <w:r>
        <w:rPr/>
        <w:t>金额。在确定存货的可变现净值时，以取得的确凿证据为基础，同时考虑持有存货的目的以及资产负债表日后事项的影响。</w:t>
      </w:r>
    </w:p>
    <w:p>
      <w:pPr>
        <w:spacing w:line="240" w:lineRule="auto" w:before="2"/>
        <w:rPr>
          <w:rFonts w:ascii="宋体" w:hAnsi="宋体" w:cs="宋体" w:eastAsia="宋体" w:hint="default"/>
          <w:sz w:val="24"/>
          <w:szCs w:val="24"/>
        </w:rPr>
      </w:pPr>
    </w:p>
    <w:p>
      <w:pPr>
        <w:pStyle w:val="BodyText"/>
        <w:spacing w:line="316" w:lineRule="auto"/>
        <w:ind w:right="1133" w:firstLine="360"/>
        <w:jc w:val="both"/>
      </w:pPr>
      <w:r>
        <w:rPr>
          <w:spacing w:val="-2"/>
        </w:rPr>
        <w:t>在资产负债表日，存货按照成本与可变现净值孰低计量。当其可变现净值低于成本时，提取存货跌价准备。存货跌价准</w:t>
      </w:r>
      <w:r>
        <w:rPr/>
        <w:t> 备按单个存货项目的成本高于其可变现净值的差额提取。</w:t>
      </w:r>
    </w:p>
    <w:p>
      <w:pPr>
        <w:spacing w:line="240" w:lineRule="auto" w:before="10"/>
        <w:rPr>
          <w:rFonts w:ascii="宋体" w:hAnsi="宋体" w:cs="宋体" w:eastAsia="宋体" w:hint="default"/>
          <w:sz w:val="19"/>
          <w:szCs w:val="19"/>
        </w:rPr>
      </w:pPr>
    </w:p>
    <w:p>
      <w:pPr>
        <w:pStyle w:val="BodyText"/>
        <w:spacing w:line="319" w:lineRule="auto"/>
        <w:ind w:right="1130"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spacing w:line="240" w:lineRule="auto" w:before="8"/>
        <w:rPr>
          <w:rFonts w:ascii="宋体" w:hAnsi="宋体" w:cs="宋体" w:eastAsia="宋体" w:hint="default"/>
          <w:sz w:val="19"/>
          <w:szCs w:val="19"/>
        </w:rPr>
      </w:pPr>
    </w:p>
    <w:p>
      <w:pPr>
        <w:pStyle w:val="BodyText"/>
        <w:spacing w:line="240" w:lineRule="auto"/>
        <w:ind w:left="513" w:right="0"/>
        <w:jc w:val="left"/>
      </w:pPr>
      <w:r>
        <w:rPr/>
        <w:t>（</w:t>
      </w:r>
      <w:r>
        <w:rPr>
          <w:rFonts w:ascii="Times New Roman" w:hAnsi="Times New Roman" w:cs="Times New Roman" w:eastAsia="Times New Roman" w:hint="default"/>
        </w:rPr>
        <w:t>4</w:t>
      </w:r>
      <w:r>
        <w:rPr/>
        <w:t>）存货的盘存制度为永续盘存制。</w:t>
      </w:r>
    </w:p>
    <w:p>
      <w:pPr>
        <w:spacing w:line="240" w:lineRule="auto" w:before="2"/>
        <w:rPr>
          <w:rFonts w:ascii="宋体" w:hAnsi="宋体" w:cs="宋体" w:eastAsia="宋体" w:hint="default"/>
          <w:sz w:val="23"/>
          <w:szCs w:val="23"/>
        </w:rPr>
      </w:pPr>
    </w:p>
    <w:p>
      <w:pPr>
        <w:pStyle w:val="BodyText"/>
        <w:spacing w:line="300" w:lineRule="auto"/>
        <w:ind w:left="441" w:right="0" w:firstLine="72"/>
        <w:jc w:val="left"/>
      </w:pPr>
      <w:r>
        <w:rPr/>
        <w:t>（</w:t>
      </w:r>
      <w:r>
        <w:rPr>
          <w:rFonts w:ascii="Times New Roman" w:hAnsi="Times New Roman" w:cs="Times New Roman" w:eastAsia="Times New Roman" w:hint="default"/>
        </w:rPr>
        <w:t>5</w:t>
      </w:r>
      <w:r>
        <w:rPr/>
        <w:t>）低值易耗品和包装物的摊销方法 </w:t>
      </w:r>
      <w:r>
        <w:rPr>
          <w:spacing w:val="-1"/>
        </w:rPr>
        <w:t>低值易耗品于领用时按一次摊销法摊销；包装物于领用时按一次摊销法摊销公司存货主要包括原材料、辅助材料、在产</w:t>
      </w:r>
    </w:p>
    <w:p>
      <w:pPr>
        <w:pStyle w:val="BodyText"/>
        <w:spacing w:line="240" w:lineRule="auto" w:before="31"/>
        <w:ind w:right="0"/>
        <w:jc w:val="left"/>
      </w:pPr>
      <w:r>
        <w:rPr/>
        <w:t>品、库存商品、委托加工物资等。</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16、长期股权投资" w:id="183"/>
      <w:bookmarkEnd w:id="183"/>
      <w:r>
        <w:rPr>
          <w:b w:val="0"/>
          <w:bCs w:val="0"/>
        </w:rPr>
      </w:r>
      <w:r>
        <w:rPr>
          <w:rFonts w:ascii="Times New Roman" w:hAnsi="Times New Roman" w:cs="Times New Roman" w:eastAsia="Times New Roman" w:hint="default"/>
        </w:rPr>
        <w:t>16</w:t>
      </w:r>
      <w:r>
        <w:rPr/>
        <w:t>、长期股权投资</w:t>
      </w:r>
      <w:r>
        <w:rPr>
          <w:b w:val="0"/>
          <w:bCs w:val="0"/>
        </w:rPr>
      </w:r>
    </w:p>
    <w:p>
      <w:pPr>
        <w:pStyle w:val="BodyText"/>
        <w:spacing w:line="410" w:lineRule="atLeast" w:before="170"/>
        <w:ind w:left="573" w:right="0" w:hanging="60"/>
        <w:jc w:val="left"/>
      </w:pPr>
      <w:r>
        <w:rPr/>
        <w:t>本公司长期股权投资主要是对子公司的投资、对联营企业的投资和对合营企业的投资。 本公司对共同控制的判断依据是所有参与方或参与方组合集体控制该安排，并且该安排相关活动的政策必须经过这些</w:t>
      </w:r>
    </w:p>
    <w:p>
      <w:pPr>
        <w:pStyle w:val="BodyText"/>
        <w:spacing w:line="240" w:lineRule="auto" w:before="74"/>
        <w:ind w:right="0"/>
        <w:jc w:val="left"/>
      </w:pPr>
      <w:r>
        <w:rPr/>
        <w:t>集体控制该安排的参与方一致同意。</w:t>
      </w:r>
    </w:p>
    <w:p>
      <w:pPr>
        <w:spacing w:line="240" w:lineRule="auto" w:before="7"/>
        <w:rPr>
          <w:rFonts w:ascii="宋体" w:hAnsi="宋体" w:cs="宋体" w:eastAsia="宋体" w:hint="default"/>
          <w:sz w:val="13"/>
          <w:szCs w:val="13"/>
        </w:rPr>
      </w:pPr>
    </w:p>
    <w:p>
      <w:pPr>
        <w:pStyle w:val="BodyText"/>
        <w:spacing w:line="307" w:lineRule="auto"/>
        <w:ind w:right="1130" w:firstLine="420"/>
        <w:jc w:val="both"/>
      </w:pPr>
      <w:r>
        <w:rPr/>
        <w:t>本公司直接或通过子公司间接拥有被投资单位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％的表决权时，通常认为对被投资单位具有重 </w:t>
      </w:r>
      <w:r>
        <w:rPr>
          <w:spacing w:val="-1"/>
        </w:rPr>
        <w:t>大影响。持有被投资单位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w:t>
      </w:r>
      <w:r>
        <w:rPr>
          <w:spacing w:val="-88"/>
        </w:rPr>
        <w:t> </w:t>
      </w:r>
      <w:r>
        <w:rPr>
          <w:spacing w:val="-88"/>
        </w:rPr>
      </w:r>
      <w:r>
        <w:rPr>
          <w:spacing w:val="-2"/>
        </w:rPr>
        <w:t>投资单位财务和经营政策制定过程、或与被投资单位之间发生重要交易、或向被投资单位派出管理人员、或向被投资单位提</w:t>
      </w:r>
      <w:r>
        <w:rPr>
          <w:spacing w:val="-63"/>
        </w:rPr>
        <w:t> </w:t>
      </w:r>
      <w:r>
        <w:rPr>
          <w:spacing w:val="-63"/>
        </w:rPr>
      </w:r>
      <w:r>
        <w:rPr/>
        <w:t>供关键技术资料等事实和情况判断对被投资单位具有重大影响。</w:t>
      </w:r>
    </w:p>
    <w:p>
      <w:pPr>
        <w:pStyle w:val="BodyText"/>
        <w:spacing w:line="316" w:lineRule="auto" w:before="127"/>
        <w:ind w:right="1133" w:firstLine="420"/>
        <w:jc w:val="both"/>
      </w:pPr>
      <w:r>
        <w:rPr/>
        <w:t>对被投资单位形成控制的，为本公司的子公司。通过同一控制下的企业合并取得的长期股权投资，在合并日按照取得 </w:t>
      </w:r>
      <w:r>
        <w:rPr>
          <w:spacing w:val="-2"/>
        </w:rPr>
        <w:t>被合并方在最终控制方合并报表中净资产的账面价值的份额作为长期股权投资的初始投资成本。被合并方在合并日的净资产</w:t>
      </w:r>
      <w:r>
        <w:rPr>
          <w:spacing w:val="-64"/>
        </w:rPr>
        <w:t> </w:t>
      </w:r>
      <w:r>
        <w:rPr>
          <w:spacing w:val="-64"/>
        </w:rPr>
      </w:r>
      <w:r>
        <w:rPr/>
        <w:t>账面价值为负数的，长期股权投资成本按零确定。</w:t>
      </w:r>
    </w:p>
    <w:p>
      <w:pPr>
        <w:pStyle w:val="BodyText"/>
        <w:spacing w:line="316" w:lineRule="auto" w:before="119"/>
        <w:ind w:right="1133" w:firstLine="420"/>
        <w:jc w:val="both"/>
      </w:pPr>
      <w:r>
        <w:rPr/>
        <w:t>通过多次交易分步取得同一控制下被投资单位的股权，最终形成企业合并的，应在取得控制权的报告期，补充披露在 </w:t>
      </w:r>
      <w:r>
        <w:rPr>
          <w:spacing w:val="-2"/>
        </w:rPr>
        <w:t>母公司财务报表中的长期股权投资的处理方法。例如：通过多次交易分步取得同一控制下被投资单位的股权，最终形成企业</w:t>
      </w:r>
      <w:r>
        <w:rPr>
          <w:spacing w:val="-66"/>
        </w:rPr>
        <w:t> </w:t>
      </w:r>
      <w:r>
        <w:rPr>
          <w:spacing w:val="-66"/>
        </w:rPr>
      </w:r>
      <w:r>
        <w:rPr>
          <w:spacing w:val="-2"/>
        </w:rPr>
        <w:t>合并，属于一揽子交易的，本公司将各项交易作为一项取得控制权的交易进行会计处理。不属于一览交易的，在合并日，根</w:t>
      </w:r>
      <w:r>
        <w:rPr>
          <w:spacing w:val="-66"/>
        </w:rPr>
        <w:t> </w:t>
      </w:r>
      <w:r>
        <w:rPr>
          <w:spacing w:val="-66"/>
        </w:rPr>
      </w:r>
      <w:r>
        <w:rPr>
          <w:spacing w:val="-2"/>
        </w:rPr>
        <w:t>据合并后享有被合并方净资产在最终控制方合并财务报表中的账面价值的份额作为长期股权投资的的初始投资成本。初始投</w:t>
      </w:r>
      <w:r>
        <w:rPr>
          <w:spacing w:val="-64"/>
        </w:rPr>
        <w:t> </w:t>
      </w:r>
      <w:r>
        <w:rPr>
          <w:spacing w:val="-64"/>
        </w:rPr>
      </w:r>
      <w:r>
        <w:rPr/>
        <w:t>资成本与达到合并前的长期股权投资账面价值加上合并日进一步取得股份新支付对价的账面价值之和的差额，调整资本公</w:t>
      </w:r>
      <w:r>
        <w:rPr>
          <w:spacing w:val="-11"/>
        </w:rPr>
        <w:t> </w:t>
      </w:r>
      <w:r>
        <w:rPr>
          <w:spacing w:val="-11"/>
        </w:rPr>
      </w:r>
      <w:r>
        <w:rPr/>
        <w:t>积，资本公积不足冲减的，冲减留存收益。</w:t>
      </w:r>
    </w:p>
    <w:p>
      <w:pPr>
        <w:pStyle w:val="BodyText"/>
        <w:spacing w:line="240" w:lineRule="auto" w:before="119"/>
        <w:ind w:left="573" w:right="0"/>
        <w:jc w:val="left"/>
      </w:pPr>
      <w:r>
        <w:rPr/>
        <w:t>通过非同一控制下的企业合并取得的长期股权投资，以合并成本作为初始投资成本。</w:t>
      </w:r>
    </w:p>
    <w:p>
      <w:pPr>
        <w:spacing w:line="240" w:lineRule="auto" w:before="7"/>
        <w:rPr>
          <w:rFonts w:ascii="宋体" w:hAnsi="宋体" w:cs="宋体" w:eastAsia="宋体" w:hint="default"/>
          <w:sz w:val="13"/>
          <w:szCs w:val="13"/>
        </w:rPr>
      </w:pPr>
    </w:p>
    <w:p>
      <w:pPr>
        <w:pStyle w:val="BodyText"/>
        <w:spacing w:line="316" w:lineRule="auto"/>
        <w:ind w:right="1131" w:firstLine="420"/>
        <w:jc w:val="both"/>
      </w:pPr>
      <w:r>
        <w:rPr/>
        <w:t>通过多次交易分步取得非同一控制下被投资单位的股权，最终形成企业合并的，应在取得控制权的报告期，补充披露 </w:t>
      </w:r>
      <w:r>
        <w:rPr>
          <w:spacing w:val="-2"/>
        </w:rPr>
        <w:t>在母公司财务报表中的长期股权投资成本处理方法。例如：通过多次交易分步取得非同一控制下被投资单位的股权，最终形</w:t>
      </w:r>
      <w:r>
        <w:rPr>
          <w:spacing w:val="-64"/>
        </w:rPr>
        <w:t> </w:t>
      </w:r>
      <w:r>
        <w:rPr>
          <w:spacing w:val="-64"/>
        </w:rPr>
      </w:r>
      <w:r>
        <w:rPr>
          <w:spacing w:val="-2"/>
        </w:rPr>
        <w:t>成企业合并，属于一揽子交易的，本公司将各项交易作为一项取得控制权的交易进行会计处理。不属于一览交易的，按照原</w:t>
      </w:r>
      <w:r>
        <w:rPr>
          <w:spacing w:val="-64"/>
        </w:rPr>
        <w:t> </w:t>
      </w:r>
      <w:r>
        <w:rPr>
          <w:spacing w:val="-64"/>
        </w:rPr>
      </w:r>
      <w:r>
        <w:rPr>
          <w:spacing w:val="-2"/>
        </w:rPr>
        <w:t>持有的股权投资账面价值加上新增投资成本之和，作为改按成本法核算的初始投资成本。购买日之前持有的股权采用权益法</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核算的，原权益法核算的相关其他综合收益暂不做调整，在处置该项投资时采用与被投资单位直接处置相关资产或负债相同</w:t>
      </w:r>
      <w:r>
        <w:rPr>
          <w:spacing w:val="-64"/>
        </w:rPr>
        <w:t> </w:t>
      </w:r>
      <w:r>
        <w:rPr>
          <w:spacing w:val="-64"/>
        </w:rPr>
      </w:r>
      <w:r>
        <w:rPr>
          <w:spacing w:val="-2"/>
        </w:rPr>
        <w:t>的基础进行会计处理。购买日之前持有的股权在可供出售金融资产中采用公允价值核算的，原计入其他综合收益的累计公允</w:t>
      </w:r>
      <w:r>
        <w:rPr>
          <w:spacing w:val="-64"/>
        </w:rPr>
        <w:t> </w:t>
      </w:r>
      <w:r>
        <w:rPr>
          <w:spacing w:val="-64"/>
        </w:rPr>
      </w:r>
      <w:r>
        <w:rPr/>
        <w:t>价值变动在合并日转入当期投资损益。</w:t>
      </w:r>
    </w:p>
    <w:p>
      <w:pPr>
        <w:pStyle w:val="BodyText"/>
        <w:spacing w:line="316" w:lineRule="auto" w:before="118"/>
        <w:ind w:right="0" w:firstLine="360"/>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r>
        <w:rPr>
          <w:spacing w:val="-63"/>
        </w:rPr>
        <w:t> </w:t>
      </w:r>
      <w:r>
        <w:rPr>
          <w:spacing w:val="-63"/>
        </w:rPr>
      </w:r>
      <w:r>
        <w:rPr>
          <w:spacing w:val="-2"/>
        </w:rPr>
        <w:t>投资合同或协议约定的价值作为投资成本；公司如有以债务重组、非货币性资产交换等方式取得的长期股权投资，应根据相</w:t>
      </w:r>
      <w:r>
        <w:rPr>
          <w:spacing w:val="-63"/>
        </w:rPr>
        <w:t> </w:t>
      </w:r>
      <w:r>
        <w:rPr>
          <w:spacing w:val="-63"/>
        </w:rPr>
      </w:r>
      <w:r>
        <w:rPr/>
        <w:t>关企业会计准则的规定并结合公司的实际情况披露确定投资成本的方法。</w:t>
      </w:r>
    </w:p>
    <w:p>
      <w:pPr>
        <w:pStyle w:val="BodyText"/>
        <w:spacing w:line="410" w:lineRule="exact" w:before="2"/>
        <w:ind w:left="513" w:right="0"/>
        <w:jc w:val="left"/>
      </w:pPr>
      <w:r>
        <w:rPr/>
        <w:t>本公司对子公司投资采用成本法核算，对合营企业及联营企业投资采用权益法核算。 </w:t>
      </w:r>
      <w:r>
        <w:rPr>
          <w:spacing w:val="-2"/>
        </w:rPr>
        <w:t>后续计量采用成本法核算的长期股权投资，在追加投资时，按照追加投资支付的成本额公允价值及发生的相关交易费用</w:t>
      </w:r>
    </w:p>
    <w:p>
      <w:pPr>
        <w:pStyle w:val="BodyText"/>
        <w:spacing w:line="240" w:lineRule="auto" w:before="19"/>
        <w:ind w:right="0"/>
        <w:jc w:val="left"/>
      </w:pPr>
      <w:r>
        <w:rPr/>
        <w:t>增加长期股权投资成本的账面价值。被投资单位宣告分派的现金股利或利润，按照应享有的金额确认为当期投资收益。</w:t>
      </w:r>
    </w:p>
    <w:p>
      <w:pPr>
        <w:spacing w:line="240" w:lineRule="auto" w:before="7"/>
        <w:rPr>
          <w:rFonts w:ascii="宋体" w:hAnsi="宋体" w:cs="宋体" w:eastAsia="宋体" w:hint="default"/>
          <w:sz w:val="13"/>
          <w:szCs w:val="13"/>
        </w:rPr>
      </w:pPr>
    </w:p>
    <w:p>
      <w:pPr>
        <w:pStyle w:val="BodyText"/>
        <w:spacing w:line="319" w:lineRule="auto"/>
        <w:ind w:right="1130" w:firstLine="360"/>
        <w:jc w:val="both"/>
      </w:pPr>
      <w:r>
        <w:rPr>
          <w:spacing w:val="-2"/>
        </w:rPr>
        <w:t>后续计量采用权益法核算的长期股权投资，随着被他投资单位所有者权益的变动相应调整增加或减少长期股权投资的账</w:t>
      </w:r>
      <w:r>
        <w:rPr/>
        <w:t> </w:t>
      </w:r>
      <w:r>
        <w:rPr>
          <w:spacing w:val="-2"/>
        </w:rPr>
        <w:t>面价值。其中在确认应享有被投资单位净损益的份额时，以取得投资时被投资单位各项可辨认资产等的公允价值为基础，按</w:t>
      </w:r>
      <w:r>
        <w:rPr>
          <w:spacing w:val="-63"/>
        </w:rPr>
        <w:t> </w:t>
      </w:r>
      <w:r>
        <w:rPr>
          <w:spacing w:val="-63"/>
        </w:rPr>
      </w:r>
      <w:r>
        <w:rPr>
          <w:spacing w:val="-2"/>
        </w:rPr>
        <w:t>照本公司的会计政策及会计期间，并抵销与联营企业及合营企业之间发生的内部交易损益按照持股比例计算归属于投资企业</w:t>
      </w:r>
      <w:r>
        <w:rPr>
          <w:spacing w:val="-64"/>
        </w:rPr>
        <w:t> </w:t>
      </w:r>
      <w:r>
        <w:rPr>
          <w:spacing w:val="-64"/>
        </w:rPr>
      </w:r>
      <w:r>
        <w:rPr/>
        <w:t>的部分，对被投资单位的净利润进行调整后确认。</w:t>
      </w:r>
    </w:p>
    <w:p>
      <w:pPr>
        <w:pStyle w:val="BodyText"/>
        <w:spacing w:line="316" w:lineRule="auto" w:before="118"/>
        <w:ind w:right="1133" w:firstLine="360"/>
        <w:jc w:val="both"/>
      </w:pPr>
      <w:r>
        <w:rPr>
          <w:spacing w:val="-2"/>
        </w:rPr>
        <w:t>处置长期股权投资，其账面价值与实际取得价款的差额，计入当期投资收益。采用权益法核算的长期股权投资，因被投</w:t>
      </w:r>
      <w:r>
        <w:rPr/>
        <w:t>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入当期投资损益。</w:t>
      </w:r>
    </w:p>
    <w:p>
      <w:pPr>
        <w:spacing w:line="240" w:lineRule="auto" w:before="10"/>
        <w:rPr>
          <w:rFonts w:ascii="宋体" w:hAnsi="宋体" w:cs="宋体" w:eastAsia="宋体" w:hint="default"/>
          <w:sz w:val="19"/>
          <w:szCs w:val="19"/>
        </w:rPr>
      </w:pPr>
    </w:p>
    <w:p>
      <w:pPr>
        <w:pStyle w:val="BodyText"/>
        <w:spacing w:line="316" w:lineRule="auto"/>
        <w:ind w:right="1050" w:firstLine="360"/>
        <w:jc w:val="both"/>
      </w:pPr>
      <w:r>
        <w:rPr>
          <w:spacing w:val="-2"/>
        </w:rPr>
        <w:t>因处置部分股权投资等原因丧失了对被投资单位的共同控制或重大影响的，处置后的剩余股权改按可供出售金融资产核</w:t>
      </w:r>
      <w:r>
        <w:rPr/>
        <w:t> </w:t>
      </w:r>
      <w:r>
        <w:rPr>
          <w:spacing w:val="-2"/>
        </w:rPr>
        <w:t>算，剩余股权在丧失共同控制或重大影响之日的公允价值与账面价值之间的差额计入当期损益。原股权投资因采用权益法核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pStyle w:val="BodyText"/>
        <w:spacing w:line="319" w:lineRule="auto" w:before="119"/>
        <w:ind w:right="1132" w:firstLine="360"/>
        <w:jc w:val="both"/>
      </w:pPr>
      <w:r>
        <w:rPr>
          <w:spacing w:val="-2"/>
        </w:rPr>
        <w:t>因处置部分长期股权投资丧失了对被投资单位控制的，处置后的剩余股权能够对被投资单位实施共同控制或施加重大影</w:t>
      </w:r>
      <w:r>
        <w:rPr/>
        <w:t> </w:t>
      </w:r>
      <w:r>
        <w:rPr>
          <w:spacing w:val="-2"/>
        </w:rPr>
        <w:t>响的，改按权益法核算，处置股权账面价值和处置对价的差额计入投资收益，并对该剩余股权视同自取得时即采用权益法核</w:t>
      </w:r>
      <w:r>
        <w:rPr>
          <w:spacing w:val="-66"/>
        </w:rPr>
        <w:t> </w:t>
      </w:r>
      <w:r>
        <w:rPr>
          <w:spacing w:val="-66"/>
        </w:rPr>
      </w:r>
      <w:r>
        <w:rPr>
          <w:spacing w:val="-2"/>
        </w:rPr>
        <w:t>算进行调整；处置后的剩余股权不能对被投资单位实施共同控制或施加重大影响的，改按可供出售金融资产的有关规定进行</w:t>
      </w:r>
      <w:r>
        <w:rPr>
          <w:spacing w:val="-64"/>
        </w:rPr>
        <w:t> </w:t>
      </w:r>
      <w:r>
        <w:rPr>
          <w:spacing w:val="-64"/>
        </w:rPr>
      </w:r>
      <w:r>
        <w:rPr>
          <w:spacing w:val="-2"/>
        </w:rPr>
        <w:t>会计处理，处置股权账面价值和处置对价的差额计入投资收益，剩余股权在丧失控制之日的公允价值与账面价值间的差额计</w:t>
      </w:r>
      <w:r>
        <w:rPr>
          <w:spacing w:val="-64"/>
        </w:rPr>
        <w:t> </w:t>
      </w:r>
      <w:r>
        <w:rPr>
          <w:spacing w:val="-64"/>
        </w:rPr>
      </w:r>
      <w:r>
        <w:rPr/>
        <w:t>入当期投资损益。</w:t>
      </w:r>
    </w:p>
    <w:p>
      <w:pPr>
        <w:pStyle w:val="BodyText"/>
        <w:spacing w:line="307" w:lineRule="auto" w:before="17"/>
        <w:ind w:right="0" w:firstLine="288"/>
        <w:jc w:val="left"/>
      </w:pPr>
      <w:r>
        <w:rPr/>
        <w:t>本公司对于分步处置股权至丧失控股权的各项交易不属于一揽子交易的，对每一项交易分别进行会计处理。属于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 </w:t>
      </w:r>
      <w:r>
        <w:rPr>
          <w:spacing w:val="-2"/>
        </w:rPr>
        <w:t>价款与所处置的股权对应的长期股权投资账面价值之间的差额，确认为其他综合收益，到丧失控制权时再一并转入丧失控制</w:t>
      </w:r>
      <w:r>
        <w:rPr>
          <w:spacing w:val="-64"/>
        </w:rPr>
        <w:t> </w:t>
      </w:r>
      <w:r>
        <w:rPr>
          <w:spacing w:val="-64"/>
        </w:rPr>
      </w:r>
      <w:r>
        <w:rPr/>
        <w:t>权的当期损益。</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17、投资性房地产" w:id="184"/>
      <w:bookmarkEnd w:id="184"/>
      <w:r>
        <w:rPr>
          <w:b w:val="0"/>
          <w:bCs w:val="0"/>
        </w:rPr>
      </w:r>
      <w:r>
        <w:rPr>
          <w:rFonts w:ascii="Times New Roman" w:hAnsi="Times New Roman" w:cs="Times New Roman" w:eastAsia="Times New Roman" w:hint="default"/>
        </w:rPr>
        <w:t>17</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4" w:lineRule="auto" w:before="89"/>
        <w:ind w:right="1128" w:firstLine="360"/>
        <w:jc w:val="both"/>
      </w:pPr>
      <w:r>
        <w:rPr>
          <w:spacing w:val="-2"/>
        </w:rPr>
        <w:t>投资性房地产是指为赚取租金或资本增值，或两者兼有而持有的房地产。包括已出租的土地使用权、持有并准备增值后</w:t>
      </w:r>
      <w:r>
        <w:rPr/>
        <w:t> 转让的土地使用权、已出租的建筑物等。</w:t>
      </w:r>
    </w:p>
    <w:p>
      <w:pPr>
        <w:pStyle w:val="BodyText"/>
        <w:spacing w:line="316" w:lineRule="auto" w:before="121"/>
        <w:ind w:right="113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16" w:lineRule="auto" w:before="119"/>
        <w:ind w:right="1132" w:firstLine="360"/>
        <w:jc w:val="both"/>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模式计量的投资性房地产的，以转换前的账面价值作为转换后的入账价值；转换为以公允价值模式计量的投资性房地产的， 以转换日的公允价值作为转换后的入账价值。</w:t>
      </w:r>
    </w:p>
    <w:p>
      <w:pPr>
        <w:pStyle w:val="BodyText"/>
        <w:spacing w:line="316" w:lineRule="auto" w:before="17"/>
        <w:ind w:right="0" w:firstLine="288"/>
        <w:jc w:val="left"/>
      </w:pPr>
      <w:r>
        <w:rPr>
          <w:spacing w:val="-1"/>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18、固定资产" w:id="185"/>
      <w:bookmarkEnd w:id="185"/>
      <w:r>
        <w:rPr>
          <w:b w:val="0"/>
          <w:bCs w:val="0"/>
        </w:rPr>
      </w:r>
      <w:r>
        <w:rPr>
          <w:rFonts w:ascii="Times New Roman" w:hAnsi="Times New Roman" w:cs="Times New Roman" w:eastAsia="Times New Roman" w:hint="default"/>
        </w:rPr>
        <w:t>18</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firstLine="634"/>
        <w:jc w:val="both"/>
      </w:pPr>
      <w:r>
        <w:rPr/>
        <w:t>固定资产是指为生产商品、提供劳务、出租或经营管理而持有的，使用寿命超过一个会计年度的有形资产。固定资 </w:t>
      </w:r>
      <w:r>
        <w:rPr>
          <w:spacing w:val="-2"/>
        </w:rPr>
        <w:t>产仅在与其有关的经济利益很可能流入本公司，且其成本能够可靠地计量时才予以确认。固定资产按成本并考虑预计弃置费</w:t>
      </w:r>
      <w:r>
        <w:rPr>
          <w:spacing w:val="-62"/>
        </w:rPr>
        <w:t> </w:t>
      </w:r>
      <w:r>
        <w:rPr>
          <w:spacing w:val="-62"/>
        </w:rPr>
      </w:r>
      <w:r>
        <w:rPr/>
        <w:t>用因素的影响进行初始计量。</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2.25-4.50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2.25-18.00</w:t>
            </w:r>
          </w:p>
        </w:tc>
      </w:tr>
    </w:tbl>
    <w:p>
      <w:pPr>
        <w:pStyle w:val="BodyText"/>
        <w:spacing w:line="316" w:lineRule="auto" w:before="8"/>
        <w:ind w:right="0" w:firstLine="288"/>
        <w:jc w:val="left"/>
      </w:pPr>
      <w:r>
        <w:rPr>
          <w:spacing w:val="-1"/>
        </w:rPr>
        <w:t>预计净残值是指假定固定资产预计使用寿命已满并处于使用寿命终了时的预期状态，本公司目前从该项资产处置中获得</w:t>
      </w:r>
      <w:r>
        <w:rPr/>
        <w:t> 的扣除预计处置费用后的金额。</w:t>
      </w:r>
    </w:p>
    <w:p>
      <w:pPr>
        <w:pStyle w:val="BodyText"/>
        <w:spacing w:line="300" w:lineRule="auto" w:before="19"/>
        <w:ind w:left="513" w:right="4113"/>
        <w:jc w:val="left"/>
      </w:pPr>
      <w:r>
        <w:rPr/>
        <w:t>（</w:t>
      </w:r>
      <w:r>
        <w:rPr>
          <w:rFonts w:ascii="Times New Roman" w:hAnsi="Times New Roman" w:cs="Times New Roman" w:eastAsia="Times New Roman" w:hint="default"/>
        </w:rPr>
        <w:t>3</w:t>
      </w:r>
      <w:r>
        <w:rPr/>
        <w:t>）固定资产的减值测试方法及减值准备计提方法 固定资产的减值测试方法和减值准备计提方法详见附注四、</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pStyle w:val="BodyText"/>
        <w:spacing w:line="300" w:lineRule="auto" w:before="13"/>
        <w:ind w:left="513" w:right="0"/>
        <w:jc w:val="left"/>
      </w:pPr>
      <w:r>
        <w:rPr/>
        <w:t>（</w:t>
      </w:r>
      <w:r>
        <w:rPr>
          <w:rFonts w:ascii="Times New Roman" w:hAnsi="Times New Roman" w:cs="Times New Roman" w:eastAsia="Times New Roman" w:hint="default"/>
        </w:rPr>
        <w:t>4</w:t>
      </w:r>
      <w:r>
        <w:rPr/>
        <w:t>）融资租入固定资产的认定依据及计价方法 </w:t>
      </w:r>
      <w:r>
        <w:rPr>
          <w:spacing w:val="-2"/>
        </w:rPr>
        <w:t>融资租赁为实质上转移了与资产所有权有关的全部风险和报酬的租赁，其所有权最终可能转移，也可能不转移。以融资</w:t>
      </w:r>
    </w:p>
    <w:p>
      <w:pPr>
        <w:pStyle w:val="BodyText"/>
        <w:spacing w:line="316" w:lineRule="auto" w:before="31"/>
        <w:ind w:right="1130"/>
        <w:jc w:val="both"/>
      </w:pP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3"/>
        </w:rPr>
        <w:t> </w:t>
      </w:r>
      <w:r>
        <w:rPr>
          <w:spacing w:val="-63"/>
        </w:rPr>
      </w:r>
      <w:r>
        <w:rPr/>
        <w:t>命两者中较短的期间内计提折旧。</w:t>
      </w:r>
    </w:p>
    <w:p>
      <w:pPr>
        <w:pStyle w:val="BodyText"/>
        <w:spacing w:line="300" w:lineRule="auto" w:before="19"/>
        <w:ind w:left="513" w:right="1122"/>
        <w:jc w:val="left"/>
      </w:pPr>
      <w:r>
        <w:rPr/>
        <w:t>（</w:t>
      </w:r>
      <w:r>
        <w:rPr>
          <w:rFonts w:ascii="Times New Roman" w:hAnsi="Times New Roman" w:cs="Times New Roman" w:eastAsia="Times New Roman" w:hint="default"/>
        </w:rPr>
        <w:t>5</w:t>
      </w:r>
      <w:r>
        <w:rPr/>
        <w:t>）其他说明 </w:t>
      </w:r>
      <w:r>
        <w:rPr>
          <w:spacing w:val="-2"/>
        </w:rPr>
        <w:t>与固定资产有关的后续支出，如果与该固定资产有关的经济利益很可能流入且其成本能可靠地计量，则计入固定资产成</w:t>
      </w:r>
    </w:p>
    <w:p>
      <w:pPr>
        <w:pStyle w:val="BodyText"/>
        <w:spacing w:line="316" w:lineRule="auto" w:before="31"/>
        <w:ind w:left="513" w:right="0" w:hanging="361"/>
        <w:jc w:val="left"/>
      </w:pPr>
      <w:r>
        <w:rPr/>
        <w:t>本，并终止确认被替换部分的账面价值。除此以外的其他后续支出，在发生时计入当期损益。 </w:t>
      </w:r>
      <w:r>
        <w:rPr>
          <w:spacing w:val="-2"/>
        </w:rPr>
        <w:t>当固定资产处于处置状态或预期通过使用或处置不能产生经济利益时，终止确认该固定资产。固定资产出售、转让、报</w:t>
      </w:r>
    </w:p>
    <w:p>
      <w:pPr>
        <w:pStyle w:val="BodyText"/>
        <w:spacing w:line="319" w:lineRule="auto" w:before="19"/>
        <w:ind w:left="513" w:right="0" w:hanging="361"/>
        <w:jc w:val="left"/>
      </w:pPr>
      <w:r>
        <w:rPr/>
        <w:t>废或毁损的处置收入扣除其账面价值和相关税费后的差额计入当期损益。 </w:t>
      </w:r>
      <w:r>
        <w:rPr>
          <w:spacing w:val="-4"/>
        </w:rPr>
        <w:t>本公司至少于年度终了对固定资产的使用寿命、预计净残值和折旧方法进行复核，如发生改变则作为会计估计变更处理。</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19、在建工程" w:id="188"/>
      <w:bookmarkEnd w:id="188"/>
      <w:r>
        <w:rPr>
          <w:b w:val="0"/>
          <w:bCs w:val="0"/>
        </w:rPr>
      </w:r>
      <w:r>
        <w:rPr>
          <w:rFonts w:ascii="Times New Roman" w:hAnsi="Times New Roman" w:cs="Times New Roman" w:eastAsia="Times New Roman" w:hint="default"/>
        </w:rPr>
        <w:t>19</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288"/>
        <w:jc w:val="left"/>
      </w:pPr>
      <w:r>
        <w:rPr>
          <w:spacing w:val="-1"/>
        </w:rPr>
        <w:t>在建工程在达到预定可使用状态之日起，根据工程预算、造价或工程实际成本等，按估计的价值结转固定资产，次月起</w:t>
      </w:r>
      <w:r>
        <w:rPr/>
        <w:t> 开始计提折旧，待办理了竣工决算手续后再对固定资产原值差异进行调整。</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0、借款费用" w:id="189"/>
      <w:bookmarkEnd w:id="189"/>
      <w:r>
        <w:rPr>
          <w:b w:val="0"/>
          <w:bCs w:val="0"/>
        </w:rPr>
      </w:r>
      <w:r>
        <w:rPr>
          <w:rFonts w:ascii="Times New Roman" w:hAnsi="Times New Roman" w:cs="Times New Roman" w:eastAsia="Times New Roman" w:hint="default"/>
        </w:rPr>
        <w:t>20</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034" w:firstLine="288"/>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年以上的购建或者生产活动才能达到预定可使用或者可销售状态的固定资产、投资性房 </w:t>
      </w:r>
      <w:r>
        <w:rPr>
          <w:spacing w:val="-2"/>
        </w:rPr>
        <w:t>地产和存货等的借款费用，在资产支出已经发生、借款费用已经发生、为使资产达到预定可使用或可销售状态所必要的购建</w:t>
      </w:r>
      <w:r>
        <w:rPr>
          <w:spacing w:val="-63"/>
        </w:rPr>
        <w:t> </w:t>
      </w:r>
      <w:r>
        <w:rPr>
          <w:spacing w:val="-63"/>
        </w:rPr>
      </w:r>
      <w:r>
        <w:rPr/>
        <w:t>或生产活动已经开始时，开始资本化；当购建或生产符合资本化条件的资产达到预定可使用或可销售状态时，停止资本化， </w:t>
      </w:r>
      <w:r>
        <w:rPr>
          <w:spacing w:val="-2"/>
        </w:rPr>
        <w:t>其后发生的借款费用计入当期损益。如果符合资本化条件的资产在购建或者生产过程中发生非正常中断、且中断时间连续超</w:t>
      </w:r>
      <w:r>
        <w:rPr>
          <w:spacing w:val="-63"/>
        </w:rPr>
        <w:t> </w:t>
      </w:r>
      <w:r>
        <w:rPr>
          <w:spacing w:val="-63"/>
        </w:rPr>
      </w:r>
      <w:r>
        <w:rPr/>
        <w:t>过</w:t>
      </w:r>
      <w:r>
        <w:rPr>
          <w:rFonts w:ascii="Times New Roman" w:hAnsi="Times New Roman" w:cs="Times New Roman" w:eastAsia="Times New Roman" w:hint="default"/>
        </w:rPr>
        <w:t>3</w:t>
      </w:r>
      <w:r>
        <w:rPr/>
        <w:t>个月，暂停借款费用的资本化，直至资产的购建或生产活动重新开始。</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9"/>
        <w:ind w:left="513" w:right="0" w:hanging="361"/>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0"/>
        <w:jc w:val="left"/>
      </w:pPr>
      <w:r>
        <w:rPr>
          <w:spacing w:val="-2"/>
        </w:rPr>
        <w:t>别作为无形资产和固定资产核算。如为外购的房屋及建筑物，则将有关价款在土地使用权和建筑物之间进行分配，难以合理</w:t>
      </w:r>
      <w:r>
        <w:rPr>
          <w:spacing w:val="-63"/>
        </w:rPr>
        <w:t> </w:t>
      </w:r>
      <w:r>
        <w:rPr>
          <w:spacing w:val="-63"/>
        </w:rPr>
      </w:r>
      <w:r>
        <w:rPr/>
        <w:t>分配的，全部作为固定资产处理。</w:t>
      </w:r>
    </w:p>
    <w:p>
      <w:pPr>
        <w:pStyle w:val="BodyText"/>
        <w:spacing w:line="316" w:lineRule="auto" w:before="19"/>
        <w:ind w:right="1132" w:firstLine="360"/>
        <w:jc w:val="both"/>
      </w:pPr>
      <w:r>
        <w:rPr>
          <w:spacing w:val="-2"/>
        </w:rPr>
        <w:t>使用寿命有限的无形资产自可供使用时起，对其原值在其预计使用寿命内采用直线法分期平均摊销。使用寿命不确定的</w:t>
      </w:r>
      <w:r>
        <w:rPr/>
        <w:t> 无形资产不予摊销。</w:t>
      </w:r>
    </w:p>
    <w:p>
      <w:pPr>
        <w:pStyle w:val="BodyText"/>
        <w:spacing w:line="316" w:lineRule="auto" w:before="19"/>
        <w:ind w:right="1131" w:firstLine="288"/>
        <w:jc w:val="both"/>
      </w:pPr>
      <w:r>
        <w:rPr>
          <w:spacing w:val="-1"/>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2"/>
        </w:rPr>
        <w:t> </w:t>
      </w:r>
      <w:r>
        <w:rPr>
          <w:spacing w:val="-62"/>
        </w:rPr>
      </w:r>
      <w:r>
        <w:rPr/>
        <w:t>计其使用寿命并按照使用寿命有限的无形资产的摊销政策进行摊销。</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3" w:right="0"/>
        <w:jc w:val="left"/>
      </w:pPr>
      <w:r>
        <w:rPr/>
        <w:t>①</w:t>
      </w:r>
      <w:r>
        <w:rPr>
          <w:spacing w:val="-18"/>
        </w:rPr>
        <w:t> </w:t>
      </w:r>
      <w:r>
        <w:rPr/>
        <w:t>完成该无形资产以使其能够使用或出售在技术上具有可行性；</w:t>
      </w:r>
    </w:p>
    <w:p>
      <w:pPr>
        <w:pStyle w:val="BodyText"/>
        <w:spacing w:line="240" w:lineRule="auto" w:before="76"/>
        <w:ind w:left="513" w:right="0"/>
        <w:jc w:val="left"/>
      </w:pPr>
      <w:r>
        <w:rPr/>
        <w:t>②</w:t>
      </w:r>
      <w:r>
        <w:rPr>
          <w:spacing w:val="-18"/>
        </w:rPr>
        <w:t> </w:t>
      </w:r>
      <w:r>
        <w:rPr/>
        <w:t>具有完成该无形资产并使用或出售的意图；</w:t>
      </w:r>
    </w:p>
    <w:p>
      <w:pPr>
        <w:pStyle w:val="BodyText"/>
        <w:spacing w:line="316" w:lineRule="auto" w:before="76"/>
        <w:ind w:right="1159" w:firstLine="360"/>
        <w:jc w:val="both"/>
      </w:pPr>
      <w:r>
        <w:rPr/>
        <w:t>③</w:t>
      </w:r>
      <w:r>
        <w:rPr>
          <w:spacing w:val="-18"/>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13" w:right="0"/>
        <w:jc w:val="left"/>
      </w:pPr>
      <w:r>
        <w:rPr/>
        <w:t>④</w:t>
      </w:r>
      <w:r>
        <w:rPr>
          <w:spacing w:val="-18"/>
        </w:rPr>
        <w:t> </w:t>
      </w:r>
      <w:r>
        <w:rPr/>
        <w:t>有足够的技术、财务资源和其他资源支持，以完成该无形资产的开发，并有能力使用或出售该无形资产；</w:t>
      </w:r>
    </w:p>
    <w:p>
      <w:pPr>
        <w:pStyle w:val="BodyText"/>
        <w:spacing w:line="319" w:lineRule="auto" w:before="76"/>
        <w:ind w:left="513" w:right="3913"/>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pStyle w:val="BodyText"/>
        <w:spacing w:line="300" w:lineRule="auto" w:before="17"/>
        <w:ind w:left="441" w:right="4185" w:firstLine="72"/>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0"/>
        <w:jc w:val="left"/>
        <w:rPr>
          <w:b w:val="0"/>
          <w:bCs w:val="0"/>
        </w:rPr>
      </w:pPr>
      <w:bookmarkStart w:name="22、长期资产减值" w:id="193"/>
      <w:bookmarkEnd w:id="19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3"/>
        </w:rPr>
        <w:t> </w:t>
      </w:r>
      <w:r>
        <w:rPr>
          <w:spacing w:val="-63"/>
        </w:rPr>
      </w:r>
      <w:r>
        <w:rPr>
          <w:spacing w:val="-2"/>
        </w:rPr>
        <w:t>回金额，进行减值测试。商誉、使用寿命不确定的无形资产和尚未达到可使用状态的无形资产，无论是否存在减值迹象，每</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年均进行减值测试。 </w:t>
      </w:r>
      <w:r>
        <w:rPr>
          <w:spacing w:val="-2"/>
        </w:rPr>
        <w:t>减值测试结果表明资产的可收回金额低于其账面价值的，按其差额计提减值准备并计入减值损失。可收回金额为资产的</w:t>
      </w:r>
    </w:p>
    <w:p>
      <w:pPr>
        <w:pStyle w:val="BodyText"/>
        <w:spacing w:line="316" w:lineRule="auto" w:before="17"/>
        <w:ind w:right="0"/>
        <w:jc w:val="left"/>
      </w:pP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2"/>
        </w:rPr>
        <w:t> </w:t>
      </w:r>
      <w:r>
        <w:rPr>
          <w:spacing w:val="-62"/>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9" w:lineRule="auto" w:before="19"/>
        <w:ind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7"/>
        <w:ind w:left="441"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288"/>
        <w:jc w:val="left"/>
      </w:pPr>
      <w:r>
        <w:rPr>
          <w:spacing w:val="-1"/>
        </w:rPr>
        <w:t>长期待摊费用为已经发生但应由报告期和以后各期负担的分摊期限在一年以上的各项费用。长期待摊费用在预计受益期</w:t>
      </w:r>
      <w:r>
        <w:rPr/>
        <w:t> 间按直线法摊销。</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288"/>
        <w:jc w:val="left"/>
      </w:pPr>
      <w:r>
        <w:rPr>
          <w:spacing w:val="-1"/>
        </w:rPr>
        <w:t>离职后福利主要包括基本养老保险、失业保险。离职后福利计划包括设定提存计划。采用设定提存计划的，相应的应缴</w:t>
      </w:r>
      <w:r>
        <w:rPr/>
        <w:t> 存金额于发生时计入相关资产成本或当期损益。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9"/>
        <w:ind w:right="0" w:firstLine="288"/>
        <w:jc w:val="left"/>
      </w:pPr>
      <w:r>
        <w:rPr>
          <w:spacing w:val="-1"/>
        </w:rPr>
        <w:t>职工内部退休计划采用与上述辞退福利相同的原则处理。本公司将自职工停止提供服务日至正常退休日的期间拟支付的</w:t>
      </w:r>
      <w:r>
        <w:rPr/>
        <w:t> 内退人员工资和缴纳的社会保险费等，在符合预计负债确认条件时，计入当期损益（辞退福利）。</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288"/>
        <w:jc w:val="both"/>
      </w:pPr>
      <w:r>
        <w:rPr>
          <w:spacing w:val="-1"/>
        </w:rPr>
        <w:t>本公司向职工提供的其他长期职工福利，符合设定提存计划的，按照设定提存计划进行会计处理，除此之外按照设定受</w:t>
      </w:r>
      <w:r>
        <w:rPr/>
        <w:t> 益计划进行会计处理。</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1" w:firstLine="391"/>
        <w:jc w:val="both"/>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）该义务是本公司承担的现时义务；（</w:t>
      </w:r>
      <w:r>
        <w:rPr>
          <w:rFonts w:ascii="Times New Roman" w:hAnsi="Times New Roman" w:cs="Times New Roman" w:eastAsia="Times New Roman" w:hint="default"/>
        </w:rPr>
        <w:t>2</w:t>
      </w:r>
      <w:r>
        <w:rPr/>
        <w:t>）履行该 义务很可能导致经济利益流出；（</w:t>
      </w:r>
      <w:r>
        <w:rPr>
          <w:rFonts w:ascii="Times New Roman" w:hAnsi="Times New Roman" w:cs="Times New Roman" w:eastAsia="Times New Roman" w:hint="default"/>
        </w:rPr>
        <w:t>3</w:t>
      </w:r>
      <w:r>
        <w:rPr/>
        <w:t>）该义务的金额能够可靠地计量。</w:t>
      </w:r>
    </w:p>
    <w:p>
      <w:pPr>
        <w:spacing w:line="240" w:lineRule="auto" w:before="4"/>
        <w:rPr>
          <w:rFonts w:ascii="宋体" w:hAnsi="宋体" w:cs="宋体" w:eastAsia="宋体" w:hint="default"/>
          <w:sz w:val="19"/>
          <w:szCs w:val="19"/>
        </w:rPr>
      </w:pPr>
    </w:p>
    <w:p>
      <w:pPr>
        <w:pStyle w:val="BodyText"/>
        <w:spacing w:line="316" w:lineRule="auto"/>
        <w:ind w:right="1139" w:firstLine="391"/>
        <w:jc w:val="both"/>
      </w:pPr>
      <w:r>
        <w:rPr/>
        <w:t>在资产负债表日，考虑与或有事项有关的风险、不确定性和货币时间价值等因素，按照履行相关现时义务所需支出的 最佳估计数对预计负债进行计量。</w:t>
      </w:r>
    </w:p>
    <w:p>
      <w:pPr>
        <w:spacing w:line="240" w:lineRule="auto" w:before="11"/>
        <w:rPr>
          <w:rFonts w:ascii="宋体" w:hAnsi="宋体" w:cs="宋体" w:eastAsia="宋体" w:hint="default"/>
          <w:sz w:val="19"/>
          <w:szCs w:val="19"/>
        </w:rPr>
      </w:pPr>
    </w:p>
    <w:p>
      <w:pPr>
        <w:pStyle w:val="BodyText"/>
        <w:spacing w:line="316" w:lineRule="auto"/>
        <w:ind w:right="1139" w:firstLine="391"/>
        <w:jc w:val="both"/>
      </w:pPr>
      <w:r>
        <w:rPr/>
        <w:t>如果清偿预计负债所需支出全部或部分预期由第三方补偿的，补偿金额在基本确定能够收到时，作为资产单独确认， 且确认的补偿金额不超过预计负债的账面价值。</w:t>
      </w:r>
    </w:p>
    <w:p>
      <w:pPr>
        <w:pStyle w:val="BodyText"/>
        <w:spacing w:line="552" w:lineRule="exact" w:before="27"/>
        <w:ind w:left="544" w:right="1122"/>
        <w:jc w:val="left"/>
      </w:pPr>
      <w:r>
        <w:rPr/>
        <w:t>（</w:t>
      </w:r>
      <w:r>
        <w:rPr>
          <w:rFonts w:ascii="Times New Roman" w:hAnsi="Times New Roman" w:cs="Times New Roman" w:eastAsia="Times New Roman" w:hint="default"/>
        </w:rPr>
        <w:t>1</w:t>
      </w:r>
      <w:r>
        <w:rPr/>
        <w:t>）亏损合同 亏损合同是履行合同义务不可避免会发生的成本超过预期经济利益的合同。待执行合同变成亏损合同，且该亏损合同</w:t>
      </w:r>
    </w:p>
    <w:p>
      <w:pPr>
        <w:pStyle w:val="BodyText"/>
        <w:spacing w:line="316" w:lineRule="auto"/>
        <w:ind w:right="1122"/>
        <w:jc w:val="left"/>
      </w:pPr>
      <w:r>
        <w:rPr>
          <w:spacing w:val="-2"/>
        </w:rPr>
        <w:t>产生的义务满足上述预计负债的确认条件的，将合同预计损失超过合同标的资产已确认的减值损失（如有）的部分，确认为</w:t>
      </w:r>
      <w:r>
        <w:rPr>
          <w:spacing w:val="-66"/>
        </w:rPr>
        <w:t> </w:t>
      </w:r>
      <w:r>
        <w:rPr>
          <w:spacing w:val="-66"/>
        </w:rPr>
      </w:r>
      <w:r>
        <w:rPr/>
        <w:t>预计负债。</w:t>
      </w:r>
    </w:p>
    <w:p>
      <w:pPr>
        <w:spacing w:line="240" w:lineRule="auto" w:before="10"/>
        <w:rPr>
          <w:rFonts w:ascii="宋体" w:hAnsi="宋体" w:cs="宋体" w:eastAsia="宋体" w:hint="default"/>
          <w:sz w:val="19"/>
          <w:szCs w:val="19"/>
        </w:rPr>
      </w:pPr>
    </w:p>
    <w:p>
      <w:pPr>
        <w:pStyle w:val="BodyText"/>
        <w:spacing w:line="300" w:lineRule="auto"/>
        <w:ind w:left="441" w:right="0" w:firstLine="103"/>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对于有详细、正式并且已经对外公告的重组计划，在满足前述预计负债的确认条件的情况下，按照与重组有关的直接支</w:t>
      </w:r>
    </w:p>
    <w:p>
      <w:pPr>
        <w:pStyle w:val="BodyText"/>
        <w:spacing w:line="240" w:lineRule="auto" w:before="31"/>
        <w:ind w:right="0"/>
        <w:jc w:val="both"/>
      </w:pPr>
      <w:r>
        <w:rPr/>
        <w:t>出确定预计负债金额。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0"/>
        <w:jc w:val="both"/>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right="0"/>
        <w:jc w:val="both"/>
      </w:pPr>
      <w:r>
        <w:rPr/>
        <w:t>为以权益结算的股份支付和以现金结算的股份支付。</w:t>
      </w:r>
    </w:p>
    <w:p>
      <w:pPr>
        <w:pStyle w:val="BodyText"/>
        <w:spacing w:line="316" w:lineRule="auto" w:before="76"/>
        <w:ind w:left="513" w:right="0"/>
        <w:jc w:val="left"/>
      </w:pPr>
      <w:r>
        <w:rPr/>
        <w:t>①</w:t>
      </w:r>
      <w:r>
        <w:rPr>
          <w:spacing w:val="-18"/>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316" w:lineRule="auto" w:before="19"/>
        <w:ind w:right="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pStyle w:val="BodyText"/>
        <w:spacing w:line="316" w:lineRule="auto" w:before="19"/>
        <w:ind w:right="1132"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28"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1"/>
        </w:rPr>
        <w:t> </w:t>
      </w:r>
      <w:r>
        <w:rPr>
          <w:spacing w:val="-61"/>
        </w:rPr>
      </w:r>
      <w:r>
        <w:rPr/>
        <w:t>日的公允价值计量，计入相关成本或费用，相应增加股东权益。</w:t>
      </w:r>
    </w:p>
    <w:p>
      <w:pPr>
        <w:pStyle w:val="BodyText"/>
        <w:spacing w:line="316" w:lineRule="auto" w:before="19"/>
        <w:ind w:left="513" w:right="0"/>
        <w:jc w:val="left"/>
      </w:pPr>
      <w:r>
        <w:rPr/>
        <w:t>②</w:t>
      </w:r>
      <w:r>
        <w:rPr>
          <w:spacing w:val="-18"/>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6" w:lineRule="auto" w:before="19"/>
        <w:ind w:right="1130"/>
        <w:jc w:val="both"/>
      </w:pPr>
      <w:r>
        <w:rPr>
          <w:spacing w:val="-2"/>
        </w:rPr>
        <w:t>行权，在授予日计入相关成本或费用，相应增加负债；如须完成等待期内的服务或达到规定业绩条件以后才可行权，在等待</w:t>
      </w:r>
      <w:r>
        <w:rPr>
          <w:spacing w:val="-64"/>
        </w:rPr>
        <w:t> </w:t>
      </w:r>
      <w:r>
        <w:rPr>
          <w:spacing w:val="-64"/>
        </w:rPr>
      </w:r>
      <w:r>
        <w:rPr>
          <w:spacing w:val="-2"/>
        </w:rPr>
        <w:t>期的每个资产负债表日，以对可行权情况的最佳估计为基础，按照本公司承担负债的公允价值金额，将当期取得的服务计入</w:t>
      </w:r>
      <w:r>
        <w:rPr>
          <w:spacing w:val="-63"/>
        </w:rPr>
        <w:t> </w:t>
      </w:r>
      <w:r>
        <w:rPr>
          <w:spacing w:val="-63"/>
        </w:rPr>
      </w:r>
      <w:r>
        <w:rPr/>
        <w:t>成本或费用，相应增加负债。</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在相关负债结算前的每个资产负债表日以及结算日，对负债的公允价值重新计量，其变动计入当期损益。</w:t>
      </w:r>
    </w:p>
    <w:p>
      <w:pPr>
        <w:pStyle w:val="BodyText"/>
        <w:spacing w:line="300" w:lineRule="auto" w:before="77"/>
        <w:ind w:left="513"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31"/>
        <w:ind w:right="1130"/>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3"/>
        </w:rPr>
        <w:t> </w:t>
      </w:r>
      <w:r>
        <w:rPr>
          <w:spacing w:val="-63"/>
        </w:rPr>
      </w:r>
      <w:r>
        <w:rPr/>
        <w:t>取消了部分或全部已授予的权益工具。</w:t>
      </w:r>
    </w:p>
    <w:p>
      <w:pPr>
        <w:pStyle w:val="BodyText"/>
        <w:spacing w:line="316" w:lineRule="auto" w:before="19"/>
        <w:ind w:right="1128"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3"/>
        </w:rPr>
        <w:t> </w:t>
      </w:r>
      <w:r>
        <w:rPr>
          <w:spacing w:val="-63"/>
        </w:rPr>
      </w:r>
      <w:r>
        <w:rPr/>
        <w:t>将其作为授予权益工具的取消处理。</w:t>
      </w:r>
    </w:p>
    <w:p>
      <w:pPr>
        <w:pStyle w:val="BodyText"/>
        <w:spacing w:line="300" w:lineRule="auto" w:before="19"/>
        <w:ind w:left="513"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left"/>
      </w:pPr>
      <w:r>
        <w:rPr/>
        <w:t>的，在本公司合并财务报表中按照以下规定进行会计处理：</w:t>
      </w:r>
    </w:p>
    <w:p>
      <w:pPr>
        <w:pStyle w:val="BodyText"/>
        <w:spacing w:line="316" w:lineRule="auto" w:before="77"/>
        <w:ind w:right="1159" w:firstLine="360"/>
        <w:jc w:val="both"/>
      </w:pPr>
      <w:r>
        <w:rPr/>
        <w:t>①</w:t>
      </w:r>
      <w:r>
        <w:rPr>
          <w:spacing w:val="-18"/>
        </w:rPr>
        <w:t> </w:t>
      </w:r>
      <w:r>
        <w:rPr/>
        <w:t>结算企业以其本身权益工具结算的，将该股份支付交易作为权益结算的股份支付处理；除此之外，作为现金结算的</w:t>
      </w:r>
      <w:r>
        <w:rPr/>
        <w:t> 股份支付处理。</w:t>
      </w:r>
    </w:p>
    <w:p>
      <w:pPr>
        <w:pStyle w:val="BodyText"/>
        <w:spacing w:line="316" w:lineRule="auto" w:before="19"/>
        <w:ind w:right="1132"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right="1133" w:firstLine="360"/>
        <w:jc w:val="both"/>
      </w:pPr>
      <w:r>
        <w:rPr/>
        <w:t>②</w:t>
      </w:r>
      <w:r>
        <w:rPr>
          <w:spacing w:val="-18"/>
        </w:rPr>
        <w:t> </w:t>
      </w:r>
      <w:r>
        <w:rPr/>
        <w:t>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9"/>
        <w:ind w:right="1132" w:firstLine="288"/>
        <w:jc w:val="both"/>
      </w:pPr>
      <w:r>
        <w:rPr>
          <w:spacing w:val="-1"/>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3913"/>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31"/>
        <w:ind w:right="1132"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19"/>
        <w:ind w:right="113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16" w:lineRule="auto" w:before="19"/>
        <w:ind w:left="513"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00" w:lineRule="auto" w:before="19"/>
        <w:ind w:right="1132"/>
        <w:jc w:val="both"/>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4"/>
        </w:rPr>
        <w:t> </w:t>
      </w:r>
      <w:r>
        <w:rPr>
          <w:spacing w:val="-44"/>
        </w:rPr>
      </w:r>
      <w:r>
        <w:rPr/>
        <w:t>总发行价款的比例进行分摊。</w:t>
      </w:r>
    </w:p>
    <w:p>
      <w:pPr>
        <w:pStyle w:val="BodyText"/>
        <w:spacing w:line="300" w:lineRule="auto" w:before="29"/>
        <w:ind w:left="513" w:right="0"/>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00" w:lineRule="auto" w:before="31"/>
        <w:ind w:left="513" w:right="0" w:hanging="361"/>
        <w:jc w:val="left"/>
      </w:pPr>
      <w:r>
        <w:rPr/>
        <w:t>利得或损失等，除符合资本化条件的借款费用（参见本附注四、</w:t>
      </w:r>
      <w:r>
        <w:rPr>
          <w:rFonts w:ascii="Times New Roman" w:hAnsi="Times New Roman" w:cs="Times New Roman" w:eastAsia="Times New Roman" w:hint="default"/>
        </w:rPr>
        <w:t>17</w:t>
      </w:r>
      <w:r>
        <w:rPr>
          <w:rFonts w:ascii="Times New Roman" w:hAnsi="Times New Roman" w:cs="Times New Roman" w:eastAsia="Times New Roman" w:hint="default"/>
        </w:rPr>
        <w:t>“</w:t>
      </w:r>
      <w:r>
        <w:rPr/>
        <w:t>借款费用</w:t>
      </w:r>
      <w:r>
        <w:rPr>
          <w:rFonts w:ascii="Times New Roman" w:hAnsi="Times New Roman" w:cs="Times New Roman" w:eastAsia="Times New Roman" w:hint="default"/>
        </w:rPr>
        <w:t>”</w:t>
      </w:r>
      <w:r>
        <w:rPr/>
        <w:t>）以外，均计入当期损益。 </w:t>
      </w:r>
      <w:r>
        <w:rPr>
          <w:spacing w:val="-2"/>
        </w:rPr>
        <w:t>归类为权益工具的永续债和优先股等金融工具，其发行（含再融资）、回购、出售或注销时，本公司作为权益的变动处</w:t>
      </w:r>
    </w:p>
    <w:p>
      <w:pPr>
        <w:pStyle w:val="BodyText"/>
        <w:spacing w:line="316" w:lineRule="auto" w:before="31"/>
        <w:ind w:left="441" w:right="3734" w:hanging="289"/>
        <w:jc w:val="left"/>
      </w:pPr>
      <w:r>
        <w:rPr/>
        <w:t>理，相关交易费用亦从权益中扣减。本公司对权益工具持有方的分配作为利润分配处理。 本公司不确认权益工具的公允价值变动。</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3"/>
        <w:ind w:left="513"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right="0"/>
        <w:jc w:val="left"/>
      </w:pPr>
      <w:r>
        <w:rPr>
          <w:spacing w:val="-2"/>
        </w:rPr>
        <w:t>实施有效控制，收入的金额能够可靠地计量，相关的经济利益很可能流入企业，相关的已发生或将发生的成本能够可靠地计</w:t>
      </w:r>
      <w:r>
        <w:rPr>
          <w:spacing w:val="-62"/>
        </w:rPr>
        <w:t> </w:t>
      </w:r>
      <w:r>
        <w:rPr>
          <w:spacing w:val="-62"/>
        </w:rPr>
      </w:r>
      <w:r>
        <w:rPr/>
        <w:t>量时，确认商品销售收入的实现。</w:t>
      </w:r>
    </w:p>
    <w:p>
      <w:pPr>
        <w:pStyle w:val="BodyText"/>
        <w:spacing w:line="316" w:lineRule="auto" w:before="19"/>
        <w:ind w:left="513" w:right="0"/>
        <w:jc w:val="left"/>
      </w:pPr>
      <w:r>
        <w:rPr/>
        <w:t>公司通常于商品发出完成后，提交开票申请并开具发票，确认主营业务收入。月底一次性结转主营业务成本。 </w:t>
      </w:r>
      <w:r>
        <w:rPr>
          <w:spacing w:val="-2"/>
        </w:rPr>
        <w:t>公司年末结合商品实际发货情况和库存商品在年末时点的库存情况，对已开具发票未实际发货部分，不确认相应的主营</w:t>
      </w:r>
    </w:p>
    <w:p>
      <w:pPr>
        <w:pStyle w:val="BodyText"/>
        <w:spacing w:line="240" w:lineRule="auto" w:before="19"/>
        <w:ind w:right="0"/>
        <w:jc w:val="left"/>
      </w:pPr>
      <w:r>
        <w:rPr/>
        <w:t>业务收入及主营业务成本；对实际商品已发出但未开具发票部分，确认主营业务收入，同时结转主营业务成本。</w:t>
      </w:r>
    </w:p>
    <w:p>
      <w:pPr>
        <w:pStyle w:val="BodyText"/>
        <w:spacing w:line="300" w:lineRule="auto" w:before="76"/>
        <w:ind w:left="513"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1"/>
        <w:ind w:left="513" w:right="1033" w:hanging="361"/>
        <w:jc w:val="left"/>
      </w:pPr>
      <w:r>
        <w:rPr/>
        <w:t>工进度按已完工作的测量确定。 提供劳务交易的结果能够可靠估计是指同时满足：①收入的金额能够可靠地计量；②相关的经济利益很可能流入企业；</w:t>
      </w:r>
    </w:p>
    <w:p>
      <w:pPr>
        <w:pStyle w:val="BodyText"/>
        <w:spacing w:line="316" w:lineRule="auto" w:before="19"/>
        <w:ind w:left="513" w:right="0" w:hanging="361"/>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3" w:right="0" w:hanging="361"/>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0"/>
        <w:jc w:val="left"/>
      </w:pPr>
      <w:r>
        <w:rPr>
          <w:spacing w:val="-2"/>
        </w:rPr>
        <w:t>的，将销售商品部分和提供劳务部分分别处理；如销售商品部分和提供劳务部分不能够区分，或虽能区分但不能够单独计量</w:t>
      </w:r>
      <w:r>
        <w:rPr>
          <w:spacing w:val="-63"/>
        </w:rPr>
        <w:t> </w:t>
      </w:r>
      <w:r>
        <w:rPr>
          <w:spacing w:val="-63"/>
        </w:rPr>
      </w:r>
      <w:r>
        <w:rPr/>
        <w:t>的，将该合同全部作为销售商品处理。</w:t>
      </w:r>
    </w:p>
    <w:p>
      <w:pPr>
        <w:pStyle w:val="BodyText"/>
        <w:spacing w:line="300" w:lineRule="auto" w:before="19"/>
        <w:ind w:left="513" w:right="6613"/>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441" w:right="5785" w:firstLine="72"/>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政府补助是指本公司从政府无偿取得货币性资产和非货币性资产，不包括政府以投资者身份并享有相应所有者权益而投</w:t>
      </w:r>
      <w:r>
        <w:rPr/>
        <w:t> 入的资本。政府补助分为与资产相关的政府补助和与收益相关的政府补助。</w:t>
      </w:r>
    </w:p>
    <w:p>
      <w:pPr>
        <w:pStyle w:val="BodyText"/>
        <w:spacing w:line="309" w:lineRule="auto" w:before="19"/>
        <w:ind w:right="1132" w:firstLine="360"/>
        <w:jc w:val="both"/>
      </w:pPr>
      <w:r>
        <w:rPr>
          <w:spacing w:val="-2"/>
        </w:rPr>
        <w:t>本公司将所取得的用于购建或以其他方式形成长期资产的政府补助界定为与资产相关的政府补助；其余政府补助界定为</w:t>
      </w:r>
      <w:r>
        <w:rPr/>
        <w:t> </w:t>
      </w:r>
      <w:r>
        <w:rPr>
          <w:spacing w:val="-2"/>
        </w:rPr>
        <w:t>与收益相关的政府补助。若政府文件未明确规定补助对象，则采用以下方式将补助款划分为与收益相关的政府补助和与资产</w:t>
      </w:r>
      <w:r>
        <w:rPr>
          <w:spacing w:val="-64"/>
        </w:rPr>
        <w:t> </w:t>
      </w:r>
      <w:r>
        <w:rPr>
          <w:spacing w:val="-64"/>
        </w:rPr>
      </w:r>
      <w:r>
        <w:rPr/>
        <w:t>相关的政府补助：（</w:t>
      </w:r>
      <w:r>
        <w:rPr>
          <w:rFonts w:ascii="Times New Roman" w:hAnsi="Times New Roman" w:cs="Times New Roman" w:eastAsia="Times New Roman" w:hint="default"/>
        </w:rPr>
        <w:t>1</w:t>
      </w:r>
      <w:r>
        <w:rPr/>
        <w:t>）政府文件明确了补助所针对的特定项目的，根据该特定项目的预算中将形成资产的支出金额和计入 费用的支出金额的相对比例进行划分，对该划分比例需在每个资产负债表日进行复核，必要时进行变更；（</w:t>
      </w:r>
      <w:r>
        <w:rPr>
          <w:rFonts w:ascii="Times New Roman" w:hAnsi="Times New Roman" w:cs="Times New Roman" w:eastAsia="Times New Roman" w:hint="default"/>
        </w:rPr>
        <w:t>2</w:t>
      </w:r>
      <w:r>
        <w:rPr/>
        <w:t>）政府文件中</w:t>
      </w:r>
      <w:r>
        <w:rPr>
          <w:spacing w:val="-87"/>
        </w:rPr>
        <w:t> </w:t>
      </w:r>
      <w:r>
        <w:rPr/>
        <w:t>对用途仅作一般性表述，没有指明特定项目的，作为与收益相关的政府补助。</w:t>
      </w:r>
    </w:p>
    <w:p>
      <w:pPr>
        <w:pStyle w:val="BodyText"/>
        <w:spacing w:line="316" w:lineRule="auto" w:before="25"/>
        <w:ind w:right="1132" w:firstLine="360"/>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6" w:lineRule="auto" w:before="19"/>
        <w:ind w:right="1044" w:firstLine="360"/>
        <w:jc w:val="both"/>
      </w:pPr>
      <w:r>
        <w:rPr>
          <w:spacing w:val="-2"/>
        </w:rPr>
        <w:t>本公司对于政府补助通常在实际收到时，按照实收金额予以确认和计量。但对于期末有确凿证据表明能够符合财政扶持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304" w:lineRule="auto" w:before="19"/>
        <w:ind w:right="0"/>
        <w:jc w:val="left"/>
      </w:pPr>
      <w:r>
        <w:rPr>
          <w:spacing w:val="-2"/>
        </w:rPr>
        <w:t>（</w:t>
      </w:r>
      <w:r>
        <w:rPr>
          <w:rFonts w:ascii="Times New Roman" w:hAnsi="Times New Roman" w:cs="Times New Roman" w:eastAsia="Times New Roman" w:hint="default"/>
          <w:spacing w:val="-2"/>
        </w:rPr>
        <w:t>1</w:t>
      </w:r>
      <w:r>
        <w:rPr>
          <w:spacing w:val="-2"/>
        </w:rPr>
        <w:t>）应收补助款的金额已经过有权政府部门发文确认，或者可根据正式发布的财政资金管理办法的有关规定自行合理测算，</w:t>
      </w:r>
      <w:r>
        <w:rPr>
          <w:spacing w:val="-64"/>
        </w:rPr>
        <w:t> </w:t>
      </w:r>
      <w:r>
        <w:rPr>
          <w:spacing w:val="-64"/>
        </w:rPr>
      </w:r>
      <w:r>
        <w:rPr/>
        <w:t>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）所依据的是当地财政部门正式发布并按照《政府信息公开条例》的规定予以主动 </w:t>
      </w:r>
      <w:r>
        <w:rPr>
          <w:spacing w:val="-2"/>
        </w:rPr>
        <w:t>公开的财政扶持项目及其财政资金管理办法，且该管理办法应当是普惠性的（任何符合规定条件的企业均可申请），而不是</w:t>
      </w:r>
      <w:r>
        <w:rPr>
          <w:spacing w:val="-64"/>
        </w:rPr>
        <w:t> </w:t>
      </w:r>
      <w:r>
        <w:rPr>
          <w:spacing w:val="-64"/>
        </w:rPr>
      </w:r>
      <w:r>
        <w:rPr/>
        <w:t>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）相关的补助款批文中已明确承诺了拨付期限，且该款项的拨付是有相应财政预算作为保障 </w:t>
      </w:r>
      <w:r>
        <w:rPr>
          <w:spacing w:val="-5"/>
        </w:rPr>
        <w:t>的，因而可以合理保证其可在规定期限内收到；（</w:t>
      </w:r>
      <w:r>
        <w:rPr>
          <w:rFonts w:ascii="Times New Roman" w:hAnsi="Times New Roman" w:cs="Times New Roman" w:eastAsia="Times New Roman" w:hint="default"/>
          <w:spacing w:val="-5"/>
        </w:rPr>
        <w:t>4</w:t>
      </w:r>
      <w:r>
        <w:rPr>
          <w:spacing w:val="-5"/>
        </w:rPr>
        <w:t>）根据本公司和该补助事项的具体情况，应满足的其他相关条件（如有）。</w:t>
      </w:r>
    </w:p>
    <w:p>
      <w:pPr>
        <w:spacing w:after="0" w:line="304"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与资产相关的政府补助，确认为递延收益，并在相关资产的使用寿命内按照合理、系统的方法分期计入当期损益。与收</w:t>
      </w:r>
      <w:r>
        <w:rPr/>
        <w:t> </w:t>
      </w:r>
      <w:r>
        <w:rPr>
          <w:spacing w:val="-2"/>
        </w:rPr>
        <w:t>益相关的政府补助，用于补偿以后期间的相关成本费用或损失的，确认为递延收益，并在确认相关成本费用或损失的期间计</w:t>
      </w:r>
      <w:r>
        <w:rPr>
          <w:spacing w:val="-66"/>
        </w:rPr>
        <w:t> </w:t>
      </w:r>
      <w:r>
        <w:rPr>
          <w:spacing w:val="-66"/>
        </w:rPr>
      </w:r>
      <w:r>
        <w:rPr/>
        <w:t>入当期损益；用于补偿已经发生的相关成本费用或损失的，直接计入当期损益。</w:t>
      </w:r>
    </w:p>
    <w:p>
      <w:pPr>
        <w:pStyle w:val="BodyText"/>
        <w:spacing w:line="316" w:lineRule="auto" w:before="17"/>
        <w:ind w:right="1130" w:firstLine="360"/>
        <w:jc w:val="both"/>
      </w:pPr>
      <w:r>
        <w:rPr>
          <w:spacing w:val="-2"/>
        </w:rPr>
        <w:t>同时包含与资产相关部分和与收益相关部分的政府补助，区分不同部分分别进行会计处理；难以区分的，将其整体归类</w:t>
      </w:r>
      <w:r>
        <w:rPr/>
        <w:t> 为与收益相关的政府补助。</w:t>
      </w:r>
    </w:p>
    <w:p>
      <w:pPr>
        <w:pStyle w:val="BodyText"/>
        <w:spacing w:line="316" w:lineRule="auto" w:before="19"/>
        <w:ind w:right="1132" w:firstLine="360"/>
        <w:jc w:val="both"/>
      </w:pPr>
      <w:r>
        <w:rPr>
          <w:spacing w:val="-2"/>
        </w:rPr>
        <w:t>与本公司日常活动相关的政府补助，按照经济业务的实质，计入其他收益或冲减相关成本费用；与日常活动无关的政府</w:t>
      </w:r>
      <w:r>
        <w:rPr/>
        <w:t> 补助，计入营业外收支。</w:t>
      </w:r>
    </w:p>
    <w:p>
      <w:pPr>
        <w:pStyle w:val="BodyText"/>
        <w:spacing w:line="316" w:lineRule="auto" w:before="19"/>
        <w:ind w:right="1131" w:firstLine="288"/>
        <w:jc w:val="both"/>
      </w:pPr>
      <w:r>
        <w:rPr>
          <w:spacing w:val="-1"/>
        </w:rPr>
        <w:t>已确认的政府补助需要退回时，存在相关递延收益余额的，冲减相关递延收益账面余额，超出部分计入当期损益；属于</w:t>
      </w:r>
      <w:r>
        <w:rPr/>
        <w:t> 其他情况的，直接计入当期损益。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30、递延所得税资产/递延所得税负债" w:id="205"/>
      <w:bookmarkEnd w:id="20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1033"/>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1122"/>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3"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1122"/>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9" w:lineRule="auto" w:before="19"/>
        <w:ind w:right="1128"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1"/>
        </w:rPr>
        <w:t> </w:t>
      </w:r>
      <w:r>
        <w:rPr>
          <w:spacing w:val="-61"/>
        </w:rPr>
      </w:r>
      <w:r>
        <w:rPr/>
        <w:t>得税负债。</w:t>
      </w:r>
    </w:p>
    <w:p>
      <w:pPr>
        <w:pStyle w:val="BodyText"/>
        <w:spacing w:line="316" w:lineRule="auto" w:before="17"/>
        <w:ind w:right="1130"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3"/>
        </w:rPr>
        <w:t> </w:t>
      </w:r>
      <w:r>
        <w:rPr>
          <w:spacing w:val="-63"/>
        </w:rPr>
      </w:r>
      <w:r>
        <w:rPr/>
        <w:t>额为限，确认其他可抵扣暂时性差异产生的递延所得税资产。</w:t>
      </w:r>
    </w:p>
    <w:p>
      <w:pPr>
        <w:pStyle w:val="BodyText"/>
        <w:spacing w:line="316" w:lineRule="auto" w:before="19"/>
        <w:ind w:right="1132"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right="1130"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9" w:lineRule="auto" w:before="19"/>
        <w:ind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4"/>
        <w:ind w:left="513" w:right="6973"/>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1214"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3"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441" w:right="0" w:hanging="289"/>
        <w:jc w:val="left"/>
      </w:pPr>
      <w:r>
        <w:rPr/>
        <w:t>得税负债以抵销后的净额列报。 </w:t>
      </w:r>
      <w:r>
        <w:rPr>
          <w:spacing w:val="-1"/>
        </w:rPr>
        <w:t>当拥有以净额结算当期所得税资产及当期所得税负债的法定权利，且递延所得税资产及递延所得税负债是与同一税收征</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pPr>
      <w:r>
        <w:rPr>
          <w:spacing w:val="-2"/>
        </w:rPr>
        <w:t>管部门对同一纳税主体征收的所得税相关或者是对不同的纳税主体相关，但在未来每一具有重要性的递延所得税资产及负债</w:t>
      </w:r>
      <w:r>
        <w:rPr>
          <w:spacing w:val="-63"/>
        </w:rPr>
        <w:t> </w:t>
      </w:r>
      <w:r>
        <w:rPr>
          <w:spacing w:val="-63"/>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31、租赁" w:id="206"/>
      <w:bookmarkEnd w:id="206"/>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0"/>
        <w:jc w:val="left"/>
      </w:pPr>
      <w:r>
        <w:rPr/>
        <w:t>租金于实际发生时计入当期损益。</w:t>
      </w:r>
    </w:p>
    <w:p>
      <w:pPr>
        <w:pStyle w:val="BodyText"/>
        <w:spacing w:line="340" w:lineRule="auto" w:before="76"/>
        <w:ind w:left="729" w:right="0" w:hanging="216"/>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w:t>
      </w:r>
    </w:p>
    <w:p>
      <w:pPr>
        <w:pStyle w:val="BodyText"/>
        <w:spacing w:line="316" w:lineRule="auto" w:before="1"/>
        <w:ind w:right="0"/>
        <w:jc w:val="left"/>
      </w:pPr>
      <w:r>
        <w:rPr>
          <w:spacing w:val="-2"/>
        </w:rPr>
        <w:t>本化，在整个租赁期间内按照与确认租金收入相同的基础分期计入当期损益；其他金额较小的初始直接费用于发生时计入当</w:t>
      </w:r>
      <w:r>
        <w:rPr>
          <w:spacing w:val="-64"/>
        </w:rPr>
        <w:t> </w:t>
      </w:r>
      <w:r>
        <w:rPr>
          <w:spacing w:val="-64"/>
        </w:rPr>
      </w:r>
      <w:r>
        <w:rPr/>
        <w:t>期损益。或有租金于实际发生时计入当期损益。</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right="0"/>
        <w:jc w:val="left"/>
      </w:pPr>
      <w:r>
        <w:rPr>
          <w:spacing w:val="-4"/>
        </w:rPr>
        <w:t>最低租赁付款额作为长期应付款的入账价值，其差额作为未确认融资费用。此外，在租赁谈判和签订租赁合同过程中发生的，</w:t>
      </w:r>
      <w:r>
        <w:rPr>
          <w:spacing w:val="-42"/>
        </w:rPr>
        <w:t> </w:t>
      </w:r>
      <w:r>
        <w:rPr>
          <w:spacing w:val="-42"/>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3" w:right="0"/>
        <w:jc w:val="left"/>
      </w:pPr>
      <w:r>
        <w:rPr/>
        <w:t>未确认融资费用在租赁期内采用实际利率法计算确认当期的融资费用。或有租金于实际发生时计入当期损益。</w:t>
      </w:r>
    </w:p>
    <w:p>
      <w:pPr>
        <w:pStyle w:val="BodyText"/>
        <w:spacing w:line="300" w:lineRule="auto" w:before="77"/>
        <w:ind w:left="513" w:right="0"/>
        <w:jc w:val="left"/>
      </w:pPr>
      <w:r>
        <w:rPr/>
        <w:t>（</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59"/>
        <w:ind w:left="585"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32、其他重要的会计政策和会计估计" w:id="209"/>
      <w:bookmarkEnd w:id="20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2" w:firstLine="360"/>
        <w:jc w:val="both"/>
      </w:pPr>
      <w:r>
        <w:rPr>
          <w:spacing w:val="-2"/>
        </w:rPr>
        <w:t>公司在运用会计政策过程中，由于经营活动内在的不确定性，本公司需要对无法准确计量的报表项目的账面价值进行判</w:t>
      </w:r>
      <w:r>
        <w:rPr/>
        <w:t> </w:t>
      </w:r>
      <w:r>
        <w:rPr>
          <w:spacing w:val="-2"/>
        </w:rPr>
        <w:t>断、估计和假设。这些判断、估计和假设是基于本公司管理层过去的历史经验，并在考虑其他相关因素的基础上做出的。这</w:t>
      </w:r>
      <w:r>
        <w:rPr>
          <w:spacing w:val="-65"/>
        </w:rPr>
        <w:t> </w:t>
      </w:r>
      <w:r>
        <w:rPr>
          <w:spacing w:val="-65"/>
        </w:rPr>
      </w:r>
      <w:r>
        <w:rPr>
          <w:spacing w:val="-2"/>
        </w:rPr>
        <w:t>些判断、估计和假设会影响收入、费用、资产和负债的报告金额以及资产负债表日或有负债的披露。然而，这些估计的不确</w:t>
      </w:r>
      <w:r>
        <w:rPr>
          <w:spacing w:val="-67"/>
        </w:rPr>
        <w:t> </w:t>
      </w:r>
      <w:r>
        <w:rPr>
          <w:spacing w:val="-67"/>
        </w:rPr>
      </w:r>
      <w:r>
        <w:rPr>
          <w:spacing w:val="-2"/>
        </w:rPr>
        <w:t>定性所导致的实际结果可能与本公司管理层当前的估计存在差异，进而造成对未来受影响的资产或负债的账面金额进行重大</w:t>
      </w:r>
      <w:r>
        <w:rPr>
          <w:spacing w:val="-64"/>
        </w:rPr>
        <w:t> </w:t>
      </w:r>
      <w:r>
        <w:rPr>
          <w:spacing w:val="-64"/>
        </w:rPr>
      </w:r>
      <w:r>
        <w:rPr/>
        <w:t>调整。</w:t>
      </w:r>
    </w:p>
    <w:p>
      <w:pPr>
        <w:pStyle w:val="BodyText"/>
        <w:spacing w:line="316" w:lineRule="auto" w:before="17"/>
        <w:ind w:right="0"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3" w:right="0"/>
        <w:jc w:val="left"/>
      </w:pPr>
      <w:r>
        <w:rPr/>
        <w:t>于资产负债表日，本公司需对财务报表项目金额进行判断、估计和假设的重要领域如下：</w:t>
      </w:r>
    </w:p>
    <w:p>
      <w:pPr>
        <w:pStyle w:val="BodyText"/>
        <w:spacing w:line="300" w:lineRule="auto" w:before="76"/>
        <w:ind w:left="513" w:right="0"/>
        <w:jc w:val="left"/>
      </w:pPr>
      <w:r>
        <w:rPr/>
        <w:t>（</w:t>
      </w:r>
      <w:r>
        <w:rPr>
          <w:rFonts w:ascii="Times New Roman" w:hAnsi="Times New Roman" w:cs="Times New Roman" w:eastAsia="Times New Roman" w:hint="default"/>
        </w:rPr>
        <w:t>1</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240" w:lineRule="auto" w:before="13"/>
        <w:ind w:right="0"/>
        <w:jc w:val="left"/>
      </w:pPr>
      <w:r>
        <w:rPr/>
        <w:t>对是否已将与租出资产所有权有关的全部风险和报酬实质上转移给承租人</w:t>
      </w:r>
      <w:r>
        <w:rPr>
          <w:spacing w:val="-82"/>
        </w:rPr>
        <w:t>，</w:t>
      </w:r>
      <w:r>
        <w:rPr/>
        <w:t>或者本公司是否已经实质上承担与租入资产所有</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权有关的全部风险和报酬，作出分析和判断。</w:t>
      </w:r>
    </w:p>
    <w:p>
      <w:pPr>
        <w:pStyle w:val="BodyText"/>
        <w:spacing w:line="300" w:lineRule="auto" w:before="77"/>
        <w:ind w:left="513" w:right="0"/>
        <w:jc w:val="left"/>
      </w:pPr>
      <w:r>
        <w:rPr/>
        <w:t>（</w:t>
      </w:r>
      <w:r>
        <w:rPr>
          <w:rFonts w:ascii="Times New Roman" w:hAnsi="Times New Roman" w:cs="Times New Roman" w:eastAsia="Times New Roman" w:hint="default"/>
        </w:rPr>
        <w:t>2</w:t>
      </w:r>
      <w:r>
        <w:rPr/>
        <w:t>）金融资产减值 </w:t>
      </w:r>
      <w:r>
        <w:rPr>
          <w:spacing w:val="-2"/>
        </w:rPr>
        <w:t>本公司采用预期信用损失模型对金融工具的减值进行评估，应用预期信用损失模型需要做出重大判断和估计，需考虑所</w:t>
      </w:r>
    </w:p>
    <w:p>
      <w:pPr>
        <w:pStyle w:val="BodyText"/>
        <w:spacing w:line="316" w:lineRule="auto" w:before="31"/>
        <w:ind w:right="1034"/>
        <w:jc w:val="left"/>
      </w:pPr>
      <w:r>
        <w:rPr/>
        <w:t>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BodyText"/>
        <w:spacing w:line="300" w:lineRule="auto" w:before="19"/>
        <w:ind w:left="513" w:right="0"/>
        <w:jc w:val="left"/>
      </w:pPr>
      <w:r>
        <w:rPr/>
        <w:t>（</w:t>
      </w:r>
      <w:r>
        <w:rPr>
          <w:rFonts w:ascii="Times New Roman" w:hAnsi="Times New Roman" w:cs="Times New Roman" w:eastAsia="Times New Roman" w:hint="default"/>
        </w:rPr>
        <w:t>3</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right="1130"/>
        <w:jc w:val="both"/>
      </w:pPr>
      <w:r>
        <w:rPr>
          <w:spacing w:val="-2"/>
        </w:rPr>
        <w:t>价准备。存货减值至可变现净值是基于评估存货的可售性及其可变现净值。鉴定存货减值要求管理层在取得确凿证据，并且</w:t>
      </w:r>
      <w:r>
        <w:rPr>
          <w:spacing w:val="-63"/>
        </w:rPr>
        <w:t> </w:t>
      </w:r>
      <w:r>
        <w:rPr>
          <w:spacing w:val="-63"/>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3" w:right="0"/>
        <w:jc w:val="left"/>
      </w:pPr>
      <w:r>
        <w:rPr/>
        <w:t>（</w:t>
      </w:r>
      <w:r>
        <w:rPr>
          <w:rFonts w:ascii="Times New Roman" w:hAnsi="Times New Roman" w:cs="Times New Roman" w:eastAsia="Times New Roman" w:hint="default"/>
        </w:rPr>
        <w:t>4</w:t>
      </w:r>
      <w:r>
        <w:rPr/>
        <w:t>）长期资产减值准备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32"/>
        <w:ind w:right="0"/>
        <w:jc w:val="left"/>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316" w:lineRule="auto" w:before="19"/>
        <w:ind w:right="1214" w:firstLine="360"/>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0"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3"/>
        </w:rPr>
        <w:t> </w:t>
      </w:r>
      <w:r>
        <w:rPr>
          <w:spacing w:val="-43"/>
        </w:rPr>
      </w:r>
      <w:r>
        <w:rPr/>
        <w:t>售价和相关经营成本的预测。</w:t>
      </w:r>
    </w:p>
    <w:p>
      <w:pPr>
        <w:pStyle w:val="BodyText"/>
        <w:spacing w:line="316" w:lineRule="auto" w:before="19"/>
        <w:ind w:right="0" w:firstLine="360"/>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3"/>
        </w:rPr>
        <w:t> </w:t>
      </w:r>
      <w:r>
        <w:rPr>
          <w:spacing w:val="-63"/>
        </w:rPr>
      </w:r>
      <w:r>
        <w:rPr/>
        <w:t>率确定未来现金流量的现值。</w:t>
      </w:r>
    </w:p>
    <w:p>
      <w:pPr>
        <w:pStyle w:val="BodyText"/>
        <w:spacing w:line="300" w:lineRule="auto" w:before="19"/>
        <w:ind w:left="513" w:right="0"/>
        <w:jc w:val="left"/>
      </w:pPr>
      <w:r>
        <w:rPr/>
        <w:t>（</w:t>
      </w:r>
      <w:r>
        <w:rPr>
          <w:rFonts w:ascii="Times New Roman" w:hAnsi="Times New Roman" w:cs="Times New Roman" w:eastAsia="Times New Roman" w:hint="default"/>
        </w:rPr>
        <w:t>5</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right="0"/>
        <w:jc w:val="left"/>
      </w:pPr>
      <w:r>
        <w:rPr>
          <w:spacing w:val="-2"/>
        </w:rPr>
        <w:t>核使用寿命，以决定将计入每个报告期的折旧和摊销费用数额。使用寿命是本公司根据对同类资产的以往经验并结合预期的</w:t>
      </w:r>
      <w:r>
        <w:rPr>
          <w:spacing w:val="-63"/>
        </w:rPr>
        <w:t> </w:t>
      </w:r>
      <w:r>
        <w:rPr>
          <w:spacing w:val="-63"/>
        </w:rPr>
      </w:r>
      <w:r>
        <w:rPr/>
        <w:t>技术更新而确定的。如果以前的估计发生重大变化，则会在未来期间对折旧和摊销费用进行调整。</w:t>
      </w:r>
    </w:p>
    <w:p>
      <w:pPr>
        <w:pStyle w:val="BodyText"/>
        <w:spacing w:line="300" w:lineRule="auto" w:before="19"/>
        <w:ind w:left="513" w:right="1033"/>
        <w:jc w:val="left"/>
      </w:pPr>
      <w:r>
        <w:rPr/>
        <w:t>（</w:t>
      </w:r>
      <w:r>
        <w:rPr>
          <w:rFonts w:ascii="Times New Roman" w:hAnsi="Times New Roman" w:cs="Times New Roman" w:eastAsia="Times New Roman" w:hint="default"/>
        </w:rPr>
        <w:t>6</w:t>
      </w:r>
      <w:r>
        <w:rPr/>
        <w:t>）开发支出 确定资本化的金额时，本公司管理层需要作出有关资产的预计未来现金流量、适用的折现率以及预计受益期间的假设。</w:t>
      </w:r>
    </w:p>
    <w:p>
      <w:pPr>
        <w:pStyle w:val="BodyText"/>
        <w:spacing w:line="300" w:lineRule="auto" w:before="31"/>
        <w:ind w:left="513" w:right="0"/>
        <w:jc w:val="left"/>
      </w:pPr>
      <w:r>
        <w:rPr/>
        <w:t>（</w:t>
      </w:r>
      <w:r>
        <w:rPr>
          <w:rFonts w:ascii="Times New Roman" w:hAnsi="Times New Roman" w:cs="Times New Roman" w:eastAsia="Times New Roman" w:hint="default"/>
        </w:rPr>
        <w:t>7</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31"/>
        <w:ind w:right="1122"/>
        <w:jc w:val="left"/>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9"/>
        <w:ind w:left="441" w:right="1122" w:firstLine="72"/>
        <w:jc w:val="left"/>
      </w:pPr>
      <w:r>
        <w:rPr/>
        <w:t>（</w:t>
      </w:r>
      <w:r>
        <w:rPr>
          <w:rFonts w:ascii="Times New Roman" w:hAnsi="Times New Roman" w:cs="Times New Roman" w:eastAsia="Times New Roman" w:hint="default"/>
        </w:rPr>
        <w:t>8</w:t>
      </w:r>
      <w:r>
        <w:rPr/>
        <w:t>）所得税 </w:t>
      </w:r>
      <w:r>
        <w:rPr>
          <w:spacing w:val="-1"/>
        </w:rPr>
        <w:t>本公司在正常的经营活动中，有部分交易其最终的税务处理和计算存在一定的不确定性。部分项目是否能够在税前列支</w:t>
      </w:r>
    </w:p>
    <w:p>
      <w:pPr>
        <w:pStyle w:val="BodyText"/>
        <w:spacing w:line="316" w:lineRule="auto" w:before="31"/>
        <w:ind w:right="0"/>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33、重要会计政策和会计估计变更" w:id="210"/>
      <w:bookmarkEnd w:id="21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12"/>
        <w:gridCol w:w="3120"/>
        <w:gridCol w:w="2338"/>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日颁布了《关于修订印发合</w:t>
            </w:r>
            <w:r>
              <w:rPr>
                <w:rFonts w:ascii="宋体" w:hAnsi="宋体" w:cs="宋体" w:eastAsia="宋体" w:hint="default"/>
                <w:sz w:val="18"/>
                <w:szCs w:val="18"/>
              </w:rPr>
              <w:t> 并财务报表格式（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版）的通知》（财会【</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0"/>
                <w:sz w:val="18"/>
                <w:szCs w:val="18"/>
              </w:rPr>
              <w:t>号，以下简称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修订通知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），对合并财务报表格式</w:t>
            </w:r>
            <w:r>
              <w:rPr>
                <w:rFonts w:ascii="宋体" w:hAnsi="宋体" w:cs="宋体" w:eastAsia="宋体" w:hint="default"/>
                <w:sz w:val="18"/>
                <w:szCs w:val="18"/>
              </w:rPr>
              <w:t> </w:t>
            </w:r>
            <w:r>
              <w:rPr>
                <w:rFonts w:ascii="宋体" w:hAnsi="宋体" w:cs="宋体" w:eastAsia="宋体" w:hint="default"/>
                <w:spacing w:val="-4"/>
                <w:sz w:val="18"/>
                <w:szCs w:val="18"/>
              </w:rPr>
              <w:t>进行了修订，要求执行企业会计准则的企业按照会计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准则和《修订通知》的要求编制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年度合并财务 报表及以后期间的合并财务报表。</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经公司第六届董事会第九次会议审议批 准。</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bookmarkStart w:name="（3）2019年起执行新金融工具准则、新收入准则或新租赁准则调整执行当年年初财务" w:id="213"/>
      <w:bookmarkEnd w:id="213"/>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793,811,459.31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793,811,459.31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998,180.50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832,839.49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-165,341.01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332,268,049.03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332,268,049.03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165,341.01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165,341.01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23,772,705.94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23,772,705.94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47,741,689.91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47,741,689.91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106,983,342.62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106,983,342.62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26,309,913.88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6,309,913.88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-20,000,000.00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1,331,885,341.19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1,331,885,341.19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29,163,943.11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29,163,943.11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701,049,206.02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701,049,206.02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111,599,031.54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111,599,031.54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99,049,283.33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99,049,283.33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14,065,263.59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14,065,263.59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2,485,097.93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2,485,097.93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16,921,287.54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16,921,287.54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6,498,381.74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6,498,381.74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980,831,494.80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980,831,494.80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2,312,716,835.99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2,312,716,835.99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152,102,726.71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152,102,726.71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201,134,164.65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201,134,164.65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150,646,639.28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150,646,639.28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42,193,707.76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42,193,707.76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36,467,615.38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36,467,615.38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35,210,990.42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35,210,990.42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14,034,237.43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14,034,237.43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631,790,081.63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631,790,081.63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13,120,027.74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13,120,027.74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9,485,278.32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9,485,278.32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30,706,849.34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30,706,849.34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53,312,155.40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53,312,155.40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685,102,237.03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685,102,237.03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363,777,614.00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363,777,614.00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249,782,710.21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249,782,710.21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250,675,235.33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250,675,235.33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762,396,515.29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762,396,515.29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1,626,632,074.83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1,626,632,074.83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982,524.13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982,524.13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1,627,614,598.96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1,627,614,598.96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2,312,716,835.99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2,312,716,835.99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747,482,533.77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747,482,533.77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7" w:right="0"/>
              <w:jc w:val="left"/>
              <w:rPr>
                <w:rFonts w:ascii="Times New Roman" w:hAnsi="Times New Roman" w:cs="Times New Roman" w:eastAsia="Times New Roman" w:hint="default"/>
                <w:sz w:val="18"/>
                <w:szCs w:val="18"/>
              </w:rPr>
            </w:pPr>
            <w:r>
              <w:rPr>
                <w:rFonts w:ascii="Times New Roman"/>
                <w:sz w:val="18"/>
              </w:rPr>
              <w:t>20,000,000.00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832,839.49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832,839.49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239,634,101.95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239,634,101.95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10,827,327.52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10,827,327.52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78,010,380.99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78,010,380.99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50,710,229.32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50,710,229.32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21,145,555.85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1,145,555.85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-20,000,000.00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1,148,642,968.89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1,148,642,968.89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576,226,791.39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576,226,791.39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347,754,415.71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347,754,415.71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111,393,903.32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111,393,903.32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57,972,316.59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57,972,316.59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5,576,399.25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5,576,399.25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1,993,123.64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1,993,123.64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3,935,170.87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3,935,170.87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1,104,852,120.77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1,104,852,120.77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2,253,495,089.66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2,253,495,089.66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152,102,726.71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152,102,726.71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111,214,461.16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111,214,461.16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104,546,132.12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104,546,132.12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21,160,049.96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21,160,049.96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19,904,945.60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19,904,945.60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288,846,017.26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288,846,017.26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710,904,332.81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710,904,332.81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13,120,027.74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13,120,027.74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792,740.00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792,740.00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13,912,767.74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13,912,767.74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724,817,100.55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724,817,100.55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363,777,614.00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363,777,614.00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378,000,186.04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378,000,186.04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250,675,235.33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250,675,235.33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536,224,953.74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536,224,953.74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1,528,677,989.11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1,528,677,989.11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2,253,495,089.66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2,253,495,089.66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调整情况说明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4）2019年起执行新金融工具准则或新租赁准则追溯调整前期比较数据说明" w:id="214"/>
      <w:bookmarkEnd w:id="214"/>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bookmarkStart w:name="34、其他" w:id="215"/>
      <w:bookmarkEnd w:id="21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16"/>
      <w:bookmarkEnd w:id="216"/>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17"/>
      <w:bookmarkEnd w:id="21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按应税收入计算销项税，并按扣除当期 允许抵扣的进项税额后的差额计缴增值 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日前为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按实际缴纳的流转税的计缴。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4"/>
          <w:szCs w:val="24"/>
        </w:rPr>
      </w:pPr>
    </w:p>
    <w:p>
      <w:pPr>
        <w:pStyle w:val="Heading3"/>
        <w:spacing w:line="244" w:lineRule="auto"/>
        <w:ind w:right="1122"/>
        <w:jc w:val="left"/>
      </w:pPr>
      <w:r>
        <w:rPr>
          <w:spacing w:val="-3"/>
          <w:w w:val="100"/>
        </w:rPr>
        <w:t>本公司取得了编号为</w:t>
      </w:r>
      <w:r>
        <w:rPr>
          <w:rFonts w:ascii="Times New Roman" w:hAnsi="Times New Roman" w:cs="Times New Roman" w:eastAsia="Times New Roman" w:hint="default"/>
          <w:spacing w:val="-3"/>
          <w:w w:val="100"/>
        </w:rPr>
        <w:t>GR201737001181</w:t>
      </w:r>
      <w:r>
        <w:rPr>
          <w:spacing w:val="-3"/>
          <w:w w:val="100"/>
        </w:rPr>
        <w:t>的高新技术企业证书，</w:t>
      </w:r>
      <w:r>
        <w:rPr>
          <w:rFonts w:ascii="Times New Roman" w:hAnsi="Times New Roman" w:cs="Times New Roman" w:eastAsia="Times New Roman" w:hint="default"/>
          <w:spacing w:val="-3"/>
          <w:w w:val="100"/>
        </w:rPr>
        <w:t>2019</w:t>
      </w:r>
      <w:r>
        <w:rPr>
          <w:spacing w:val="-3"/>
          <w:w w:val="100"/>
        </w:rPr>
        <w:t>年度减按</w:t>
      </w:r>
      <w:r>
        <w:rPr>
          <w:rFonts w:ascii="Times New Roman" w:hAnsi="Times New Roman" w:cs="Times New Roman" w:eastAsia="Times New Roman" w:hint="default"/>
          <w:spacing w:val="-3"/>
          <w:w w:val="100"/>
        </w:rPr>
        <w:t>15%</w:t>
      </w:r>
      <w:r>
        <w:rPr>
          <w:spacing w:val="-3"/>
          <w:w w:val="100"/>
        </w:rPr>
        <w:t>的税率缴纳企业所</w:t>
      </w:r>
      <w:r>
        <w:rPr>
          <w:w w:val="100"/>
        </w:rPr>
        <w:t> </w:t>
      </w:r>
      <w:r>
        <w:rPr/>
        <w:t>得税。</w:t>
      </w:r>
    </w:p>
    <w:p>
      <w:pPr>
        <w:spacing w:after="0" w:line="244" w:lineRule="auto"/>
        <w:jc w:val="left"/>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Heading3"/>
        <w:spacing w:line="247" w:lineRule="auto" w:before="32"/>
        <w:ind w:right="0"/>
        <w:jc w:val="left"/>
      </w:pPr>
      <w:r>
        <w:rPr/>
        <w:t>本公司之全资子公司上海东港安全印刷有限公司取得了编号为</w:t>
      </w:r>
      <w:r>
        <w:rPr>
          <w:rFonts w:ascii="Times New Roman" w:hAnsi="Times New Roman" w:cs="Times New Roman" w:eastAsia="Times New Roman" w:hint="default"/>
        </w:rPr>
        <w:t>GR201731000202</w:t>
      </w:r>
      <w:r>
        <w:rPr/>
        <w:t>的高新技术企业</w:t>
      </w:r>
      <w:r>
        <w:rPr>
          <w:w w:val="100"/>
        </w:rPr>
        <w:t> </w:t>
      </w:r>
      <w:r>
        <w:rPr/>
        <w:t>证书，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的税率缴纳企业所得税。</w:t>
      </w:r>
    </w:p>
    <w:p>
      <w:pPr>
        <w:spacing w:line="240" w:lineRule="auto" w:before="5"/>
        <w:rPr>
          <w:rFonts w:ascii="宋体" w:hAnsi="宋体" w:cs="宋体" w:eastAsia="宋体" w:hint="default"/>
          <w:sz w:val="18"/>
          <w:szCs w:val="18"/>
        </w:rPr>
      </w:pPr>
    </w:p>
    <w:p>
      <w:pPr>
        <w:pStyle w:val="Heading3"/>
        <w:spacing w:line="244" w:lineRule="auto"/>
        <w:ind w:right="0"/>
        <w:jc w:val="left"/>
      </w:pPr>
      <w:r>
        <w:rPr/>
        <w:t>本公司之全资子公司上海东港数据处理有限公司取得了编号为</w:t>
      </w:r>
      <w:r>
        <w:rPr>
          <w:rFonts w:ascii="Times New Roman" w:hAnsi="Times New Roman" w:cs="Times New Roman" w:eastAsia="Times New Roman" w:hint="default"/>
        </w:rPr>
        <w:t>GR201831000975</w:t>
      </w:r>
      <w:r>
        <w:rPr/>
        <w:t>的高新技术企业</w:t>
      </w:r>
      <w:r>
        <w:rPr>
          <w:w w:val="100"/>
        </w:rPr>
        <w:t> </w:t>
      </w:r>
      <w:r>
        <w:rPr/>
        <w:t>证书，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的税率缴纳企业所得税。</w:t>
      </w:r>
    </w:p>
    <w:p>
      <w:pPr>
        <w:spacing w:line="240" w:lineRule="auto" w:before="7"/>
        <w:rPr>
          <w:rFonts w:ascii="宋体" w:hAnsi="宋体" w:cs="宋体" w:eastAsia="宋体" w:hint="default"/>
          <w:sz w:val="18"/>
          <w:szCs w:val="18"/>
        </w:rPr>
      </w:pPr>
    </w:p>
    <w:p>
      <w:pPr>
        <w:pStyle w:val="Heading3"/>
        <w:spacing w:line="244" w:lineRule="auto"/>
        <w:ind w:right="0"/>
        <w:jc w:val="left"/>
      </w:pPr>
      <w:r>
        <w:rPr/>
        <w:t>本公司之全资子公司郑州东港安全印刷有限公司取得了编号为</w:t>
      </w:r>
      <w:r>
        <w:rPr>
          <w:rFonts w:ascii="Times New Roman" w:hAnsi="Times New Roman" w:cs="Times New Roman" w:eastAsia="Times New Roman" w:hint="default"/>
        </w:rPr>
        <w:t>GR201941000861</w:t>
      </w:r>
      <w:r>
        <w:rPr/>
        <w:t>的高新技术企业</w:t>
      </w:r>
      <w:r>
        <w:rPr>
          <w:w w:val="100"/>
        </w:rPr>
        <w:t> </w:t>
      </w:r>
      <w:r>
        <w:rPr/>
        <w:t>证书，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的税率缴纳企业所得税。</w:t>
      </w:r>
    </w:p>
    <w:p>
      <w:pPr>
        <w:spacing w:line="240" w:lineRule="auto" w:before="7"/>
        <w:rPr>
          <w:rFonts w:ascii="宋体" w:hAnsi="宋体" w:cs="宋体" w:eastAsia="宋体" w:hint="default"/>
          <w:sz w:val="18"/>
          <w:szCs w:val="18"/>
        </w:rPr>
      </w:pPr>
    </w:p>
    <w:p>
      <w:pPr>
        <w:pStyle w:val="Heading3"/>
        <w:spacing w:line="244" w:lineRule="auto"/>
        <w:ind w:right="0"/>
        <w:jc w:val="left"/>
      </w:pPr>
      <w:r>
        <w:rPr/>
        <w:t>本公司之全资子公司北京东港安全印刷有限公司取得了编号为</w:t>
      </w:r>
      <w:r>
        <w:rPr>
          <w:rFonts w:ascii="Times New Roman" w:hAnsi="Times New Roman" w:cs="Times New Roman" w:eastAsia="Times New Roman" w:hint="default"/>
        </w:rPr>
        <w:t>GR201911005423</w:t>
      </w:r>
      <w:r>
        <w:rPr/>
        <w:t>的高新技术企业</w:t>
      </w:r>
      <w:r>
        <w:rPr>
          <w:w w:val="100"/>
        </w:rPr>
        <w:t> </w:t>
      </w:r>
      <w:r>
        <w:rPr/>
        <w:t>证书，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的税率缴纳企业所得税。</w:t>
      </w:r>
    </w:p>
    <w:p>
      <w:pPr>
        <w:spacing w:line="240" w:lineRule="auto" w:before="7"/>
        <w:rPr>
          <w:rFonts w:ascii="宋体" w:hAnsi="宋体" w:cs="宋体" w:eastAsia="宋体" w:hint="default"/>
          <w:sz w:val="18"/>
          <w:szCs w:val="18"/>
        </w:rPr>
      </w:pPr>
    </w:p>
    <w:p>
      <w:pPr>
        <w:pStyle w:val="Heading3"/>
        <w:spacing w:line="247" w:lineRule="auto"/>
        <w:ind w:right="0"/>
        <w:jc w:val="left"/>
      </w:pPr>
      <w:r>
        <w:rPr/>
        <w:t>本公司之全资子公司北京东港嘉华安全信息技术有限公司取得了编号为</w:t>
      </w:r>
      <w:r>
        <w:rPr>
          <w:rFonts w:ascii="Times New Roman" w:hAnsi="Times New Roman" w:cs="Times New Roman" w:eastAsia="Times New Roman" w:hint="default"/>
        </w:rPr>
        <w:t>GR201911004884</w:t>
      </w:r>
      <w:r>
        <w:rPr/>
        <w:t>的高新</w:t>
      </w:r>
      <w:r>
        <w:rPr>
          <w:spacing w:val="2"/>
          <w:w w:val="100"/>
        </w:rPr>
        <w:t> </w:t>
      </w:r>
      <w:r>
        <w:rPr/>
        <w:t>技术企业证书，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的税率缴纳企业所得税。</w:t>
      </w:r>
    </w:p>
    <w:p>
      <w:pPr>
        <w:spacing w:line="240" w:lineRule="auto" w:before="8"/>
        <w:rPr>
          <w:rFonts w:ascii="宋体" w:hAnsi="宋体" w:cs="宋体" w:eastAsia="宋体" w:hint="default"/>
          <w:sz w:val="23"/>
          <w:szCs w:val="23"/>
        </w:rPr>
      </w:pPr>
    </w:p>
    <w:p>
      <w:pPr>
        <w:spacing w:line="487" w:lineRule="auto" w:before="0"/>
        <w:ind w:left="152" w:right="7863" w:firstLine="0"/>
        <w:jc w:val="left"/>
        <w:rPr>
          <w:rFonts w:ascii="宋体" w:hAnsi="宋体" w:cs="宋体" w:eastAsia="宋体" w:hint="default"/>
          <w:sz w:val="21"/>
          <w:szCs w:val="21"/>
        </w:rPr>
      </w:pPr>
      <w:bookmarkStart w:name="3、其他" w:id="219"/>
      <w:bookmarkEnd w:id="2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20"/>
      <w:bookmarkEnd w:id="220"/>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21"/>
      <w:bookmarkEnd w:id="22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446,106.44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817,149.06</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319,361,309.89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754,497,272.71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37,878,272.84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38,497,037.54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357,685,689.17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793,811,459.31</w:t>
            </w:r>
          </w:p>
        </w:tc>
      </w:tr>
    </w:tbl>
    <w:p>
      <w:pPr>
        <w:pStyle w:val="BodyText"/>
        <w:spacing w:line="240" w:lineRule="auto" w:before="49"/>
        <w:ind w:right="0"/>
        <w:jc w:val="left"/>
      </w:pPr>
      <w:r>
        <w:rPr/>
        <w:t>其他说明</w:t>
      </w:r>
    </w:p>
    <w:p>
      <w:pPr>
        <w:pStyle w:val="BodyText"/>
        <w:spacing w:line="300" w:lineRule="auto" w:before="115"/>
        <w:ind w:right="1124"/>
        <w:jc w:val="left"/>
      </w:pPr>
      <w:r>
        <w:rPr/>
        <w:t>在其他货币资金中，年初受限货币资金为</w:t>
      </w:r>
      <w:r>
        <w:rPr>
          <w:rFonts w:ascii="Times New Roman" w:hAnsi="Times New Roman" w:cs="Times New Roman" w:eastAsia="Times New Roman" w:hint="default"/>
        </w:rPr>
        <w:t>37,446,925.10</w:t>
      </w:r>
      <w:r>
        <w:rPr/>
        <w:t>元，期末受限货币资金为</w:t>
      </w:r>
      <w:r>
        <w:rPr>
          <w:rFonts w:ascii="Times New Roman" w:hAnsi="Times New Roman" w:cs="Times New Roman" w:eastAsia="Times New Roman" w:hint="default"/>
        </w:rPr>
        <w:t>36,796,286.15</w:t>
      </w:r>
      <w:r>
        <w:rPr/>
        <w:t>元，详见本附注六、</w:t>
      </w:r>
      <w:r>
        <w:rPr>
          <w:rFonts w:ascii="Times New Roman" w:hAnsi="Times New Roman" w:cs="Times New Roman" w:eastAsia="Times New Roman" w:hint="default"/>
        </w:rPr>
        <w:t>51</w:t>
      </w:r>
      <w:r>
        <w:rPr/>
        <w:t>、所有 权或使用权受限制的资产。</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2、交易性金融资产" w:id="222"/>
      <w:bookmarkEnd w:id="222"/>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理财产品及国债逆回购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49"/>
        <w:ind w:right="0"/>
        <w:jc w:val="left"/>
      </w:pPr>
      <w:r>
        <w:rPr/>
        <w:t>其他说明：</w:t>
      </w:r>
    </w:p>
    <w:p>
      <w:pPr>
        <w:spacing w:after="0" w:line="240" w:lineRule="auto"/>
        <w:jc w:val="left"/>
        <w:sectPr>
          <w:footerReference w:type="default" r:id="rId14"/>
          <w:pgSz w:w="11910" w:h="16840"/>
          <w:pgMar w:footer="980" w:header="745" w:top="1060" w:bottom="1160" w:left="980" w:right="0"/>
        </w:sectPr>
      </w:pPr>
    </w:p>
    <w:p>
      <w:pPr>
        <w:spacing w:line="240" w:lineRule="auto" w:before="12"/>
        <w:rPr>
          <w:rFonts w:ascii="宋体" w:hAnsi="宋体" w:cs="宋体" w:eastAsia="宋体" w:hint="default"/>
          <w:sz w:val="25"/>
          <w:szCs w:val="25"/>
        </w:rPr>
      </w:pPr>
    </w:p>
    <w:p>
      <w:pPr>
        <w:pStyle w:val="BodyText"/>
        <w:spacing w:line="297" w:lineRule="auto" w:before="44"/>
        <w:ind w:right="0" w:firstLine="115"/>
        <w:jc w:val="left"/>
      </w:pPr>
      <w:r>
        <w:rPr/>
        <w:t>注：</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日，本公司持有的银行理财产品为齐鲁银行、建设银行、中信银行等银行机构发行的非保本浮动 收益及保本浮动收益理财产品。</w:t>
      </w:r>
    </w:p>
    <w:p>
      <w:pPr>
        <w:pStyle w:val="BodyText"/>
        <w:spacing w:line="300" w:lineRule="auto" w:before="33"/>
        <w:ind w:right="0" w:firstLine="360"/>
        <w:jc w:val="left"/>
      </w:pPr>
      <w:r>
        <w:rPr>
          <w:rFonts w:ascii="Times New Roman" w:hAnsi="Times New Roman" w:cs="Times New Roman" w:eastAsia="Times New Roman" w:hint="default"/>
          <w:spacing w:val="-2"/>
        </w:rPr>
        <w:t>2</w:t>
      </w:r>
      <w:r>
        <w:rPr>
          <w:spacing w:val="-2"/>
        </w:rPr>
        <w:t>、年初余额与上年年末余额（</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日）差异详见本财务报表附注四、</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年（首次）起执行新金融</w:t>
      </w:r>
      <w:r>
        <w:rPr/>
        <w:t> 工具准则调整执行当年年初财务报表相关项目情况。</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3、应收票据" w:id="223"/>
      <w:bookmarkEnd w:id="223"/>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24"/>
      <w:bookmarkEnd w:id="22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832,839.49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832,839.49</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932"/>
        <w:gridCol w:w="797"/>
        <w:gridCol w:w="792"/>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34,542.3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1,727.12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32,815.27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43,833.66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40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以账龄特征为基础 的预期信用损失组 合的应收票据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34,542.3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1,727.12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32,815.27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876,673.1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43,833.66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832,839.4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34,542.3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1,727.12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32,815.27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43,833.66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43,833.66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1,727.12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43,833.66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1,727.12</w:t>
            </w:r>
          </w:p>
        </w:tc>
      </w:tr>
    </w:tbl>
    <w:p>
      <w:pPr>
        <w:pStyle w:val="BodyText"/>
        <w:spacing w:line="240" w:lineRule="auto" w:before="49"/>
        <w:ind w:right="0"/>
        <w:jc w:val="left"/>
      </w:pPr>
      <w:r>
        <w:rPr/>
        <w:t>其中本期坏账准备收回或转回金额重要的：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5"/>
          <w:pgSz w:w="11910" w:h="16840"/>
          <w:pgMar w:footer="980" w:header="745" w:top="1060" w:bottom="1160" w:left="980" w:right="0"/>
          <w:pgNumType w:start="101"/>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4、应收账款" w:id="226"/>
      <w:bookmarkEnd w:id="226"/>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27"/>
      <w:bookmarkEnd w:id="22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FFFFFF"/>
            </w:tcBorders>
            <w:shd w:val="clear" w:color="auto" w:fill="D2D2D2"/>
          </w:tcPr>
          <w:p>
            <w:pPr/>
          </w:p>
        </w:tc>
        <w:tc>
          <w:tcPr>
            <w:tcW w:w="1572"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FFFFFF"/>
            </w:tcBorders>
            <w:shd w:val="clear" w:color="auto" w:fill="D2D2D2"/>
          </w:tcPr>
          <w:p>
            <w:pPr/>
          </w:p>
        </w:tc>
        <w:tc>
          <w:tcPr>
            <w:tcW w:w="1572" w:type="dxa"/>
            <w:gridSpan w:val="2"/>
            <w:vMerge/>
            <w:tcBorders>
              <w:left w:val="single" w:sz="4" w:space="0" w:color="FFFFFF"/>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FFFFFF"/>
            </w:tcBorders>
            <w:shd w:val="clear" w:color="auto" w:fill="D2D2D2"/>
          </w:tcPr>
          <w:p>
            <w:pPr/>
          </w:p>
        </w:tc>
        <w:tc>
          <w:tcPr>
            <w:tcW w:w="775"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FFFFFF"/>
            </w:tcBorders>
            <w:shd w:val="clear" w:color="auto" w:fill="D2D2D2"/>
          </w:tcPr>
          <w:p>
            <w:pPr/>
          </w:p>
        </w:tc>
        <w:tc>
          <w:tcPr>
            <w:tcW w:w="775"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FFFFFF"/>
            </w:tcBorders>
            <w:shd w:val="clear" w:color="auto" w:fill="D2D2D2"/>
          </w:tcPr>
          <w:p>
            <w:pPr/>
          </w:p>
        </w:tc>
        <w:tc>
          <w:tcPr>
            <w:tcW w:w="77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775"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289,733,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628.16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17,559,7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93.08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c>
          <w:tcPr>
            <w:tcW w:w="7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272,173,8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35.08</w:t>
            </w:r>
          </w:p>
        </w:tc>
        <w:tc>
          <w:tcPr>
            <w:tcW w:w="77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351,950,1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19,682,10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332,268,04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9.03</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775"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5"/>
                <w:sz w:val="18"/>
                <w:szCs w:val="18"/>
              </w:rPr>
              <w:t>其中：以账龄特征为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基础的预期信用损 失组合的应收账款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289,733,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628.16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17,559,7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93.08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c>
          <w:tcPr>
            <w:tcW w:w="7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272,173,8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35.08</w:t>
            </w:r>
          </w:p>
        </w:tc>
        <w:tc>
          <w:tcPr>
            <w:tcW w:w="77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351,950,1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19,682,10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332,268,04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9.03</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无信用风险的应收 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FFFFFF"/>
            </w:tcBorders>
          </w:tcPr>
          <w:p>
            <w:pPr/>
          </w:p>
        </w:tc>
        <w:tc>
          <w:tcPr>
            <w:tcW w:w="77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289,733,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628.16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17,559,7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93.08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c>
          <w:tcPr>
            <w:tcW w:w="7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272,173,8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35.08</w:t>
            </w:r>
          </w:p>
        </w:tc>
        <w:tc>
          <w:tcPr>
            <w:tcW w:w="77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351,950,1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19,682,10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332,268,04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9.03</w:t>
            </w:r>
          </w:p>
        </w:tc>
      </w:tr>
    </w:tbl>
    <w:p>
      <w:pPr>
        <w:pStyle w:val="BodyText"/>
        <w:spacing w:line="240" w:lineRule="auto" w:before="49"/>
        <w:ind w:right="0"/>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250,460,726.10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33,456,994.54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4,056,321.61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1,759,585.91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841,789.86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655,954.50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261,841.55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289,733,628.16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19,682,100.66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1,955,065.58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167,242.00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17,559,793.08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19,682,100.66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1,955,065.58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167,242.00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17,559,793.08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实际核销的应收账款情况" w:id="229"/>
      <w:bookmarkEnd w:id="2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167,242.00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应收账款情况" w:id="230"/>
      <w:bookmarkEnd w:id="2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14,816,318.76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961,504.30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14,325,894.16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921,795.28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10,320,167.53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516,008.38</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10,269,606.76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513,480.34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9,012,652.75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775,083.10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58,744,639.96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20.26%</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应收款项融资" w:id="231"/>
      <w:bookmarkEnd w:id="231"/>
      <w:r>
        <w:rPr>
          <w:b w:val="0"/>
          <w:bCs w:val="0"/>
        </w:rPr>
      </w:r>
      <w:r>
        <w:rPr>
          <w:rFonts w:ascii="Times New Roman" w:hAnsi="Times New Roman" w:cs="Times New Roman" w:eastAsia="Times New Roman" w:hint="default"/>
        </w:rPr>
        <w:t>5</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642,673.00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165,341.01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642,673.00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165,341.01</w:t>
            </w:r>
          </w:p>
        </w:tc>
      </w:tr>
    </w:tbl>
    <w:p>
      <w:pPr>
        <w:pStyle w:val="BodyText"/>
        <w:spacing w:line="240" w:lineRule="auto" w:before="49"/>
        <w:ind w:right="0"/>
        <w:jc w:val="left"/>
      </w:pPr>
      <w:r>
        <w:rPr/>
        <w:t>应收款项融资本期增减变动及公允价值变动情况</w:t>
      </w:r>
    </w:p>
    <w:p>
      <w:pPr>
        <w:pStyle w:val="BodyText"/>
        <w:spacing w:line="338"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40" w:lineRule="auto" w:before="44"/>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18"/>
          <w:szCs w:val="18"/>
        </w:rPr>
      </w:pPr>
    </w:p>
    <w:p>
      <w:pPr>
        <w:pStyle w:val="BodyText"/>
        <w:spacing w:line="300" w:lineRule="auto"/>
        <w:ind w:right="0" w:firstLine="348"/>
        <w:jc w:val="left"/>
      </w:pPr>
      <w:r>
        <w:rPr>
          <w:spacing w:val="-2"/>
        </w:rPr>
        <w:t>注：</w:t>
      </w:r>
      <w:r>
        <w:rPr>
          <w:rFonts w:ascii="Times New Roman" w:hAnsi="Times New Roman" w:cs="Times New Roman" w:eastAsia="Times New Roman" w:hint="default"/>
          <w:spacing w:val="-2"/>
        </w:rPr>
        <w:t>1</w:t>
      </w:r>
      <w:r>
        <w:rPr>
          <w:spacing w:val="-2"/>
        </w:rPr>
        <w:t>、年初余额与上年年末余额（</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日）差异详见本财务报表附注四、</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年（首次）起执行新</w:t>
      </w:r>
      <w:r>
        <w:rPr/>
        <w:t> 金融工具准则调整执行当年年初财务报表相关项目情况。</w:t>
      </w:r>
    </w:p>
    <w:p>
      <w:pPr>
        <w:spacing w:line="240" w:lineRule="auto" w:before="10"/>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rPr>
        <w:t>2</w:t>
      </w:r>
      <w:r>
        <w:rPr/>
        <w:t>、年末已经背书且在资产负债表日尚未到期的应收款项融资</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191"/>
        <w:gridCol w:w="2943"/>
        <w:gridCol w:w="2940"/>
      </w:tblGrid>
      <w:tr>
        <w:trPr>
          <w:trHeight w:val="348" w:hRule="exact"/>
        </w:trPr>
        <w:tc>
          <w:tcPr>
            <w:tcW w:w="319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43"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741" w:right="0"/>
              <w:jc w:val="left"/>
              <w:rPr>
                <w:rFonts w:ascii="宋体" w:hAnsi="宋体" w:cs="宋体" w:eastAsia="宋体" w:hint="default"/>
                <w:sz w:val="18"/>
                <w:szCs w:val="18"/>
              </w:rPr>
            </w:pPr>
            <w:r>
              <w:rPr>
                <w:rFonts w:ascii="宋体" w:hAnsi="宋体" w:cs="宋体" w:eastAsia="宋体" w:hint="default"/>
                <w:b/>
                <w:bCs/>
                <w:sz w:val="18"/>
                <w:szCs w:val="18"/>
              </w:rPr>
              <w:t>年末终止确认金额</w:t>
            </w:r>
            <w:r>
              <w:rPr>
                <w:rFonts w:ascii="宋体" w:hAnsi="宋体" w:cs="宋体" w:eastAsia="宋体" w:hint="default"/>
                <w:sz w:val="18"/>
                <w:szCs w:val="18"/>
              </w:rPr>
            </w:r>
          </w:p>
        </w:tc>
        <w:tc>
          <w:tcPr>
            <w:tcW w:w="294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left="647" w:right="0"/>
              <w:jc w:val="left"/>
              <w:rPr>
                <w:rFonts w:ascii="宋体" w:hAnsi="宋体" w:cs="宋体" w:eastAsia="宋体" w:hint="default"/>
                <w:sz w:val="18"/>
                <w:szCs w:val="18"/>
              </w:rPr>
            </w:pPr>
            <w:r>
              <w:rPr>
                <w:rFonts w:ascii="宋体" w:hAnsi="宋体" w:cs="宋体" w:eastAsia="宋体" w:hint="default"/>
                <w:b/>
                <w:bCs/>
                <w:sz w:val="18"/>
                <w:szCs w:val="18"/>
              </w:rPr>
              <w:t>年末未终止确认金额</w:t>
            </w:r>
            <w:r>
              <w:rPr>
                <w:rFonts w:ascii="宋体" w:hAnsi="宋体" w:cs="宋体" w:eastAsia="宋体" w:hint="default"/>
                <w:sz w:val="18"/>
                <w:szCs w:val="18"/>
              </w:rPr>
            </w:r>
          </w:p>
        </w:tc>
      </w:tr>
      <w:tr>
        <w:trPr>
          <w:trHeight w:val="348" w:hRule="exact"/>
        </w:trPr>
        <w:tc>
          <w:tcPr>
            <w:tcW w:w="31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891" w:right="0"/>
              <w:jc w:val="left"/>
              <w:rPr>
                <w:rFonts w:ascii="Times New Roman" w:hAnsi="Times New Roman" w:cs="Times New Roman" w:eastAsia="Times New Roman" w:hint="default"/>
                <w:sz w:val="18"/>
                <w:szCs w:val="18"/>
              </w:rPr>
            </w:pPr>
            <w:r>
              <w:rPr>
                <w:rFonts w:ascii="Times New Roman"/>
                <w:sz w:val="18"/>
              </w:rPr>
              <w:t>62,180,234.62</w:t>
            </w:r>
          </w:p>
        </w:tc>
        <w:tc>
          <w:tcPr>
            <w:tcW w:w="2940" w:type="dxa"/>
            <w:tcBorders>
              <w:top w:val="single" w:sz="8" w:space="0" w:color="000000"/>
              <w:left w:val="single" w:sz="6" w:space="0" w:color="000000"/>
              <w:bottom w:val="single" w:sz="8" w:space="0" w:color="000000"/>
              <w:right w:val="nil" w:sz="6" w:space="0" w:color="auto"/>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91"/>
        <w:gridCol w:w="2943"/>
        <w:gridCol w:w="2940"/>
      </w:tblGrid>
      <w:tr>
        <w:trPr>
          <w:trHeight w:val="351" w:hRule="exact"/>
        </w:trPr>
        <w:tc>
          <w:tcPr>
            <w:tcW w:w="319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4"/>
              <w:ind w:left="1891" w:right="0"/>
              <w:jc w:val="left"/>
              <w:rPr>
                <w:rFonts w:ascii="Times New Roman" w:hAnsi="Times New Roman" w:cs="Times New Roman" w:eastAsia="Times New Roman" w:hint="default"/>
                <w:sz w:val="18"/>
                <w:szCs w:val="18"/>
              </w:rPr>
            </w:pPr>
            <w:r>
              <w:rPr>
                <w:rFonts w:ascii="Times New Roman"/>
                <w:b/>
                <w:sz w:val="18"/>
              </w:rPr>
              <w:t>62,180,234.62</w:t>
            </w:r>
            <w:r>
              <w:rPr>
                <w:rFonts w:ascii="Times New Roman"/>
                <w:sz w:val="18"/>
              </w:rPr>
            </w:r>
          </w:p>
        </w:tc>
        <w:tc>
          <w:tcPr>
            <w:tcW w:w="2940" w:type="dxa"/>
            <w:tcBorders>
              <w:top w:val="single" w:sz="6" w:space="0" w:color="000000"/>
              <w:left w:val="single" w:sz="6" w:space="0" w:color="000000"/>
              <w:bottom w:val="single" w:sz="8" w:space="0" w:color="000000"/>
              <w:right w:val="nil" w:sz="6" w:space="0" w:color="auto"/>
            </w:tcBorders>
          </w:tcPr>
          <w:p>
            <w:pPr/>
          </w:p>
        </w:tc>
      </w:tr>
    </w:tbl>
    <w:p>
      <w:pPr>
        <w:spacing w:line="240" w:lineRule="auto" w:before="7"/>
        <w:rPr>
          <w:rFonts w:ascii="宋体" w:hAnsi="宋体" w:cs="宋体" w:eastAsia="宋体" w:hint="default"/>
          <w:sz w:val="15"/>
          <w:szCs w:val="15"/>
        </w:rPr>
      </w:pPr>
    </w:p>
    <w:p>
      <w:pPr>
        <w:pStyle w:val="BodyText"/>
        <w:spacing w:line="316" w:lineRule="auto" w:before="44"/>
        <w:ind w:right="0" w:firstLine="348"/>
        <w:jc w:val="left"/>
      </w:pPr>
      <w:r>
        <w:rPr>
          <w:spacing w:val="-2"/>
        </w:rPr>
        <w:t>银行承兑汇票的承兑人为具有较高信用的银行，银行承兑汇票到期不获支付的可能性较低，故本公司将已背书的银行承</w:t>
      </w:r>
      <w:r>
        <w:rPr/>
        <w:t> 兑汇票予以终止确认。但如果该等票据到期不获支付，依据《票据法》之规定，公司仍将对持票人承担连带责任。</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6、预付款项" w:id="232"/>
      <w:bookmarkEnd w:id="23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11,404,407.60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19,314,303.38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4,069,339.35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4,427,991.45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199,572.00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5,410.26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15,700,426.95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23,772,705.94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2"/>
        <w:rPr>
          <w:rFonts w:ascii="宋体" w:hAnsi="宋体" w:cs="宋体" w:eastAsia="宋体" w:hint="default"/>
          <w:sz w:val="26"/>
          <w:szCs w:val="26"/>
        </w:rPr>
      </w:pPr>
    </w:p>
    <w:p>
      <w:pPr>
        <w:spacing w:line="547" w:lineRule="auto" w:before="0"/>
        <w:ind w:left="152" w:right="1514" w:firstLine="0"/>
        <w:jc w:val="left"/>
        <w:rPr>
          <w:rFonts w:ascii="宋体" w:hAnsi="宋体" w:cs="宋体" w:eastAsia="宋体" w:hint="default"/>
          <w:sz w:val="21"/>
          <w:szCs w:val="21"/>
        </w:rPr>
      </w:pPr>
      <w:bookmarkStart w:name="（2）按预付对象归集的期末余额前五名的预付款情况"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z w:val="18"/>
          <w:szCs w:val="18"/>
        </w:rPr>
        <w:t>本年按预付对象归集的年末余额前五名预付款项汇总金额</w:t>
      </w:r>
      <w:r>
        <w:rPr>
          <w:rFonts w:ascii="Times New Roman" w:hAnsi="Times New Roman" w:cs="Times New Roman" w:eastAsia="Times New Roman" w:hint="default"/>
          <w:sz w:val="18"/>
          <w:szCs w:val="18"/>
        </w:rPr>
        <w:t>7,414,110.71</w:t>
      </w:r>
      <w:r>
        <w:rPr>
          <w:rFonts w:ascii="宋体" w:hAnsi="宋体" w:cs="宋体" w:eastAsia="宋体" w:hint="default"/>
          <w:sz w:val="18"/>
          <w:szCs w:val="18"/>
        </w:rPr>
        <w:t>元，占预付款项年末余额合计数的比例</w:t>
      </w:r>
      <w:r>
        <w:rPr>
          <w:rFonts w:ascii="Times New Roman" w:hAnsi="Times New Roman" w:cs="Times New Roman" w:eastAsia="Times New Roman" w:hint="default"/>
          <w:sz w:val="18"/>
          <w:szCs w:val="18"/>
        </w:rPr>
        <w:t>47.22%</w:t>
      </w:r>
      <w:r>
        <w:rPr>
          <w:rFonts w:ascii="宋体" w:hAnsi="宋体" w:cs="宋体" w:eastAsia="宋体" w:hint="default"/>
          <w:sz w:val="18"/>
          <w:szCs w:val="18"/>
        </w:rPr>
        <w:t>。 </w:t>
      </w:r>
      <w:bookmarkStart w:name="7、其他应收款" w:id="235"/>
      <w:bookmarkEnd w:id="235"/>
      <w:r>
        <w:rPr>
          <w:rFonts w:ascii="宋体" w:hAnsi="宋体" w:cs="宋体" w:eastAsia="宋体" w:hint="default"/>
          <w:sz w:val="18"/>
          <w:szCs w:val="18"/>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34,175,099.35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47,741,689.91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34,175,099.35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47,741,689.91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其他应收款" w:id="236"/>
      <w:bookmarkEnd w:id="236"/>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237"/>
      <w:bookmarkEnd w:id="237"/>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26,832,938.36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33,574,142.48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9,907,683.18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12,338,222.70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2,901,814.91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4,001,119.07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2,451,751.11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3,179,200.80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42,094,187.56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53,092,685.05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238"/>
      <w:bookmarkEnd w:id="23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2"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5,215,995.14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5,350,995.14</w:t>
            </w:r>
          </w:p>
        </w:tc>
      </w:tr>
      <w:tr>
        <w:trPr>
          <w:trHeight w:val="162"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222,000.00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571,144.28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1,998,000.00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2,569,144.28</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-1,051.21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-1,051.21</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5,564,088.21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2,355,000.00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7,919,088.21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19,360,132.33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9,404,122.25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6,105,990.40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4,868,942.58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2,406,494.92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605,843.61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1,856,604.05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39,739,187.56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239"/>
      <w:bookmarkEnd w:id="239"/>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5"/>
        <w:gridCol w:w="1097"/>
        <w:gridCol w:w="1196"/>
        <w:gridCol w:w="1303"/>
        <w:gridCol w:w="1092"/>
        <w:gridCol w:w="1736"/>
        <w:gridCol w:w="173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按单项计提</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135,000.00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1,998,000.00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222,000.00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2,355,000.00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按信用风险特征 组合计提</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5,215,995.14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571,144.28</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-223,051.21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5,564,088.21</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5,350,995.14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2,569,144.28</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-1,051.21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7,919,088.21</w:t>
            </w:r>
          </w:p>
        </w:tc>
      </w:tr>
    </w:tbl>
    <w:p>
      <w:pPr>
        <w:pStyle w:val="BodyText"/>
        <w:spacing w:line="240" w:lineRule="auto" w:before="49"/>
        <w:ind w:right="0"/>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其他应收款情况" w:id="240"/>
      <w:bookmarkEnd w:id="240"/>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北京邮票厂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中国人民财产保险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640,400.00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四川省政府采购中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1,341,120.00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666,960.00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海关总署物资装备 采购中心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211,040.00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12,818,320.00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4,238,400.00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8、存货" w:id="241"/>
      <w:bookmarkEnd w:id="241"/>
      <w:r>
        <w:rPr>
          <w:b w:val="0"/>
          <w:bCs w:val="0"/>
        </w:rPr>
      </w:r>
      <w:r>
        <w:rPr>
          <w:rFonts w:ascii="Times New Roman" w:hAnsi="Times New Roman" w:cs="Times New Roman" w:eastAsia="Times New Roman" w:hint="default"/>
        </w:rPr>
        <w:t>8</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1）存货分类" w:id="242"/>
      <w:bookmarkEnd w:id="24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53,454,111.81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53,454,111.81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55,098,715.75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55,098,715.75</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8,304,459.44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8,304,459.44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9,216,869.36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9,216,869.36</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44,903,026.45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44,903,026.45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41,406,421.43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41,406,421.43</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5,443,406.63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5,443,406.63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1,261,336.08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1,261,336.08</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112,105,004.33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112,105,004.33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106,983,342.62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106,983,342.62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9、其他流动资产" w:id="243"/>
      <w:bookmarkEnd w:id="243"/>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待抵及预缴税金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9,130,351.14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2,937,382.97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4,800,234.01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3,372,530.91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13,930,585.15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6,309,913.88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0、投资性房地产" w:id="244"/>
      <w:bookmarkEnd w:id="244"/>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45"/>
      <w:bookmarkEnd w:id="24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42,797,735.97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42,797,735.97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15,033,539.51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15,033,539.51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15,033,539.51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15,033,539.51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200,020.56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200,020.56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200,020.56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200,020.56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57,631,254.92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57,631,254.92</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13,633,792.86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13,633,792.86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6,659,796.87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6,659,796.87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905,624.19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905,624.19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其他转入</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5,754,172.68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5,754,172.68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11,626.23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11,626.23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11,626.23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11,626.23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20,281,963.50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20,281,963.50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37,349,291.42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37,349,291.42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29,163,943.11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29,163,943.11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采用公允价值计量模式的投资性房地产" w:id="246"/>
      <w:bookmarkEnd w:id="24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11、固定资产" w:id="247"/>
      <w:bookmarkEnd w:id="247"/>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710,275,688.13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701,049,206.02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710,275,688.13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701,049,206.02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固定资产情况" w:id="248"/>
      <w:bookmarkEnd w:id="24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526,438,396.35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745,138,372.76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25,695,383.06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154,664,204.35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1,451,936,356.52</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55,740,020.56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16,126,562.58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812,232.21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18,972,991.69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91,651,807.04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16,126,562.58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812,232.21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18,972,991.69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35,911,786.48</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55,540,000.00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55,540,000.00</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）其他增加</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200,020.56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200,020.56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36.699997pt;margin-top:248.365982pt;width:78.05pt;height:20.7pt;mso-position-horizontal-relative:page;mso-position-vertical-relative:page;z-index:-756376" coordorigin="2734,4967" coordsize="1561,414">
            <v:group style="position:absolute;left:2745;top:4978;width:2;height:392" coordorigin="2745,4978" coordsize="2,392">
              <v:shape style="position:absolute;left:2745;top:4978;width:2;height:392" coordorigin="2745,4978" coordsize="0,392" path="m2745,4978l2745,5370e" filled="false" stroked="true" strokeweight="1.08pt" strokecolor="#ffffff">
                <v:path arrowok="t"/>
              </v:shape>
            </v:group>
            <v:group style="position:absolute;left:2756;top:4978;width:1539;height:392" coordorigin="2756,4978" coordsize="1539,392">
              <v:shape style="position:absolute;left:2756;top:4978;width:1539;height:392" coordorigin="2756,4978" coordsize="1539,392" path="m2756,5370l4294,5370,4294,4978,2756,4978,2756,5370xe" filled="true" fillcolor="#ffffff" stroked="false">
                <v:path arrowok="t"/>
                <v:fill type="solid"/>
              </v:shape>
            </v:group>
            <w10:wrap type="none"/>
          </v:group>
        </w:pict>
      </w:r>
      <w:r>
        <w:rPr/>
        <w:pict>
          <v:group style="position:absolute;margin-left:136.699997pt;margin-top:324.349976pt;width:78.05pt;height:20.65pt;mso-position-horizontal-relative:page;mso-position-vertical-relative:page;z-index:-756352" coordorigin="2734,6487" coordsize="1561,413">
            <v:group style="position:absolute;left:2745;top:6498;width:2;height:392" coordorigin="2745,6498" coordsize="2,392">
              <v:shape style="position:absolute;left:2745;top:6498;width:2;height:392" coordorigin="2745,6498" coordsize="0,392" path="m2745,6498l2745,6889e" filled="false" stroked="true" strokeweight="1.08pt" strokecolor="#ffffff">
                <v:path arrowok="t"/>
              </v:shape>
            </v:group>
            <v:group style="position:absolute;left:2756;top:6498;width:1539;height:392" coordorigin="2756,6498" coordsize="1539,392">
              <v:shape style="position:absolute;left:2756;top:6498;width:1539;height:392" coordorigin="2756,6498" coordsize="1539,392" path="m2756,6889l4294,6889,4294,6498,2756,6498,2756,688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15,033,539.51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3,013,276.22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3,542,501.93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3,155,989.36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24,745,307.02</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3,013,276.22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3,542,501.93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3,155,989.36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9,711,767.51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15,033,539.51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15,033,539.51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567,144,877.40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758,251,659.12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22,965,113.34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170,481,206.68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1,518,842,856.54</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145,953,337.64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519,821,281.16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21,056,897.61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64,014,396.71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750,845,913.12</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18,127,175.06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40,842,602.03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1,060,632.09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10,375,575.08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70,405,984.26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18,115,548.83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40,842,602.03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1,060,632.09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10,375,575.08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70,394,358.03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）带入（折旧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tabs>
                <w:tab w:pos="849" w:val="left" w:leader="none"/>
              </w:tabs>
              <w:spacing w:line="240" w:lineRule="auto" w:before="49"/>
              <w:ind w:left="-128"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w w:val="95"/>
                <w:sz w:val="18"/>
                <w:szCs w:val="18"/>
              </w:rPr>
              <w:t>11,626.23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11,626.23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5,754,172.68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2,710,624.44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3,309,831.49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943,212.84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12,717,841.45</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2,710,624.44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3,309,831.49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943,212.84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6,963,668.77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）其他（折旧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tabs>
                <w:tab w:pos="616" w:val="left" w:leader="none"/>
              </w:tabs>
              <w:spacing w:line="240" w:lineRule="auto" w:before="51"/>
              <w:ind w:left="-128"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5,754,172.68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5,754,172.68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158,326,340.02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557,953,258.75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18,807,698.21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73,446,758.95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808,534,055.93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41,237.38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8,124.90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8,124.90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8,124.90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8,124.90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33,112.48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33,112.48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408,818,537.38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200,265,287.89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4,157,415.13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97,034,447.73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710,275,688.13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380,485,058.71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225,275,854.22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4,638,485.45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90,649,807.64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701,049,206.02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通过融资租赁租入的固定资产情况" w:id="249"/>
      <w:bookmarkEnd w:id="249"/>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10,836,555.10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5,607,917.07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5,228,638.03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3）通过经营租赁租出的固定资产" w:id="250"/>
      <w:bookmarkEnd w:id="250"/>
      <w:r>
        <w:rPr>
          <w:b w:val="0"/>
          <w:bCs w:val="0"/>
        </w:rPr>
      </w:r>
      <w:r>
        <w:rPr/>
        <w:t>（</w:t>
      </w:r>
      <w:r>
        <w:rPr>
          <w:rFonts w:ascii="Times New Roman" w:hAnsi="Times New Roman" w:cs="Times New Roman" w:eastAsia="Times New Roman" w:hint="default"/>
        </w:rPr>
        <w:t>3</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16,452,898.60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2、在建工程" w:id="251"/>
      <w:bookmarkEnd w:id="251"/>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99,041,468.08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111,599,031.54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99,041,468.08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111,599,031.54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在建工程情况" w:id="252"/>
      <w:bookmarkEnd w:id="25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济南临港生产基 地（二期）基建 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89,948,626.59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89,948,626.59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103,547,963.22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103,547,963.22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山大北路项目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8,275,471.69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8,275,471.69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7,331,132.07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7,331,132.07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不需安装工程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408,340.73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408,340.73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470,868.62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470,868.62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济南临港生产基 地（三期）基建 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346,501.18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346,501.18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311,595.52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311,595.52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99,041,468.08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99,041,468.08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111,599,031.54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111,599,031.54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重要在建工程项目本期变动情况" w:id="253"/>
      <w:bookmarkEnd w:id="25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footerReference w:type="default" r:id="rId16"/>
          <w:pgSz w:w="11910" w:h="16840"/>
          <w:pgMar w:footer="980" w:header="745" w:top="1060" w:bottom="1160" w:left="980" w:right="0"/>
          <w:pgNumType w:start="11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济南临 港生产 </w:t>
            </w:r>
            <w:r>
              <w:rPr>
                <w:rFonts w:ascii="宋体" w:hAnsi="宋体" w:cs="宋体" w:eastAsia="宋体" w:hint="default"/>
                <w:spacing w:val="-11"/>
                <w:sz w:val="18"/>
                <w:szCs w:val="18"/>
              </w:rPr>
              <w:t>基地（二</w:t>
            </w:r>
            <w:r>
              <w:rPr>
                <w:rFonts w:ascii="宋体" w:hAnsi="宋体" w:cs="宋体" w:eastAsia="宋体" w:hint="default"/>
                <w:sz w:val="18"/>
                <w:szCs w:val="18"/>
              </w:rPr>
              <w:t> </w:t>
            </w:r>
            <w:r>
              <w:rPr>
                <w:rFonts w:ascii="宋体" w:hAnsi="宋体" w:cs="宋体" w:eastAsia="宋体" w:hint="default"/>
                <w:spacing w:val="-11"/>
                <w:sz w:val="18"/>
                <w:szCs w:val="18"/>
              </w:rPr>
              <w:t>期）基建</w:t>
            </w:r>
            <w:r>
              <w:rPr>
                <w:rFonts w:ascii="宋体" w:hAnsi="宋体" w:cs="宋体" w:eastAsia="宋体" w:hint="default"/>
                <w:sz w:val="18"/>
                <w:szCs w:val="18"/>
              </w:rPr>
              <w:t> 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205,225,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860.80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103,547,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963.22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41,940,6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55,540,0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89,948,6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70.89%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205,225,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860.80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103,547,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963.22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41,940,6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55,540,0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89,948,6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26.59</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3、无形资产" w:id="254"/>
      <w:bookmarkEnd w:id="254"/>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55"/>
      <w:bookmarkEnd w:id="25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36,459,471.87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9,029,252.93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138,973,103.17</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4,388,049.97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255,798.71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4,643,848.68</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255,798.71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255,798.71</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4,388,049.97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4,388,049.97</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40,847,521.84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9,285,051.64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143,616,951.85</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21,037,549.49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11,871,856.92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6,214,413.43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39,923,819.84</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3,957,899.21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553,268.12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6,357,596.07</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3,957,899.21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553,268.12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6,357,596.07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22,883,978.23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15,829,756.13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6,767,681.55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800,000.00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46,281,415.91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69,800,400.14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25,017,765.71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2,517,370.09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97,335,535.94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71,646,828.88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24,587,614.95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2,814,839.50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99,049,283.33</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25.51%</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14、开发支出" w:id="256"/>
      <w:bookmarkEnd w:id="256"/>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403"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41"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1" w:type="dxa"/>
            <w:vMerge w:val="restart"/>
            <w:tcBorders>
              <w:top w:val="nil" w:sz="6" w:space="0" w:color="auto"/>
              <w:left w:val="single" w:sz="4" w:space="0" w:color="000000"/>
              <w:right w:val="single" w:sz="4" w:space="0" w:color="000000"/>
            </w:tcBorders>
            <w:shd w:val="clear" w:color="auto" w:fill="D2D2D2"/>
          </w:tcPr>
          <w:p>
            <w:pPr/>
          </w:p>
        </w:tc>
        <w:tc>
          <w:tcPr>
            <w:tcW w:w="1074"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41"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拟申请专利 技术的研发 支出</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14,065,263.5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7,097,950.29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4,388,049.97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16,775,163.9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6" w:firstLine="91"/>
              <w:jc w:val="left"/>
              <w:rPr>
                <w:rFonts w:ascii="宋体" w:hAnsi="宋体" w:cs="宋体" w:eastAsia="宋体" w:hint="default"/>
                <w:sz w:val="18"/>
                <w:szCs w:val="18"/>
              </w:rPr>
            </w:pPr>
            <w:r>
              <w:rPr>
                <w:rFonts w:ascii="宋体" w:hAnsi="宋体" w:cs="宋体" w:eastAsia="宋体" w:hint="default"/>
                <w:sz w:val="18"/>
                <w:szCs w:val="18"/>
              </w:rPr>
              <w:t>其他研发支 出</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91,259,247.2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91,259,247.2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14,065,263.5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98,357,197.5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4,388,049.97</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91,259,247.2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16,775,163.9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94" w:hRule="exact"/>
        </w:trPr>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pStyle w:val="BodyText"/>
        <w:spacing w:line="357" w:lineRule="auto" w:before="49"/>
        <w:ind w:right="10034"/>
        <w:jc w:val="left"/>
      </w:pPr>
      <w:r>
        <w:rPr/>
        <w:t>其他说明 无</w:t>
      </w:r>
    </w:p>
    <w:p>
      <w:pPr>
        <w:spacing w:after="0" w:line="357"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15、商誉" w:id="257"/>
      <w:bookmarkEnd w:id="257"/>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58"/>
      <w:bookmarkEnd w:id="25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山东东港彩意网 络科技有限公司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1,239,938.65</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1,239,938.65</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北京瑞宏科技有 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1,245,159.28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1,245,159.28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2,485,097.93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2,485,097.93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6、长期待摊费用" w:id="259"/>
      <w:bookmarkEnd w:id="259"/>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254,716.98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42,452.84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212,264.14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1,373,469.13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879,796.16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493,672.97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南开大学研发费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166,666.64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66,666.72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99,999.92</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5,455,698.06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7,867,447.09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2,129,325.60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11,193,819.55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改造费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544,557.78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521,980.22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518,157.36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548,380.64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移库费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8,977,695.93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1,767,962.18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4,646,625.42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6,099,032.69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16,921,287.54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10,412,106.47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8,585,424.10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18,747,969.91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7、递延所得税资产/递延所得税负债" w:id="260"/>
      <w:bookmarkEnd w:id="260"/>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61"/>
      <w:bookmarkEnd w:id="26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4"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25,513,720.89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4,141,318.89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25,118,166.84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3,817,275.16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297,351.50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44,602.72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659,216.79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98,882.52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6,936,461.32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1,040,469.20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8,092,538.32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1,213,880.75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9,803,050.00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1,470,457.50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9,122,288.72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1,368,343.31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42,550,583.71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6,696,848.31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42,992,210.67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6,498,381.74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抵销后净额列示的递延所得税资产或负债" w:id="262"/>
      <w:bookmarkEnd w:id="262"/>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14"/>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4" w:right="0"/>
              <w:jc w:val="left"/>
              <w:rPr>
                <w:rFonts w:ascii="Times New Roman" w:hAnsi="Times New Roman" w:cs="Times New Roman" w:eastAsia="Times New Roman" w:hint="default"/>
                <w:sz w:val="18"/>
                <w:szCs w:val="18"/>
              </w:rPr>
            </w:pPr>
            <w:r>
              <w:rPr>
                <w:rFonts w:ascii="Times New Roman"/>
                <w:sz w:val="18"/>
              </w:rPr>
              <w:t>6,696,848.31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6,498,381.74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未确认递延所得税资产明细" w:id="263"/>
      <w:bookmarkEnd w:id="263"/>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30,217,708.59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32,816,529.76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30,217,708.59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32,816,529.76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未确认递延所得税资产的可抵扣亏损将于以下年度到期" w:id="264"/>
      <w:bookmarkEnd w:id="264"/>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7,144,782.04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13,368,902.68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14,423,308.84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7,082,351.76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7,082,351.76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4,166,087.12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4,166,087.12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5,600,367.03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30,217,708.59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32,816,529.76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8、其他非流动资产" w:id="265"/>
      <w:bookmarkEnd w:id="265"/>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19、应付票据" w:id="266"/>
      <w:bookmarkEnd w:id="266"/>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163,510,543.57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152,102,726.71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163,510,543.57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152,102,726.71</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0、应付账款" w:id="267"/>
      <w:bookmarkEnd w:id="267"/>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68"/>
      <w:bookmarkEnd w:id="26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187,884,374.61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201,134,164.65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187,884,374.61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201,134,164.65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1、预收款项" w:id="269"/>
      <w:bookmarkEnd w:id="269"/>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1）预收款项列示" w:id="270"/>
      <w:bookmarkEnd w:id="27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184,335,174.35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150,646,639.28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184,335,174.35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150,646,639.28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2、应付职工薪酬" w:id="271"/>
      <w:bookmarkEnd w:id="271"/>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72"/>
      <w:bookmarkEnd w:id="27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42,192,395.02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139,971,334.53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137,741,953.27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44,421,776.28</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1,312.74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14,826,393.22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14,827,705.96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345,222.39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345,222.39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42,193,707.76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155,142,950.14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152,914,881.62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44,421,776.28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短期薪酬列示" w:id="273"/>
      <w:bookmarkEnd w:id="27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17,213,025.97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108,850,633.19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108,919,805.55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17,143,853.61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12,235,883.46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12,235,883.46</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9,630,508.37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9,631,278.67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8,443,639.15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8,444,319.95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335,080.33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335,099.63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851,788.89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851,859.09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5,657,475.92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5,657,475.92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24,978,598.75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3,596,833.59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1,297,509.67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27,277,922.67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42,192,395.02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139,971,334.53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137,741,953.27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44,421,776.28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设定提存计划列示" w:id="274"/>
      <w:bookmarkEnd w:id="27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1,263.60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14,254,069.03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14,255,332.63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572,324.19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572,373.33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1,312.74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14,826,393.22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14,827,705.96</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3、应交税费" w:id="275"/>
      <w:bookmarkEnd w:id="275"/>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13,671,485.51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19,927,232.30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8,902,356.31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11,714,229.81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64,854.48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984,149.67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1,523,602.68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1,493,951.24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436,225.37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635,277.65</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290,816.91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499,668.09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41,285.31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58,849.03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245,970.10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549,950.10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25,219,343.68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36,467,615.38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4、其他应付款" w:id="276"/>
      <w:bookmarkEnd w:id="276"/>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38,663,541.70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35,210,990.42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38,663,541.70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35,210,990.42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其他应付款" w:id="277"/>
      <w:bookmarkEnd w:id="277"/>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278"/>
      <w:bookmarkEnd w:id="278"/>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15,995,529.44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16,549,016.60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10,242,005.29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9,942,017.50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3,027,058.23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1,946,266.89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2,428,861.33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1,721,923.47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678,444.40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217,712.14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6,291,643.01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4,834,053.82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38,663,541.70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35,210,990.42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5、一年内到期的非流动负债" w:id="279"/>
      <w:bookmarkEnd w:id="279"/>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13,120,027.74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14,034,237.43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13,120,027.74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14,034,237.43</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6、长期应付款" w:id="280"/>
      <w:bookmarkEnd w:id="280"/>
      <w:r>
        <w:rPr>
          <w:b w:val="0"/>
          <w:bCs w:val="0"/>
        </w:rPr>
      </w:r>
      <w:r>
        <w:rPr>
          <w:rFonts w:ascii="Times New Roman" w:hAnsi="Times New Roman" w:cs="Times New Roman" w:eastAsia="Times New Roman" w:hint="default"/>
        </w:rPr>
        <w:t>26</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13,120,027.74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13,120,027.74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按款项性质列示长期应付款" w:id="281"/>
      <w:bookmarkEnd w:id="28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13,120,027.74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26,250,027.74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904,237.43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减：一年内到期部分（附注六、</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13,120,027.74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14,034,237.43</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7、预计负债" w:id="282"/>
      <w:bookmarkEnd w:id="282"/>
      <w:r>
        <w:rPr>
          <w:b w:val="0"/>
          <w:bCs w:val="0"/>
        </w:rPr>
      </w:r>
      <w:r>
        <w:rPr>
          <w:rFonts w:ascii="Times New Roman" w:hAnsi="Times New Roman" w:cs="Times New Roman" w:eastAsia="Times New Roman" w:hint="default"/>
        </w:rPr>
        <w:t>27</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8、递延收益" w:id="283"/>
      <w:bookmarkEnd w:id="283"/>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9,485,278.32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1,878,037.00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7,607,241.32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9,485,278.32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1,878,037.00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7,607,241.32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山东省自主 创新及成果 转化专项资 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792,740.00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121,960.00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670,780.00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北京市科技 计划课题</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上海市闵行 区财政局重 点技改项目 补贴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8,092,538.32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1,156,077.00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6,936,461.32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9,485,278.32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1,878,037.00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7,607,241.32</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bookmarkStart w:name="29、其他非流动负债" w:id="284"/>
      <w:bookmarkEnd w:id="284"/>
      <w:r>
        <w:rPr>
          <w:b w:val="0"/>
          <w:bCs w:val="0"/>
        </w:rPr>
      </w:r>
      <w:r>
        <w:rPr>
          <w:rFonts w:ascii="Times New Roman" w:hAnsi="Times New Roman" w:cs="Times New Roman" w:eastAsia="Times New Roman" w:hint="default"/>
        </w:rPr>
        <w:t>29</w:t>
      </w:r>
      <w:r>
        <w:rPr/>
        <w:t>、其他非流动负债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1" w:firstLine="91"/>
              <w:jc w:val="left"/>
              <w:rPr>
                <w:rFonts w:ascii="宋体" w:hAnsi="宋体" w:cs="宋体" w:eastAsia="宋体" w:hint="default"/>
                <w:sz w:val="18"/>
                <w:szCs w:val="18"/>
              </w:rPr>
            </w:pPr>
            <w:r>
              <w:rPr>
                <w:rFonts w:ascii="宋体" w:hAnsi="宋体" w:cs="宋体" w:eastAsia="宋体" w:hint="default"/>
                <w:sz w:val="18"/>
                <w:szCs w:val="18"/>
              </w:rPr>
              <w:t>一次性收取的应在未来期间确认的租 赁及技术服务收入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29,678,349.55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30,706,849.34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29,678,349.55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30,706,849.34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0、股本" w:id="285"/>
      <w:bookmarkEnd w:id="285"/>
      <w:r>
        <w:rPr>
          <w:b w:val="0"/>
          <w:bCs w:val="0"/>
        </w:rPr>
      </w: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363,777,614.00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181,888,807.00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181,888,807.00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545,666,421.00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1、资本公积" w:id="286"/>
      <w:bookmarkEnd w:id="286"/>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229,697,882.71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229,697,882.71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20,084,827.50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20,084,827.50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249,782,710.21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249,782,710.21</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2、盈余公积" w:id="287"/>
      <w:bookmarkEnd w:id="287"/>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167,116,823.56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19,729,152.39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186,845,975.95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83,558,411.77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9,864,576.20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93,422,987.97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250,675,235.33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29,593,728.59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280,268,963.92</w:t>
            </w:r>
          </w:p>
        </w:tc>
      </w:tr>
    </w:tbl>
    <w:p>
      <w:pPr>
        <w:pStyle w:val="BodyText"/>
        <w:spacing w:line="240" w:lineRule="auto" w:before="49"/>
        <w:ind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3、未分配利润" w:id="288"/>
      <w:bookmarkEnd w:id="288"/>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762,396,515.29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687,822,672.89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762,396,515.29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687,822,672.89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266,721,676.93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256,767,604.63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19,729,152.39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24,455,144.42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9,864,576.20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12,227,572.21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254,644,329.80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145,511,045.60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181,888,807.00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562,991,326.83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762,396,515.29</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4、营业收入和营业成本" w:id="289"/>
      <w:bookmarkEnd w:id="289"/>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1,470,586,497.21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868,153,272.38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1,527,968,698.82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936,063,676.55</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25,047,618.34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10,737,018.98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17,681,738.38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7,586,277.29</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1,495,634,115.55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878,890,291.36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1,545,650,437.20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943,649,953.84</w:t>
            </w:r>
          </w:p>
        </w:tc>
      </w:tr>
    </w:tbl>
    <w:p>
      <w:pPr>
        <w:pStyle w:val="BodyText"/>
        <w:spacing w:line="240" w:lineRule="auto" w:before="49"/>
        <w:ind w:right="0"/>
        <w:jc w:val="left"/>
      </w:pPr>
      <w:r>
        <w:rPr/>
        <w:t>是否已执行新收入准则</w:t>
      </w:r>
    </w:p>
    <w:p>
      <w:pPr>
        <w:pStyle w:val="BodyText"/>
        <w:spacing w:line="350" w:lineRule="auto" w:before="115"/>
        <w:ind w:right="9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 无</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bookmarkStart w:name="35、税金及附加" w:id="290"/>
      <w:bookmarkEnd w:id="290"/>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4,715,645.08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5,864,171.27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2,256,973.64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2,649,778.37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33,226.47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2,320.40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7,451,480.64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8,287,968.10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1,210,864.60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2,549,569.50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58,462.99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89,340.34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1,861,413.10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1,974,204.49</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80"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1,359,694.28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1,678,327.54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211,375.35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3,493.23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61,499.47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19,068,947.64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23,368,554.83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6、销售费用" w:id="291"/>
      <w:bookmarkEnd w:id="291"/>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47,040,832.12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38,155,894.19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26,380,892.49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20,729,890.69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14,100,684.51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14,446,301.43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12,359,622.31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19,391,111.28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10,292,641.93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10,053,530.48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住宿费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3,223,486.93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3,668,380.72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2,157,613.31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1,621,022.58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728,492.83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336,685.61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电话邮政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389,701.91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519,865.93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3,713,213.16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8,343,869.59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120,387,181.50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117,266,552.50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7、管理费用" w:id="292"/>
      <w:bookmarkEnd w:id="292"/>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31,751,351.57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34,004,218.82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10,915,465.76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13,838,733.99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9,813,902.70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10,022,124.36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9,395,638.03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8,966,383.16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5,428,209.49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4,822,080.93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5,152,990.00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4,816,322.46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5,780,080.45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4,458,120.40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5,396,354.59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3,052,405.44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2,889,197.92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2,845,264.93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2,811,750.25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1,264,267.64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704,070.44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1,083,163.53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1,739,493.42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932,213.97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607,739.48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12,478,665.01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10,494,992.20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103,387,980.93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102,077,220.01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8、研发费用" w:id="293"/>
      <w:bookmarkEnd w:id="293"/>
      <w:r>
        <w:rPr>
          <w:b w:val="0"/>
          <w:bCs w:val="0"/>
        </w:rPr>
      </w:r>
      <w:r>
        <w:rPr>
          <w:rFonts w:ascii="Times New Roman" w:hAnsi="Times New Roman" w:cs="Times New Roman" w:eastAsia="Times New Roman" w:hint="default"/>
        </w:rPr>
        <w:t>38</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直接投入费用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38,382,343.35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36,882,850.80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28,571,284.41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31,474,689.76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23,519,676.74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21,494,411.14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其他相关费用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785,942.72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1,519,334.38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91,259,247.22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91,371,286.08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9、财务费用" w:id="294"/>
      <w:bookmarkEnd w:id="294"/>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6,415.21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119,241.74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920,222.27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7,572,699.07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1,260.89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7,608.03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682,213.75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485,467.64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-230,332.42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-6,960,381.66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0、其他收益" w:id="295"/>
      <w:bookmarkEnd w:id="295"/>
      <w:r>
        <w:rPr>
          <w:b w:val="0"/>
          <w:bCs w:val="0"/>
        </w:rPr>
      </w:r>
      <w:r>
        <w:rPr>
          <w:rFonts w:ascii="Times New Roman" w:hAnsi="Times New Roman" w:cs="Times New Roman" w:eastAsia="Times New Roman" w:hint="default"/>
        </w:rPr>
        <w:t>40</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8,868,612.00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2,920,862.06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异地迁入纳税补助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715,536.82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4,358,796.97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285,978.89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102,192.86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146,115.01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82,836.92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1,101,700.00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11,089,375.49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10,691,948.04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1、投资收益" w:id="296"/>
      <w:bookmarkEnd w:id="296"/>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-151,117.43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-70,156.12</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19,742,476.27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13,313,794.68</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19,591,358.84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13,243,641.17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2、信用减值损失" w:id="297"/>
      <w:bookmarkEnd w:id="297"/>
      <w:r>
        <w:rPr>
          <w:b w:val="0"/>
          <w:bCs w:val="0"/>
        </w:rPr>
      </w:r>
      <w:r>
        <w:rPr>
          <w:rFonts w:ascii="Times New Roman" w:hAnsi="Times New Roman" w:cs="Times New Roman" w:eastAsia="Times New Roman" w:hint="default"/>
        </w:rPr>
        <w:t>42</w:t>
      </w:r>
      <w:r>
        <w:rPr/>
        <w:t>、信用减值损失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-2,569,144.28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42,106.54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1,955,065.58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-571,972.16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43、资产减值损失" w:id="298"/>
      <w:bookmarkEnd w:id="298"/>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-2,414,095.65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-2,414,095.65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bookmarkStart w:name="44、资产处置收益" w:id="299"/>
      <w:bookmarkEnd w:id="299"/>
      <w:r>
        <w:rPr>
          <w:b w:val="0"/>
          <w:bCs w:val="0"/>
        </w:rPr>
      </w:r>
      <w:r>
        <w:rPr>
          <w:rFonts w:ascii="Times New Roman" w:hAnsi="Times New Roman" w:cs="Times New Roman" w:eastAsia="Times New Roman" w:hint="default"/>
        </w:rPr>
        <w:t>44</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-437,471.48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-65,610.75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45、营业外收入" w:id="300"/>
      <w:bookmarkEnd w:id="300"/>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259,174.82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227,592.00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259,174.82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373,384.71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2,296,709.60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373,384.71</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与企业日常活动无关的政府 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271,144.79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636,759.53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2,795,446.39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636,759.53</w:t>
            </w:r>
          </w:p>
        </w:tc>
      </w:tr>
    </w:tbl>
    <w:p>
      <w:pPr>
        <w:pStyle w:val="BodyText"/>
        <w:spacing w:line="240" w:lineRule="auto" w:before="49"/>
        <w:ind w:right="0"/>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4,200.00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271,144.79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46、营业外支出" w:id="301"/>
      <w:bookmarkEnd w:id="301"/>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152,709.37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126,895.55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152,709.37</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104,064.92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55,455.68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104,064.92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256,774.29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212,351.23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256,774.29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7、所得税费用" w:id="302"/>
      <w:bookmarkEnd w:id="302"/>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03"/>
      <w:bookmarkEnd w:id="30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45,530,160.19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41,206,792.79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-198,729.37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56,937.06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45,331,430.82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41,263,729.85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会计利润与所得税费用调整过程" w:id="304"/>
      <w:bookmarkEnd w:id="30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312,922,075.25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46,938,311.29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1,452,376.43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2,143,720.69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4,273,365.31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-1,229,878.23</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1,771,860.74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-65,330.99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-9,952,994.42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45,331,430.82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8、现金流量表项目" w:id="305"/>
      <w:bookmarkEnd w:id="305"/>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06"/>
      <w:bookmarkEnd w:id="30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105,470,059.55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66,714,471.07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收代理商充值款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86,529,588.91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70,212,188.72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40,039,077.35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29,199,005.91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26,248,740.47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18,719,813.72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9,215,538.49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8,597,975.38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920,222.27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7,572,699.07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3,352,289.29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3,317,562.53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271,775,516.33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204,333,716.40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支付的其他与经营活动有关的现金" w:id="307"/>
      <w:bookmarkEnd w:id="30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118,577,712.53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60,993,391.74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预付充值款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72,822,124.06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68,054,051.43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差旅费及交通费等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37,832,021.14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44,257,782.60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34,512,398.51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29,493,897.91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33,654,717.29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50,897,477.10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27,807,910.72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28,557,347.27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21,757,103.02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26,174,600.79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16,746,502.29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6,432,024.56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4,207,536.16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2,836,358.42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4,093,123.33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3,908,054.49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16,059,373.57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15,173,853.67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388,070,522.62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336,778,839.98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收到的其他与投资活动有关的现金" w:id="308"/>
      <w:bookmarkEnd w:id="30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国债逆回购收益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26,785.35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101,073.20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101,073.20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支付的其他与投资活动有关的现金" w:id="309"/>
      <w:bookmarkEnd w:id="30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处置子公司收到的现金与子公司期末货 币资金之间的差额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2,620,922.74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2,620,922.74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收到的其他与筹资活动有关的现金" w:id="310"/>
      <w:bookmarkEnd w:id="31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2,877,515.05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65,679,010.45</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出售少数股权收到少数股东的支出现金 对价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4,877,515.05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65,679,010.45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634.479980pt;width:151.25pt;height:20.65pt;mso-position-horizontal-relative:page;mso-position-vertical-relative:page;z-index:-756328" coordorigin="4467,12690" coordsize="3025,413">
            <v:group style="position:absolute;left:4478;top:12700;width:2;height:392" coordorigin="4478,12700" coordsize="2,392">
              <v:shape style="position:absolute;left:4478;top:12700;width:2;height:392" coordorigin="4478,12700" coordsize="0,392" path="m4478,12700l4478,13092e" filled="false" stroked="true" strokeweight="1.08pt" strokecolor="#ffffff">
                <v:path arrowok="t"/>
              </v:shape>
            </v:group>
            <v:group style="position:absolute;left:4489;top:12700;width:3003;height:392" coordorigin="4489,12700" coordsize="3003,392">
              <v:shape style="position:absolute;left:4489;top:12700;width:3003;height:392" coordorigin="4489,12700" coordsize="3003,392" path="m4489,13092l7492,13092,7492,12700,4489,12700,4489,13092xe" filled="true" fillcolor="#ffffff" stroked="false">
                <v:path arrowok="t"/>
                <v:fill type="solid"/>
              </v:shape>
            </v:group>
            <w10:wrap type="none"/>
          </v:group>
        </w:pict>
      </w:r>
    </w:p>
    <w:p>
      <w:pPr>
        <w:pStyle w:val="Heading4"/>
        <w:spacing w:line="240" w:lineRule="auto" w:before="36"/>
        <w:ind w:right="0"/>
        <w:jc w:val="left"/>
        <w:rPr>
          <w:b w:val="0"/>
          <w:bCs w:val="0"/>
        </w:rPr>
      </w:pPr>
      <w:bookmarkStart w:name="（6）支付的其他与筹资活动有关的现金" w:id="311"/>
      <w:bookmarkEnd w:id="31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购买少数股权支付给少数股东的现金对 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14,564,994.54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3,890,514.91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62,638,599.01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支付股利分配手续费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341,731.01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93,716.94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19,162,245.92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77,297,310.49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9、现金流量表补充资料" w:id="312"/>
      <w:bookmarkEnd w:id="312"/>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13"/>
      <w:bookmarkEnd w:id="31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267,590,644.43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257,652,499.72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571,972.16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2,414,095.65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68,137,253.10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65,833,071.84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6,357,596.07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5,233,799.18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8,585,424.10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6,986,451.31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437,471.48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65,610.75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152,709.37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126,895.55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328,802.96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206,623.78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-19,591,358.84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-13,243,641.17</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-198,729.37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56,937.06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022" w:val="left" w:leader="none"/>
              </w:tabs>
              <w:spacing w:line="240" w:lineRule="auto" w:before="49"/>
              <w:ind w:left="-11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-5,936,167.45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38,171,839.99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114,561,907.67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6,144,433.23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-17,838,607.26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-53,959,460.56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423,158,918.42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315,689,156.33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320,889,403.02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756,364,534.21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756,364,534.21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697,294,526.92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-455,475,131.19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79,070,007.29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现金和现金等价物的构成" w:id="314"/>
      <w:bookmarkEnd w:id="314"/>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360" w:lineRule="auto" w:before="44"/>
        <w:ind w:left="8464" w:right="1131"/>
        <w:jc w:val="right"/>
      </w:pPr>
      <w:r>
        <w:rPr/>
        <w:t>单位：</w:t>
      </w:r>
      <w:r>
        <w:rPr>
          <w:spacing w:val="1"/>
        </w:rPr>
        <w:t> </w:t>
      </w:r>
      <w:r>
        <w:rPr/>
        <w:t>元</w:t>
      </w:r>
      <w:r>
        <w:rPr/>
        <w:t> 单位：</w:t>
      </w:r>
      <w:r>
        <w:rPr>
          <w:spacing w:val="1"/>
        </w:rPr>
        <w:t> </w:t>
      </w:r>
      <w:r>
        <w:rPr/>
        <w:t>元</w:t>
      </w: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320,889,403.02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756,364,534.21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446,106.44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817,149.06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319,361,309.89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754,497,272.71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1,081,986.69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1,050,112.44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国债逆回购本金</w:t>
            </w:r>
          </w:p>
        </w:tc>
        <w:tc>
          <w:tcPr>
            <w:tcW w:w="3069"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320,889,403.02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776,364,534.21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36"/>
        <w:ind w:right="0"/>
        <w:jc w:val="left"/>
        <w:rPr>
          <w:b w:val="0"/>
          <w:bCs w:val="0"/>
        </w:rPr>
      </w:pPr>
      <w:bookmarkStart w:name="50、所有者权益变动表项目注释" w:id="315"/>
      <w:bookmarkEnd w:id="315"/>
      <w:r>
        <w:rPr>
          <w:b w:val="0"/>
          <w:bCs w:val="0"/>
        </w:rPr>
      </w:r>
      <w:r>
        <w:rPr>
          <w:rFonts w:ascii="Times New Roman" w:hAnsi="Times New Roman" w:cs="Times New Roman" w:eastAsia="Times New Roman" w:hint="default"/>
        </w:rPr>
        <w:t>50</w:t>
      </w:r>
      <w:r>
        <w:rPr/>
        <w:t>、所有者权益变动表项目注释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51、所有权或使用权受到限制的资产" w:id="316"/>
      <w:bookmarkEnd w:id="316"/>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36,796,286.15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9"/>
        <w:gridCol w:w="3070"/>
        <w:gridCol w:w="3161"/>
      </w:tblGrid>
      <w:tr>
        <w:trPr>
          <w:trHeight w:val="404" w:hRule="exact"/>
        </w:trPr>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36,796,286.15</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2、外币货币性项目" w:id="317"/>
      <w:bookmarkEnd w:id="317"/>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18"/>
      <w:bookmarkEnd w:id="31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2,069.30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494.21</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3,760.91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59" w:lineRule="auto" w:before="118"/>
        <w:ind w:right="0"/>
        <w:jc w:val="left"/>
        <w:rPr>
          <w:b w:val="0"/>
          <w:bCs w:val="0"/>
        </w:rPr>
      </w:pPr>
      <w:bookmarkStart w:name="（2）境外经营实体说明，包括对于重要的境外经营实体，应披露其境外主要经营地、记账" w:id="319"/>
      <w:bookmarkEnd w:id="31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53、政府补助" w:id="320"/>
      <w:bookmarkEnd w:id="320"/>
      <w:r>
        <w:rPr>
          <w:b w:val="0"/>
          <w:bCs w:val="0"/>
        </w:rPr>
      </w:r>
      <w:r>
        <w:rPr>
          <w:rFonts w:ascii="Times New Roman" w:hAnsi="Times New Roman" w:cs="Times New Roman" w:eastAsia="Times New Roman" w:hint="default"/>
        </w:rPr>
        <w:t>53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21"/>
      <w:bookmarkEnd w:id="32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8,868,612.00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8,868,612.00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异地迁入纳税补贴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715,536.82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715,536.82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540,800.00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419,003.00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419,003.00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285,978.89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285,978.89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82,836.92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82,836.92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74,415.00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74,415.00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政府补助退回情况" w:id="322"/>
      <w:bookmarkEnd w:id="32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323"/>
      <w:bookmarkEnd w:id="323"/>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其他原因的合并范围变动" w:id="324"/>
      <w:bookmarkEnd w:id="324"/>
      <w:r>
        <w:rPr>
          <w:b w:val="0"/>
          <w:bCs w:val="0"/>
        </w:rPr>
      </w:r>
      <w:r>
        <w:rPr>
          <w:rFonts w:ascii="Times New Roman" w:hAnsi="Times New Roman" w:cs="Times New Roman" w:eastAsia="Times New Roman" w:hint="default"/>
        </w:rPr>
        <w:t>1</w:t>
      </w:r>
      <w:r>
        <w:rPr/>
        <w:t>、其他原因的合并范围变动</w:t>
      </w:r>
      <w:r>
        <w:rPr>
          <w:b w:val="0"/>
          <w:bCs w:val="0"/>
        </w:rPr>
      </w:r>
    </w:p>
    <w:p>
      <w:pPr>
        <w:pStyle w:val="BodyText"/>
        <w:spacing w:line="430" w:lineRule="atLeast" w:before="147"/>
        <w:ind w:left="513" w:right="0" w:hanging="361"/>
        <w:jc w:val="left"/>
      </w:pPr>
      <w:r>
        <w:rPr/>
        <w:t>说明其他原因导致的合并范围变动（如，新设子公司、清算子公司等）及其相关情况： </w:t>
      </w:r>
      <w:r>
        <w:rPr>
          <w:spacing w:val="-2"/>
        </w:rPr>
        <w:t>报告期内，本公司注销二级子公司安徽东港瑞宏科技有限公司，注销三级及三级以下子公司北京瑞云嘉华投资管理有限</w:t>
      </w:r>
    </w:p>
    <w:p>
      <w:pPr>
        <w:pStyle w:val="BodyText"/>
        <w:spacing w:line="240" w:lineRule="auto" w:before="74"/>
        <w:ind w:right="0"/>
        <w:jc w:val="left"/>
      </w:pPr>
      <w:r>
        <w:rPr/>
        <w:t>公司、北京瑞云嘉华安全技术有限公司和北京悦众瑞彩网络科技有限公司。</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325"/>
      <w:bookmarkEnd w:id="325"/>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26"/>
      <w:bookmarkEnd w:id="32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27"/>
      <w:bookmarkEnd w:id="32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北京东港安全印 刷有限公司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郑州东港安全印 刷有限公司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新疆东港安全印 刷有限公司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北京东港嘉华安 全信息技术有限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广州东港安全印 刷有限公司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上海东港安全印 刷有限公司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上海东港数据处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甘肃图腾印务有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57" w:lineRule="auto" w:before="49"/>
        <w:ind w:right="6974"/>
        <w:jc w:val="left"/>
      </w:pPr>
      <w:r>
        <w:rPr/>
        <w:t>在子公司的持股比例不同于表决权比例的说明： 无</w:t>
      </w:r>
    </w:p>
    <w:p>
      <w:pPr>
        <w:pStyle w:val="BodyText"/>
        <w:spacing w:line="360" w:lineRule="auto" w:before="29"/>
        <w:ind w:right="2834"/>
        <w:jc w:val="left"/>
      </w:pPr>
      <w:r>
        <w:rPr/>
        <w:t>持有半数或以下表决权但仍控制被投资单位、以及持有半数以上表决权但不控制被投资单位的依据： 无</w:t>
      </w:r>
    </w:p>
    <w:p>
      <w:pPr>
        <w:spacing w:after="0" w:line="36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关联方及关联交易" w:id="328"/>
      <w:bookmarkEnd w:id="328"/>
      <w:r>
        <w:rPr>
          <w:b w:val="0"/>
          <w:bCs w:val="0"/>
        </w:rPr>
      </w: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29"/>
      <w:bookmarkEnd w:id="32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224" w:right="7802" w:hanging="72"/>
        <w:jc w:val="left"/>
      </w:pPr>
      <w:r>
        <w:rPr/>
        <w:t>本企业的母公司情况的说明 本公司无控股股东、无实际控制人。</w:t>
      </w:r>
    </w:p>
    <w:p>
      <w:pPr>
        <w:pStyle w:val="BodyText"/>
        <w:spacing w:line="240" w:lineRule="auto" w:before="27"/>
        <w:ind w:right="0"/>
        <w:jc w:val="left"/>
      </w:pPr>
      <w:r>
        <w:rPr/>
        <w:t>本企业最终控制方是</w:t>
      </w:r>
      <w:r>
        <w:rPr>
          <w:spacing w:val="1"/>
        </w:rPr>
        <w:t> </w:t>
      </w:r>
      <w:r>
        <w:rPr/>
        <w:t>本公司无控股股东、无实际控制人</w:t>
      </w:r>
      <w:r>
        <w:rPr>
          <w:spacing w:val="-92"/>
        </w:rPr>
        <w:t>。</w:t>
      </w:r>
      <w:r>
        <w:rPr/>
        <w:t>。</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本企业的子公司情况" w:id="330"/>
      <w:bookmarkEnd w:id="33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本企业子公司的情况详见附注在子公司中的权益。</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bookmarkStart w:name="3、关联交易情况" w:id="331"/>
      <w:bookmarkEnd w:id="331"/>
      <w:r>
        <w:rPr>
          <w:b w:val="0"/>
          <w:bCs w:val="0"/>
        </w:rPr>
      </w:r>
      <w:r>
        <w:rPr>
          <w:rFonts w:ascii="Times New Roman" w:hAnsi="Times New Roman" w:cs="Times New Roman" w:eastAsia="Times New Roman" w:hint="default"/>
        </w:rPr>
        <w:t>3</w:t>
      </w:r>
      <w:r>
        <w:rPr/>
        <w:t>、关联交易情况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关键管理人员报酬" w:id="332"/>
      <w:bookmarkEnd w:id="332"/>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6,473,030.00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6,393,850.00</w:t>
            </w:r>
          </w:p>
        </w:tc>
      </w:tr>
    </w:tbl>
    <w:p>
      <w:pPr>
        <w:spacing w:line="240" w:lineRule="auto" w:before="1"/>
        <w:rPr>
          <w:rFonts w:ascii="宋体" w:hAnsi="宋体" w:cs="宋体" w:eastAsia="宋体" w:hint="default"/>
          <w:sz w:val="18"/>
          <w:szCs w:val="18"/>
        </w:rPr>
      </w:pPr>
    </w:p>
    <w:p>
      <w:pPr>
        <w:spacing w:line="506" w:lineRule="auto" w:before="26"/>
        <w:ind w:left="152" w:right="8345" w:firstLine="0"/>
        <w:jc w:val="left"/>
        <w:rPr>
          <w:rFonts w:ascii="宋体" w:hAnsi="宋体" w:cs="宋体" w:eastAsia="宋体" w:hint="default"/>
          <w:sz w:val="18"/>
          <w:szCs w:val="18"/>
        </w:rPr>
      </w:pPr>
      <w:bookmarkStart w:name="十一、承诺及或有事项" w:id="333"/>
      <w:bookmarkEnd w:id="333"/>
      <w:r>
        <w:rPr/>
      </w:r>
      <w:r>
        <w:rPr>
          <w:rFonts w:ascii="宋体" w:hAnsi="宋体" w:cs="宋体" w:eastAsia="宋体" w:hint="default"/>
          <w:b/>
          <w:bCs/>
          <w:sz w:val="24"/>
          <w:szCs w:val="24"/>
        </w:rPr>
        <w:t>十一、承诺及或有事项</w:t>
      </w:r>
      <w:r>
        <w:rPr>
          <w:rFonts w:ascii="宋体" w:hAnsi="宋体" w:cs="宋体" w:eastAsia="宋体" w:hint="default"/>
          <w:b/>
          <w:bCs/>
          <w:w w:val="99"/>
          <w:sz w:val="24"/>
          <w:szCs w:val="24"/>
        </w:rPr>
        <w:t> </w:t>
      </w:r>
      <w:bookmarkStart w:name="1、重要承诺事项" w:id="334"/>
      <w:bookmarkEnd w:id="33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4"/>
        <w:spacing w:line="240" w:lineRule="auto" w:before="156"/>
        <w:ind w:right="0"/>
        <w:jc w:val="left"/>
        <w:rPr>
          <w:b w:val="0"/>
          <w:bCs w:val="0"/>
        </w:rPr>
      </w:pPr>
      <w:bookmarkStart w:name="2、或有事项" w:id="335"/>
      <w:bookmarkEnd w:id="33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36"/>
      <w:bookmarkEnd w:id="33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公司没有需要披露的重要或有事项，也应予以说明" w:id="337"/>
      <w:bookmarkEnd w:id="33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7863" w:firstLine="0"/>
        <w:jc w:val="left"/>
        <w:rPr>
          <w:rFonts w:ascii="宋体" w:hAnsi="宋体" w:cs="宋体" w:eastAsia="宋体" w:hint="default"/>
          <w:sz w:val="21"/>
          <w:szCs w:val="21"/>
        </w:rPr>
      </w:pPr>
      <w:bookmarkStart w:name="3、其他" w:id="338"/>
      <w:bookmarkEnd w:id="33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资产负债表日后事项" w:id="339"/>
      <w:bookmarkEnd w:id="339"/>
      <w:r>
        <w:rPr>
          <w:rFonts w:ascii="宋体" w:hAnsi="宋体" w:cs="宋体" w:eastAsia="宋体" w:hint="default"/>
          <w:b/>
          <w:bCs/>
          <w:w w:val="100"/>
          <w:sz w:val="21"/>
          <w:szCs w:val="21"/>
        </w:rPr>
      </w:r>
      <w:r>
        <w:rPr>
          <w:rFonts w:ascii="宋体" w:hAnsi="宋体" w:cs="宋体" w:eastAsia="宋体" w:hint="default"/>
          <w:b/>
          <w:bCs/>
          <w:sz w:val="24"/>
          <w:szCs w:val="24"/>
        </w:rPr>
        <w:t>十二、资产负债表日后事项</w:t>
      </w:r>
      <w:r>
        <w:rPr>
          <w:rFonts w:ascii="宋体" w:hAnsi="宋体" w:cs="宋体" w:eastAsia="宋体" w:hint="default"/>
          <w:b/>
          <w:bCs/>
          <w:w w:val="99"/>
          <w:sz w:val="24"/>
          <w:szCs w:val="24"/>
        </w:rPr>
        <w:t> </w:t>
      </w:r>
      <w:bookmarkStart w:name="1、利润分配情况" w:id="340"/>
      <w:bookmarkEnd w:id="34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218,266,568.40</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218,266,568.40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0"/>
        <w:jc w:val="left"/>
        <w:rPr>
          <w:b w:val="0"/>
          <w:bCs w:val="0"/>
        </w:rPr>
      </w:pPr>
      <w:bookmarkStart w:name="2、其他资产负债表日后事项说明" w:id="341"/>
      <w:bookmarkEnd w:id="341"/>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29" w:firstLine="360"/>
        <w:jc w:val="both"/>
      </w:pPr>
      <w:r>
        <w:rPr/>
        <w:t>对新型冠状病毒疫情影响的评估：新型冠状病毒感染的肺炎疫情于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月在全国爆发以来，对新冠病毒疫情的防控 </w:t>
      </w:r>
      <w:r>
        <w:rPr>
          <w:spacing w:val="-2"/>
        </w:rPr>
        <w:t>工作正在全国范围内持续进行。本公司将切实贯彻落实防控工作的各项要求，强化对疫情防控工作的支持。本次新冠病毒疫</w:t>
      </w:r>
      <w:r>
        <w:rPr>
          <w:spacing w:val="-63"/>
        </w:rPr>
        <w:t> </w:t>
      </w:r>
      <w:r>
        <w:rPr>
          <w:spacing w:val="-63"/>
        </w:rPr>
      </w:r>
      <w:r>
        <w:rPr>
          <w:spacing w:val="-2"/>
        </w:rPr>
        <w:t>情对本公司整体经济运行影响尚不确定。公司将继续密切关注新冠病毒疫情发展情况，积极应对其可能对公司财务状况、经</w:t>
      </w:r>
      <w:r>
        <w:rPr>
          <w:spacing w:val="-63"/>
        </w:rPr>
        <w:t> </w:t>
      </w:r>
      <w:r>
        <w:rPr>
          <w:spacing w:val="-63"/>
        </w:rPr>
      </w:r>
      <w:r>
        <w:rPr/>
        <w:t>营成果等方面的影响。</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三、母公司财务报表主要项目注释" w:id="342"/>
      <w:bookmarkEnd w:id="342"/>
      <w:r>
        <w:rPr>
          <w:b w:val="0"/>
          <w:bCs w:val="0"/>
        </w:rPr>
      </w:r>
      <w:r>
        <w:rPr/>
        <w:t>十三、母公司财务报表主要项目注释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343"/>
      <w:bookmarkEnd w:id="34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344"/>
      <w:bookmarkEnd w:id="34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189,739,</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920.95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11,213,7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55.23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178,526,1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65.72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253,604,0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17.84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13,969,91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239,634,10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1.95</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以账龄特征为基础 的预期信用损失组 合的应收账款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189,739,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920.95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11,213,7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55.23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178,526,1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65.72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253,604,0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17.84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13,969,91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239,634,10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1.95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无信用风险的应收 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189,739,</w:t>
            </w:r>
          </w:p>
          <w:p>
            <w:pPr>
              <w:pStyle w:val="TableParagraph"/>
              <w:spacing w:line="240" w:lineRule="auto" w:before="103"/>
              <w:ind w:left="216" w:right="0"/>
              <w:jc w:val="center"/>
              <w:rPr>
                <w:rFonts w:ascii="Times New Roman" w:hAnsi="Times New Roman" w:cs="Times New Roman" w:eastAsia="Times New Roman" w:hint="default"/>
                <w:sz w:val="18"/>
                <w:szCs w:val="18"/>
              </w:rPr>
            </w:pPr>
            <w:r>
              <w:rPr>
                <w:rFonts w:ascii="Times New Roman"/>
                <w:sz w:val="18"/>
              </w:rPr>
              <w:t>920.95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11,213,7</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55.23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178,526,1</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65.72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253,604,0</w:t>
            </w:r>
          </w:p>
          <w:p>
            <w:pPr>
              <w:pStyle w:val="TableParagraph"/>
              <w:spacing w:line="240" w:lineRule="auto" w:before="103"/>
              <w:ind w:left="338" w:right="0"/>
              <w:jc w:val="left"/>
              <w:rPr>
                <w:rFonts w:ascii="Times New Roman" w:hAnsi="Times New Roman" w:cs="Times New Roman" w:eastAsia="Times New Roman" w:hint="default"/>
                <w:sz w:val="18"/>
                <w:szCs w:val="18"/>
              </w:rPr>
            </w:pPr>
            <w:r>
              <w:rPr>
                <w:rFonts w:ascii="Times New Roman"/>
                <w:sz w:val="18"/>
              </w:rPr>
              <w:t>17.84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13,969,91</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5.89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239,634,10</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1.95</w:t>
            </w:r>
          </w:p>
        </w:tc>
      </w:tr>
    </w:tbl>
    <w:p>
      <w:pPr>
        <w:pStyle w:val="BodyText"/>
        <w:spacing w:line="240" w:lineRule="auto" w:before="49"/>
        <w:ind w:right="0"/>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166,908,902.34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20,117,566.05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1,667,242.62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1,046,209.94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409,416.14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377,052.25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259,741.55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189,739,920.95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计提、收回或转回的坏账准备情况" w:id="345"/>
      <w:bookmarkEnd w:id="3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13,969,915.89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2,756,160.66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11,213,755.23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13,969,915.89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2,756,160.66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11,213,755.23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按欠款方归集的期末余额前五名的应收账款情况" w:id="346"/>
      <w:bookmarkEnd w:id="34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949"/>
        <w:gridCol w:w="2873"/>
        <w:gridCol w:w="1913"/>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14,816,318.76</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961,504.30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14,325,894.16</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921,795.28</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10,320,167.53</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516,008.38</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10,269,606.76</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513,480.34</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9,012,652.75</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775,083.10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58,744,639.96</w:t>
            </w:r>
          </w:p>
        </w:tc>
        <w:tc>
          <w:tcPr>
            <w:tcW w:w="287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30.96%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其他应收款" w:id="347"/>
      <w:bookmarkEnd w:id="34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43,405,998.18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78,010,380.99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43,405,998.18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78,010,380.99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其他应收款" w:id="348"/>
      <w:bookmarkEnd w:id="348"/>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349"/>
      <w:bookmarkEnd w:id="34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24,268,183.04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49,842,395.67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15,963,758.77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20,539,742.12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5,622,137.16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9,507,641.47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1,169,350.78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1,193,798.54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47,023,429.75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81,083,577.80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350"/>
      <w:bookmarkEnd w:id="35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1"/>
        <w:gridCol w:w="1559"/>
        <w:gridCol w:w="1844"/>
        <w:gridCol w:w="1952"/>
        <w:gridCol w:w="1805"/>
      </w:tblGrid>
      <w:tr>
        <w:trPr>
          <w:trHeight w:val="404" w:hRule="exact"/>
        </w:trPr>
        <w:tc>
          <w:tcPr>
            <w:tcW w:w="2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24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03" w:right="19" w:hanging="481"/>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个月预期信 用损失</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91" w:right="68"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2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952"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5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3,073,196.81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3,073,196.81</w:t>
            </w: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544,234.76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544,234.76</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5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3,617,431.57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3,617,431.57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9"/>
        <w:jc w:val="left"/>
      </w:pPr>
      <w:r>
        <w:rPr/>
        <w:t>损失准备本期变动金额重大的账面余额变动情况</w:t>
      </w:r>
    </w:p>
    <w:p>
      <w:pPr>
        <w:pStyle w:val="BodyText"/>
        <w:spacing w:line="340" w:lineRule="auto" w:before="115"/>
        <w:ind w:right="1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10,670,108.67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3,308,768.59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5,450,451.49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3,325,917.96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1,899,870.30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294,543.61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1,131,504.05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22,755,246.71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351"/>
      <w:bookmarkEnd w:id="35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8"/>
        <w:gridCol w:w="1332"/>
        <w:gridCol w:w="1330"/>
        <w:gridCol w:w="1090"/>
        <w:gridCol w:w="1577"/>
        <w:gridCol w:w="1574"/>
      </w:tblGrid>
      <w:tr>
        <w:trPr>
          <w:trHeight w:val="402"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按信用风险特征组 合计提</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3,073,196.81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544,234.76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3,617,431.57</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3,073,196.81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544,234.76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3,617,431.57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其他应收款情况" w:id="352"/>
      <w:bookmarkEnd w:id="352"/>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北京东港嘉华安全信 息技术有限公司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19,968,759.52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42.47%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9"/>
              <w:jc w:val="left"/>
              <w:rPr>
                <w:rFonts w:ascii="宋体" w:hAnsi="宋体" w:cs="宋体" w:eastAsia="宋体" w:hint="default"/>
                <w:sz w:val="18"/>
                <w:szCs w:val="18"/>
              </w:rPr>
            </w:pPr>
            <w:r>
              <w:rPr>
                <w:rFonts w:ascii="宋体" w:hAnsi="宋体" w:cs="宋体" w:eastAsia="宋体" w:hint="default"/>
                <w:sz w:val="18"/>
                <w:szCs w:val="18"/>
              </w:rPr>
              <w:t>甘肃图腾印务有限公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4,299,423.52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中国人民财产保险股 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3,202,000.00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640,400.00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四川省政府采购中心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1,341,120.00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666,960.00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海关总署物资装备采 购中心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1,055,200.00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211,040.00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29,866,503.04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1,518,400.00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长期股权投资" w:id="353"/>
      <w:bookmarkEnd w:id="35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568,726,791.39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568,726,791.39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576,226,791.39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576,226,791.39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568,726,791.39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568,726,791.39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576,226,791.39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576,226,791.39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对子公司投资" w:id="354"/>
      <w:bookmarkEnd w:id="35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5"/>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5"/>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郑州东港安全 印刷有限公司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45,318,835.82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45,318,835.82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北京东港安全 印刷有限公司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126,325,000.00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新疆东港安全 印刷有限公司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10,512,100.00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10,512,100.00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上海东港安全 印刷有限公司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77,874,143.07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77,874,143.07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北京东港嘉华 安全信息技术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87,696,712.50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87,696,712.50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广州东港安全 印刷有限公司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63,500,000.00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山东东港数据 处理有限公司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上海东港数据 处理有限公司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53"/>
              <w:jc w:val="left"/>
              <w:rPr>
                <w:rFonts w:ascii="宋体" w:hAnsi="宋体" w:cs="宋体" w:eastAsia="宋体" w:hint="default"/>
                <w:sz w:val="18"/>
                <w:szCs w:val="18"/>
              </w:rPr>
            </w:pPr>
            <w:r>
              <w:rPr>
                <w:rFonts w:ascii="宋体" w:hAnsi="宋体" w:cs="宋体" w:eastAsia="宋体" w:hint="default"/>
                <w:sz w:val="18"/>
                <w:szCs w:val="18"/>
              </w:rPr>
              <w:t>安徽东港瑞宏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甘肃图腾印务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4,000,000.00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北京东港瑞宏 科技有限公司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东港瑞云数据 技术有限公司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576,226,791.3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568,726,791.39</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其他说明" w:id="355"/>
      <w:bookmarkEnd w:id="35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spacing w:val="-1"/>
        </w:rPr>
        <w:t>本公司于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月与浪潮软件集团有限公司签署股权装让协议，以人民币</w:t>
      </w:r>
      <w:r>
        <w:rPr>
          <w:rFonts w:ascii="Times New Roman" w:hAnsi="Times New Roman" w:cs="Times New Roman" w:eastAsia="Times New Roman" w:hint="default"/>
          <w:spacing w:val="-1"/>
        </w:rPr>
        <w:t>2,000,000.00</w:t>
      </w:r>
      <w:r>
        <w:rPr>
          <w:spacing w:val="-1"/>
        </w:rPr>
        <w:t>元取得北京东港瑞宏科技有限公</w:t>
      </w:r>
      <w:r>
        <w:rPr/>
        <w:t> 司（以下简称</w:t>
      </w:r>
      <w:r>
        <w:rPr>
          <w:rFonts w:ascii="Times New Roman" w:hAnsi="Times New Roman" w:cs="Times New Roman" w:eastAsia="Times New Roman" w:hint="default"/>
        </w:rPr>
        <w:t>“</w:t>
      </w:r>
      <w:r>
        <w:rPr/>
        <w:t>东港瑞宏</w:t>
      </w:r>
      <w:r>
        <w:rPr>
          <w:rFonts w:ascii="Times New Roman" w:hAnsi="Times New Roman" w:cs="Times New Roman" w:eastAsia="Times New Roman" w:hint="default"/>
        </w:rPr>
        <w:t>”</w:t>
      </w:r>
      <w:r>
        <w:rPr/>
        <w:t>）</w:t>
      </w:r>
      <w:r>
        <w:rPr>
          <w:rFonts w:ascii="Times New Roman" w:hAnsi="Times New Roman" w:cs="Times New Roman" w:eastAsia="Times New Roman" w:hint="default"/>
        </w:rPr>
        <w:t>10%</w:t>
      </w:r>
      <w:r>
        <w:rPr/>
        <w:t>股权，股权变更后，本公司持有东港瑞宏</w:t>
      </w:r>
      <w:r>
        <w:rPr>
          <w:rFonts w:ascii="Times New Roman" w:hAnsi="Times New Roman" w:cs="Times New Roman" w:eastAsia="Times New Roman" w:hint="default"/>
        </w:rPr>
        <w:t>100%</w:t>
      </w:r>
      <w:r>
        <w:rPr/>
        <w:t>股权。于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月与北京丰升资本管理有限 </w:t>
      </w:r>
      <w:r>
        <w:rPr>
          <w:spacing w:val="-2"/>
        </w:rPr>
        <w:t>责任公司签署股权转让协议，以人民币</w:t>
      </w:r>
      <w:r>
        <w:rPr>
          <w:rFonts w:ascii="Times New Roman" w:hAnsi="Times New Roman" w:cs="Times New Roman" w:eastAsia="Times New Roman" w:hint="default"/>
          <w:spacing w:val="-2"/>
        </w:rPr>
        <w:t>2,000,000.00</w:t>
      </w:r>
      <w:r>
        <w:rPr>
          <w:spacing w:val="-2"/>
        </w:rPr>
        <w:t>元转让东港瑞宏</w:t>
      </w:r>
      <w:r>
        <w:rPr>
          <w:rFonts w:ascii="Times New Roman" w:hAnsi="Times New Roman" w:cs="Times New Roman" w:eastAsia="Times New Roman" w:hint="default"/>
          <w:spacing w:val="-2"/>
        </w:rPr>
        <w:t>10%</w:t>
      </w:r>
      <w:r>
        <w:rPr>
          <w:spacing w:val="-2"/>
        </w:rPr>
        <w:t>股权，转让后本公司持有东港瑞宏</w:t>
      </w:r>
      <w:r>
        <w:rPr>
          <w:rFonts w:ascii="Times New Roman" w:hAnsi="Times New Roman" w:cs="Times New Roman" w:eastAsia="Times New Roman" w:hint="default"/>
          <w:spacing w:val="-2"/>
        </w:rPr>
        <w:t>90%</w:t>
      </w:r>
      <w:r>
        <w:rPr>
          <w:spacing w:val="-2"/>
        </w:rPr>
        <w:t>的股权，继续</w:t>
      </w:r>
      <w:r>
        <w:rPr>
          <w:spacing w:val="-37"/>
        </w:rPr>
        <w:t> </w:t>
      </w:r>
      <w:r>
        <w:rPr>
          <w:spacing w:val="-37"/>
        </w:rPr>
      </w:r>
      <w:r>
        <w:rPr/>
        <w:t>对东港瑞宏实施控制权。</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4、营业收入和营业成本" w:id="356"/>
      <w:bookmarkEnd w:id="35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7"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1,007,810,316.61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774,655,987.24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1,096,446,743.50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833,272,107.36</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33,809,308.63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31,808,013.69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27,219,782.38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25,461,138.95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1,041,619,625.24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806,464,000.93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1,123,666,525.88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858,733,246.31</w:t>
            </w:r>
          </w:p>
        </w:tc>
      </w:tr>
    </w:tbl>
    <w:p>
      <w:pPr>
        <w:pStyle w:val="BodyText"/>
        <w:spacing w:line="240" w:lineRule="auto" w:before="49"/>
        <w:ind w:right="0"/>
        <w:jc w:val="left"/>
      </w:pPr>
      <w:r>
        <w:rPr/>
        <w:t>是否已执行新收入准则</w:t>
      </w:r>
    </w:p>
    <w:p>
      <w:pPr>
        <w:pStyle w:val="BodyText"/>
        <w:spacing w:line="340" w:lineRule="auto" w:before="114"/>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5、投资收益" w:id="357"/>
      <w:bookmarkEnd w:id="35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108,359,977.86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132,705,256.37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-978,975.74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-4,252,340.29</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19,742,476.27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13,313,794.68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127,123,478.39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141,766,710.76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四、补充资料" w:id="358"/>
      <w:bookmarkEnd w:id="358"/>
      <w:r>
        <w:rPr>
          <w:b w:val="0"/>
          <w:bCs w:val="0"/>
        </w:rPr>
      </w:r>
      <w:r>
        <w:rPr/>
        <w:t>十四、补充资料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59"/>
      <w:bookmarkEnd w:id="35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-741,298.28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10,991,382.63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19,742,476.27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528,494.61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102,192.86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4,640,703.05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11,889.13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25,970,655.91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2、净资产收益率及每股收益" w:id="360"/>
      <w:bookmarkEnd w:id="36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0.4888</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0.4412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0.4412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bookmarkStart w:name="3、境内外会计准则下会计数据差异" w:id="361"/>
      <w:bookmarkEnd w:id="36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362"/>
      <w:bookmarkEnd w:id="36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同时按照境外会计准则与按中国会计准则披露的财务报告中净利润和净资产差异情况" w:id="363"/>
      <w:bookmarkEnd w:id="36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364"/>
      <w:bookmarkEnd w:id="36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1"/>
        </w:rPr>
        <w:t> </w:t>
      </w:r>
      <w:r>
        <w:rPr>
          <w:spacing w:val="-61"/>
        </w:rPr>
      </w:r>
      <w:r>
        <w:rPr/>
        <w:t>明该境外机构的名称</w:t>
      </w:r>
      <w:r>
        <w:rPr>
          <w:b w:val="0"/>
          <w:bCs w:val="0"/>
        </w:rPr>
      </w:r>
    </w:p>
    <w:p>
      <w:pPr>
        <w:spacing w:after="0" w:line="259"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285" w:right="0"/>
        <w:jc w:val="left"/>
        <w:rPr>
          <w:b w:val="0"/>
          <w:bCs w:val="0"/>
        </w:rPr>
      </w:pPr>
      <w:bookmarkStart w:name="第十三节 备查文件目录" w:id="365"/>
      <w:bookmarkEnd w:id="365"/>
      <w:r>
        <w:rPr>
          <w:b w:val="0"/>
          <w:bCs w:val="0"/>
        </w:rPr>
      </w:r>
      <w:bookmarkStart w:name="_bookmark12" w:id="366"/>
      <w:bookmarkEnd w:id="366"/>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（一）载有公司负责人、财务负责人、会计机构负责人签名并盖章的会计报表。</w:t>
      </w:r>
    </w:p>
    <w:p>
      <w:pPr>
        <w:pStyle w:val="BodyText"/>
        <w:spacing w:line="240" w:lineRule="auto" w:before="76"/>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（三）报告期内，在中国证监会指定报纸上公开披露过的所有文件正本及公告原稿。</w:t>
      </w:r>
    </w:p>
    <w:p>
      <w:pPr>
        <w:pStyle w:val="BodyText"/>
        <w:spacing w:line="240" w:lineRule="auto" w:before="76"/>
        <w:ind w:right="0"/>
        <w:jc w:val="left"/>
      </w:pPr>
      <w:r>
        <w:rPr/>
        <w:t>（四）以上备查文件的备置地点：公司证券办公室。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636" w:lineRule="auto" w:before="147"/>
        <w:ind w:left="6007" w:right="3279"/>
        <w:jc w:val="left"/>
      </w:pPr>
      <w:r>
        <w:rPr/>
        <w:t>东港股份有限公司 法定代表人：王爱先</w:t>
      </w:r>
    </w:p>
    <w:p>
      <w:pPr>
        <w:pStyle w:val="BodyText"/>
        <w:spacing w:line="240" w:lineRule="auto" w:before="91"/>
        <w:ind w:left="6187" w:right="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56712" type="#_x0000_t75" stroked="false">
          <v:imagedata r:id="rId1" o:title=""/>
        </v:shape>
      </w:pict>
    </w:r>
    <w:r>
      <w:rPr/>
      <w:pict>
        <v:shape style="position:absolute;margin-left:533.099976pt;margin-top:795.637939pt;width:6.5pt;height:11pt;mso-position-horizontal-relative:page;mso-position-vertical-relative:page;z-index:-7566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56664" type="#_x0000_t75" stroked="false">
          <v:imagedata r:id="rId1" o:title=""/>
        </v:shape>
      </w:pict>
    </w:r>
    <w:r>
      <w:rPr/>
      <w:pict>
        <v:shape style="position:absolute;margin-left:527.659973pt;margin-top:781.933899pt;width:13.15pt;height:11pt;mso-position-horizontal-relative:page;mso-position-vertical-relative:page;z-index:-756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56616" type="#_x0000_t75" stroked="false">
          <v:imagedata r:id="rId1" o:title=""/>
        </v:shape>
      </w:pict>
    </w:r>
    <w:r>
      <w:rPr/>
      <w:pict>
        <v:shape style="position:absolute;margin-left:524.099976pt;margin-top:781.933899pt;width:15.7pt;height:11pt;mso-position-horizontal-relative:page;mso-position-vertical-relative:page;z-index:-7565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56568" type="#_x0000_t75" stroked="false">
          <v:imagedata r:id="rId1" o:title=""/>
        </v:shape>
      </w:pict>
    </w:r>
    <w:r>
      <w:rPr/>
      <w:pict>
        <v:shape style="position:absolute;margin-left:523.099976pt;margin-top:781.933899pt;width:17.7pt;height:11pt;mso-position-horizontal-relative:page;mso-position-vertical-relative:page;z-index:-756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56520" type="#_x0000_t75" stroked="false">
          <v:imagedata r:id="rId1" o:title=""/>
        </v:shape>
      </w:pict>
    </w:r>
    <w:r>
      <w:rPr/>
      <w:pict>
        <v:shape style="position:absolute;margin-left:523.460022pt;margin-top:781.933899pt;width:17.3pt;height:11pt;mso-position-horizontal-relative:page;mso-position-vertical-relative:page;z-index:-756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56472" type="#_x0000_t75" stroked="false">
          <v:imagedata r:id="rId1" o:title=""/>
        </v:shape>
      </w:pict>
    </w:r>
    <w:r>
      <w:rPr/>
      <w:pict>
        <v:shape style="position:absolute;margin-left:523.099976pt;margin-top:781.933899pt;width:17.7pt;height:11pt;mso-position-horizontal-relative:page;mso-position-vertical-relative:page;z-index:-756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070007pt;margin-top:36.265610pt;width:159.6pt;height:11.5pt;mso-position-horizontal-relative:page;mso-position-vertical-relative:page;z-index:-756736"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506"/>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firstLine="439"/>
      <w:outlineLvl w:val="3"/>
    </w:pPr>
    <w:rPr>
      <w:rFonts w:ascii="宋体" w:hAnsi="宋体" w:eastAsia="宋体"/>
      <w:sz w:val="22"/>
      <w:szCs w:val="22"/>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spacing w:before="44"/>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tungkong.com.cn/" TargetMode="External"/><Relationship Id="rId10" Type="http://schemas.openxmlformats.org/officeDocument/2006/relationships/hyperlink" Target="mailto:dggf@tungkong.com.cn" TargetMode="External"/><Relationship Id="rId11" Type="http://schemas.openxmlformats.org/officeDocument/2006/relationships/hyperlink" Target="mailto:Qi-liguo@tungkong.com.cn" TargetMode="External"/><Relationship Id="rId12" Type="http://schemas.openxmlformats.org/officeDocument/2006/relationships/hyperlink" Target="mailto:Ruan-yongcheng@tungkong.com.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东港股份有限公司</dc:creator>
  <dc:title>东港股份有限公司2019年年度报告全文</dc:title>
  <dcterms:created xsi:type="dcterms:W3CDTF">2020-05-19T03:25:07Z</dcterms:created>
  <dcterms:modified xsi:type="dcterms:W3CDTF">2020-05-19T03:25:07Z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2020-04-13T00:00:00Z</vt:filetime>
  </property>
  <property fmtid="{D5CDD505-2E9C-101B-9397-08002B2CF9AE}" pid="3" name="Creator">
    <vt:lpwstr>Microsoft® Office Word 2007</vt:lpwstr>
  </property>
  <property fmtid="{D5CDD505-2E9C-101B-9397-08002B2CF9AE}" pid="4" name="LastSaved">
    <vt:filetime>2020-05-18T00:00:00Z</vt:filetime>
  </property>
</Properties>
</file>