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22" w:right="1141" w:bottom="988" w:left="4491" w:header="0" w:footer="3" w:gutter="0"/>
          <w:cols w:space="720"/>
          <w:noEndnote/>
          <w:rtlGutter w:val="0"/>
          <w:docGrid w:linePitch="360"/>
        </w:sectPr>
      </w:pPr>
    </w:p>
    <w:p>
      <w:pPr>
        <w:pStyle w:val="Style2"/>
        <w:keepNext w:val="0"/>
        <w:keepLines w:val="0"/>
        <w:framePr w:w="2918" w:h="1248" w:wrap="none" w:vAnchor="text" w:hAnchor="page" w:x="4492" w:y="1700"/>
        <w:widowControl w:val="0"/>
        <w:shd w:val="clear" w:color="auto" w:fill="auto"/>
        <w:bidi w:val="0"/>
        <w:spacing w:before="0" w:after="420" w:line="240" w:lineRule="auto"/>
        <w:ind w:left="0" w:right="0" w:firstLine="0"/>
        <w:jc w:val="center"/>
      </w:pPr>
      <w:r>
        <w:rPr>
          <w:color w:val="000000"/>
          <w:spacing w:val="0"/>
          <w:w w:val="100"/>
          <w:position w:val="0"/>
        </w:rPr>
        <w:t>东港股份有限公司</w:t>
      </w:r>
    </w:p>
    <w:p>
      <w:pPr>
        <w:pStyle w:val="Style4"/>
        <w:keepNext w:val="0"/>
        <w:keepLines w:val="0"/>
        <w:framePr w:w="2918" w:h="1248" w:wrap="none" w:vAnchor="text" w:hAnchor="page" w:x="4492" w:y="170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7"/>
        <w:keepNext w:val="0"/>
        <w:keepLines w:val="0"/>
        <w:framePr w:w="1886" w:h="413" w:wrap="none" w:vAnchor="text" w:hAnchor="page" w:x="5000" w:y="8948"/>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widowControl w:val="0"/>
        <w:spacing w:line="360" w:lineRule="exact"/>
      </w:pPr>
      <w:r>
        <w:drawing>
          <wp:anchor distT="0" distB="0" distL="0" distR="0" simplePos="0" relativeHeight="62914690" behindDoc="1" locked="0" layoutInCell="1" allowOverlap="1">
            <wp:simplePos x="0" y="0"/>
            <wp:positionH relativeFrom="page">
              <wp:posOffset>3211195</wp:posOffset>
            </wp:positionH>
            <wp:positionV relativeFrom="paragraph">
              <wp:posOffset>12700</wp:posOffset>
            </wp:positionV>
            <wp:extent cx="1134110" cy="93281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134110" cy="93281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59" w:line="1" w:lineRule="exact"/>
      </w:pPr>
    </w:p>
    <w:p>
      <w:pPr>
        <w:widowControl w:val="0"/>
        <w:spacing w:line="1" w:lineRule="exact"/>
        <w:sectPr>
          <w:footnotePr>
            <w:pos w:val="pageBottom"/>
            <w:numFmt w:val="decimal"/>
            <w:numRestart w:val="continuous"/>
          </w:footnotePr>
          <w:type w:val="continuous"/>
          <w:pgSz w:w="11900" w:h="16840"/>
          <w:pgMar w:top="1022" w:right="1141" w:bottom="988" w:left="4491" w:header="0" w:footer="3" w:gutter="0"/>
          <w:cols w:space="720"/>
          <w:noEndnote/>
          <w:rtlGutter w:val="0"/>
          <w:docGrid w:linePitch="360"/>
        </w:sectPr>
      </w:pPr>
    </w:p>
    <w:p>
      <w:pPr>
        <w:pStyle w:val="Style10"/>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2"/>
        <w:keepNext w:val="0"/>
        <w:keepLines w:val="0"/>
        <w:widowControl w:val="0"/>
        <w:shd w:val="clear" w:color="auto" w:fill="auto"/>
        <w:bidi w:val="0"/>
        <w:spacing w:before="0" w:line="624"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2"/>
        <w:keepNext w:val="0"/>
        <w:keepLines w:val="0"/>
        <w:widowControl w:val="0"/>
        <w:shd w:val="clear" w:color="auto" w:fill="auto"/>
        <w:bidi w:val="0"/>
        <w:spacing w:before="0" w:line="629" w:lineRule="exact"/>
        <w:ind w:left="0" w:right="0"/>
        <w:jc w:val="both"/>
      </w:pPr>
      <w:r>
        <w:rPr>
          <w:color w:val="000000"/>
          <w:spacing w:val="0"/>
          <w:w w:val="100"/>
          <w:position w:val="0"/>
        </w:rPr>
        <w:t>公司负责人史建中、主管会计工作负责人史建中及会计机构负责人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郑理声明：保证本年度报告中财务报告的真实、准确、完整。</w:t>
      </w:r>
    </w:p>
    <w:p>
      <w:pPr>
        <w:pStyle w:val="Style12"/>
        <w:keepNext w:val="0"/>
        <w:keepLines w:val="0"/>
        <w:widowControl w:val="0"/>
        <w:shd w:val="clear" w:color="auto" w:fill="auto"/>
        <w:bidi w:val="0"/>
        <w:spacing w:before="0" w:line="626" w:lineRule="exact"/>
        <w:ind w:left="0" w:right="0"/>
        <w:jc w:val="both"/>
      </w:pPr>
      <w:r>
        <w:rPr>
          <w:color w:val="000000"/>
          <w:spacing w:val="0"/>
          <w:w w:val="100"/>
          <w:position w:val="0"/>
        </w:rPr>
        <w:t>所有董事均已出席了审议本报告的董事会会议。</w:t>
      </w:r>
    </w:p>
    <w:p>
      <w:pPr>
        <w:pStyle w:val="Style12"/>
        <w:keepNext w:val="0"/>
        <w:keepLines w:val="0"/>
        <w:widowControl w:val="0"/>
        <w:shd w:val="clear" w:color="auto" w:fill="auto"/>
        <w:bidi w:val="0"/>
        <w:spacing w:before="0" w:line="614" w:lineRule="exact"/>
        <w:ind w:left="0" w:right="0"/>
        <w:jc w:val="both"/>
      </w:pPr>
      <w:r>
        <w:rPr>
          <w:color w:val="000000"/>
          <w:spacing w:val="0"/>
          <w:w w:val="100"/>
          <w:position w:val="0"/>
        </w:rPr>
        <w:t>公司面临电子化对传统票证业务冲击加大；大宗原材料成本上升；新业务 增长面临较大不确定性等风险。敬请广大投资者注意投资风险。详细内容见本 报告</w:t>
      </w:r>
      <w:r>
        <w:rPr>
          <w:rFonts w:ascii="Times New Roman" w:eastAsia="Times New Roman" w:hAnsi="Times New Roman" w:cs="Times New Roman"/>
          <w:color w:val="000000"/>
          <w:spacing w:val="0"/>
          <w:w w:val="100"/>
          <w:position w:val="0"/>
        </w:rPr>
        <w:t>“</w:t>
      </w:r>
      <w:r>
        <w:rPr>
          <w:color w:val="000000"/>
          <w:spacing w:val="0"/>
          <w:w w:val="100"/>
          <w:position w:val="0"/>
        </w:rPr>
        <w:t>第三节十^一、公司未来发展的展望</w:t>
      </w:r>
      <w:r>
        <w:rPr>
          <w:rFonts w:ascii="Times New Roman" w:eastAsia="Times New Roman" w:hAnsi="Times New Roman" w:cs="Times New Roman"/>
          <w:color w:val="000000"/>
          <w:spacing w:val="0"/>
          <w:w w:val="100"/>
          <w:position w:val="0"/>
        </w:rPr>
        <w:t>3</w:t>
      </w:r>
      <w:r>
        <w:rPr>
          <w:color w:val="000000"/>
          <w:spacing w:val="0"/>
          <w:w w:val="100"/>
          <w:position w:val="0"/>
        </w:rPr>
        <w:t>、公司面临的风险及应对措施</w:t>
      </w:r>
      <w:r>
        <w:rPr>
          <w:rFonts w:ascii="Times New Roman" w:eastAsia="Times New Roman" w:hAnsi="Times New Roman" w:cs="Times New Roman"/>
          <w:color w:val="000000"/>
          <w:spacing w:val="0"/>
          <w:w w:val="100"/>
          <w:position w:val="0"/>
        </w:rPr>
        <w:t>”</w:t>
      </w:r>
    </w:p>
    <w:p>
      <w:pPr>
        <w:pStyle w:val="Style12"/>
        <w:keepNext w:val="0"/>
        <w:keepLines w:val="0"/>
        <w:widowControl w:val="0"/>
        <w:shd w:val="clear" w:color="auto" w:fill="auto"/>
        <w:bidi w:val="0"/>
        <w:spacing w:before="0" w:line="634" w:lineRule="exact"/>
        <w:ind w:left="0" w:right="0"/>
        <w:jc w:val="both"/>
        <w:sectPr>
          <w:footnotePr>
            <w:pos w:val="pageBottom"/>
            <w:numFmt w:val="decimal"/>
            <w:numRestart w:val="continuous"/>
          </w:footnotePr>
          <w:pgSz w:w="11900" w:h="16840"/>
          <w:pgMar w:top="1940" w:right="1110" w:bottom="1940" w:left="1100"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545,666,421</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3.00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股（含税），不以公积 金转增股本。</w:t>
      </w:r>
    </w:p>
    <w:p>
      <w:pPr>
        <w:pStyle w:val="Style2"/>
        <w:keepNext w:val="0"/>
        <w:keepLines w:val="0"/>
        <w:widowControl w:val="0"/>
        <w:shd w:val="clear" w:color="auto" w:fill="auto"/>
        <w:bidi w:val="0"/>
        <w:spacing w:before="0" w:after="1640" w:line="240" w:lineRule="auto"/>
        <w:ind w:left="0" w:right="0" w:firstLine="0"/>
        <w:jc w:val="center"/>
      </w:pPr>
      <w:r>
        <w:rPr>
          <w:color w:val="000000"/>
          <w:spacing w:val="0"/>
          <w:w w:val="100"/>
          <w:position w:val="0"/>
        </w:rPr>
        <w:t>目录</w:t>
      </w:r>
    </w:p>
    <w:p>
      <w:pPr>
        <w:pStyle w:val="Style15"/>
        <w:keepNext w:val="0"/>
        <w:keepLines w:val="0"/>
        <w:widowControl w:val="0"/>
        <w:shd w:val="clear" w:color="auto" w:fill="auto"/>
        <w:tabs>
          <w:tab w:pos="1021" w:val="left"/>
          <w:tab w:leader="dot" w:pos="9606"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5"/>
        <w:keepNext w:val="0"/>
        <w:keepLines w:val="0"/>
        <w:widowControl w:val="0"/>
        <w:shd w:val="clear" w:color="auto" w:fill="auto"/>
        <w:tabs>
          <w:tab w:leader="dot" w:pos="9606" w:val="right"/>
        </w:tabs>
        <w:bidi w:val="0"/>
        <w:spacing w:before="0" w:line="240" w:lineRule="auto"/>
        <w:ind w:left="0" w:right="0" w:firstLine="0"/>
        <w:jc w:val="left"/>
      </w:pPr>
      <w:hyperlink w:anchor="bookmark8"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15"/>
        <w:keepNext w:val="0"/>
        <w:keepLines w:val="0"/>
        <w:widowControl w:val="0"/>
        <w:shd w:val="clear" w:color="auto" w:fill="auto"/>
        <w:tabs>
          <w:tab w:leader="dot" w:pos="9606" w:val="right"/>
        </w:tabs>
        <w:bidi w:val="0"/>
        <w:spacing w:before="0" w:line="240" w:lineRule="auto"/>
        <w:ind w:left="0" w:right="0" w:firstLine="0"/>
        <w:jc w:val="left"/>
      </w:pPr>
      <w:hyperlink w:anchor="bookmark59" w:tooltip="Current Document">
        <w:r>
          <w:rPr>
            <w:color w:val="000000"/>
            <w:spacing w:val="0"/>
            <w:w w:val="100"/>
            <w:position w:val="0"/>
          </w:rPr>
          <w:t>第三节管理层讨论与分析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15"/>
        <w:keepNext w:val="0"/>
        <w:keepLines w:val="0"/>
        <w:widowControl w:val="0"/>
        <w:shd w:val="clear" w:color="auto" w:fill="auto"/>
        <w:tabs>
          <w:tab w:leader="dot" w:pos="9606" w:val="right"/>
        </w:tabs>
        <w:bidi w:val="0"/>
        <w:spacing w:before="0" w:line="240" w:lineRule="auto"/>
        <w:ind w:left="0" w:right="0" w:firstLine="0"/>
        <w:jc w:val="left"/>
      </w:pPr>
      <w:hyperlink w:anchor="bookmark236" w:tooltip="Current Document">
        <w:r>
          <w:rPr>
            <w:color w:val="000000"/>
            <w:spacing w:val="0"/>
            <w:w w:val="100"/>
            <w:position w:val="0"/>
          </w:rPr>
          <w:t>第四节公司治理</w:t>
        </w:r>
        <w:r>
          <w:rPr>
            <w:color w:val="000000"/>
            <w:spacing w:val="0"/>
            <w:w w:val="100"/>
            <w:position w:val="0"/>
          </w:rPr>
          <w:tab/>
        </w:r>
        <w:r>
          <w:rPr>
            <w:rFonts w:ascii="Times New Roman" w:eastAsia="Times New Roman" w:hAnsi="Times New Roman" w:cs="Times New Roman"/>
            <w:color w:val="000000"/>
            <w:spacing w:val="0"/>
            <w:w w:val="100"/>
            <w:position w:val="0"/>
          </w:rPr>
          <w:t>23</w:t>
        </w:r>
      </w:hyperlink>
    </w:p>
    <w:p>
      <w:pPr>
        <w:pStyle w:val="Style15"/>
        <w:keepNext w:val="0"/>
        <w:keepLines w:val="0"/>
        <w:widowControl w:val="0"/>
        <w:shd w:val="clear" w:color="auto" w:fill="auto"/>
        <w:tabs>
          <w:tab w:pos="1021" w:val="left"/>
          <w:tab w:leader="dot" w:pos="9606" w:val="right"/>
        </w:tabs>
        <w:bidi w:val="0"/>
        <w:spacing w:before="0" w:line="240" w:lineRule="auto"/>
        <w:ind w:left="0" w:right="0" w:firstLine="0"/>
        <w:jc w:val="left"/>
      </w:pPr>
      <w:hyperlink w:anchor="bookmark370" w:tooltip="Current Document">
        <w:r>
          <w:rPr>
            <w:color w:val="000000"/>
            <w:spacing w:val="0"/>
            <w:w w:val="100"/>
            <w:position w:val="0"/>
          </w:rPr>
          <w:t>第五节</w:t>
          <w:tab/>
          <w:t>环境和社会责任</w:t>
        </w:r>
        <w:r>
          <w:rPr>
            <w:color w:val="000000"/>
            <w:spacing w:val="0"/>
            <w:w w:val="100"/>
            <w:position w:val="0"/>
          </w:rPr>
          <w:tab/>
        </w:r>
        <w:r>
          <w:rPr>
            <w:rFonts w:ascii="Times New Roman" w:eastAsia="Times New Roman" w:hAnsi="Times New Roman" w:cs="Times New Roman"/>
            <w:color w:val="000000"/>
            <w:spacing w:val="0"/>
            <w:w w:val="100"/>
            <w:position w:val="0"/>
          </w:rPr>
          <w:t>37</w:t>
        </w:r>
      </w:hyperlink>
    </w:p>
    <w:p>
      <w:pPr>
        <w:pStyle w:val="Style15"/>
        <w:keepNext w:val="0"/>
        <w:keepLines w:val="0"/>
        <w:widowControl w:val="0"/>
        <w:shd w:val="clear" w:color="auto" w:fill="auto"/>
        <w:tabs>
          <w:tab w:pos="1021" w:val="left"/>
          <w:tab w:leader="dot" w:pos="9606" w:val="right"/>
        </w:tabs>
        <w:bidi w:val="0"/>
        <w:spacing w:before="0" w:line="240" w:lineRule="auto"/>
        <w:ind w:left="0" w:right="0" w:firstLine="0"/>
        <w:jc w:val="left"/>
      </w:pPr>
      <w:hyperlink w:anchor="bookmark390" w:tooltip="Current Document">
        <w:r>
          <w:rPr>
            <w:color w:val="000000"/>
            <w:spacing w:val="0"/>
            <w:w w:val="100"/>
            <w:position w:val="0"/>
          </w:rPr>
          <w:t>第六节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40</w:t>
        </w:r>
      </w:hyperlink>
    </w:p>
    <w:p>
      <w:pPr>
        <w:pStyle w:val="Style15"/>
        <w:keepNext w:val="0"/>
        <w:keepLines w:val="0"/>
        <w:widowControl w:val="0"/>
        <w:shd w:val="clear" w:color="auto" w:fill="auto"/>
        <w:tabs>
          <w:tab w:pos="1021" w:val="left"/>
          <w:tab w:leader="dot" w:pos="9606" w:val="right"/>
        </w:tabs>
        <w:bidi w:val="0"/>
        <w:spacing w:before="0" w:line="240" w:lineRule="auto"/>
        <w:ind w:left="0" w:right="0" w:firstLine="0"/>
        <w:jc w:val="left"/>
      </w:pPr>
      <w:hyperlink w:anchor="bookmark534" w:tooltip="Current Document">
        <w:r>
          <w:rPr>
            <w:color w:val="000000"/>
            <w:spacing w:val="0"/>
            <w:w w:val="100"/>
            <w:position w:val="0"/>
          </w:rPr>
          <w:t>第七节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46</w:t>
        </w:r>
      </w:hyperlink>
    </w:p>
    <w:p>
      <w:pPr>
        <w:pStyle w:val="Style15"/>
        <w:keepNext w:val="0"/>
        <w:keepLines w:val="0"/>
        <w:widowControl w:val="0"/>
        <w:shd w:val="clear" w:color="auto" w:fill="auto"/>
        <w:tabs>
          <w:tab w:leader="dot" w:pos="9606" w:val="right"/>
        </w:tabs>
        <w:bidi w:val="0"/>
        <w:spacing w:before="0" w:line="240" w:lineRule="auto"/>
        <w:ind w:left="0" w:right="0" w:firstLine="0"/>
        <w:jc w:val="left"/>
      </w:pPr>
      <w:hyperlink w:anchor="bookmark56" w:tooltip="Current Document">
        <w:r>
          <w:rPr>
            <w:color w:val="000000"/>
            <w:spacing w:val="0"/>
            <w:w w:val="100"/>
            <w:position w:val="0"/>
          </w:rPr>
          <w:t>第八节优先股相关情况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51</w:t>
        </w:r>
      </w:hyperlink>
    </w:p>
    <w:p>
      <w:pPr>
        <w:pStyle w:val="Style15"/>
        <w:keepNext w:val="0"/>
        <w:keepLines w:val="0"/>
        <w:widowControl w:val="0"/>
        <w:shd w:val="clear" w:color="auto" w:fill="auto"/>
        <w:tabs>
          <w:tab w:pos="1021" w:val="left"/>
          <w:tab w:leader="dot" w:pos="9606" w:val="right"/>
        </w:tabs>
        <w:bidi w:val="0"/>
        <w:spacing w:before="0" w:line="240" w:lineRule="auto"/>
        <w:ind w:left="0" w:right="0" w:firstLine="0"/>
        <w:jc w:val="left"/>
      </w:pPr>
      <w:hyperlink w:anchor="bookmark603" w:tooltip="Current Document">
        <w:r>
          <w:rPr>
            <w:color w:val="000000"/>
            <w:spacing w:val="0"/>
            <w:w w:val="100"/>
            <w:position w:val="0"/>
          </w:rPr>
          <w:t>第九节</w:t>
          <w:tab/>
          <w:t>债券相关情况</w:t>
        </w:r>
        <w:r>
          <w:rPr>
            <w:color w:val="000000"/>
            <w:spacing w:val="0"/>
            <w:w w:val="100"/>
            <w:position w:val="0"/>
          </w:rPr>
          <w:tab/>
        </w:r>
        <w:r>
          <w:rPr>
            <w:rFonts w:ascii="Times New Roman" w:eastAsia="Times New Roman" w:hAnsi="Times New Roman" w:cs="Times New Roman"/>
            <w:color w:val="000000"/>
            <w:spacing w:val="0"/>
            <w:w w:val="100"/>
            <w:position w:val="0"/>
          </w:rPr>
          <w:t>52</w:t>
        </w:r>
      </w:hyperlink>
    </w:p>
    <w:p>
      <w:pPr>
        <w:pStyle w:val="Style15"/>
        <w:keepNext w:val="0"/>
        <w:keepLines w:val="0"/>
        <w:widowControl w:val="0"/>
        <w:shd w:val="clear" w:color="auto" w:fill="auto"/>
        <w:tabs>
          <w:tab w:pos="1021" w:val="left"/>
          <w:tab w:leader="dot" w:pos="9606" w:val="right"/>
        </w:tabs>
        <w:bidi w:val="0"/>
        <w:spacing w:before="0" w:line="240" w:lineRule="auto"/>
        <w:ind w:left="0" w:right="0" w:firstLine="0"/>
        <w:jc w:val="left"/>
        <w:sectPr>
          <w:footnotePr>
            <w:pos w:val="pageBottom"/>
            <w:numFmt w:val="decimal"/>
            <w:numRestart w:val="continuous"/>
          </w:footnotePr>
          <w:pgSz w:w="11900" w:h="16840"/>
          <w:pgMar w:top="2862" w:right="1119" w:bottom="2862" w:left="1109" w:header="0" w:footer="3" w:gutter="0"/>
          <w:cols w:space="720"/>
          <w:noEndnote/>
          <w:rtlGutter w:val="0"/>
          <w:docGrid w:linePitch="360"/>
        </w:sectPr>
      </w:pPr>
      <w:hyperlink w:anchor="bookmark606" w:tooltip="Current Document">
        <w:r>
          <w:rPr>
            <w:color w:val="000000"/>
            <w:spacing w:val="0"/>
            <w:w w:val="100"/>
            <w:position w:val="0"/>
          </w:rPr>
          <w:t>第十节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53</w:t>
        </w:r>
      </w:hyperlink>
      <w:r>
        <w:fldChar w:fldCharType="end"/>
      </w:r>
    </w:p>
    <w:p>
      <w:pPr>
        <w:pStyle w:val="Style4"/>
        <w:keepNext w:val="0"/>
        <w:keepLines w:val="0"/>
        <w:widowControl w:val="0"/>
        <w:shd w:val="clear" w:color="auto" w:fill="auto"/>
        <w:bidi w:val="0"/>
        <w:spacing w:before="0" w:after="880" w:line="240" w:lineRule="auto"/>
        <w:ind w:left="0" w:right="0" w:firstLine="0"/>
        <w:jc w:val="center"/>
      </w:pPr>
      <w:r>
        <w:rPr>
          <w:color w:val="000000"/>
          <w:spacing w:val="0"/>
          <w:w w:val="100"/>
          <w:position w:val="0"/>
        </w:rPr>
        <w:t>备查文件目录</w:t>
      </w:r>
    </w:p>
    <w:p>
      <w:pPr>
        <w:pStyle w:val="Style18"/>
        <w:keepNext w:val="0"/>
        <w:keepLines w:val="0"/>
        <w:widowControl w:val="0"/>
        <w:shd w:val="clear" w:color="auto" w:fill="auto"/>
        <w:tabs>
          <w:tab w:pos="531" w:val="left"/>
        </w:tabs>
        <w:bidi w:val="0"/>
        <w:spacing w:before="0" w:after="140" w:line="240" w:lineRule="auto"/>
        <w:ind w:left="0" w:right="0" w:firstLine="0"/>
        <w:jc w:val="left"/>
      </w:pPr>
      <w:bookmarkStart w:id="4" w:name="bookmark4"/>
      <w:r>
        <w:rPr>
          <w:color w:val="000000"/>
          <w:spacing w:val="0"/>
          <w:w w:val="100"/>
          <w:position w:val="0"/>
        </w:rPr>
        <w:t>（</w:t>
      </w:r>
      <w:bookmarkEnd w:id="4"/>
      <w:r>
        <w:rPr>
          <w:color w:val="000000"/>
          <w:spacing w:val="0"/>
          <w:w w:val="100"/>
          <w:position w:val="0"/>
        </w:rPr>
        <w:t>一）</w:t>
        <w:tab/>
        <w:t>载有公司负责人、财务负责人、会计机构负责人签名并盖章的会计报表。</w:t>
      </w:r>
    </w:p>
    <w:p>
      <w:pPr>
        <w:pStyle w:val="Style18"/>
        <w:keepNext w:val="0"/>
        <w:keepLines w:val="0"/>
        <w:widowControl w:val="0"/>
        <w:shd w:val="clear" w:color="auto" w:fill="auto"/>
        <w:tabs>
          <w:tab w:pos="531" w:val="left"/>
        </w:tabs>
        <w:bidi w:val="0"/>
        <w:spacing w:before="0" w:after="140" w:line="240" w:lineRule="auto"/>
        <w:ind w:left="0" w:right="0" w:firstLine="0"/>
        <w:jc w:val="left"/>
      </w:pPr>
      <w:bookmarkStart w:id="5" w:name="bookmark5"/>
      <w:r>
        <w:rPr>
          <w:color w:val="000000"/>
          <w:spacing w:val="0"/>
          <w:w w:val="100"/>
          <w:position w:val="0"/>
        </w:rPr>
        <w:t>（</w:t>
      </w:r>
      <w:bookmarkEnd w:id="5"/>
      <w:r>
        <w:rPr>
          <w:color w:val="000000"/>
          <w:spacing w:val="0"/>
          <w:w w:val="100"/>
          <w:position w:val="0"/>
        </w:rPr>
        <w:t>二）</w:t>
        <w:tab/>
        <w:t>载有会计师事务所盖章、注册会计师签名并盖章的审计报告原件。</w:t>
      </w:r>
    </w:p>
    <w:p>
      <w:pPr>
        <w:pStyle w:val="Style18"/>
        <w:keepNext w:val="0"/>
        <w:keepLines w:val="0"/>
        <w:widowControl w:val="0"/>
        <w:shd w:val="clear" w:color="auto" w:fill="auto"/>
        <w:tabs>
          <w:tab w:pos="531" w:val="left"/>
        </w:tabs>
        <w:bidi w:val="0"/>
        <w:spacing w:before="0" w:after="0" w:line="240" w:lineRule="auto"/>
        <w:ind w:left="0" w:right="0" w:firstLine="0"/>
        <w:jc w:val="left"/>
        <w:sectPr>
          <w:footnotePr>
            <w:pos w:val="pageBottom"/>
            <w:numFmt w:val="decimal"/>
            <w:numRestart w:val="continuous"/>
          </w:footnotePr>
          <w:pgSz w:w="11900" w:h="16840"/>
          <w:pgMar w:top="2089" w:right="1119" w:bottom="2089" w:left="1109" w:header="0" w:footer="3" w:gutter="0"/>
          <w:cols w:space="720"/>
          <w:noEndnote/>
          <w:rtlGutter w:val="0"/>
          <w:docGrid w:linePitch="360"/>
        </w:sectPr>
      </w:pPr>
      <w:bookmarkStart w:id="6" w:name="bookmark6"/>
      <w:r>
        <w:rPr>
          <w:color w:val="000000"/>
          <w:spacing w:val="0"/>
          <w:w w:val="100"/>
          <w:position w:val="0"/>
        </w:rPr>
        <w:t>（</w:t>
      </w:r>
      <w:bookmarkEnd w:id="6"/>
      <w:r>
        <w:rPr>
          <w:color w:val="000000"/>
          <w:spacing w:val="0"/>
          <w:w w:val="100"/>
          <w:position w:val="0"/>
        </w:rPr>
        <w:t>三）</w:t>
        <w:tab/>
        <w:t>报告期内，在中国证监会指定报纸上公开披露过的所有文件正本及公告原稿。</w:t>
      </w:r>
    </w:p>
    <w:p>
      <w:pPr>
        <w:pStyle w:val="Style4"/>
        <w:keepNext w:val="0"/>
        <w:keepLines w:val="0"/>
        <w:widowControl w:val="0"/>
        <w:shd w:val="clear" w:color="auto" w:fill="auto"/>
        <w:bidi w:val="0"/>
        <w:spacing w:before="0" w:line="240" w:lineRule="auto"/>
        <w:ind w:left="0" w:right="0" w:firstLine="0"/>
        <w:jc w:val="center"/>
      </w:pPr>
      <w:r>
        <w:rPr>
          <w:color w:val="000000"/>
          <w:spacing w:val="0"/>
          <w:w w:val="100"/>
          <w:position w:val="0"/>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人民币元、人民币万元</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公司、本公司</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p>
        </w:tc>
      </w:tr>
    </w:tbl>
    <w:p>
      <w:pPr>
        <w:sectPr>
          <w:footnotePr>
            <w:pos w:val="pageBottom"/>
            <w:numFmt w:val="decimal"/>
            <w:numRestart w:val="continuous"/>
          </w:footnotePr>
          <w:pgSz w:w="11900" w:h="16840"/>
          <w:pgMar w:top="2228" w:right="1196" w:bottom="2228" w:left="1119" w:header="0" w:footer="3" w:gutter="0"/>
          <w:cols w:space="720"/>
          <w:noEndnote/>
          <w:rtlGutter w:val="0"/>
          <w:docGrid w:linePitch="360"/>
        </w:sectPr>
      </w:pPr>
    </w:p>
    <w:p>
      <w:pPr>
        <w:pStyle w:val="Style10"/>
        <w:keepNext/>
        <w:keepLines/>
        <w:widowControl w:val="0"/>
        <w:shd w:val="clear" w:color="auto" w:fill="auto"/>
        <w:bidi w:val="0"/>
        <w:spacing w:before="460" w:after="560" w:line="240" w:lineRule="auto"/>
        <w:ind w:left="0" w:right="0" w:firstLine="0"/>
        <w:jc w:val="center"/>
      </w:pPr>
      <w:bookmarkStart w:id="7" w:name="bookmark7"/>
      <w:bookmarkStart w:id="8" w:name="bookmark8"/>
      <w:bookmarkStart w:id="9" w:name="bookmark9"/>
      <w:r>
        <w:rPr>
          <w:color w:val="000000"/>
          <w:spacing w:val="0"/>
          <w:w w:val="100"/>
          <w:position w:val="0"/>
        </w:rPr>
        <w:t>第二节公司简介和主要财务指标</w:t>
      </w:r>
      <w:bookmarkEnd w:id="7"/>
      <w:bookmarkEnd w:id="8"/>
      <w:bookmarkEnd w:id="9"/>
    </w:p>
    <w:p>
      <w:pPr>
        <w:pStyle w:val="Style23"/>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12" w:name="bookmark12"/>
      <w:bookmarkStart w:id="13" w:name="bookmark13"/>
      <w:bookmarkStart w:id="14" w:name="bookmark14"/>
      <w:r>
        <w:rPr>
          <w:color w:val="000000"/>
          <w:spacing w:val="0"/>
          <w:w w:val="100"/>
          <w:position w:val="0"/>
        </w:rPr>
        <w:t>一</w:t>
      </w:r>
      <w:bookmarkEnd w:id="13"/>
      <w:r>
        <w:rPr>
          <w:color w:val="000000"/>
          <w:spacing w:val="0"/>
          <w:w w:val="100"/>
          <w:position w:val="0"/>
        </w:rPr>
        <w:t>、公司信息</w:t>
      </w:r>
      <w:bookmarkEnd w:id="11"/>
      <w:bookmarkEnd w:id="12"/>
      <w:bookmarkEnd w:id="14"/>
      <w:bookmarkEnd w:id="10"/>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2942" w:val="left"/>
                <w:tab w:pos="5098" w:val="left"/>
              </w:tabs>
              <w:bidi w:val="0"/>
              <w:spacing w:before="0" w:after="0" w:line="240" w:lineRule="auto"/>
              <w:ind w:left="0" w:right="0" w:firstLine="0"/>
              <w:jc w:val="left"/>
            </w:pPr>
            <w:r>
              <w:rPr>
                <w:rFonts w:ascii="SimSun" w:eastAsia="SimSun" w:hAnsi="SimSun" w:cs="SimSun"/>
                <w:color w:val="000000"/>
                <w:spacing w:val="0"/>
                <w:w w:val="100"/>
                <w:position w:val="0"/>
                <w:sz w:val="17"/>
                <w:szCs w:val="17"/>
              </w:rPr>
              <w:t>东港股份</w:t>
              <w:tab/>
              <w:t>股票代码</w:t>
              <w:tab/>
            </w:r>
            <w:r>
              <w:rPr>
                <w:color w:val="000000"/>
                <w:spacing w:val="0"/>
                <w:w w:val="100"/>
                <w:position w:val="0"/>
              </w:rPr>
              <w:t>002117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股票上市证券交易所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TUNGKONG INC.</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TK</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史建中</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山东省济南市山大北路</w:t>
            </w:r>
            <w:r>
              <w:rPr>
                <w:color w:val="000000"/>
                <w:spacing w:val="0"/>
                <w:w w:val="100"/>
                <w:position w:val="0"/>
                <w:sz w:val="18"/>
                <w:szCs w:val="18"/>
              </w:rPr>
              <w:t>23</w:t>
            </w:r>
            <w:r>
              <w:rPr>
                <w:rFonts w:ascii="SimSun" w:eastAsia="SimSun" w:hAnsi="SimSun" w:cs="SimSun"/>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250100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公司注册地址历史变更情况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山东省济南市山大北路</w:t>
            </w:r>
            <w:r>
              <w:rPr>
                <w:color w:val="000000"/>
                <w:spacing w:val="0"/>
                <w:w w:val="100"/>
                <w:position w:val="0"/>
                <w:sz w:val="18"/>
                <w:szCs w:val="18"/>
              </w:rPr>
              <w:t>23</w:t>
            </w:r>
            <w:r>
              <w:rPr>
                <w:rFonts w:ascii="SimSun" w:eastAsia="SimSun" w:hAnsi="SimSun" w:cs="SimSun"/>
                <w:color w:val="000000"/>
                <w:spacing w:val="0"/>
                <w:w w:val="100"/>
                <w:position w:val="0"/>
                <w:sz w:val="17"/>
                <w:szCs w:val="17"/>
              </w:rPr>
              <w:t>号</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250100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公司网址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tungkong. com. cn</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"mailto:dggf@tungkong.com" </w:instrText>
            </w:r>
            <w:r>
              <w:fldChar w:fldCharType="separate"/>
            </w:r>
            <w:r>
              <w:rPr>
                <w:color w:val="000000"/>
                <w:spacing w:val="0"/>
                <w:w w:val="100"/>
                <w:position w:val="0"/>
              </w:rPr>
              <w:t>dggf@tungkong.com</w:t>
            </w:r>
            <w:r>
              <w:fldChar w:fldCharType="end"/>
            </w:r>
            <w:r>
              <w:rPr>
                <w:color w:val="000000"/>
                <w:spacing w:val="0"/>
                <w:w w:val="100"/>
                <w:position w:val="0"/>
              </w:rPr>
              <w:t>. cn</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rPr>
        <w:t>二</w:t>
      </w:r>
      <w:bookmarkEnd w:id="17"/>
      <w:r>
        <w:rPr>
          <w:color w:val="000000"/>
          <w:spacing w:val="0"/>
          <w:w w:val="100"/>
          <w:position w:val="0"/>
        </w:rPr>
        <w:t>、联系人和联系方式</w:t>
      </w:r>
      <w:bookmarkEnd w:id="15"/>
      <w:bookmarkEnd w:id="16"/>
      <w:bookmarkEnd w:id="18"/>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齐利国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阮永城</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济南市山大北路</w:t>
            </w:r>
            <w:r>
              <w:rPr>
                <w:color w:val="000000"/>
                <w:spacing w:val="0"/>
                <w:w w:val="100"/>
                <w:position w:val="0"/>
                <w:sz w:val="18"/>
                <w:szCs w:val="18"/>
              </w:rPr>
              <w:t>23</w:t>
            </w:r>
            <w:r>
              <w:rPr>
                <w:rFonts w:ascii="SimSun" w:eastAsia="SimSun" w:hAnsi="SimSun" w:cs="SimSun"/>
                <w:color w:val="000000"/>
                <w:spacing w:val="0"/>
                <w:w w:val="100"/>
                <w:position w:val="0"/>
                <w:sz w:val="17"/>
                <w:szCs w:val="17"/>
              </w:rPr>
              <w:t>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济南市山大北路</w:t>
            </w:r>
            <w:r>
              <w:rPr>
                <w:color w:val="000000"/>
                <w:spacing w:val="0"/>
                <w:w w:val="100"/>
                <w:position w:val="0"/>
                <w:sz w:val="18"/>
                <w:szCs w:val="18"/>
              </w:rPr>
              <w:t>23</w:t>
            </w:r>
            <w:r>
              <w:rPr>
                <w:rFonts w:ascii="SimSun" w:eastAsia="SimSun" w:hAnsi="SimSun" w:cs="SimSun"/>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0531-88904590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0531-88904590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0531-82672218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0531-82672218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Qi-liguo @tungkong .com. cn</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"mailto:Ruan-yongcheng@tungkong.com" </w:instrText>
            </w:r>
            <w:r>
              <w:fldChar w:fldCharType="separate"/>
            </w:r>
            <w:r>
              <w:rPr>
                <w:color w:val="000000"/>
                <w:spacing w:val="0"/>
                <w:w w:val="100"/>
                <w:position w:val="0"/>
              </w:rPr>
              <w:t>Ruan-yongcheng@tungkong.com</w:t>
            </w:r>
            <w:r>
              <w:fldChar w:fldCharType="end"/>
            </w:r>
            <w:r>
              <w:rPr>
                <w:color w:val="000000"/>
                <w:spacing w:val="0"/>
                <w:w w:val="100"/>
                <w:position w:val="0"/>
              </w:rPr>
              <w:t>. cn</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三</w:t>
      </w:r>
      <w:bookmarkEnd w:id="21"/>
      <w:r>
        <w:rPr>
          <w:color w:val="000000"/>
          <w:spacing w:val="0"/>
          <w:w w:val="100"/>
          <w:position w:val="0"/>
        </w:rPr>
        <w:t>、信息披露及备置地点</w:t>
      </w:r>
      <w:bookmarkEnd w:id="19"/>
      <w:bookmarkEnd w:id="20"/>
      <w:bookmarkEnd w:id="22"/>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公司披露年度报告的证券交易所网站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《证券时报》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公司披露年度报告的媒体名称及网址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.com. cn</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公司证券办公室</w:t>
            </w:r>
          </w:p>
        </w:tc>
      </w:tr>
    </w:tbl>
    <w:p>
      <w:pPr>
        <w:spacing w:lineRule="exact" w:line="1"/>
        <w:rPr>
          <w:sz w:val="2"/>
          <w:szCs w:val="2"/>
        </w:rPr>
      </w:pPr>
      <w:r>
        <w:br w:type="page"/>
      </w:r>
    </w:p>
    <w:p>
      <w:pPr>
        <w:pStyle w:val="Style23"/>
        <w:keepNext/>
        <w:keepLines/>
        <w:widowControl w:val="0"/>
        <w:shd w:val="clear" w:color="auto" w:fill="auto"/>
        <w:bidi w:val="0"/>
        <w:spacing w:before="0" w:after="32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四</w:t>
      </w:r>
      <w:bookmarkEnd w:id="25"/>
      <w:r>
        <w:rPr>
          <w:color w:val="000000"/>
          <w:spacing w:val="0"/>
          <w:w w:val="100"/>
          <w:position w:val="0"/>
        </w:rPr>
        <w:t>、注册变更情况</w:t>
      </w:r>
      <w:bookmarkEnd w:id="23"/>
      <w:bookmarkEnd w:id="24"/>
      <w:bookmarkEnd w:id="26"/>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91370000613207311A</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公司上市以来主营业务的变化情况（如 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报告期内，公司主营业务无变更。</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历次控股股东的变更情况（如有）</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日，公司变更为无控股股东、无实际控制人</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五</w:t>
      </w:r>
      <w:bookmarkEnd w:id="29"/>
      <w:r>
        <w:rPr>
          <w:color w:val="000000"/>
          <w:spacing w:val="0"/>
          <w:w w:val="100"/>
          <w:position w:val="0"/>
        </w:rPr>
        <w:t>、其他有关资料</w:t>
      </w:r>
      <w:bookmarkEnd w:id="27"/>
      <w:bookmarkEnd w:id="28"/>
      <w:bookmarkEnd w:id="30"/>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北京市东城区朝阳门北大街</w:t>
            </w:r>
            <w:r>
              <w:rPr>
                <w:color w:val="000000"/>
                <w:spacing w:val="0"/>
                <w:w w:val="100"/>
                <w:position w:val="0"/>
                <w:sz w:val="18"/>
                <w:szCs w:val="18"/>
              </w:rPr>
              <w:t>8</w:t>
            </w:r>
            <w:r>
              <w:rPr>
                <w:rFonts w:ascii="SimSun" w:eastAsia="SimSun" w:hAnsi="SimSun" w:cs="SimSun"/>
                <w:color w:val="000000"/>
                <w:spacing w:val="0"/>
                <w:w w:val="100"/>
                <w:position w:val="0"/>
                <w:sz w:val="17"/>
                <w:szCs w:val="17"/>
              </w:rPr>
              <w:t>号富华大厦</w:t>
            </w:r>
            <w:r>
              <w:rPr>
                <w:color w:val="000000"/>
                <w:spacing w:val="0"/>
                <w:w w:val="100"/>
                <w:position w:val="0"/>
                <w:sz w:val="18"/>
                <w:szCs w:val="18"/>
              </w:rPr>
              <w:t>A</w:t>
            </w:r>
            <w:r>
              <w:rPr>
                <w:rFonts w:ascii="SimSun" w:eastAsia="SimSun" w:hAnsi="SimSun" w:cs="SimSun"/>
                <w:color w:val="000000"/>
                <w:spacing w:val="0"/>
                <w:w w:val="100"/>
                <w:position w:val="0"/>
                <w:sz w:val="17"/>
                <w:szCs w:val="17"/>
              </w:rPr>
              <w:t>座</w:t>
            </w:r>
            <w:r>
              <w:rPr>
                <w:color w:val="000000"/>
                <w:spacing w:val="0"/>
                <w:w w:val="100"/>
                <w:position w:val="0"/>
                <w:sz w:val="18"/>
                <w:szCs w:val="18"/>
              </w:rPr>
              <w:t>8</w:t>
            </w:r>
            <w:r>
              <w:rPr>
                <w:rFonts w:ascii="SimSun" w:eastAsia="SimSun" w:hAnsi="SimSun" w:cs="SimSun"/>
                <w:color w:val="000000"/>
                <w:spacing w:val="0"/>
                <w:w w:val="100"/>
                <w:position w:val="0"/>
                <w:sz w:val="17"/>
                <w:szCs w:val="17"/>
              </w:rPr>
              <w:t>层</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崔迎，夏瑞</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rPr>
        <w:t>六</w:t>
      </w:r>
      <w:bookmarkEnd w:id="33"/>
      <w:r>
        <w:rPr>
          <w:color w:val="000000"/>
          <w:spacing w:val="0"/>
          <w:w w:val="100"/>
          <w:position w:val="0"/>
        </w:rPr>
        <w:t>、主要会计数据和财务指标</w:t>
      </w:r>
      <w:bookmarkEnd w:id="31"/>
      <w:bookmarkEnd w:id="32"/>
      <w:bookmarkEnd w:id="34"/>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1,200,941,510.94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1,180,859,259.81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1,495,634,115.55</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186,488,504.09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163,330,111.01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14.18%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266,721,676.93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153,797,993.89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137,259,123.67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12.05%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240,751,021.02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191,823,247.25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261,214,969.05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423,158,918.42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0.3418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14.20%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0.4888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0.3418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14.20%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0.4888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2,211,848,822.17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2,287,369,802.38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2,335,153,191.93</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1,567,128,163.96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1,583,772,964.57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1,638,709,421.96</w:t>
            </w:r>
          </w:p>
        </w:tc>
      </w:tr>
    </w:tbl>
    <w:p>
      <w:pPr>
        <w:pStyle w:val="Style18"/>
        <w:keepNext w:val="0"/>
        <w:keepLines w:val="0"/>
        <w:widowControl w:val="0"/>
        <w:shd w:val="clear" w:color="auto" w:fill="auto"/>
        <w:bidi w:val="0"/>
        <w:spacing w:before="0" w:after="2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r>
        <w:rPr>
          <w:color w:val="000000"/>
          <w:spacing w:val="0"/>
          <w:w w:val="100"/>
          <w:position w:val="0"/>
        </w:rPr>
        <w:t>•</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i w:val="0"/>
          <w:iCs w:val="0"/>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扣除非经常损益前后的净利润孰低者为负值</w:t>
      </w:r>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keepLines/>
        <w:widowControl w:val="0"/>
        <w:shd w:val="clear" w:color="auto" w:fill="auto"/>
        <w:tabs>
          <w:tab w:pos="522" w:val="left"/>
        </w:tabs>
        <w:bidi w:val="0"/>
        <w:spacing w:before="0" w:after="380" w:line="240" w:lineRule="auto"/>
        <w:ind w:left="0" w:right="0" w:firstLine="0"/>
        <w:jc w:val="both"/>
      </w:pPr>
      <w:bookmarkStart w:id="35" w:name="bookmark35"/>
      <w:bookmarkStart w:id="36" w:name="bookmark36"/>
      <w:bookmarkStart w:id="37" w:name="bookmark37"/>
      <w:bookmarkStart w:id="38" w:name="bookmark38"/>
      <w:r>
        <w:rPr>
          <w:color w:val="000000"/>
          <w:spacing w:val="0"/>
          <w:w w:val="100"/>
          <w:position w:val="0"/>
        </w:rPr>
        <w:t>七</w:t>
      </w:r>
      <w:bookmarkEnd w:id="37"/>
      <w:r>
        <w:rPr>
          <w:color w:val="000000"/>
          <w:spacing w:val="0"/>
          <w:w w:val="100"/>
          <w:position w:val="0"/>
        </w:rPr>
        <w:t>、</w:t>
        <w:tab/>
        <w:t>境内外会计准则下会计数据差异</w:t>
      </w:r>
      <w:bookmarkEnd w:id="35"/>
      <w:bookmarkEnd w:id="36"/>
      <w:bookmarkEnd w:id="38"/>
    </w:p>
    <w:p>
      <w:pPr>
        <w:pStyle w:val="Style32"/>
        <w:keepNext/>
        <w:keepLines/>
        <w:widowControl w:val="0"/>
        <w:shd w:val="clear" w:color="auto" w:fill="auto"/>
        <w:tabs>
          <w:tab w:pos="403" w:val="left"/>
        </w:tabs>
        <w:bidi w:val="0"/>
        <w:spacing w:before="0" w:line="240" w:lineRule="auto"/>
        <w:ind w:left="0" w:right="0" w:firstLine="0"/>
        <w:jc w:val="both"/>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1</w:t>
      </w:r>
      <w:bookmarkEnd w:id="41"/>
      <w:r>
        <w:rPr>
          <w:color w:val="000000"/>
          <w:spacing w:val="0"/>
          <w:w w:val="100"/>
          <w:position w:val="0"/>
        </w:rPr>
        <w:t>、</w:t>
        <w:tab/>
        <w:t>同时按照国际会计准则与按照中国会计准则披露的财务报告中净利润和净资产差异情况</w:t>
      </w:r>
      <w:bookmarkEnd w:id="39"/>
      <w:bookmarkEnd w:id="40"/>
      <w:bookmarkEnd w:id="42"/>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403" w:val="left"/>
        </w:tabs>
        <w:bidi w:val="0"/>
        <w:spacing w:before="0" w:line="240" w:lineRule="auto"/>
        <w:ind w:left="0" w:right="0" w:firstLine="0"/>
        <w:jc w:val="both"/>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2</w:t>
      </w:r>
      <w:bookmarkEnd w:id="45"/>
      <w:r>
        <w:rPr>
          <w:color w:val="000000"/>
          <w:spacing w:val="0"/>
          <w:w w:val="100"/>
          <w:position w:val="0"/>
        </w:rPr>
        <w:t>、</w:t>
        <w:tab/>
        <w:t>同时按照境外会计准则与按照中国会计准则披露的财务报告中净利润和净资产差异情况</w:t>
      </w:r>
      <w:bookmarkEnd w:id="43"/>
      <w:bookmarkEnd w:id="44"/>
      <w:bookmarkEnd w:id="46"/>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3"/>
        <w:keepNext/>
        <w:keepLines/>
        <w:widowControl w:val="0"/>
        <w:shd w:val="clear" w:color="auto" w:fill="auto"/>
        <w:tabs>
          <w:tab w:pos="522" w:val="left"/>
        </w:tabs>
        <w:bidi w:val="0"/>
        <w:spacing w:before="0" w:after="380" w:line="240" w:lineRule="auto"/>
        <w:ind w:left="0" w:right="0" w:firstLine="0"/>
        <w:jc w:val="both"/>
      </w:pPr>
      <w:bookmarkStart w:id="47" w:name="bookmark47"/>
      <w:bookmarkStart w:id="48" w:name="bookmark48"/>
      <w:bookmarkStart w:id="49" w:name="bookmark49"/>
      <w:bookmarkStart w:id="50" w:name="bookmark50"/>
      <w:r>
        <w:rPr>
          <w:color w:val="000000"/>
          <w:spacing w:val="0"/>
          <w:w w:val="100"/>
          <w:position w:val="0"/>
        </w:rPr>
        <w:t>八</w:t>
      </w:r>
      <w:bookmarkEnd w:id="49"/>
      <w:r>
        <w:rPr>
          <w:color w:val="000000"/>
          <w:spacing w:val="0"/>
          <w:w w:val="100"/>
          <w:position w:val="0"/>
        </w:rPr>
        <w:t>、</w:t>
        <w:tab/>
        <w:t>分季度主要财务指标</w:t>
      </w:r>
      <w:bookmarkEnd w:id="47"/>
      <w:bookmarkEnd w:id="48"/>
      <w:bookmarkEnd w:id="5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第四季度</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303,557,475.23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297,376,551.72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277,602,671.55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322,404,812.44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44,228,393.75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45,872,485.62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55,056,576.56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41,331,048.16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43,252,261.95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39,315,295.34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49,994,434.54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21,236,002.06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-96,080,491.63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29,466,451.20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44,035,093.99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214,402,193.69</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否</w:t>
      </w:r>
    </w:p>
    <w:p>
      <w:pPr>
        <w:pStyle w:val="Style23"/>
        <w:keepNext/>
        <w:keepLines/>
        <w:widowControl w:val="0"/>
        <w:shd w:val="clear" w:color="auto" w:fill="auto"/>
        <w:bidi w:val="0"/>
        <w:spacing w:before="0" w:after="380" w:line="240" w:lineRule="auto"/>
        <w:ind w:left="0" w:right="0" w:firstLine="0"/>
        <w:jc w:val="both"/>
      </w:pPr>
      <w:bookmarkStart w:id="51" w:name="bookmark51"/>
      <w:bookmarkStart w:id="52" w:name="bookmark52"/>
      <w:bookmarkStart w:id="53" w:name="bookmark53"/>
      <w:bookmarkStart w:id="54" w:name="bookmark54"/>
      <w:r>
        <w:rPr>
          <w:color w:val="000000"/>
          <w:spacing w:val="0"/>
          <w:w w:val="100"/>
          <w:position w:val="0"/>
        </w:rPr>
        <w:t>九</w:t>
      </w:r>
      <w:bookmarkEnd w:id="53"/>
      <w:r>
        <w:rPr>
          <w:color w:val="000000"/>
          <w:spacing w:val="0"/>
          <w:w w:val="100"/>
          <w:position w:val="0"/>
        </w:rPr>
        <w:t>、非经常性损益项目及金额</w:t>
      </w:r>
      <w:bookmarkEnd w:id="51"/>
      <w:bookmarkEnd w:id="52"/>
      <w:bookmarkEnd w:id="54"/>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-888,195.60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-277,832.91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-741,298.28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14,429,517.41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10,177,583.14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10,991,382.63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22,762,823.82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22,691,863.45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19,742,476.27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-1,735,209.53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-1,882,667.17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528,494.61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102,192.86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1,771,899.16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4,606,363.85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4,640,703.05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106,526.74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31,595.32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11,889.13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32,690,510.20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26,070,987.34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25,970,655.91</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其他符合非经常性损益定义的损益项目的具体情况：</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317" w:lineRule="exact"/>
        <w:ind w:left="0" w:right="0" w:firstLine="0"/>
        <w:jc w:val="left"/>
        <w:sectPr>
          <w:footnotePr>
            <w:pos w:val="pageBottom"/>
            <w:numFmt w:val="decimal"/>
            <w:numRestart w:val="continuous"/>
          </w:footnotePr>
          <w:pgSz w:w="11900" w:h="16840"/>
          <w:pgMar w:top="1441" w:right="1131" w:bottom="1412" w:left="1088"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 性损益的项目的情形。</w:t>
      </w:r>
    </w:p>
    <w:p>
      <w:pPr>
        <w:pStyle w:val="Style10"/>
        <w:keepNext/>
        <w:keepLines/>
        <w:widowControl w:val="0"/>
        <w:shd w:val="clear" w:color="auto" w:fill="auto"/>
        <w:bidi w:val="0"/>
        <w:spacing w:before="520" w:after="560" w:line="240" w:lineRule="auto"/>
        <w:ind w:left="0" w:right="0" w:firstLine="0"/>
        <w:jc w:val="center"/>
      </w:pPr>
      <w:bookmarkStart w:id="58" w:name="bookmark58"/>
      <w:bookmarkStart w:id="59" w:name="bookmark59"/>
      <w:bookmarkStart w:id="60" w:name="bookmark60"/>
      <w:r>
        <w:rPr>
          <w:color w:val="000000"/>
          <w:spacing w:val="0"/>
          <w:w w:val="100"/>
          <w:position w:val="0"/>
        </w:rPr>
        <w:t>第三节管理层讨论与分析</w:t>
      </w:r>
      <w:bookmarkEnd w:id="58"/>
      <w:bookmarkEnd w:id="59"/>
      <w:bookmarkEnd w:id="60"/>
    </w:p>
    <w:p>
      <w:pPr>
        <w:pStyle w:val="Style23"/>
        <w:keepNext/>
        <w:keepLines/>
        <w:widowControl w:val="0"/>
        <w:shd w:val="clear" w:color="auto" w:fill="auto"/>
        <w:bidi w:val="0"/>
        <w:spacing w:before="0" w:line="240" w:lineRule="auto"/>
        <w:ind w:left="0" w:right="0" w:firstLine="0"/>
        <w:jc w:val="left"/>
      </w:pPr>
      <w:bookmarkStart w:id="61" w:name="bookmark61"/>
      <w:bookmarkStart w:id="62" w:name="bookmark62"/>
      <w:bookmarkStart w:id="63" w:name="bookmark63"/>
      <w:bookmarkStart w:id="64" w:name="bookmark64"/>
      <w:bookmarkStart w:id="65" w:name="bookmark65"/>
      <w:r>
        <w:rPr>
          <w:color w:val="000000"/>
          <w:spacing w:val="0"/>
          <w:w w:val="100"/>
          <w:position w:val="0"/>
        </w:rPr>
        <w:t>一</w:t>
      </w:r>
      <w:bookmarkEnd w:id="64"/>
      <w:r>
        <w:rPr>
          <w:color w:val="000000"/>
          <w:spacing w:val="0"/>
          <w:w w:val="100"/>
          <w:position w:val="0"/>
        </w:rPr>
        <w:t>、报告期内公司所处的行业情况</w:t>
      </w:r>
      <w:bookmarkEnd w:id="62"/>
      <w:bookmarkEnd w:id="63"/>
      <w:bookmarkEnd w:id="65"/>
      <w:bookmarkEnd w:id="61"/>
    </w:p>
    <w:p>
      <w:pPr>
        <w:pStyle w:val="Style18"/>
        <w:keepNext w:val="0"/>
        <w:keepLines w:val="0"/>
        <w:widowControl w:val="0"/>
        <w:shd w:val="clear" w:color="auto" w:fill="auto"/>
        <w:bidi w:val="0"/>
        <w:spacing w:before="0" w:after="0" w:line="36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、行业发展情况</w:t>
      </w:r>
    </w:p>
    <w:p>
      <w:pPr>
        <w:pStyle w:val="Style18"/>
        <w:keepNext w:val="0"/>
        <w:keepLines w:val="0"/>
        <w:widowControl w:val="0"/>
        <w:numPr>
          <w:ilvl w:val="0"/>
          <w:numId w:val="1"/>
        </w:numPr>
        <w:shd w:val="clear" w:color="auto" w:fill="auto"/>
        <w:tabs>
          <w:tab w:pos="693" w:val="left"/>
        </w:tabs>
        <w:bidi w:val="0"/>
        <w:spacing w:before="0" w:line="312" w:lineRule="exact"/>
        <w:ind w:left="0" w:right="0" w:firstLine="380"/>
        <w:jc w:val="both"/>
      </w:pPr>
      <w:bookmarkStart w:id="66" w:name="bookmark66"/>
      <w:bookmarkEnd w:id="66"/>
      <w:r>
        <w:rPr>
          <w:color w:val="000000"/>
          <w:spacing w:val="0"/>
          <w:w w:val="100"/>
          <w:position w:val="0"/>
        </w:rPr>
        <w:t>传统的票证类业务受信息技术的冲击</w:t>
      </w:r>
    </w:p>
    <w:p>
      <w:pPr>
        <w:pStyle w:val="Style18"/>
        <w:keepNext w:val="0"/>
        <w:keepLines w:val="0"/>
        <w:widowControl w:val="0"/>
        <w:shd w:val="clear" w:color="auto" w:fill="auto"/>
        <w:bidi w:val="0"/>
        <w:spacing w:before="0" w:line="310" w:lineRule="exact"/>
        <w:ind w:left="0" w:right="0" w:firstLine="380"/>
        <w:jc w:val="both"/>
      </w:pPr>
      <w:r>
        <w:rPr>
          <w:color w:val="000000"/>
          <w:spacing w:val="0"/>
          <w:w w:val="100"/>
          <w:position w:val="0"/>
        </w:rPr>
        <w:t>随着信息技术的发展，票证电子化的趋势越来越明显，各行业的信息化发展都降低了对纸质票证的需求，使传统的纸质 票证类业务市场受到冲击。虽然我国票证产品种类繁多，使票证类市场仍保持了较大的市场容量，但总体市场规模已不再扩 大，迫使行业内的各生产厂家不断寻找新的业务增长点和新的业务领域。</w:t>
      </w:r>
    </w:p>
    <w:p>
      <w:pPr>
        <w:pStyle w:val="Style18"/>
        <w:keepNext w:val="0"/>
        <w:keepLines w:val="0"/>
        <w:widowControl w:val="0"/>
        <w:numPr>
          <w:ilvl w:val="0"/>
          <w:numId w:val="1"/>
        </w:numPr>
        <w:shd w:val="clear" w:color="auto" w:fill="auto"/>
        <w:tabs>
          <w:tab w:pos="693" w:val="left"/>
        </w:tabs>
        <w:bidi w:val="0"/>
        <w:spacing w:before="0" w:line="312" w:lineRule="exact"/>
        <w:ind w:left="0" w:right="0" w:firstLine="380"/>
        <w:jc w:val="both"/>
      </w:pPr>
      <w:bookmarkStart w:id="67" w:name="bookmark67"/>
      <w:bookmarkEnd w:id="67"/>
      <w:r>
        <w:rPr>
          <w:color w:val="000000"/>
          <w:spacing w:val="0"/>
          <w:w w:val="100"/>
          <w:position w:val="0"/>
        </w:rPr>
        <w:t>探索多样化发展方向，传统服务商不断研发新的服务内容</w:t>
      </w:r>
    </w:p>
    <w:p>
      <w:pPr>
        <w:pStyle w:val="Style18"/>
        <w:keepNext w:val="0"/>
        <w:keepLines w:val="0"/>
        <w:widowControl w:val="0"/>
        <w:shd w:val="clear" w:color="auto" w:fill="auto"/>
        <w:bidi w:val="0"/>
        <w:spacing w:before="0" w:line="312" w:lineRule="exact"/>
        <w:ind w:left="0" w:right="0" w:firstLine="380"/>
        <w:jc w:val="both"/>
      </w:pPr>
      <w:r>
        <w:rPr>
          <w:color w:val="000000"/>
          <w:spacing w:val="0"/>
          <w:w w:val="100"/>
          <w:position w:val="0"/>
        </w:rPr>
        <w:t>随着新产品、新技术的不断涌现，客户的需求更趋多样化和信息化，各行业客户为适应新形势的发展，提出了许多个性 化需求，在产品设计、数据处理、信息系统服务等多个领域，越来越多的采取服务外包的方式予以解决。这样，一方面能够 降低客户自身运营的成本，另一方面，由专业的服务供应商提供服务，能够提高工作效率和服务质量。同时，随着互联网技 术的进步，远程在线服务、系统集成化服务、电子信息凭证等技术种类也在不断增加。在科技与需求的推动下，印刷企业也 在不断探索新的服务模式，所提供的服务内容日益丰富，开始介入到信息系统集成、服务外包、数据库管理、创意设计各类 服务，这种产品的价值或附加值可大幅提高，传统服务商力求通过研发新的服务模式减少传统业务需求下降的影响。</w:t>
      </w:r>
    </w:p>
    <w:p>
      <w:pPr>
        <w:pStyle w:val="Style18"/>
        <w:keepNext w:val="0"/>
        <w:keepLines w:val="0"/>
        <w:widowControl w:val="0"/>
        <w:numPr>
          <w:ilvl w:val="0"/>
          <w:numId w:val="1"/>
        </w:numPr>
        <w:shd w:val="clear" w:color="auto" w:fill="auto"/>
        <w:tabs>
          <w:tab w:pos="693" w:val="left"/>
        </w:tabs>
        <w:bidi w:val="0"/>
        <w:spacing w:before="0" w:line="312" w:lineRule="exact"/>
        <w:ind w:left="0" w:right="0" w:firstLine="380"/>
        <w:jc w:val="both"/>
      </w:pPr>
      <w:bookmarkStart w:id="68" w:name="bookmark68"/>
      <w:bookmarkEnd w:id="68"/>
      <w:r>
        <w:rPr>
          <w:color w:val="000000"/>
          <w:spacing w:val="0"/>
          <w:w w:val="100"/>
          <w:position w:val="0"/>
        </w:rPr>
        <w:t>综合服务与信息技术结合，打造多层次服务模式</w:t>
      </w:r>
    </w:p>
    <w:p>
      <w:pPr>
        <w:pStyle w:val="Style18"/>
        <w:keepNext w:val="0"/>
        <w:keepLines w:val="0"/>
        <w:widowControl w:val="0"/>
        <w:shd w:val="clear" w:color="auto" w:fill="auto"/>
        <w:bidi w:val="0"/>
        <w:spacing w:before="0" w:line="311" w:lineRule="exact"/>
        <w:ind w:left="0" w:right="0" w:firstLine="380"/>
        <w:jc w:val="both"/>
      </w:pPr>
      <w:r>
        <w:rPr>
          <w:color w:val="000000"/>
          <w:spacing w:val="0"/>
          <w:w w:val="100"/>
          <w:position w:val="0"/>
        </w:rPr>
        <w:t>随着客户对印刷服务的保密性、个性化、以及对信息系统集成的要求越来越高，印刷企业在不断开拓新的服务模式的同 时，也在不断将信息技术与服务相结合，例如提供线上服务功能，解决客户查询和验证需求；通过增加电子芯片提升产品的 防伪性能，减少金融诈骗。在不断增加服务领域的同时，为客户解决场景应用需求，通过数字印刷与服务、流程的自动化、 个性化服务，线上服务等综合类服务模式，使印刷服务与解决方案逐渐融合在一起，产生新的商业模式，打造多层次服务的 商业模式，市场规模远超传统印刷业务现有规模。</w:t>
      </w:r>
    </w:p>
    <w:p>
      <w:pPr>
        <w:pStyle w:val="Style18"/>
        <w:keepNext w:val="0"/>
        <w:keepLines w:val="0"/>
        <w:widowControl w:val="0"/>
        <w:numPr>
          <w:ilvl w:val="0"/>
          <w:numId w:val="1"/>
        </w:numPr>
        <w:shd w:val="clear" w:color="auto" w:fill="auto"/>
        <w:tabs>
          <w:tab w:pos="693" w:val="left"/>
        </w:tabs>
        <w:bidi w:val="0"/>
        <w:spacing w:before="0" w:line="312" w:lineRule="exact"/>
        <w:ind w:left="0" w:right="0" w:firstLine="380"/>
        <w:jc w:val="both"/>
      </w:pPr>
      <w:bookmarkStart w:id="69" w:name="bookmark69"/>
      <w:bookmarkEnd w:id="69"/>
      <w:r>
        <w:rPr>
          <w:color w:val="000000"/>
          <w:spacing w:val="0"/>
          <w:w w:val="100"/>
          <w:position w:val="0"/>
        </w:rPr>
        <w:t>电子票证类产品应用更加广泛</w:t>
      </w:r>
    </w:p>
    <w:p>
      <w:pPr>
        <w:pStyle w:val="Style18"/>
        <w:keepNext w:val="0"/>
        <w:keepLines w:val="0"/>
        <w:widowControl w:val="0"/>
        <w:shd w:val="clear" w:color="auto" w:fill="auto"/>
        <w:bidi w:val="0"/>
        <w:spacing w:before="0" w:line="312" w:lineRule="exact"/>
        <w:ind w:left="0" w:right="0" w:firstLine="380"/>
        <w:jc w:val="both"/>
      </w:pPr>
      <w:r>
        <w:rPr>
          <w:color w:val="000000"/>
          <w:spacing w:val="0"/>
          <w:w w:val="100"/>
          <w:position w:val="0"/>
        </w:rPr>
        <w:t>移动互联网网络技术发展迅猛，电子商务和移动支付正在改变着传统的消费习惯，在此背景下，衍生出了对电子票证类 产品的新兴需求，相对于传统票证而言，电子票证具有便于存储查询，绿色环保，防伪度较高的特点。</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年初，财政部、 国家档案局联合发布了新的《会计档案管理办法》，明确了电子档案的法律地位。除应用于税务系统的电子发票外，财政系 统的电子收据类业务也开始进行技术研究和试点，</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月，财政部发布了《关于全面推开财政电子票据管理改革的通知》， 决定在全国范围内全面推开财政电子票据管理改革，财政票据将成为电子票据重要的应用领域。近年来，电子发票、非税电 子票据的应用日益广泛，为电子票证类产品的推广提供了广阔空间。区块链技术的兴起，使得电子票证类业务有了新的业务 发展模式，利用区块链技术去中心化特点，实现基于区块链网络中的分布式存储，完善电子票据服务的验证和使用效率，有 利于电子票证产品的推广和使用，拓展电子票证的市场空间。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日，国家明确了区块链技术的战略意义，推动区 块链技术和产业创新发展。这也使得区块链技术的应用在政策方面得到了认可，并将获得更大的市场空间。随着区块链技术 的成熟，区块链技术与其他技术相结合也正在逐步开发出新的应用场景，例如区块链技术与</w:t>
      </w:r>
      <w:r>
        <w:rPr>
          <w:rFonts w:ascii="Times New Roman" w:eastAsia="Times New Roman" w:hAnsi="Times New Roman" w:cs="Times New Roman"/>
          <w:color w:val="000000"/>
          <w:spacing w:val="0"/>
          <w:w w:val="100"/>
          <w:position w:val="0"/>
          <w:sz w:val="18"/>
          <w:szCs w:val="18"/>
        </w:rPr>
        <w:t>VR/AR</w:t>
      </w:r>
      <w:r>
        <w:rPr>
          <w:color w:val="000000"/>
          <w:spacing w:val="0"/>
          <w:w w:val="100"/>
          <w:position w:val="0"/>
        </w:rPr>
        <w:t>技术相结合，为智慧制 造、智慧城市提供助力，区块链技术与低碳环保相结合，提供碳足迹全程的溯源，都能够成为未来应用的发展方向。随着国 家数字货币的试点和推行，以数字货币为应用基础的各类产品应运而生，并将在多个领域产生新的市场需求。</w:t>
      </w:r>
    </w:p>
    <w:p>
      <w:pPr>
        <w:pStyle w:val="Style18"/>
        <w:keepNext w:val="0"/>
        <w:keepLines w:val="0"/>
        <w:widowControl w:val="0"/>
        <w:numPr>
          <w:ilvl w:val="0"/>
          <w:numId w:val="1"/>
        </w:numPr>
        <w:shd w:val="clear" w:color="auto" w:fill="auto"/>
        <w:tabs>
          <w:tab w:pos="693" w:val="left"/>
        </w:tabs>
        <w:bidi w:val="0"/>
        <w:spacing w:before="0" w:line="312" w:lineRule="exact"/>
        <w:ind w:left="0" w:right="0" w:firstLine="380"/>
        <w:jc w:val="both"/>
      </w:pPr>
      <w:bookmarkStart w:id="70" w:name="bookmark70"/>
      <w:bookmarkEnd w:id="70"/>
      <w:r>
        <w:rPr>
          <w:color w:val="000000"/>
          <w:spacing w:val="0"/>
          <w:w w:val="100"/>
          <w:position w:val="0"/>
        </w:rPr>
        <w:t>档案存储业务方兴未艾</w:t>
      </w:r>
    </w:p>
    <w:p>
      <w:pPr>
        <w:pStyle w:val="Style1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 xml:space="preserve">随着经济活动的增加，各类组织机构业务的扩展和规模的扩大，各类档案的数量也随之增加，但传统的档案存储与管理 模式，难以满足分级管理、长期保存，远程查阅等诸多需求。因此，建立规范化、标准化的档案存储基地，档案实物存储与 信息技术相结合，档案电子化也将成为未来档案管理的发展方向。目前我国档案存储外包业务还处于起步阶段，大型银行、 保险等金融企业、医院、学校、政府业务单位以及中小企业，对于档案存储均有服务需求，未来的市场潜力巨大。随着电子 凭证、电子档案数量的增多，电子档案服务需求迅速增多，档案系统集成、档案服务云平台以及针对中小企业的档案服务平 </w:t>
      </w:r>
      <w:r>
        <w:rPr>
          <w:color w:val="000000"/>
          <w:spacing w:val="0"/>
          <w:w w:val="100"/>
          <w:position w:val="0"/>
        </w:rPr>
        <w:t>台成为了新的市场需求。</w:t>
      </w:r>
    </w:p>
    <w:p>
      <w:pPr>
        <w:pStyle w:val="Style18"/>
        <w:keepNext w:val="0"/>
        <w:keepLines w:val="0"/>
        <w:widowControl w:val="0"/>
        <w:numPr>
          <w:ilvl w:val="0"/>
          <w:numId w:val="1"/>
        </w:numPr>
        <w:shd w:val="clear" w:color="auto" w:fill="auto"/>
        <w:bidi w:val="0"/>
        <w:spacing w:before="0" w:after="0" w:line="317" w:lineRule="exact"/>
        <w:ind w:left="0" w:right="0" w:firstLine="380"/>
        <w:jc w:val="both"/>
      </w:pPr>
      <w:bookmarkStart w:id="71" w:name="bookmark71"/>
      <w:bookmarkEnd w:id="71"/>
      <w:r>
        <w:rPr>
          <w:color w:val="000000"/>
          <w:spacing w:val="0"/>
          <w:w w:val="100"/>
          <w:position w:val="0"/>
        </w:rPr>
        <w:t>新渠道彩票销售方式正在逐步成熟</w:t>
      </w:r>
    </w:p>
    <w:p>
      <w:pPr>
        <w:pStyle w:val="Style18"/>
        <w:keepNext w:val="0"/>
        <w:keepLines w:val="0"/>
        <w:widowControl w:val="0"/>
        <w:shd w:val="clear" w:color="auto" w:fill="auto"/>
        <w:bidi w:val="0"/>
        <w:spacing w:before="0" w:after="380" w:line="317"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年，我国彩票销售达到</w:t>
      </w:r>
      <w:r>
        <w:rPr>
          <w:rFonts w:ascii="Times New Roman" w:eastAsia="Times New Roman" w:hAnsi="Times New Roman" w:cs="Times New Roman"/>
          <w:color w:val="000000"/>
          <w:spacing w:val="0"/>
          <w:w w:val="100"/>
          <w:position w:val="0"/>
          <w:sz w:val="18"/>
          <w:szCs w:val="18"/>
        </w:rPr>
        <w:t>3,732.85</w:t>
      </w:r>
      <w:r>
        <w:rPr>
          <w:color w:val="000000"/>
          <w:spacing w:val="0"/>
          <w:w w:val="100"/>
          <w:position w:val="0"/>
        </w:rPr>
        <w:t>亿元，但主要销售渠道仍以线下的实体专营店铺销售为主。</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年，在国家主管单 位暂停了互联网彩票销售渠道后，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年又逐步停止了视频型彩票和高频快开彩票的销售，即开型彩票销量近两年增长较快。 具有展示效果的智能投注彩票销售设备，与传统彩票专营销售模式相比，具有布设灵活，购买及兑奖便捷，实时监控等优点， 是传统销售模式的有效补充，正在逐步被各地彩票管理部门所认可，未来的市场空间巨大。</w:t>
      </w:r>
    </w:p>
    <w:p>
      <w:pPr>
        <w:pStyle w:val="Style23"/>
        <w:keepNext/>
        <w:keepLines/>
        <w:widowControl w:val="0"/>
        <w:shd w:val="clear" w:color="auto" w:fill="auto"/>
        <w:tabs>
          <w:tab w:pos="485" w:val="left"/>
        </w:tabs>
        <w:bidi w:val="0"/>
        <w:spacing w:before="0" w:after="260" w:line="240" w:lineRule="auto"/>
        <w:ind w:left="0" w:right="0" w:firstLine="0"/>
        <w:jc w:val="left"/>
      </w:pPr>
      <w:bookmarkStart w:id="72" w:name="bookmark72"/>
      <w:bookmarkStart w:id="73" w:name="bookmark73"/>
      <w:bookmarkStart w:id="74" w:name="bookmark74"/>
      <w:bookmarkStart w:id="75" w:name="bookmark75"/>
      <w:r>
        <w:rPr>
          <w:color w:val="000000"/>
          <w:spacing w:val="0"/>
          <w:w w:val="100"/>
          <w:position w:val="0"/>
        </w:rPr>
        <w:t>二</w:t>
      </w:r>
      <w:bookmarkEnd w:id="74"/>
      <w:r>
        <w:rPr>
          <w:color w:val="000000"/>
          <w:spacing w:val="0"/>
          <w:w w:val="100"/>
          <w:position w:val="0"/>
        </w:rPr>
        <w:t>、</w:t>
        <w:tab/>
        <w:t>报告期内公司从事的主要业务</w:t>
      </w:r>
      <w:bookmarkEnd w:id="72"/>
      <w:bookmarkEnd w:id="73"/>
      <w:bookmarkEnd w:id="75"/>
    </w:p>
    <w:p>
      <w:pPr>
        <w:pStyle w:val="Style18"/>
        <w:keepNext w:val="0"/>
        <w:keepLines w:val="0"/>
        <w:widowControl w:val="0"/>
        <w:shd w:val="clear" w:color="auto" w:fill="auto"/>
        <w:bidi w:val="0"/>
        <w:spacing w:before="0" w:after="0" w:line="312" w:lineRule="exact"/>
        <w:ind w:left="0" w:right="0" w:firstLine="160"/>
        <w:jc w:val="left"/>
      </w:pPr>
      <w:bookmarkStart w:id="76" w:name="bookmark76"/>
      <w:r>
        <w:rPr>
          <w:color w:val="000000"/>
          <w:spacing w:val="0"/>
          <w:w w:val="100"/>
          <w:position w:val="0"/>
        </w:rPr>
        <w:t>（</w:t>
      </w:r>
      <w:bookmarkEnd w:id="76"/>
      <w:r>
        <w:rPr>
          <w:color w:val="000000"/>
          <w:spacing w:val="0"/>
          <w:w w:val="100"/>
          <w:position w:val="0"/>
        </w:rPr>
        <w:t>一）、主营业务和主要产品</w:t>
      </w:r>
    </w:p>
    <w:p>
      <w:pPr>
        <w:pStyle w:val="Style18"/>
        <w:keepNext w:val="0"/>
        <w:keepLines w:val="0"/>
        <w:widowControl w:val="0"/>
        <w:shd w:val="clear" w:color="auto" w:fill="auto"/>
        <w:bidi w:val="0"/>
        <w:spacing w:before="0" w:after="80" w:line="312" w:lineRule="exact"/>
        <w:ind w:left="0" w:right="0" w:firstLine="300"/>
        <w:jc w:val="both"/>
      </w:pPr>
      <w:r>
        <w:rPr>
          <w:color w:val="000000"/>
          <w:spacing w:val="0"/>
          <w:w w:val="100"/>
          <w:position w:val="0"/>
        </w:rPr>
        <w:t>目前公司的主要业务分为印刷类业务，覆合类业务和技术服务类业务。其中印刷类业务包括：商业票证印刷，数据处理 打印与邮发封装，个性化彩色印刷和普通商业标签；覆合类业务包括：智能卡制造与个性化处理、</w:t>
      </w:r>
      <w:r>
        <w:rPr>
          <w:rFonts w:ascii="Courier New" w:eastAsia="Courier New" w:hAnsi="Courier New" w:cs="Courier New"/>
          <w:color w:val="000000"/>
          <w:spacing w:val="0"/>
          <w:w w:val="100"/>
          <w:position w:val="0"/>
          <w:sz w:val="16"/>
          <w:szCs w:val="16"/>
        </w:rPr>
        <w:t>RFID</w:t>
      </w:r>
      <w:r>
        <w:rPr>
          <w:color w:val="000000"/>
          <w:spacing w:val="0"/>
          <w:w w:val="100"/>
          <w:position w:val="0"/>
        </w:rPr>
        <w:t>智能标签；技术服务 类业务包括：电子票证服务，档案存储与电子化等；公司其他业务主要包括智能彩票终端设备销售。</w:t>
      </w:r>
    </w:p>
    <w:p>
      <w:pPr>
        <w:pStyle w:val="Style18"/>
        <w:keepNext w:val="0"/>
        <w:keepLines w:val="0"/>
        <w:widowControl w:val="0"/>
        <w:shd w:val="clear" w:color="auto" w:fill="auto"/>
        <w:tabs>
          <w:tab w:pos="838" w:val="left"/>
        </w:tabs>
        <w:bidi w:val="0"/>
        <w:spacing w:before="0" w:after="0" w:line="240" w:lineRule="auto"/>
        <w:ind w:left="0" w:right="0"/>
        <w:jc w:val="left"/>
      </w:pPr>
      <w:bookmarkStart w:id="77" w:name="bookmark77"/>
      <w:r>
        <w:rPr>
          <w:color w:val="000000"/>
          <w:spacing w:val="0"/>
          <w:w w:val="100"/>
          <w:position w:val="0"/>
        </w:rPr>
        <w:t>（</w:t>
      </w:r>
      <w:bookmarkEnd w:id="77"/>
      <w:r>
        <w:rPr>
          <w:color w:val="000000"/>
          <w:spacing w:val="0"/>
          <w:w w:val="100"/>
          <w:position w:val="0"/>
        </w:rPr>
        <w:t>二）</w:t>
        <w:tab/>
        <w:t>、经营模式</w:t>
      </w:r>
    </w:p>
    <w:p>
      <w:pPr>
        <w:pStyle w:val="Style18"/>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公司三类业务的主要客户均为银行、保险等金融企业客户，财政、税务等政府类客户，以及大型企业类客户，公司建有 统一的运营平台，有利于资源共享，效率最高。在销售方面，我公司在全国</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多个省市设立了联络处，销售范围覆盖全国， 通过参加公开招标、为客户提供定制化产品的方式，为全国客户提供优质、及时、专业的服务，可有效地满足各地客户对各 项业务的需求。</w:t>
      </w:r>
    </w:p>
    <w:p>
      <w:pPr>
        <w:pStyle w:val="Style18"/>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在生产方面，本公司在济南、北京、上海、广州等重点城市，建设有</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个生产基地，在</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个主要城市建设有</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个档案存 储基地，并在全集团范围内实施了</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企业资源管理系统，将经营和生产过程中各个环节进行信息集成，合理调配生产原辅 材料和业务流程，全面提升了公司的生产管理水平，使公司较同行具备生产覆盖半径广，对客户需求反应速度快，服务成本 低的优势。</w:t>
      </w:r>
    </w:p>
    <w:p>
      <w:pPr>
        <w:pStyle w:val="Style18"/>
        <w:keepNext w:val="0"/>
        <w:keepLines w:val="0"/>
        <w:widowControl w:val="0"/>
        <w:shd w:val="clear" w:color="auto" w:fill="auto"/>
        <w:tabs>
          <w:tab w:pos="838" w:val="left"/>
        </w:tabs>
        <w:bidi w:val="0"/>
        <w:spacing w:before="0" w:after="0" w:line="314" w:lineRule="exact"/>
        <w:ind w:left="0" w:right="0"/>
        <w:jc w:val="left"/>
      </w:pPr>
      <w:bookmarkStart w:id="78" w:name="bookmark78"/>
      <w:r>
        <w:rPr>
          <w:color w:val="000000"/>
          <w:spacing w:val="0"/>
          <w:w w:val="100"/>
          <w:position w:val="0"/>
        </w:rPr>
        <w:t>（</w:t>
      </w:r>
      <w:bookmarkEnd w:id="78"/>
      <w:r>
        <w:rPr>
          <w:color w:val="000000"/>
          <w:spacing w:val="0"/>
          <w:w w:val="100"/>
          <w:position w:val="0"/>
        </w:rPr>
        <w:t>三）</w:t>
        <w:tab/>
        <w:t>、研发能力</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本公司建有北京、上海、济南、广州四个研发中心，建立了完善的研发体系。公司在防伪技术、信息技术、智能标签技 术、人工智能技术和区块链技术领域投入了大量资源，并在行业应用方面取得了良好效果。整体研发实力和能力在行业内具 有较强的竞争实力。</w:t>
      </w:r>
    </w:p>
    <w:p>
      <w:pPr>
        <w:pStyle w:val="Style18"/>
        <w:keepNext w:val="0"/>
        <w:keepLines w:val="0"/>
        <w:widowControl w:val="0"/>
        <w:shd w:val="clear" w:color="auto" w:fill="auto"/>
        <w:bidi w:val="0"/>
        <w:spacing w:before="0" w:after="0" w:line="314" w:lineRule="exact"/>
        <w:ind w:left="0" w:right="0" w:firstLine="300"/>
        <w:jc w:val="left"/>
      </w:pPr>
      <w:bookmarkStart w:id="79" w:name="bookmark79"/>
      <w:r>
        <w:rPr>
          <w:color w:val="000000"/>
          <w:spacing w:val="0"/>
          <w:w w:val="100"/>
          <w:position w:val="0"/>
        </w:rPr>
        <w:t>（</w:t>
      </w:r>
      <w:bookmarkEnd w:id="79"/>
      <w:r>
        <w:rPr>
          <w:color w:val="000000"/>
          <w:spacing w:val="0"/>
          <w:w w:val="100"/>
          <w:position w:val="0"/>
        </w:rPr>
        <w:t>四）、行业地位</w:t>
      </w:r>
    </w:p>
    <w:p>
      <w:pPr>
        <w:pStyle w:val="Style1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经过多年的努力，在印刷业务方面，凭借优异的产品、有效的服务、良好的信誉，公司获得了多家全国性金融企业和政 府财税部门的长期服务供应商资格，为客户提供了大量的票证、彩印、数据打印等各类产品及服务，在产品质量、服务水平、 安全保密等方面受到了合作客户的一致好评，在服务覆盖面积、产品销量、经营业绩等多个方面在全国同行业内具有竞争优 势。公司电子票证类产品已形成电子发票服务平台、非税电子票据服务平台、政务类电子证照服务等多个服务平台，开发了 基于区块链技术的低碳环保解决方案，并与有关科研机构联合研发区块链技术与</w:t>
      </w:r>
      <w:r>
        <w:rPr>
          <w:rFonts w:ascii="Times New Roman" w:eastAsia="Times New Roman" w:hAnsi="Times New Roman" w:cs="Times New Roman"/>
          <w:color w:val="000000"/>
          <w:spacing w:val="0"/>
          <w:w w:val="100"/>
          <w:position w:val="0"/>
          <w:sz w:val="18"/>
          <w:szCs w:val="18"/>
        </w:rPr>
        <w:t>VR/AR</w:t>
      </w:r>
      <w:r>
        <w:rPr>
          <w:color w:val="000000"/>
          <w:spacing w:val="0"/>
          <w:w w:val="100"/>
          <w:position w:val="0"/>
        </w:rPr>
        <w:t>技术相结合的应用场景，在区块链 技术应用领域具有市场和技术优势。公司的档案存储与电子化服务，为客户提供专业化的档案存储与电子化服务，在存储容 量、服务客户数量等方面居于行业内领先地位。在新渠道彩票销售领域，公司以智能投注设备及系统的研发、生产和销售为 主。我公司开发的福彩兼营渠道彩票终端包括即开票销售展示柜、智能投注机和便携式电脑票投注机，已推广至山东、江苏、 辽宁、新疆、山西、陕西、河南等十余个省市，市场占有率在行业内居领先地位。</w:t>
      </w:r>
    </w:p>
    <w:p>
      <w:pPr>
        <w:pStyle w:val="Style23"/>
        <w:keepNext/>
        <w:keepLines/>
        <w:widowControl w:val="0"/>
        <w:shd w:val="clear" w:color="auto" w:fill="auto"/>
        <w:tabs>
          <w:tab w:pos="485" w:val="left"/>
        </w:tabs>
        <w:bidi w:val="0"/>
        <w:spacing w:before="0" w:after="260" w:line="240" w:lineRule="auto"/>
        <w:ind w:left="0" w:right="0" w:firstLine="0"/>
        <w:jc w:val="left"/>
      </w:pPr>
      <w:bookmarkStart w:id="80" w:name="bookmark80"/>
      <w:bookmarkStart w:id="81" w:name="bookmark81"/>
      <w:bookmarkStart w:id="82" w:name="bookmark82"/>
      <w:bookmarkStart w:id="83" w:name="bookmark83"/>
      <w:r>
        <w:rPr>
          <w:color w:val="000000"/>
          <w:spacing w:val="0"/>
          <w:w w:val="100"/>
          <w:position w:val="0"/>
        </w:rPr>
        <w:t>三</w:t>
      </w:r>
      <w:bookmarkEnd w:id="82"/>
      <w:r>
        <w:rPr>
          <w:color w:val="000000"/>
          <w:spacing w:val="0"/>
          <w:w w:val="100"/>
          <w:position w:val="0"/>
        </w:rPr>
        <w:t>、</w:t>
        <w:tab/>
        <w:t>核心竞争力分析</w:t>
      </w:r>
      <w:bookmarkEnd w:id="80"/>
      <w:bookmarkEnd w:id="81"/>
      <w:bookmarkEnd w:id="83"/>
    </w:p>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公司多年来，不断总结经验，探索新的产品和业务，逐渐在业务创新、管理机制、市场、技术等方面形成了特有的竞争优势。</w:t>
      </w:r>
    </w:p>
    <w:p>
      <w:pPr>
        <w:pStyle w:val="Style18"/>
        <w:keepNext w:val="0"/>
        <w:keepLines w:val="0"/>
        <w:widowControl w:val="0"/>
        <w:shd w:val="clear" w:color="auto" w:fill="auto"/>
        <w:bidi w:val="0"/>
        <w:spacing w:before="0" w:after="0" w:line="307" w:lineRule="exact"/>
        <w:ind w:left="0" w:right="0"/>
        <w:jc w:val="left"/>
      </w:pPr>
      <w:bookmarkStart w:id="84" w:name="bookmark84"/>
      <w:r>
        <w:rPr>
          <w:color w:val="000000"/>
          <w:spacing w:val="0"/>
          <w:w w:val="100"/>
          <w:position w:val="0"/>
        </w:rPr>
        <w:t>一</w:t>
      </w:r>
      <w:bookmarkEnd w:id="84"/>
      <w:r>
        <w:rPr>
          <w:color w:val="000000"/>
          <w:spacing w:val="0"/>
          <w:w w:val="100"/>
          <w:position w:val="0"/>
        </w:rPr>
        <w:t>、业务创新优势</w:t>
      </w:r>
    </w:p>
    <w:p>
      <w:pPr>
        <w:pStyle w:val="Style18"/>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公司形成了创新型企业文化和以市场需求为导向的创新体系。公司本着市场唯先，用户至上的经营理念，在充分了解 客户需求的基础上，研究市场动态，通过不断创新，保持在各项业务领域的领先。在产品方面，公司不断提高产品技术含量， 由原来的单一票证类印刷品，发展成为集票证类印刷品、数据处理打印服务、</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 xml:space="preserve">标签、智能卡为一体的产品体系，在业 </w:t>
      </w:r>
      <w:r>
        <w:rPr>
          <w:color w:val="000000"/>
          <w:spacing w:val="0"/>
          <w:w w:val="100"/>
          <w:position w:val="0"/>
        </w:rPr>
        <w:t>务领域方面，公司在提供实物产品的基础上，为客户提供数据外包服务、系统集成服务、软件开发和信息服务等多种服务， 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年起公司尝试互联网等新技术业务领域，研发了电子票证、新渠道彩票销售、档案存储及电子化服务业务。新业务的 推出，获得了市场及客户的认可，信息服务产业的收入逐年增加，公司逐渐由传统的制造厂商转型为信息技术服务供应商。</w:t>
      </w:r>
    </w:p>
    <w:p>
      <w:pPr>
        <w:pStyle w:val="Style18"/>
        <w:keepNext w:val="0"/>
        <w:keepLines w:val="0"/>
        <w:widowControl w:val="0"/>
        <w:shd w:val="clear" w:color="auto" w:fill="auto"/>
        <w:tabs>
          <w:tab w:pos="767" w:val="left"/>
        </w:tabs>
        <w:bidi w:val="0"/>
        <w:spacing w:before="0" w:after="0" w:line="313" w:lineRule="exact"/>
        <w:ind w:left="0" w:right="0" w:firstLine="380"/>
        <w:jc w:val="both"/>
      </w:pPr>
      <w:bookmarkStart w:id="85" w:name="bookmark85"/>
      <w:r>
        <w:rPr>
          <w:color w:val="000000"/>
          <w:spacing w:val="0"/>
          <w:w w:val="100"/>
          <w:position w:val="0"/>
        </w:rPr>
        <w:t>二</w:t>
      </w:r>
      <w:bookmarkEnd w:id="85"/>
      <w:r>
        <w:rPr>
          <w:color w:val="000000"/>
          <w:spacing w:val="0"/>
          <w:w w:val="100"/>
          <w:position w:val="0"/>
        </w:rPr>
        <w:t>、</w:t>
        <w:tab/>
        <w:t>管理机制优势</w:t>
      </w:r>
    </w:p>
    <w:p>
      <w:pPr>
        <w:pStyle w:val="Style18"/>
        <w:keepNext w:val="0"/>
        <w:keepLines w:val="0"/>
        <w:widowControl w:val="0"/>
        <w:shd w:val="clear" w:color="auto" w:fill="auto"/>
        <w:bidi w:val="0"/>
        <w:spacing w:before="0" w:after="0" w:line="313" w:lineRule="exact"/>
        <w:ind w:left="0" w:right="0" w:firstLine="400"/>
        <w:jc w:val="left"/>
      </w:pPr>
      <w:r>
        <w:rPr>
          <w:color w:val="000000"/>
          <w:spacing w:val="0"/>
          <w:w w:val="100"/>
          <w:position w:val="0"/>
        </w:rPr>
        <w:t>公司根据上市公司治理准则，建立了适应市场发展的管理体制，兼顾股东、客户和员工三方利益。根据市场不同阶段 的特征适时进行调整和改进，在规范的基础上有效地调动各级员工的积极性。公司建立了多层级的薪酬和奖励体系，一是实 施了以业绩指标为导向的薪酬管理体系，二是对主要经营管理层人员实施了管理层持股，骨干员工获得了与公司共同发展的 机会，为公司长期稳定的发展奠定了基础。</w:t>
      </w:r>
    </w:p>
    <w:p>
      <w:pPr>
        <w:pStyle w:val="Style18"/>
        <w:keepNext w:val="0"/>
        <w:keepLines w:val="0"/>
        <w:widowControl w:val="0"/>
        <w:shd w:val="clear" w:color="auto" w:fill="auto"/>
        <w:bidi w:val="0"/>
        <w:spacing w:before="0" w:after="0" w:line="313" w:lineRule="exact"/>
        <w:ind w:left="0" w:right="0" w:firstLine="400"/>
        <w:jc w:val="left"/>
      </w:pPr>
      <w:r>
        <w:rPr>
          <w:color w:val="000000"/>
          <w:spacing w:val="0"/>
          <w:w w:val="100"/>
          <w:position w:val="0"/>
        </w:rPr>
        <w:t>公司具备高效的执行力。公司崇尚实干精神，形成了脚踏实地，精益求精的执行体系，在制定计划、实施推广等各个 环节重实干、讲实效，工作态度严谨细致，从而形成了高效的执行力团队。</w:t>
      </w:r>
    </w:p>
    <w:p>
      <w:pPr>
        <w:pStyle w:val="Style18"/>
        <w:keepNext w:val="0"/>
        <w:keepLines w:val="0"/>
        <w:widowControl w:val="0"/>
        <w:shd w:val="clear" w:color="auto" w:fill="auto"/>
        <w:tabs>
          <w:tab w:pos="772" w:val="left"/>
        </w:tabs>
        <w:bidi w:val="0"/>
        <w:spacing w:before="0" w:after="0" w:line="313" w:lineRule="exact"/>
        <w:ind w:left="0" w:right="0" w:firstLine="380"/>
        <w:jc w:val="both"/>
      </w:pPr>
      <w:bookmarkStart w:id="86" w:name="bookmark86"/>
      <w:r>
        <w:rPr>
          <w:color w:val="000000"/>
          <w:spacing w:val="0"/>
          <w:w w:val="100"/>
          <w:position w:val="0"/>
        </w:rPr>
        <w:t>三</w:t>
      </w:r>
      <w:bookmarkEnd w:id="86"/>
      <w:r>
        <w:rPr>
          <w:color w:val="000000"/>
          <w:spacing w:val="0"/>
          <w:w w:val="100"/>
          <w:position w:val="0"/>
        </w:rPr>
        <w:t>、</w:t>
        <w:tab/>
        <w:t>市场优势</w:t>
      </w:r>
    </w:p>
    <w:p>
      <w:pPr>
        <w:pStyle w:val="Style18"/>
        <w:keepNext w:val="0"/>
        <w:keepLines w:val="0"/>
        <w:widowControl w:val="0"/>
        <w:shd w:val="clear" w:color="auto" w:fill="auto"/>
        <w:bidi w:val="0"/>
        <w:spacing w:before="0" w:after="0" w:line="313" w:lineRule="exact"/>
        <w:ind w:left="0" w:right="0" w:firstLine="400"/>
        <w:jc w:val="left"/>
      </w:pPr>
      <w:r>
        <w:rPr>
          <w:color w:val="000000"/>
          <w:spacing w:val="0"/>
          <w:w w:val="100"/>
          <w:position w:val="0"/>
        </w:rPr>
        <w:t xml:space="preserve">经过多年的发展，公司建成了覆盖全国的销售和生产服务网络，在全国重点城市建立了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个销售网点和多家控股子公 司，完善的销售和生产服务网络确保公司参与全国各个区域市场的竞争，能够为全国各地区的客户提供高效、便捷的服务。 公司和全国大型金融、保险、财税、国家部委等客户建立了稳定的合作关系，积累了大量的优质客户资源，树立了良好的口 碑。公司不仅能从客户对商业票证需求的增长中充分分享行业的增长，而且能够依托现有客户群不断提升的个性化需求，进 行多种产品和服务叠加，通过对客户增加产品和服务的附加价值，提升公司经营业绩。</w:t>
      </w:r>
    </w:p>
    <w:p>
      <w:pPr>
        <w:pStyle w:val="Style18"/>
        <w:keepNext w:val="0"/>
        <w:keepLines w:val="0"/>
        <w:widowControl w:val="0"/>
        <w:shd w:val="clear" w:color="auto" w:fill="auto"/>
        <w:tabs>
          <w:tab w:pos="772" w:val="left"/>
        </w:tabs>
        <w:bidi w:val="0"/>
        <w:spacing w:before="0" w:line="313" w:lineRule="exact"/>
        <w:ind w:left="0" w:right="0" w:firstLine="380"/>
        <w:jc w:val="both"/>
      </w:pPr>
      <w:bookmarkStart w:id="87" w:name="bookmark87"/>
      <w:r>
        <w:rPr>
          <w:color w:val="000000"/>
          <w:spacing w:val="0"/>
          <w:w w:val="100"/>
          <w:position w:val="0"/>
        </w:rPr>
        <w:t>四</w:t>
      </w:r>
      <w:bookmarkEnd w:id="87"/>
      <w:r>
        <w:rPr>
          <w:color w:val="000000"/>
          <w:spacing w:val="0"/>
          <w:w w:val="100"/>
          <w:position w:val="0"/>
        </w:rPr>
        <w:t>、</w:t>
        <w:tab/>
        <w:t>技术优势</w:t>
      </w:r>
    </w:p>
    <w:p>
      <w:pPr>
        <w:pStyle w:val="Style18"/>
        <w:keepNext w:val="0"/>
        <w:keepLines w:val="0"/>
        <w:widowControl w:val="0"/>
        <w:shd w:val="clear" w:color="auto" w:fill="auto"/>
        <w:bidi w:val="0"/>
        <w:spacing w:before="0" w:after="380" w:line="312" w:lineRule="exact"/>
        <w:ind w:left="0" w:right="0" w:firstLine="400"/>
        <w:jc w:val="both"/>
      </w:pPr>
      <w:r>
        <w:rPr>
          <w:color w:val="000000"/>
          <w:spacing w:val="0"/>
          <w:w w:val="100"/>
          <w:position w:val="0"/>
        </w:rPr>
        <w:t>本公司建有北京、上海、济南、广州四个研发中心，具备了完善的研发体系。公司在防伪技术、信息技术、智能标签 技术，档案存储和区块链技术领域投入了大量资源，整体研发实力和技术服务能力居于行业领先地位。公司的研发和技术创 新能力，能够引导客户不断产生新的需求，从而使公司各项业务不断发展，不断向信息技术服务商进行转型。</w:t>
      </w:r>
    </w:p>
    <w:p>
      <w:pPr>
        <w:pStyle w:val="Style23"/>
        <w:keepNext/>
        <w:keepLines/>
        <w:widowControl w:val="0"/>
        <w:shd w:val="clear" w:color="auto" w:fill="auto"/>
        <w:bidi w:val="0"/>
        <w:spacing w:before="0" w:after="380" w:line="240" w:lineRule="auto"/>
        <w:ind w:left="0" w:right="0" w:firstLine="0"/>
        <w:jc w:val="left"/>
      </w:pPr>
      <w:bookmarkStart w:id="88" w:name="bookmark88"/>
      <w:bookmarkStart w:id="89" w:name="bookmark89"/>
      <w:bookmarkStart w:id="90" w:name="bookmark90"/>
      <w:bookmarkStart w:id="91" w:name="bookmark91"/>
      <w:r>
        <w:rPr>
          <w:color w:val="000000"/>
          <w:spacing w:val="0"/>
          <w:w w:val="100"/>
          <w:position w:val="0"/>
        </w:rPr>
        <w:t>四</w:t>
      </w:r>
      <w:bookmarkEnd w:id="90"/>
      <w:r>
        <w:rPr>
          <w:color w:val="000000"/>
          <w:spacing w:val="0"/>
          <w:w w:val="100"/>
          <w:position w:val="0"/>
        </w:rPr>
        <w:t>、主营业务分析</w:t>
      </w:r>
      <w:bookmarkEnd w:id="88"/>
      <w:bookmarkEnd w:id="89"/>
      <w:bookmarkEnd w:id="91"/>
    </w:p>
    <w:p>
      <w:pPr>
        <w:pStyle w:val="Style32"/>
        <w:keepNext/>
        <w:keepLines/>
        <w:widowControl w:val="0"/>
        <w:shd w:val="clear" w:color="auto" w:fill="auto"/>
        <w:bidi w:val="0"/>
        <w:spacing w:before="0" w:after="260" w:line="240" w:lineRule="auto"/>
        <w:ind w:left="0" w:right="0" w:firstLine="0"/>
        <w:jc w:val="left"/>
      </w:pPr>
      <w:bookmarkStart w:id="92" w:name="bookmark92"/>
      <w:bookmarkStart w:id="93" w:name="bookmark93"/>
      <w:bookmarkStart w:id="94" w:name="bookmark94"/>
      <w:bookmarkStart w:id="95" w:name="bookmark95"/>
      <w:r>
        <w:rPr>
          <w:rFonts w:ascii="Times New Roman" w:eastAsia="Times New Roman" w:hAnsi="Times New Roman" w:cs="Times New Roman"/>
          <w:color w:val="000000"/>
          <w:spacing w:val="0"/>
          <w:w w:val="100"/>
          <w:position w:val="0"/>
        </w:rPr>
        <w:t>1</w:t>
      </w:r>
      <w:bookmarkEnd w:id="94"/>
      <w:r>
        <w:rPr>
          <w:color w:val="000000"/>
          <w:spacing w:val="0"/>
          <w:w w:val="100"/>
          <w:position w:val="0"/>
        </w:rPr>
        <w:t>、概述</w:t>
      </w:r>
      <w:bookmarkEnd w:id="92"/>
      <w:bookmarkEnd w:id="93"/>
      <w:bookmarkEnd w:id="95"/>
    </w:p>
    <w:p>
      <w:pPr>
        <w:pStyle w:val="Style18"/>
        <w:keepNext w:val="0"/>
        <w:keepLines w:val="0"/>
        <w:widowControl w:val="0"/>
        <w:shd w:val="clear" w:color="auto" w:fill="auto"/>
        <w:bidi w:val="0"/>
        <w:spacing w:before="0" w:line="309" w:lineRule="exact"/>
        <w:ind w:left="0" w:right="0" w:firstLine="400"/>
        <w:jc w:val="left"/>
      </w:pPr>
      <w:r>
        <w:rPr>
          <w:color w:val="000000"/>
          <w:spacing w:val="0"/>
          <w:w w:val="100"/>
          <w:position w:val="0"/>
        </w:rPr>
        <w:t>报告期内，随着非接触式办公模式的推广，传统纸质票证的使用量减少，给公司经营带来了一定的困难。面对转型中的 市场，公司制定有效的管理措施，采取新型销售模式，加大市场开发力度，不断开发新的产品和新的技术，拓宽市场领域， 加强内部成本控制，使公司的经营业绩保持了提升。报告期内实现销售收入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亿元，实现净利润</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.86</w:t>
      </w:r>
      <w:r>
        <w:rPr>
          <w:color w:val="000000"/>
          <w:spacing w:val="0"/>
          <w:w w:val="100"/>
          <w:position w:val="0"/>
        </w:rPr>
        <w:t>亿元，分别比</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年增 长 </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 xml:space="preserve">70% </w:t>
      </w:r>
      <w:r>
        <w:rPr>
          <w:color w:val="000000"/>
          <w:spacing w:val="0"/>
          <w:w w:val="100"/>
          <w:position w:val="0"/>
        </w:rPr>
        <w:t xml:space="preserve">和 </w:t>
      </w:r>
      <w:r>
        <w:rPr>
          <w:rFonts w:ascii="Times New Roman" w:eastAsia="Times New Roman" w:hAnsi="Times New Roman" w:cs="Times New Roman"/>
          <w:color w:val="000000"/>
          <w:spacing w:val="0"/>
          <w:w w:val="100"/>
          <w:position w:val="0"/>
          <w:sz w:val="18"/>
          <w:szCs w:val="18"/>
        </w:rPr>
        <w:t>14.18%</w:t>
      </w:r>
      <w:r>
        <w:rPr>
          <w:color w:val="000000"/>
          <w:spacing w:val="0"/>
          <w:w w:val="100"/>
          <w:position w:val="0"/>
        </w:rPr>
        <w:t>。</w:t>
      </w:r>
    </w:p>
    <w:p>
      <w:pPr>
        <w:pStyle w:val="Style18"/>
        <w:keepNext w:val="0"/>
        <w:keepLines w:val="0"/>
        <w:widowControl w:val="0"/>
        <w:shd w:val="clear" w:color="auto" w:fill="auto"/>
        <w:bidi w:val="0"/>
        <w:spacing w:before="0" w:line="313" w:lineRule="exact"/>
        <w:ind w:left="0" w:right="0" w:firstLine="400"/>
        <w:jc w:val="left"/>
      </w:pPr>
      <w:r>
        <w:rPr>
          <w:color w:val="000000"/>
          <w:spacing w:val="0"/>
          <w:w w:val="100"/>
          <w:position w:val="0"/>
        </w:rPr>
        <w:t>报告期内，公司各类产品经营情况分析：</w:t>
      </w:r>
    </w:p>
    <w:p>
      <w:pPr>
        <w:pStyle w:val="Style18"/>
        <w:keepNext w:val="0"/>
        <w:keepLines w:val="0"/>
        <w:widowControl w:val="0"/>
        <w:shd w:val="clear" w:color="auto" w:fill="auto"/>
        <w:bidi w:val="0"/>
        <w:spacing w:before="0" w:line="298" w:lineRule="exact"/>
        <w:ind w:left="0" w:right="0" w:firstLine="400"/>
        <w:jc w:val="left"/>
      </w:pPr>
      <w:r>
        <w:rPr>
          <w:color w:val="000000"/>
          <w:spacing w:val="0"/>
          <w:w w:val="100"/>
          <w:position w:val="0"/>
        </w:rPr>
        <w:t>公司印刷类产品通过开拓新用户，开发新产品，克服了纸质票证减少所带来的冲击，保持了经营状况的稳定，营业收入 增长</w:t>
      </w:r>
      <w:r>
        <w:rPr>
          <w:rFonts w:ascii="Times New Roman" w:eastAsia="Times New Roman" w:hAnsi="Times New Roman" w:cs="Times New Roman"/>
          <w:color w:val="000000"/>
          <w:spacing w:val="0"/>
          <w:w w:val="100"/>
          <w:position w:val="0"/>
          <w:sz w:val="18"/>
          <w:szCs w:val="18"/>
        </w:rPr>
        <w:t>3.82%</w:t>
      </w:r>
      <w:r>
        <w:rPr>
          <w:color w:val="000000"/>
          <w:spacing w:val="0"/>
          <w:w w:val="100"/>
          <w:position w:val="0"/>
        </w:rPr>
        <w:t>，产品毛利率增加</w:t>
      </w:r>
      <w:r>
        <w:rPr>
          <w:rFonts w:ascii="Times New Roman" w:eastAsia="Times New Roman" w:hAnsi="Times New Roman" w:cs="Times New Roman"/>
          <w:color w:val="000000"/>
          <w:spacing w:val="0"/>
          <w:w w:val="100"/>
          <w:position w:val="0"/>
          <w:sz w:val="18"/>
          <w:szCs w:val="18"/>
        </w:rPr>
        <w:t>0.61%</w:t>
      </w:r>
      <w:r>
        <w:rPr>
          <w:color w:val="000000"/>
          <w:spacing w:val="0"/>
          <w:w w:val="100"/>
          <w:position w:val="0"/>
        </w:rPr>
        <w:t>。</w:t>
      </w:r>
    </w:p>
    <w:p>
      <w:pPr>
        <w:pStyle w:val="Style18"/>
        <w:keepNext w:val="0"/>
        <w:keepLines w:val="0"/>
        <w:widowControl w:val="0"/>
        <w:shd w:val="clear" w:color="auto" w:fill="auto"/>
        <w:bidi w:val="0"/>
        <w:spacing w:before="0" w:line="312" w:lineRule="exact"/>
        <w:ind w:left="0" w:right="0" w:firstLine="400"/>
        <w:jc w:val="left"/>
      </w:pPr>
      <w:r>
        <w:rPr>
          <w:color w:val="000000"/>
          <w:spacing w:val="0"/>
          <w:w w:val="100"/>
          <w:position w:val="0"/>
        </w:rPr>
        <w:t>覆合类产品在报告期内营业收入下降</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，主要是因为报告期内全国各省市实施第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代社保卡和第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代社保卡切换工 作，社保卡发卡量下降。同时，金融系统为打击电信诈骗，对银行卡的申领制定了非常严苛的要求，致使银行卡类产品使用 量下降。随着第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代社保卡的发行和银行卡申领政策的改善，预计在</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年，有关卡类产品将有恢复性的上涨。</w:t>
      </w:r>
    </w:p>
    <w:p>
      <w:pPr>
        <w:pStyle w:val="Style18"/>
        <w:keepNext w:val="0"/>
        <w:keepLines w:val="0"/>
        <w:widowControl w:val="0"/>
        <w:shd w:val="clear" w:color="auto" w:fill="auto"/>
        <w:bidi w:val="0"/>
        <w:spacing w:before="0" w:line="314" w:lineRule="exact"/>
        <w:ind w:left="0" w:right="0" w:firstLine="400"/>
        <w:jc w:val="left"/>
      </w:pPr>
      <w:r>
        <w:rPr>
          <w:color w:val="000000"/>
          <w:spacing w:val="0"/>
          <w:w w:val="100"/>
          <w:position w:val="0"/>
        </w:rPr>
        <w:t>公司技术服务类产品保持了良好的增长态势，全年完成营业收入</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.59</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3.95%</w:t>
      </w:r>
      <w:r>
        <w:rPr>
          <w:color w:val="000000"/>
          <w:spacing w:val="0"/>
          <w:w w:val="100"/>
          <w:position w:val="0"/>
        </w:rPr>
        <w:t>。东港瑞云的档案存储业务 目前已覆盖全国</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个重点城市，服务范围覆盖全国，营业收入和利润自成立均保持了增长。公司的电子票证业务收入增长情 况良好，在行业内的影响力也日益增长。</w:t>
      </w:r>
    </w:p>
    <w:p>
      <w:pPr>
        <w:pStyle w:val="Style18"/>
        <w:keepNext w:val="0"/>
        <w:keepLines w:val="0"/>
        <w:widowControl w:val="0"/>
        <w:shd w:val="clear" w:color="auto" w:fill="auto"/>
        <w:bidi w:val="0"/>
        <w:spacing w:before="0" w:line="313" w:lineRule="exact"/>
        <w:ind w:left="0" w:right="0" w:firstLine="380"/>
        <w:jc w:val="left"/>
      </w:pPr>
      <w:r>
        <w:rPr>
          <w:color w:val="000000"/>
          <w:spacing w:val="0"/>
          <w:w w:val="100"/>
          <w:position w:val="0"/>
        </w:rPr>
        <w:t>新渠道彩票业务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年实现收入</w:t>
      </w:r>
      <w:r>
        <w:rPr>
          <w:rFonts w:ascii="Times New Roman" w:eastAsia="Times New Roman" w:hAnsi="Times New Roman" w:cs="Times New Roman"/>
          <w:color w:val="000000"/>
          <w:spacing w:val="0"/>
          <w:w w:val="100"/>
          <w:position w:val="0"/>
          <w:sz w:val="18"/>
          <w:szCs w:val="18"/>
        </w:rPr>
        <w:t>5,215</w:t>
      </w:r>
      <w:r>
        <w:rPr>
          <w:color w:val="000000"/>
          <w:spacing w:val="0"/>
          <w:w w:val="100"/>
          <w:position w:val="0"/>
        </w:rPr>
        <w:t>万元，为历史新高，这也为该项业务未来更好的发展奠定了良好的基础。</w:t>
      </w:r>
      <w:r>
        <w:br w:type="page"/>
      </w:r>
    </w:p>
    <w:p>
      <w:pPr>
        <w:pStyle w:val="Style32"/>
        <w:keepNext/>
        <w:keepLines/>
        <w:widowControl w:val="0"/>
        <w:shd w:val="clear" w:color="auto" w:fill="auto"/>
        <w:bidi w:val="0"/>
        <w:spacing w:before="0" w:line="240" w:lineRule="auto"/>
        <w:ind w:left="0" w:right="0" w:firstLine="0"/>
        <w:jc w:val="left"/>
      </w:pPr>
      <w:bookmarkStart w:id="96" w:name="bookmark96"/>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2</w:t>
      </w:r>
      <w:bookmarkEnd w:id="98"/>
      <w:r>
        <w:rPr>
          <w:color w:val="000000"/>
          <w:spacing w:val="0"/>
          <w:w w:val="100"/>
          <w:position w:val="0"/>
        </w:rPr>
        <w:t>、收入与成本</w:t>
      </w:r>
      <w:bookmarkEnd w:id="96"/>
      <w:bookmarkEnd w:id="97"/>
      <w:bookmarkEnd w:id="99"/>
    </w:p>
    <w:p>
      <w:pPr>
        <w:pStyle w:val="Style36"/>
        <w:keepNext/>
        <w:keepLines/>
        <w:widowControl w:val="0"/>
        <w:numPr>
          <w:ilvl w:val="0"/>
          <w:numId w:val="3"/>
        </w:numPr>
        <w:shd w:val="clear" w:color="auto" w:fill="auto"/>
        <w:bidi w:val="0"/>
        <w:spacing w:before="0" w:line="240" w:lineRule="auto"/>
        <w:ind w:left="0" w:right="0" w:firstLine="0"/>
        <w:jc w:val="left"/>
      </w:pPr>
      <w:bookmarkStart w:id="100" w:name="bookmark100"/>
      <w:bookmarkStart w:id="101" w:name="bookmark101"/>
      <w:bookmarkStart w:id="102" w:name="bookmark102"/>
      <w:bookmarkStart w:id="103" w:name="bookmark103"/>
      <w:bookmarkEnd w:id="102"/>
      <w:r>
        <w:rPr>
          <w:color w:val="000000"/>
          <w:spacing w:val="0"/>
          <w:w w:val="100"/>
          <w:position w:val="0"/>
        </w:rPr>
        <w:t>营业收入构成</w:t>
      </w:r>
      <w:bookmarkEnd w:id="100"/>
      <w:bookmarkEnd w:id="101"/>
      <w:bookmarkEnd w:id="103"/>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1,200,941,510.94</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1,180,859,259.81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w:t>
            </w:r>
          </w:p>
        </w:tc>
      </w:tr>
      <w:tr>
        <w:trPr>
          <w:trHeight w:val="403"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960,651,265.52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965,233,651.04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158,605,628.56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152,577,388.58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81,684,616.86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63,048,220.19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29.56%</w:t>
            </w:r>
          </w:p>
        </w:tc>
      </w:tr>
      <w:tr>
        <w:trPr>
          <w:trHeight w:val="403"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821,324,728.78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791,106,414.30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覆合类产品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139,326,536.74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174,127,236.74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158,605,628.56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152,577,388.58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81,684,616.86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63,048,220.19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29.56%</w:t>
            </w:r>
          </w:p>
        </w:tc>
      </w:tr>
      <w:tr>
        <w:trPr>
          <w:trHeight w:val="398"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263,604,401.51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335,351,057.36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-21.39%</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937,337,109.43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845,508,202.45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10.86%</w:t>
            </w:r>
          </w:p>
        </w:tc>
      </w:tr>
    </w:tbl>
    <w:p>
      <w:pPr>
        <w:widowControl w:val="0"/>
        <w:spacing w:after="319" w:line="1" w:lineRule="exact"/>
      </w:pPr>
    </w:p>
    <w:p>
      <w:pPr>
        <w:pStyle w:val="Style36"/>
        <w:keepNext/>
        <w:keepLines/>
        <w:widowControl w:val="0"/>
        <w:numPr>
          <w:ilvl w:val="0"/>
          <w:numId w:val="3"/>
        </w:numPr>
        <w:shd w:val="clear" w:color="auto" w:fill="auto"/>
        <w:bidi w:val="0"/>
        <w:spacing w:before="0" w:line="240" w:lineRule="auto"/>
        <w:ind w:left="0" w:right="0" w:firstLine="0"/>
        <w:jc w:val="left"/>
      </w:pPr>
      <w:bookmarkStart w:id="104" w:name="bookmark104"/>
      <w:bookmarkStart w:id="105" w:name="bookmark105"/>
      <w:bookmarkStart w:id="106" w:name="bookmark106"/>
      <w:bookmarkStart w:id="107" w:name="bookmark107"/>
      <w:bookmarkEnd w:id="106"/>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04"/>
      <w:bookmarkEnd w:id="105"/>
      <w:bookmarkEnd w:id="107"/>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960,651,265.52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600,261,789.83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37.52%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0.92%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158,605,628.56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86,625,714.86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45.38%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821,324,728.78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521,398,602.74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36.52%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0.61%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覆合类产品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139,326,536.74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78,863,187.09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43.40%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158,605,628.56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86,625,714.86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45.38%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263,604,401.51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171,245,418.32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35.04%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w:t>
            </w:r>
          </w:p>
        </w:tc>
      </w:tr>
    </w:tbl>
    <w:p>
      <w:pPr>
        <w:widowControl w:val="0"/>
        <w:spacing w:line="1" w:lineRule="exact"/>
      </w:pPr>
      <w:r>
        <w:br w:type="page"/>
      </w:r>
    </w:p>
    <w:tbl>
      <w:tblPr>
        <w:tblOverlap w:val="never"/>
        <w:jc w:val="center"/>
        <w:tblLayout w:type="fixed"/>
      </w:tblPr>
      <w:tblGrid>
        <w:gridCol w:w="1378"/>
        <w:gridCol w:w="1363"/>
        <w:gridCol w:w="1368"/>
        <w:gridCol w:w="1368"/>
        <w:gridCol w:w="1363"/>
        <w:gridCol w:w="1368"/>
        <w:gridCol w:w="1382"/>
      </w:tblGrid>
      <w:tr>
        <w:trPr>
          <w:trHeight w:val="41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937,337,109.43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569,309,859.18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r>
    </w:tbl>
    <w:p>
      <w:pPr>
        <w:widowControl w:val="0"/>
        <w:spacing w:after="43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960,651,265.52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600,261,789.83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0.91%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210,751,567.86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126,855,418.95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821,324,728.78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521,398,602.74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0.61%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覆合类产品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139,326,536.74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78,863,187.09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210,751,567.86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126,855,418.95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263,604,401.51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171,245,418.32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937,337,109.43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569,309,859.18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变更口径的理由</w:t>
      </w:r>
    </w:p>
    <w:p>
      <w:pPr>
        <w:pStyle w:val="Style18"/>
        <w:keepNext w:val="0"/>
        <w:keepLines w:val="0"/>
        <w:widowControl w:val="0"/>
        <w:shd w:val="clear" w:color="auto" w:fill="auto"/>
        <w:bidi w:val="0"/>
        <w:spacing w:before="0" w:after="380" w:line="312" w:lineRule="exact"/>
        <w:ind w:left="0" w:right="0"/>
        <w:jc w:val="left"/>
      </w:pPr>
      <w:r>
        <w:rPr>
          <w:color w:val="000000"/>
          <w:spacing w:val="0"/>
          <w:w w:val="100"/>
          <w:position w:val="0"/>
        </w:rPr>
        <w:t>公司原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业务中包含彩票终端的运营服务，该项业务目前已变更为设备销售为主，因此在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业务中调 出，变更为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w:t>
      </w:r>
    </w:p>
    <w:p>
      <w:pPr>
        <w:pStyle w:val="Style36"/>
        <w:keepNext/>
        <w:keepLines/>
        <w:widowControl w:val="0"/>
        <w:shd w:val="clear" w:color="auto" w:fill="auto"/>
        <w:tabs>
          <w:tab w:pos="493" w:val="left"/>
        </w:tabs>
        <w:bidi w:val="0"/>
        <w:spacing w:before="0" w:after="280" w:line="240" w:lineRule="auto"/>
        <w:ind w:left="0" w:right="0" w:firstLine="0"/>
        <w:jc w:val="left"/>
      </w:pPr>
      <w:bookmarkStart w:id="108" w:name="bookmark108"/>
      <w:bookmarkStart w:id="109" w:name="bookmark109"/>
      <w:bookmarkStart w:id="110" w:name="bookmark110"/>
      <w:bookmarkStart w:id="111" w:name="bookmark111"/>
      <w:r>
        <w:rPr>
          <w:color w:val="000000"/>
          <w:spacing w:val="0"/>
          <w:w w:val="100"/>
          <w:position w:val="0"/>
        </w:rPr>
        <w:t>（</w:t>
      </w:r>
      <w:bookmarkEnd w:id="110"/>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08"/>
      <w:bookmarkEnd w:id="109"/>
      <w:bookmarkEnd w:id="111"/>
    </w:p>
    <w:p>
      <w:pPr>
        <w:pStyle w:val="Style18"/>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6"/>
        <w:keepNext/>
        <w:keepLines/>
        <w:widowControl w:val="0"/>
        <w:shd w:val="clear" w:color="auto" w:fill="auto"/>
        <w:tabs>
          <w:tab w:pos="493" w:val="left"/>
        </w:tabs>
        <w:bidi w:val="0"/>
        <w:spacing w:before="0" w:after="280" w:line="240" w:lineRule="auto"/>
        <w:ind w:left="0" w:right="0" w:firstLine="0"/>
        <w:jc w:val="left"/>
      </w:pPr>
      <w:bookmarkStart w:id="112" w:name="bookmark112"/>
      <w:bookmarkStart w:id="113" w:name="bookmark113"/>
      <w:bookmarkStart w:id="114" w:name="bookmark114"/>
      <w:bookmarkStart w:id="115" w:name="bookmark115"/>
      <w:r>
        <w:rPr>
          <w:color w:val="000000"/>
          <w:spacing w:val="0"/>
          <w:w w:val="100"/>
          <w:position w:val="0"/>
        </w:rPr>
        <w:t>（</w:t>
      </w:r>
      <w:bookmarkEnd w:id="114"/>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12"/>
      <w:bookmarkEnd w:id="113"/>
      <w:bookmarkEnd w:id="115"/>
    </w:p>
    <w:p>
      <w:pPr>
        <w:pStyle w:val="Style18"/>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after="280" w:line="240" w:lineRule="auto"/>
        <w:ind w:left="0" w:right="0" w:firstLine="0"/>
        <w:jc w:val="left"/>
      </w:pPr>
      <w:bookmarkStart w:id="116" w:name="bookmark116"/>
      <w:bookmarkStart w:id="117" w:name="bookmark117"/>
      <w:bookmarkStart w:id="118" w:name="bookmark118"/>
      <w:bookmarkStart w:id="119" w:name="bookmark119"/>
      <w:r>
        <w:rPr>
          <w:color w:val="000000"/>
          <w:spacing w:val="0"/>
          <w:w w:val="100"/>
          <w:position w:val="0"/>
        </w:rPr>
        <w:t>（</w:t>
      </w:r>
      <w:bookmarkEnd w:id="118"/>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16"/>
      <w:bookmarkEnd w:id="117"/>
      <w:bookmarkEnd w:id="119"/>
    </w:p>
    <w:p>
      <w:pPr>
        <w:pStyle w:val="Style18"/>
        <w:keepNext w:val="0"/>
        <w:keepLines w:val="0"/>
        <w:widowControl w:val="0"/>
        <w:shd w:val="clear" w:color="auto" w:fill="auto"/>
        <w:bidi w:val="0"/>
        <w:spacing w:before="0" w:after="120" w:line="312" w:lineRule="exact"/>
        <w:ind w:left="0" w:right="0" w:firstLine="0"/>
        <w:jc w:val="left"/>
      </w:pPr>
      <w:r>
        <w:rPr>
          <w:color w:val="000000"/>
          <w:spacing w:val="0"/>
          <w:w w:val="100"/>
          <w:position w:val="0"/>
        </w:rPr>
        <w:t>产品分类</w:t>
      </w:r>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311,094,161.96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256,680,523.15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69,071,371.82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49,672,599.03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印刷产品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66,944,374.41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121,360,043.03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-11.34%</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其他辅料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39,457,265.15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38,292,079.44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34,831,429.39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35,957,452.55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覆合类产品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40,226,630.46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63,116,710.01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覆合类产品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13,088,005.75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10,043,983.17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覆合类产品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12,876,697.65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18,162,482.45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覆合类产品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其他辅料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7,252,413.40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13,612,383.17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覆合类产品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5,419,439.83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5,049,308.94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9,569,355.39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4,661,219.68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7,061,160.89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4,712,963.86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折旧及摊销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22,347,239.25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20,300,168.07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委托外部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28,843,516.80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41,543,723.32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16,753,488.56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16,192,322.44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运营费用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2,041,332.39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4,272,468.47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9,621.58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r>
    </w:tbl>
    <w:p>
      <w:pPr>
        <w:widowControl w:val="0"/>
        <w:spacing w:after="319" w:line="1" w:lineRule="exact"/>
      </w:pPr>
    </w:p>
    <w:p>
      <w:pPr>
        <w:pStyle w:val="Style36"/>
        <w:keepNext/>
        <w:keepLines/>
        <w:widowControl w:val="0"/>
        <w:shd w:val="clear" w:color="auto" w:fill="auto"/>
        <w:tabs>
          <w:tab w:pos="493" w:val="left"/>
        </w:tabs>
        <w:bidi w:val="0"/>
        <w:spacing w:before="0" w:line="240" w:lineRule="auto"/>
        <w:ind w:left="0" w:right="0" w:firstLine="0"/>
        <w:jc w:val="left"/>
      </w:pPr>
      <w:bookmarkStart w:id="120" w:name="bookmark120"/>
      <w:bookmarkStart w:id="121" w:name="bookmark121"/>
      <w:bookmarkStart w:id="122" w:name="bookmark122"/>
      <w:bookmarkStart w:id="123" w:name="bookmark123"/>
      <w:r>
        <w:rPr>
          <w:color w:val="000000"/>
          <w:spacing w:val="0"/>
          <w:w w:val="100"/>
          <w:position w:val="0"/>
        </w:rPr>
        <w:t>（</w:t>
      </w:r>
      <w:bookmarkEnd w:id="122"/>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0"/>
      <w:bookmarkEnd w:id="121"/>
      <w:bookmarkEnd w:id="123"/>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shd w:val="clear" w:color="auto" w:fill="auto"/>
        <w:tabs>
          <w:tab w:pos="493" w:val="left"/>
        </w:tabs>
        <w:bidi w:val="0"/>
        <w:spacing w:before="0" w:line="240" w:lineRule="auto"/>
        <w:ind w:left="0" w:right="0" w:firstLine="0"/>
        <w:jc w:val="left"/>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4"/>
      <w:bookmarkEnd w:id="125"/>
      <w:bookmarkEnd w:id="127"/>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line="240" w:lineRule="auto"/>
        <w:ind w:left="0" w:right="0" w:firstLine="0"/>
        <w:jc w:val="left"/>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28"/>
      <w:bookmarkEnd w:id="129"/>
      <w:bookmarkEnd w:id="131"/>
    </w:p>
    <w:p>
      <w:pPr>
        <w:pStyle w:val="Style18"/>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193,219,134.70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16.09%</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59" w:line="1" w:lineRule="exact"/>
      </w:pPr>
    </w:p>
    <w:p>
      <w:pPr>
        <w:widowControl w:val="0"/>
        <w:spacing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A</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68,132,972.88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pPr>
            <w:r>
              <w:rPr>
                <w:color w:val="000000"/>
                <w:spacing w:val="0"/>
                <w:w w:val="100"/>
                <w:position w:val="0"/>
              </w:rPr>
              <w:t>5.67%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B</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40,053,797.23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pPr>
            <w:r>
              <w:rPr>
                <w:color w:val="000000"/>
                <w:spacing w:val="0"/>
                <w:w w:val="100"/>
                <w:position w:val="0"/>
              </w:rPr>
              <w:t>3.34%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34,345,831.39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2.86%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28,653,687.25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2.39%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E</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22,032,845.96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pPr>
            <w:r>
              <w:rPr>
                <w:color w:val="000000"/>
                <w:spacing w:val="0"/>
                <w:w w:val="100"/>
                <w:position w:val="0"/>
              </w:rPr>
              <w:t>1.83%</w:t>
            </w:r>
          </w:p>
        </w:tc>
      </w:tr>
    </w:tbl>
    <w:p>
      <w:pPr>
        <w:widowControl w:val="0"/>
        <w:spacing w:line="1" w:lineRule="exact"/>
      </w:pPr>
      <w:r>
        <w:br w:type="page"/>
      </w:r>
    </w:p>
    <w:tbl>
      <w:tblPr>
        <w:tblOverlap w:val="never"/>
        <w:jc w:val="center"/>
        <w:tblLayout w:type="fixed"/>
      </w:tblPr>
      <w:tblGrid>
        <w:gridCol w:w="811"/>
        <w:gridCol w:w="3302"/>
        <w:gridCol w:w="2318"/>
        <w:gridCol w:w="3154"/>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193,219,134.70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16.09%</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142,267,349.06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11.66%</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p>
      <w:pPr>
        <w:widowControl w:val="0"/>
        <w:spacing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A</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31,009,577.01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2.54%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B</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30,803,760.00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30,756,443.98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26,529,296.21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2.17%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E</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23,168,271.86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pPr>
            <w:r>
              <w:rPr>
                <w:color w:val="000000"/>
                <w:spacing w:val="0"/>
                <w:w w:val="100"/>
                <w:position w:val="0"/>
              </w:rPr>
              <w:t>1.90%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142,267,349.06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11.66%</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both"/>
      </w:pPr>
      <w:bookmarkStart w:id="132" w:name="bookmark132"/>
      <w:bookmarkStart w:id="133" w:name="bookmark133"/>
      <w:bookmarkStart w:id="134" w:name="bookmark134"/>
      <w:bookmarkStart w:id="135" w:name="bookmark135"/>
      <w:r>
        <w:rPr>
          <w:rFonts w:ascii="Times New Roman" w:eastAsia="Times New Roman" w:hAnsi="Times New Roman" w:cs="Times New Roman"/>
          <w:color w:val="000000"/>
          <w:spacing w:val="0"/>
          <w:w w:val="100"/>
          <w:position w:val="0"/>
        </w:rPr>
        <w:t>3</w:t>
      </w:r>
      <w:bookmarkEnd w:id="134"/>
      <w:r>
        <w:rPr>
          <w:color w:val="000000"/>
          <w:spacing w:val="0"/>
          <w:w w:val="100"/>
          <w:position w:val="0"/>
        </w:rPr>
        <w:t>、费用</w:t>
      </w:r>
      <w:bookmarkEnd w:id="132"/>
      <w:bookmarkEnd w:id="133"/>
      <w:bookmarkEnd w:id="13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88,121,301.48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80,888,523.54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93,981,092.86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91,600,405.59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423,840.31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-366,553.43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按新租赁准则计算的未确认融资费 用摊销所致。</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74,000,511.43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100,047,908.31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136" w:name="bookmark136"/>
      <w:bookmarkStart w:id="137" w:name="bookmark137"/>
      <w:bookmarkStart w:id="138" w:name="bookmark138"/>
      <w:bookmarkStart w:id="139" w:name="bookmark139"/>
      <w:r>
        <w:rPr>
          <w:rFonts w:ascii="Times New Roman" w:eastAsia="Times New Roman" w:hAnsi="Times New Roman" w:cs="Times New Roman"/>
          <w:color w:val="000000"/>
          <w:spacing w:val="0"/>
          <w:w w:val="100"/>
          <w:position w:val="0"/>
        </w:rPr>
        <w:t>4</w:t>
      </w:r>
      <w:bookmarkEnd w:id="138"/>
      <w:r>
        <w:rPr>
          <w:color w:val="000000"/>
          <w:spacing w:val="0"/>
          <w:w w:val="100"/>
          <w:position w:val="0"/>
        </w:rPr>
        <w:t>、研发投入</w:t>
      </w:r>
      <w:bookmarkEnd w:id="136"/>
      <w:bookmarkEnd w:id="137"/>
      <w:bookmarkEnd w:id="139"/>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31"/>
        <w:gridCol w:w="1915"/>
        <w:gridCol w:w="1622"/>
        <w:gridCol w:w="2256"/>
        <w:gridCol w:w="2261"/>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主要研发项目名称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项目目的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项目进展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拟达到的目标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预计对公司未来发展的影响</w:t>
            </w:r>
          </w:p>
        </w:tc>
      </w:tr>
      <w:tr>
        <w:trPr>
          <w:trHeight w:val="166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票证防伪项目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本公司以原有技术为基 础，在吸收消化国外先 进理念的基础上，自主 研发压敏变色、多功能 防伪墨水、防伪材料、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本项目的多项产品 已于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年完成研 发工作，研制出的应 用多功能防伪票证 产品达到了预期指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防止和杜绝市场出现伪造行 为，有效降低假冒票证出现 的机率，从而有效提高产品 的真实性、安全性，并可以 简单快捷辨别其真伪性。</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对传统防伪票证的创新和升 级。产品各项技术指标成熟 后，公司将加大产品的市场 推广力度和研发力度，在国 内防伪票证领域进行产品推</w:t>
            </w:r>
          </w:p>
        </w:tc>
      </w:tr>
    </w:tbl>
    <w:p>
      <w:pPr>
        <w:widowControl w:val="0"/>
        <w:spacing w:line="1" w:lineRule="exact"/>
      </w:pPr>
      <w:r>
        <w:br w:type="page"/>
      </w:r>
    </w:p>
    <w:tbl>
      <w:tblPr>
        <w:tblOverlap w:val="never"/>
        <w:jc w:val="center"/>
        <w:tblLayout w:type="fixed"/>
      </w:tblPr>
      <w:tblGrid>
        <w:gridCol w:w="1531"/>
        <w:gridCol w:w="1915"/>
        <w:gridCol w:w="1622"/>
        <w:gridCol w:w="2256"/>
        <w:gridCol w:w="2261"/>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防伪标签等技术，研发 制作的多种防伪票证产 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广，对提高公司市场占有率 具有重大的推动作用。</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智能卡产品升级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对公司现有智能卡产品 进行升级，开发社会保 障卡、城市一^通、多 应用金融</w:t>
            </w:r>
            <w:r>
              <w:rPr>
                <w:color w:val="000000"/>
                <w:spacing w:val="0"/>
                <w:w w:val="100"/>
                <w:position w:val="0"/>
                <w:sz w:val="18"/>
                <w:szCs w:val="18"/>
              </w:rPr>
              <w:t>IC</w:t>
            </w:r>
            <w:r>
              <w:rPr>
                <w:rFonts w:ascii="SimSun" w:eastAsia="SimSun" w:hAnsi="SimSun" w:cs="SimSun"/>
                <w:color w:val="000000"/>
                <w:spacing w:val="0"/>
                <w:w w:val="100"/>
                <w:position w:val="0"/>
                <w:sz w:val="17"/>
                <w:szCs w:val="17"/>
              </w:rPr>
              <w:t>卡等产品， 满足市场需求。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本项目于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年完 成研发工作，研制出 的产品达到了预期 指标，顺利通过检测 中心的各项认证。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提升智能卡产品的技术含 量，增加服务功能，研发出 的产品通过各项测试，保证 产品的安全性、可靠性，形 成拥有自主知识产权的智能 卡产品。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提供更安全、防伪性能强、 易于识别、更优质的智能卡 产品。待产品各项技术指标 成熟后，公司将加大产品的 市场推广力度和研发力度， 在国内智能卡领域进行产品 推广。</w:t>
            </w:r>
          </w:p>
        </w:tc>
      </w:tr>
      <w:tr>
        <w:trPr>
          <w:trHeight w:val="383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RFID</w:t>
            </w:r>
            <w:r>
              <w:rPr>
                <w:rFonts w:ascii="SimSun" w:eastAsia="SimSun" w:hAnsi="SimSun" w:cs="SimSun"/>
                <w:color w:val="000000"/>
                <w:spacing w:val="0"/>
                <w:w w:val="100"/>
                <w:position w:val="0"/>
                <w:sz w:val="17"/>
                <w:szCs w:val="17"/>
              </w:rPr>
              <w:t>智能档案柜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传统的档案管理方式对 于数以万计的档案盘 点、查找非常的困难， 档案的存储位置及在柜 状态无法即时获取，档 案管理相当棘手，管理 人员的查找难度大，查 找盘点时间长，不能实 现档案的智能化管理， 在此背景下，我公司立 项研发一种</w:t>
            </w:r>
            <w:r>
              <w:rPr>
                <w:color w:val="000000"/>
                <w:spacing w:val="0"/>
                <w:w w:val="100"/>
                <w:position w:val="0"/>
                <w:sz w:val="18"/>
                <w:szCs w:val="18"/>
              </w:rPr>
              <w:t>RFID</w:t>
            </w:r>
            <w:r>
              <w:rPr>
                <w:rFonts w:ascii="SimSun" w:eastAsia="SimSun" w:hAnsi="SimSun" w:cs="SimSun"/>
                <w:color w:val="000000"/>
                <w:spacing w:val="0"/>
                <w:w w:val="100"/>
                <w:position w:val="0"/>
                <w:sz w:val="17"/>
                <w:szCs w:val="17"/>
              </w:rPr>
              <w:t>智能 档案柜。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 xml:space="preserve">项目目前正在进行 </w:t>
            </w:r>
            <w:r>
              <w:rPr>
                <w:color w:val="000000"/>
                <w:spacing w:val="0"/>
                <w:w w:val="100"/>
                <w:position w:val="0"/>
                <w:sz w:val="18"/>
                <w:szCs w:val="18"/>
              </w:rPr>
              <w:t>RFID</w:t>
            </w:r>
            <w:r>
              <w:rPr>
                <w:rFonts w:ascii="SimSun" w:eastAsia="SimSun" w:hAnsi="SimSun" w:cs="SimSun"/>
                <w:color w:val="000000"/>
                <w:spacing w:val="0"/>
                <w:w w:val="100"/>
                <w:position w:val="0"/>
                <w:sz w:val="17"/>
                <w:szCs w:val="17"/>
              </w:rPr>
              <w:t>标签设计技术 研发工作，研究设计 高灵敏度、低功耗、 低碰撞的</w:t>
            </w:r>
            <w:r>
              <w:rPr>
                <w:color w:val="000000"/>
                <w:spacing w:val="0"/>
                <w:w w:val="100"/>
                <w:position w:val="0"/>
                <w:sz w:val="18"/>
                <w:szCs w:val="18"/>
              </w:rPr>
              <w:t>RFID</w:t>
            </w:r>
            <w:r>
              <w:rPr>
                <w:rFonts w:ascii="SimSun" w:eastAsia="SimSun" w:hAnsi="SimSun" w:cs="SimSun"/>
                <w:color w:val="000000"/>
                <w:spacing w:val="0"/>
                <w:w w:val="100"/>
                <w:position w:val="0"/>
                <w:sz w:val="17"/>
                <w:szCs w:val="17"/>
              </w:rPr>
              <w:t xml:space="preserve">智能 档案标签。通过设计 </w:t>
            </w:r>
            <w:r>
              <w:rPr>
                <w:color w:val="000000"/>
                <w:spacing w:val="0"/>
                <w:w w:val="100"/>
                <w:position w:val="0"/>
                <w:sz w:val="18"/>
                <w:szCs w:val="18"/>
              </w:rPr>
              <w:t>RFID</w:t>
            </w:r>
            <w:r>
              <w:rPr>
                <w:rFonts w:ascii="SimSun" w:eastAsia="SimSun" w:hAnsi="SimSun" w:cs="SimSun"/>
                <w:color w:val="000000"/>
                <w:spacing w:val="0"/>
                <w:w w:val="100"/>
                <w:position w:val="0"/>
                <w:sz w:val="17"/>
                <w:szCs w:val="17"/>
              </w:rPr>
              <w:t>天线，调整天 线空间信号频率、方 向、强度，从而实现 满足要求的</w:t>
            </w:r>
            <w:r>
              <w:rPr>
                <w:color w:val="000000"/>
                <w:spacing w:val="0"/>
                <w:w w:val="100"/>
                <w:position w:val="0"/>
                <w:sz w:val="18"/>
                <w:szCs w:val="18"/>
              </w:rPr>
              <w:t>RFID</w:t>
            </w:r>
            <w:r>
              <w:rPr>
                <w:rFonts w:ascii="SimSun" w:eastAsia="SimSun" w:hAnsi="SimSun" w:cs="SimSun"/>
                <w:color w:val="000000"/>
                <w:spacing w:val="0"/>
                <w:w w:val="100"/>
                <w:position w:val="0"/>
                <w:sz w:val="17"/>
                <w:szCs w:val="17"/>
              </w:rPr>
              <w:t>标 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本项目主要是研究开发 </w:t>
            </w:r>
            <w:r>
              <w:rPr>
                <w:color w:val="000000"/>
                <w:spacing w:val="0"/>
                <w:w w:val="100"/>
                <w:position w:val="0"/>
                <w:sz w:val="18"/>
                <w:szCs w:val="18"/>
              </w:rPr>
              <w:t>RFID</w:t>
            </w:r>
            <w:r>
              <w:rPr>
                <w:rFonts w:ascii="SimSun" w:eastAsia="SimSun" w:hAnsi="SimSun" w:cs="SimSun"/>
                <w:color w:val="000000"/>
                <w:spacing w:val="0"/>
                <w:w w:val="100"/>
                <w:position w:val="0"/>
                <w:sz w:val="17"/>
                <w:szCs w:val="17"/>
              </w:rPr>
              <w:t>智能档案柜系统，结合 最先进的</w:t>
            </w:r>
            <w:r>
              <w:rPr>
                <w:color w:val="000000"/>
                <w:spacing w:val="0"/>
                <w:w w:val="100"/>
                <w:position w:val="0"/>
                <w:sz w:val="18"/>
                <w:szCs w:val="18"/>
              </w:rPr>
              <w:t>RFID</w:t>
            </w:r>
            <w:r>
              <w:rPr>
                <w:rFonts w:ascii="SimSun" w:eastAsia="SimSun" w:hAnsi="SimSun" w:cs="SimSun"/>
                <w:color w:val="000000"/>
                <w:spacing w:val="0"/>
                <w:w w:val="100"/>
                <w:position w:val="0"/>
                <w:sz w:val="17"/>
                <w:szCs w:val="17"/>
              </w:rPr>
              <w:t>芯片技术， 可实现毫米厚度档案入库、 盘点、精准定位查找快速借 阅、归还和档案追溯查询功 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我们研发的</w:t>
            </w:r>
            <w:r>
              <w:rPr>
                <w:color w:val="000000"/>
                <w:spacing w:val="0"/>
                <w:w w:val="100"/>
                <w:position w:val="0"/>
                <w:sz w:val="18"/>
                <w:szCs w:val="18"/>
              </w:rPr>
              <w:t>RFID</w:t>
            </w:r>
            <w:r>
              <w:rPr>
                <w:rFonts w:ascii="SimSun" w:eastAsia="SimSun" w:hAnsi="SimSun" w:cs="SimSun"/>
                <w:color w:val="000000"/>
                <w:spacing w:val="0"/>
                <w:w w:val="100"/>
                <w:position w:val="0"/>
                <w:sz w:val="17"/>
                <w:szCs w:val="17"/>
              </w:rPr>
              <w:t>智能档案 柜，技术水平处于国内领先 地位，有助于提高公司开拓 新的业务市场。</w:t>
            </w:r>
          </w:p>
        </w:tc>
      </w:tr>
      <w:tr>
        <w:trPr>
          <w:trHeight w:val="351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电子票证管理系统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研发基于云平台的电子 发票税控装置，通过利 用设置的开票客户端和 电子发票云平台中心， 从而实现方便快捷、安 全可靠的电子发票开 具。在此基础上开发电 子发票电子化全流程报 销入账归档的方法，打 通发票电子化应用流程 的</w:t>
            </w:r>
            <w:r>
              <w:rPr>
                <w:color w:val="000000"/>
                <w:spacing w:val="0"/>
                <w:w w:val="100"/>
                <w:position w:val="0"/>
                <w:sz w:val="18"/>
                <w:szCs w:val="18"/>
              </w:rPr>
              <w:t>"</w:t>
            </w:r>
            <w:r>
              <w:rPr>
                <w:rFonts w:ascii="SimSun" w:eastAsia="SimSun" w:hAnsi="SimSun" w:cs="SimSun"/>
                <w:color w:val="000000"/>
                <w:spacing w:val="0"/>
                <w:w w:val="100"/>
                <w:position w:val="0"/>
                <w:sz w:val="17"/>
                <w:szCs w:val="17"/>
              </w:rPr>
              <w:t>最后一公里</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项目前期调研；收集 相关资料；研究相关 技术规范；形成初步 的平台应用方案。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通过将云计算和物联网等相 关技术和手段，实现方便快 捷的电子发票开具并解决电 子发票电子化入账报销难 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4" w:lineRule="exact"/>
              <w:ind w:left="0" w:right="0" w:firstLine="0"/>
              <w:jc w:val="both"/>
              <w:rPr>
                <w:sz w:val="17"/>
                <w:szCs w:val="17"/>
              </w:rPr>
            </w:pPr>
            <w:r>
              <w:rPr>
                <w:rFonts w:ascii="SimSun" w:eastAsia="SimSun" w:hAnsi="SimSun" w:cs="SimSun"/>
                <w:color w:val="000000"/>
                <w:spacing w:val="0"/>
                <w:w w:val="100"/>
                <w:position w:val="0"/>
                <w:sz w:val="17"/>
                <w:szCs w:val="17"/>
              </w:rPr>
              <w:t>本项目的实施将是对公司</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瑞宏网</w:t>
            </w:r>
            <w:r>
              <w:rPr>
                <w:color w:val="000000"/>
                <w:spacing w:val="0"/>
                <w:w w:val="100"/>
                <w:position w:val="0"/>
                <w:sz w:val="18"/>
                <w:szCs w:val="18"/>
              </w:rPr>
              <w:t>"</w:t>
            </w:r>
            <w:r>
              <w:rPr>
                <w:rFonts w:ascii="SimSun" w:eastAsia="SimSun" w:hAnsi="SimSun" w:cs="SimSun"/>
                <w:color w:val="000000"/>
                <w:spacing w:val="0"/>
                <w:w w:val="100"/>
                <w:position w:val="0"/>
                <w:sz w:val="17"/>
                <w:szCs w:val="17"/>
              </w:rPr>
              <w:t>平台的有益补充。由 于电子发票入账系统的研发 符合企业需求，对提高公司 市场占有率有重要意义。</w:t>
            </w:r>
          </w:p>
        </w:tc>
      </w:tr>
      <w:tr>
        <w:trPr>
          <w:trHeight w:val="28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电子档案管理系统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开发档案存储、电子文 件归档、数据查询等管 理系统，库房安全保护 由被动人工管理向现代 化、智能化、科学化、 人性化管理的历史性跨 越，为档案实体管理的 安全性、可靠性和高效 率提供了技术基础。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相关研究成果进行 实际测试，并进行相 关技术的试运行。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形成可用的档案管理系统， 为档案管理提供电子化技术 支持。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丰富公司档案管理的电子化 管理功能，提供电子化支持， 扩大我公司档案服务在市场 上的占有率。</w:t>
            </w:r>
          </w:p>
        </w:tc>
      </w:tr>
      <w:tr>
        <w:trPr>
          <w:trHeight w:val="37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研发多种智能彩票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采用创新的彩票销售方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已经于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年完成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研发基于信息技术开发的即</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提供一种适合即开票销售网</w:t>
            </w:r>
          </w:p>
        </w:tc>
      </w:tr>
    </w:tbl>
    <w:p>
      <w:pPr>
        <w:widowControl w:val="0"/>
        <w:spacing w:line="1" w:lineRule="exact"/>
      </w:pPr>
      <w:r>
        <w:br w:type="page"/>
      </w:r>
    </w:p>
    <w:tbl>
      <w:tblPr>
        <w:tblOverlap w:val="never"/>
        <w:jc w:val="center"/>
        <w:tblLayout w:type="fixed"/>
      </w:tblPr>
      <w:tblGrid>
        <w:gridCol w:w="1531"/>
        <w:gridCol w:w="869"/>
        <w:gridCol w:w="1046"/>
        <w:gridCol w:w="1344"/>
        <w:gridCol w:w="278"/>
        <w:gridCol w:w="2117"/>
        <w:gridCol w:w="139"/>
        <w:gridCol w:w="2261"/>
      </w:tblGrid>
      <w:tr>
        <w:trPr>
          <w:trHeight w:val="286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兑奖、投注、展示</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设备</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式，尽可能的利用现有 的社会资源来为彩票销 售服务，既能达到提升 彩民的覆盖率、提高彩 票销售量的目的，又能 节省彩票销售的投入成 本。</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了研发工作，研发出 装置达到了预期指 标要求。</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开票兑奖程序，重点应用于 即开型彩票服务领域，旨在 研发符合国内彩票行业的服 务支撑平台，可完全替代人 工真正实现智能兑奖功能， 兑奖精度高、速度快，不仅 可降低人工成本，还可免避 免错误兑奖而带来的严重后 果。</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点使用的智能销售、兑奖和 展示装置，它可替代人工， 可解决人工效率低、准确率 差的问题。本项目的成功研 发，将在全国范围内进行推 广，为各省彩票中心提供专 业的即开票展示和销售服 务，有利于提高公司的市场 占有率。</w:t>
            </w:r>
          </w:p>
        </w:tc>
      </w:tr>
      <w:tr>
        <w:trPr>
          <w:trHeight w:val="403" w:hRule="exact"/>
        </w:trPr>
        <w:tc>
          <w:tcPr>
            <w:gridSpan w:val="8"/>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公司研发人员情况</w:t>
            </w:r>
          </w:p>
        </w:tc>
      </w:tr>
      <w:tr>
        <w:trPr>
          <w:trHeight w:val="403" w:hRule="exact"/>
        </w:trPr>
        <w:tc>
          <w:tcPr>
            <w:gridSpan w:val="2"/>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变动比例</w:t>
            </w:r>
          </w:p>
        </w:tc>
      </w:tr>
      <w:tr>
        <w:trPr>
          <w:trHeight w:val="398"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-18.21%</w:t>
            </w:r>
          </w:p>
        </w:tc>
      </w:tr>
      <w:tr>
        <w:trPr>
          <w:trHeight w:val="403"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研发人员数量占比</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20.74%</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23.60%</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w:t>
            </w:r>
          </w:p>
        </w:tc>
      </w:tr>
      <w:tr>
        <w:trPr>
          <w:trHeight w:val="403"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研发人员学历结构</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w:t>
            </w:r>
          </w:p>
        </w:tc>
      </w:tr>
      <w:tr>
        <w:trPr>
          <w:trHeight w:val="403"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207</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-11.91%</w:t>
            </w:r>
          </w:p>
        </w:tc>
      </w:tr>
      <w:tr>
        <w:trPr>
          <w:trHeight w:val="398"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w:t>
            </w:r>
          </w:p>
        </w:tc>
      </w:tr>
      <w:tr>
        <w:trPr>
          <w:trHeight w:val="403"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研发人员年龄构成</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w:t>
            </w:r>
          </w:p>
        </w:tc>
      </w:tr>
      <w:tr>
        <w:trPr>
          <w:trHeight w:val="403"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岁以下</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-17.72%</w:t>
            </w:r>
          </w:p>
        </w:tc>
      </w:tr>
      <w:tr>
        <w:trPr>
          <w:trHeight w:val="403"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30~40 </w:t>
            </w:r>
            <w:r>
              <w:rPr>
                <w:rFonts w:ascii="SimSun" w:eastAsia="SimSun" w:hAnsi="SimSun" w:cs="SimSun"/>
                <w:color w:val="000000"/>
                <w:spacing w:val="0"/>
                <w:w w:val="100"/>
                <w:position w:val="0"/>
                <w:sz w:val="17"/>
                <w:szCs w:val="17"/>
              </w:rPr>
              <w:t>岁</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-22.37%</w:t>
            </w:r>
          </w:p>
        </w:tc>
      </w:tr>
      <w:tr>
        <w:trPr>
          <w:trHeight w:val="398"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40</w:t>
            </w:r>
            <w:r>
              <w:rPr>
                <w:rFonts w:ascii="SimSun" w:eastAsia="SimSun" w:hAnsi="SimSun" w:cs="SimSun"/>
                <w:color w:val="000000"/>
                <w:spacing w:val="0"/>
                <w:w w:val="100"/>
                <w:position w:val="0"/>
                <w:sz w:val="17"/>
                <w:szCs w:val="17"/>
              </w:rPr>
              <w:t>岁以上</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w:t>
            </w:r>
          </w:p>
        </w:tc>
      </w:tr>
      <w:tr>
        <w:trPr>
          <w:trHeight w:val="403" w:hRule="exact"/>
        </w:trPr>
        <w:tc>
          <w:tcPr>
            <w:gridSpan w:val="8"/>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公司研发投入情况</w:t>
            </w:r>
          </w:p>
        </w:tc>
      </w:tr>
      <w:tr>
        <w:trPr>
          <w:trHeight w:val="403" w:hRule="exact"/>
        </w:trPr>
        <w:tc>
          <w:tcPr>
            <w:gridSpan w:val="2"/>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变动比例</w:t>
            </w:r>
          </w:p>
        </w:tc>
      </w:tr>
      <w:tr>
        <w:trPr>
          <w:trHeight w:val="403"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研发投入金额（元）</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74,571,870.70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100,982,412.16</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-26.15%</w:t>
            </w:r>
          </w:p>
        </w:tc>
      </w:tr>
      <w:tr>
        <w:trPr>
          <w:trHeight w:val="398"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研发投入占营业收入比例</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6.21%</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w:t>
            </w:r>
          </w:p>
        </w:tc>
      </w:tr>
      <w:tr>
        <w:trPr>
          <w:trHeight w:val="403"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研发投入资本化的金额（元）</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571,359.27</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934,503.85</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-38.86%</w:t>
            </w:r>
          </w:p>
        </w:tc>
      </w:tr>
      <w:tr>
        <w:trPr>
          <w:trHeight w:val="725"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资本化研发投入占研发投入 的比例</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0.77%</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0.93%</w:t>
            </w:r>
          </w:p>
        </w:tc>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以上数据包含各子公司研发人员和研发投入资金。</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公司研发人员构成发生重大变化的原因及影响</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以前年度研发的资本化项目已形成无形资产不再研发。</w:t>
      </w:r>
      <w:r>
        <w:br w:type="page"/>
      </w:r>
    </w:p>
    <w:p>
      <w:pPr>
        <w:pStyle w:val="Style32"/>
        <w:keepNext/>
        <w:keepLines/>
        <w:widowControl w:val="0"/>
        <w:shd w:val="clear" w:color="auto" w:fill="auto"/>
        <w:bidi w:val="0"/>
        <w:spacing w:before="0" w:line="240" w:lineRule="auto"/>
        <w:ind w:left="0" w:right="0" w:firstLine="0"/>
        <w:jc w:val="left"/>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5</w:t>
      </w:r>
      <w:bookmarkEnd w:id="142"/>
      <w:r>
        <w:rPr>
          <w:color w:val="000000"/>
          <w:spacing w:val="0"/>
          <w:w w:val="100"/>
          <w:position w:val="0"/>
        </w:rPr>
        <w:t>、现金流</w:t>
      </w:r>
      <w:bookmarkEnd w:id="140"/>
      <w:bookmarkEnd w:id="141"/>
      <w:bookmarkEnd w:id="143"/>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1,511,809,699.10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1,603,813,399.87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1,319,986,451.85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1,342,598,430.82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191,823,247.25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261,214,969.05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1,943,067,717.96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1,937,107,623.54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1,881,127,572.19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1,607,127,474.58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61,940,145.77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329,980,148.96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25,707,579.50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1,113,896.81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2,207.90%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231,585,848.21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232,207,590.86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-205,878,268.71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-231,093,694.05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47,884,020.34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360,101,436.43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-86.70%</w:t>
            </w: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相关数据同比发生重大变动的主要影响因素说明</w:t>
      </w:r>
    </w:p>
    <w:p>
      <w:pPr>
        <w:pStyle w:val="Style18"/>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tabs>
          <w:tab w:pos="334" w:val="left"/>
        </w:tabs>
        <w:bidi w:val="0"/>
        <w:spacing w:before="0" w:after="100" w:line="240" w:lineRule="auto"/>
        <w:ind w:left="0" w:right="0" w:firstLine="0"/>
        <w:jc w:val="both"/>
      </w:pPr>
      <w:bookmarkStart w:id="144" w:name="bookmark144"/>
      <w:r>
        <w:rPr>
          <w:rFonts w:ascii="Times New Roman" w:eastAsia="Times New Roman" w:hAnsi="Times New Roman" w:cs="Times New Roman"/>
          <w:color w:val="000000"/>
          <w:spacing w:val="0"/>
          <w:w w:val="100"/>
          <w:position w:val="0"/>
          <w:sz w:val="18"/>
          <w:szCs w:val="18"/>
        </w:rPr>
        <w:t>1</w:t>
      </w:r>
      <w:bookmarkEnd w:id="144"/>
      <w:r>
        <w:rPr>
          <w:color w:val="000000"/>
          <w:spacing w:val="0"/>
          <w:w w:val="100"/>
          <w:position w:val="0"/>
        </w:rPr>
        <w:t>、</w:t>
        <w:tab/>
        <w:t>投资活动产生的现金流量净额减少</w:t>
      </w:r>
      <w:r>
        <w:rPr>
          <w:rFonts w:ascii="Times New Roman" w:eastAsia="Times New Roman" w:hAnsi="Times New Roman" w:cs="Times New Roman"/>
          <w:color w:val="000000"/>
          <w:spacing w:val="0"/>
          <w:w w:val="100"/>
          <w:position w:val="0"/>
          <w:sz w:val="18"/>
          <w:szCs w:val="18"/>
        </w:rPr>
        <w:t>81.23%</w:t>
      </w:r>
      <w:r>
        <w:rPr>
          <w:color w:val="000000"/>
          <w:spacing w:val="0"/>
          <w:w w:val="100"/>
          <w:position w:val="0"/>
        </w:rPr>
        <w:t>，主要是报告期内购买理财产品的频次增加所致。</w:t>
      </w:r>
    </w:p>
    <w:p>
      <w:pPr>
        <w:pStyle w:val="Style18"/>
        <w:keepNext w:val="0"/>
        <w:keepLines w:val="0"/>
        <w:widowControl w:val="0"/>
        <w:shd w:val="clear" w:color="auto" w:fill="auto"/>
        <w:tabs>
          <w:tab w:pos="354" w:val="left"/>
        </w:tabs>
        <w:bidi w:val="0"/>
        <w:spacing w:before="0" w:after="100" w:line="240" w:lineRule="auto"/>
        <w:ind w:left="0" w:right="0" w:firstLine="0"/>
        <w:jc w:val="both"/>
      </w:pPr>
      <w:bookmarkStart w:id="145" w:name="bookmark145"/>
      <w:r>
        <w:rPr>
          <w:rFonts w:ascii="Times New Roman" w:eastAsia="Times New Roman" w:hAnsi="Times New Roman" w:cs="Times New Roman"/>
          <w:color w:val="000000"/>
          <w:spacing w:val="0"/>
          <w:w w:val="100"/>
          <w:position w:val="0"/>
          <w:sz w:val="18"/>
          <w:szCs w:val="18"/>
        </w:rPr>
        <w:t>2</w:t>
      </w:r>
      <w:bookmarkEnd w:id="145"/>
      <w:r>
        <w:rPr>
          <w:color w:val="000000"/>
          <w:spacing w:val="0"/>
          <w:w w:val="100"/>
          <w:position w:val="0"/>
        </w:rPr>
        <w:t>、</w:t>
        <w:tab/>
        <w:t>筹资活动现金流入小计增加</w:t>
      </w:r>
      <w:r>
        <w:rPr>
          <w:rFonts w:ascii="Times New Roman" w:eastAsia="Times New Roman" w:hAnsi="Times New Roman" w:cs="Times New Roman"/>
          <w:color w:val="000000"/>
          <w:spacing w:val="0"/>
          <w:w w:val="100"/>
          <w:position w:val="0"/>
          <w:sz w:val="18"/>
          <w:szCs w:val="18"/>
        </w:rPr>
        <w:t>2,207.90%</w:t>
      </w:r>
      <w:r>
        <w:rPr>
          <w:color w:val="000000"/>
          <w:spacing w:val="0"/>
          <w:w w:val="100"/>
          <w:position w:val="0"/>
          <w:sz w:val="18"/>
          <w:szCs w:val="18"/>
        </w:rPr>
        <w:t>，</w:t>
      </w:r>
      <w:r>
        <w:rPr>
          <w:color w:val="000000"/>
          <w:spacing w:val="0"/>
          <w:w w:val="100"/>
          <w:position w:val="0"/>
        </w:rPr>
        <w:t>系控股子公司收到的少数股东增资款所致。</w:t>
      </w:r>
    </w:p>
    <w:p>
      <w:pPr>
        <w:pStyle w:val="Style18"/>
        <w:keepNext w:val="0"/>
        <w:keepLines w:val="0"/>
        <w:widowControl w:val="0"/>
        <w:shd w:val="clear" w:color="auto" w:fill="auto"/>
        <w:tabs>
          <w:tab w:pos="354" w:val="left"/>
        </w:tabs>
        <w:bidi w:val="0"/>
        <w:spacing w:before="0" w:after="160" w:line="240" w:lineRule="auto"/>
        <w:ind w:left="0" w:right="0" w:firstLine="0"/>
        <w:jc w:val="both"/>
      </w:pPr>
      <w:bookmarkStart w:id="146" w:name="bookmark146"/>
      <w:r>
        <w:rPr>
          <w:rFonts w:ascii="Times New Roman" w:eastAsia="Times New Roman" w:hAnsi="Times New Roman" w:cs="Times New Roman"/>
          <w:color w:val="000000"/>
          <w:spacing w:val="0"/>
          <w:w w:val="100"/>
          <w:position w:val="0"/>
          <w:sz w:val="18"/>
          <w:szCs w:val="18"/>
        </w:rPr>
        <w:t>3</w:t>
      </w:r>
      <w:bookmarkEnd w:id="146"/>
      <w:r>
        <w:rPr>
          <w:color w:val="000000"/>
          <w:spacing w:val="0"/>
          <w:w w:val="100"/>
          <w:position w:val="0"/>
        </w:rPr>
        <w:t>、</w:t>
        <w:tab/>
        <w:t>现金及现金等价物净增加额减少</w:t>
      </w:r>
      <w:r>
        <w:rPr>
          <w:rFonts w:ascii="Times New Roman" w:eastAsia="Times New Roman" w:hAnsi="Times New Roman" w:cs="Times New Roman"/>
          <w:color w:val="000000"/>
          <w:spacing w:val="0"/>
          <w:w w:val="100"/>
          <w:position w:val="0"/>
          <w:sz w:val="18"/>
          <w:szCs w:val="18"/>
        </w:rPr>
        <w:t>86.70%</w:t>
      </w:r>
      <w:r>
        <w:rPr>
          <w:color w:val="000000"/>
          <w:spacing w:val="0"/>
          <w:w w:val="100"/>
          <w:position w:val="0"/>
        </w:rPr>
        <w:t>，主要是近三年期末理财产品规模变化所致。</w:t>
      </w: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both"/>
      </w:pPr>
      <w:bookmarkStart w:id="147" w:name="bookmark147"/>
      <w:bookmarkStart w:id="148" w:name="bookmark148"/>
      <w:bookmarkStart w:id="149" w:name="bookmark149"/>
      <w:bookmarkStart w:id="150" w:name="bookmark150"/>
      <w:r>
        <w:rPr>
          <w:color w:val="000000"/>
          <w:spacing w:val="0"/>
          <w:w w:val="100"/>
          <w:position w:val="0"/>
        </w:rPr>
        <w:t>五</w:t>
      </w:r>
      <w:bookmarkEnd w:id="149"/>
      <w:r>
        <w:rPr>
          <w:color w:val="000000"/>
          <w:spacing w:val="0"/>
          <w:w w:val="100"/>
          <w:position w:val="0"/>
        </w:rPr>
        <w:t>、非主营业务分析</w:t>
      </w:r>
      <w:bookmarkEnd w:id="147"/>
      <w:bookmarkEnd w:id="148"/>
      <w:bookmarkEnd w:id="150"/>
    </w:p>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597"/>
        <w:gridCol w:w="192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是否具有可持续性</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22,213,677.96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利用自有资金购买理财产品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549,145.86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理财产品价值变动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-646,371.27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计提坏账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375,527.75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质量赔款等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2,323,491.93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研发项目终止产生的支出</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p>
      <w:pPr>
        <w:pStyle w:val="Style23"/>
        <w:keepNext/>
        <w:keepLines/>
        <w:widowControl w:val="0"/>
        <w:shd w:val="clear" w:color="auto" w:fill="auto"/>
        <w:bidi w:val="0"/>
        <w:spacing w:before="0" w:line="240" w:lineRule="auto"/>
        <w:ind w:left="0" w:right="0" w:firstLine="0"/>
        <w:jc w:val="left"/>
      </w:pPr>
      <w:bookmarkStart w:id="151" w:name="bookmark151"/>
      <w:bookmarkStart w:id="152" w:name="bookmark152"/>
      <w:bookmarkStart w:id="153" w:name="bookmark153"/>
      <w:bookmarkStart w:id="154" w:name="bookmark154"/>
      <w:r>
        <w:rPr>
          <w:color w:val="000000"/>
          <w:spacing w:val="0"/>
          <w:w w:val="100"/>
          <w:position w:val="0"/>
        </w:rPr>
        <w:t>六</w:t>
      </w:r>
      <w:bookmarkEnd w:id="153"/>
      <w:r>
        <w:rPr>
          <w:color w:val="000000"/>
          <w:spacing w:val="0"/>
          <w:w w:val="100"/>
          <w:position w:val="0"/>
        </w:rPr>
        <w:t>、资产及负债状况分析</w:t>
      </w:r>
      <w:bookmarkEnd w:id="151"/>
      <w:bookmarkEnd w:id="152"/>
      <w:bookmarkEnd w:id="154"/>
    </w:p>
    <w:p>
      <w:pPr>
        <w:pStyle w:val="Style32"/>
        <w:keepNext/>
        <w:keepLines/>
        <w:widowControl w:val="0"/>
        <w:shd w:val="clear" w:color="auto" w:fill="auto"/>
        <w:bidi w:val="0"/>
        <w:spacing w:before="0" w:after="360" w:line="240" w:lineRule="auto"/>
        <w:ind w:left="0" w:right="0" w:firstLine="0"/>
        <w:jc w:val="left"/>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1</w:t>
      </w:r>
      <w:bookmarkEnd w:id="157"/>
      <w:r>
        <w:rPr>
          <w:color w:val="000000"/>
          <w:spacing w:val="0"/>
          <w:w w:val="100"/>
          <w:position w:val="0"/>
        </w:rPr>
        <w:t>、资产构成重大变动情况</w:t>
      </w:r>
      <w:bookmarkEnd w:id="155"/>
      <w:bookmarkEnd w:id="156"/>
      <w:bookmarkEnd w:id="15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608"/>
        <w:gridCol w:w="1133"/>
        <w:gridCol w:w="1277"/>
        <w:gridCol w:w="850"/>
        <w:gridCol w:w="1133"/>
        <w:gridCol w:w="220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754,901,350.15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34.13%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712,276,110.35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31.14%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171,872,768.29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7.77%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220,287,693.15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23,508,295.42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13,182,677.03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153,900,123.04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6.96%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115,654,405.03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43,965,529.19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1.99%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38,845,030.72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742,851,414.16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33.59%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800,678,248.15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35.00%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1,806,275.76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0.08%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5,109,816.16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33,726,283.76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15,551,622.22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237,963,401.45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266,438,938.51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-0.89%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19,260,061.57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0.87%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8,147,163.99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60" w:line="240" w:lineRule="auto"/>
        <w:ind w:left="0" w:right="0" w:firstLine="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2</w:t>
      </w:r>
      <w:bookmarkEnd w:id="161"/>
      <w:r>
        <w:rPr>
          <w:color w:val="000000"/>
          <w:spacing w:val="0"/>
          <w:w w:val="100"/>
          <w:position w:val="0"/>
        </w:rPr>
        <w:t>、</w:t>
        <w:tab/>
        <w:t>以公允价值计量的资产和负债</w:t>
      </w:r>
      <w:bookmarkEnd w:id="159"/>
      <w:bookmarkEnd w:id="160"/>
      <w:bookmarkEnd w:id="162"/>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60" w:line="240" w:lineRule="auto"/>
        <w:ind w:left="0" w:right="0" w:firstLine="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3</w:t>
      </w:r>
      <w:bookmarkEnd w:id="165"/>
      <w:r>
        <w:rPr>
          <w:color w:val="000000"/>
          <w:spacing w:val="0"/>
          <w:w w:val="100"/>
          <w:position w:val="0"/>
        </w:rPr>
        <w:t>、</w:t>
        <w:tab/>
        <w:t>截至报告期末的资产权利受限情况</w:t>
      </w:r>
      <w:bookmarkEnd w:id="163"/>
      <w:bookmarkEnd w:id="164"/>
      <w:bookmarkEnd w:id="166"/>
    </w:p>
    <w:tbl>
      <w:tblPr>
        <w:tblOverlap w:val="never"/>
        <w:jc w:val="center"/>
        <w:tblLayout w:type="fixed"/>
      </w:tblPr>
      <w:tblGrid>
        <w:gridCol w:w="2242"/>
        <w:gridCol w:w="2870"/>
        <w:gridCol w:w="3979"/>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年末账面价值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受限原因</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26,026,490.36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银行承兑汇票保证金、保函保证金</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26,026,490.36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359" w:line="1" w:lineRule="exact"/>
      </w:pPr>
    </w:p>
    <w:p>
      <w:pPr>
        <w:pStyle w:val="Style23"/>
        <w:keepNext/>
        <w:keepLines/>
        <w:widowControl w:val="0"/>
        <w:shd w:val="clear" w:color="auto" w:fill="auto"/>
        <w:bidi w:val="0"/>
        <w:spacing w:before="0" w:line="240" w:lineRule="auto"/>
        <w:ind w:left="0" w:right="0" w:firstLine="0"/>
        <w:jc w:val="left"/>
      </w:pPr>
      <w:bookmarkStart w:id="167" w:name="bookmark167"/>
      <w:bookmarkStart w:id="168" w:name="bookmark168"/>
      <w:bookmarkStart w:id="169" w:name="bookmark169"/>
      <w:bookmarkStart w:id="170" w:name="bookmark170"/>
      <w:r>
        <w:rPr>
          <w:color w:val="000000"/>
          <w:spacing w:val="0"/>
          <w:w w:val="100"/>
          <w:position w:val="0"/>
        </w:rPr>
        <w:t>七</w:t>
      </w:r>
      <w:bookmarkEnd w:id="169"/>
      <w:r>
        <w:rPr>
          <w:color w:val="000000"/>
          <w:spacing w:val="0"/>
          <w:w w:val="100"/>
          <w:position w:val="0"/>
        </w:rPr>
        <w:t>、投资状况分析</w:t>
      </w:r>
      <w:bookmarkEnd w:id="167"/>
      <w:bookmarkEnd w:id="168"/>
      <w:bookmarkEnd w:id="170"/>
    </w:p>
    <w:p>
      <w:pPr>
        <w:pStyle w:val="Style32"/>
        <w:keepNext/>
        <w:keepLines/>
        <w:widowControl w:val="0"/>
        <w:shd w:val="clear" w:color="auto" w:fill="auto"/>
        <w:tabs>
          <w:tab w:pos="368" w:val="left"/>
        </w:tabs>
        <w:bidi w:val="0"/>
        <w:spacing w:before="0" w:after="360" w:line="240" w:lineRule="auto"/>
        <w:ind w:left="0" w:right="0" w:firstLine="0"/>
        <w:jc w:val="both"/>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1</w:t>
      </w:r>
      <w:bookmarkEnd w:id="173"/>
      <w:r>
        <w:rPr>
          <w:color w:val="000000"/>
          <w:spacing w:val="0"/>
          <w:w w:val="100"/>
          <w:position w:val="0"/>
        </w:rPr>
        <w:t>、</w:t>
        <w:tab/>
        <w:t>总体情况</w:t>
      </w:r>
      <w:bookmarkEnd w:id="171"/>
      <w:bookmarkEnd w:id="172"/>
      <w:bookmarkEnd w:id="174"/>
    </w:p>
    <w:p>
      <w:pPr>
        <w:pStyle w:val="Style1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60" w:line="240" w:lineRule="auto"/>
        <w:ind w:left="0" w:right="0" w:firstLine="0"/>
        <w:jc w:val="both"/>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2</w:t>
      </w:r>
      <w:bookmarkEnd w:id="177"/>
      <w:r>
        <w:rPr>
          <w:color w:val="000000"/>
          <w:spacing w:val="0"/>
          <w:w w:val="100"/>
          <w:position w:val="0"/>
        </w:rPr>
        <w:t>、</w:t>
        <w:tab/>
        <w:t>报告期内获取的重大的股权投资情况</w:t>
      </w:r>
      <w:bookmarkEnd w:id="175"/>
      <w:bookmarkEnd w:id="176"/>
      <w:bookmarkEnd w:id="178"/>
    </w:p>
    <w:p>
      <w:pPr>
        <w:pStyle w:val="Style1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3</w:t>
      </w:r>
      <w:bookmarkEnd w:id="181"/>
      <w:r>
        <w:rPr>
          <w:color w:val="000000"/>
          <w:spacing w:val="0"/>
          <w:w w:val="100"/>
          <w:position w:val="0"/>
        </w:rPr>
        <w:t>、</w:t>
        <w:tab/>
        <w:t>报告期内正在进行的重大的非股权投资情况</w:t>
      </w:r>
      <w:bookmarkEnd w:id="179"/>
      <w:bookmarkEnd w:id="180"/>
      <w:bookmarkEnd w:id="182"/>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4</w:t>
      </w:r>
      <w:bookmarkEnd w:id="185"/>
      <w:r>
        <w:rPr>
          <w:color w:val="000000"/>
          <w:spacing w:val="0"/>
          <w:w w:val="100"/>
          <w:position w:val="0"/>
        </w:rPr>
        <w:t>、</w:t>
        <w:tab/>
        <w:t>金融资产投资</w:t>
      </w:r>
      <w:bookmarkEnd w:id="183"/>
      <w:bookmarkEnd w:id="184"/>
      <w:bookmarkEnd w:id="186"/>
    </w:p>
    <w:p>
      <w:pPr>
        <w:pStyle w:val="Style36"/>
        <w:keepNext/>
        <w:keepLines/>
        <w:widowControl w:val="0"/>
        <w:shd w:val="clear" w:color="auto" w:fill="auto"/>
        <w:tabs>
          <w:tab w:pos="493" w:val="left"/>
        </w:tabs>
        <w:bidi w:val="0"/>
        <w:spacing w:before="0" w:line="240" w:lineRule="auto"/>
        <w:ind w:left="0" w:right="0" w:firstLine="0"/>
        <w:jc w:val="left"/>
      </w:pPr>
      <w:bookmarkStart w:id="187" w:name="bookmark187"/>
      <w:bookmarkStart w:id="188" w:name="bookmark188"/>
      <w:bookmarkStart w:id="189" w:name="bookmark189"/>
      <w:bookmarkStart w:id="190" w:name="bookmark190"/>
      <w:r>
        <w:rPr>
          <w:color w:val="000000"/>
          <w:spacing w:val="0"/>
          <w:w w:val="100"/>
          <w:position w:val="0"/>
        </w:rPr>
        <w:t>（</w:t>
      </w:r>
      <w:bookmarkEnd w:id="189"/>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187"/>
      <w:bookmarkEnd w:id="188"/>
      <w:bookmarkEnd w:id="190"/>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公司报告期不存在证券投资。</w:t>
      </w:r>
    </w:p>
    <w:p>
      <w:pPr>
        <w:pStyle w:val="Style36"/>
        <w:keepNext/>
        <w:keepLines/>
        <w:widowControl w:val="0"/>
        <w:shd w:val="clear" w:color="auto" w:fill="auto"/>
        <w:tabs>
          <w:tab w:pos="493" w:val="left"/>
        </w:tabs>
        <w:bidi w:val="0"/>
        <w:spacing w:before="0" w:line="240" w:lineRule="auto"/>
        <w:ind w:left="0" w:right="0" w:firstLine="0"/>
        <w:jc w:val="left"/>
      </w:pPr>
      <w:bookmarkStart w:id="191" w:name="bookmark191"/>
      <w:bookmarkStart w:id="192" w:name="bookmark192"/>
      <w:bookmarkStart w:id="193" w:name="bookmark193"/>
      <w:bookmarkStart w:id="194" w:name="bookmark194"/>
      <w:r>
        <w:rPr>
          <w:color w:val="000000"/>
          <w:spacing w:val="0"/>
          <w:w w:val="100"/>
          <w:position w:val="0"/>
        </w:rPr>
        <w:t>（</w:t>
      </w:r>
      <w:bookmarkEnd w:id="193"/>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191"/>
      <w:bookmarkEnd w:id="192"/>
      <w:bookmarkEnd w:id="194"/>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32"/>
        <w:keepNext/>
        <w:keepLines/>
        <w:widowControl w:val="0"/>
        <w:shd w:val="clear" w:color="auto" w:fill="auto"/>
        <w:tabs>
          <w:tab w:pos="378" w:val="left"/>
        </w:tabs>
        <w:bidi w:val="0"/>
        <w:spacing w:before="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5</w:t>
      </w:r>
      <w:bookmarkEnd w:id="197"/>
      <w:r>
        <w:rPr>
          <w:color w:val="000000"/>
          <w:spacing w:val="0"/>
          <w:w w:val="100"/>
          <w:position w:val="0"/>
        </w:rPr>
        <w:t>、</w:t>
        <w:tab/>
        <w:t>募集资金使用情况</w:t>
      </w:r>
      <w:bookmarkEnd w:id="195"/>
      <w:bookmarkEnd w:id="196"/>
      <w:bookmarkEnd w:id="198"/>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公司报告期无募集资金使用情况。</w:t>
      </w:r>
    </w:p>
    <w:p>
      <w:pPr>
        <w:pStyle w:val="Style23"/>
        <w:keepNext/>
        <w:keepLines/>
        <w:widowControl w:val="0"/>
        <w:shd w:val="clear" w:color="auto" w:fill="auto"/>
        <w:tabs>
          <w:tab w:pos="517" w:val="left"/>
        </w:tabs>
        <w:bidi w:val="0"/>
        <w:spacing w:before="0" w:after="380" w:line="240" w:lineRule="auto"/>
        <w:ind w:left="0" w:right="0" w:firstLine="0"/>
        <w:jc w:val="left"/>
      </w:pPr>
      <w:bookmarkStart w:id="199" w:name="bookmark199"/>
      <w:bookmarkStart w:id="200" w:name="bookmark200"/>
      <w:bookmarkStart w:id="201" w:name="bookmark201"/>
      <w:bookmarkStart w:id="202" w:name="bookmark202"/>
      <w:r>
        <w:rPr>
          <w:color w:val="000000"/>
          <w:spacing w:val="0"/>
          <w:w w:val="100"/>
          <w:position w:val="0"/>
        </w:rPr>
        <w:t>八</w:t>
      </w:r>
      <w:bookmarkEnd w:id="201"/>
      <w:r>
        <w:rPr>
          <w:color w:val="000000"/>
          <w:spacing w:val="0"/>
          <w:w w:val="100"/>
          <w:position w:val="0"/>
        </w:rPr>
        <w:t>、</w:t>
        <w:tab/>
        <w:t>重大资产和股权出售</w:t>
      </w:r>
      <w:bookmarkEnd w:id="199"/>
      <w:bookmarkEnd w:id="200"/>
      <w:bookmarkEnd w:id="202"/>
    </w:p>
    <w:p>
      <w:pPr>
        <w:pStyle w:val="Style32"/>
        <w:keepNext/>
        <w:keepLines/>
        <w:widowControl w:val="0"/>
        <w:shd w:val="clear" w:color="auto" w:fill="auto"/>
        <w:tabs>
          <w:tab w:pos="368" w:val="left"/>
        </w:tabs>
        <w:bidi w:val="0"/>
        <w:spacing w:before="0" w:line="240" w:lineRule="auto"/>
        <w:ind w:left="0" w:right="0" w:firstLine="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1</w:t>
      </w:r>
      <w:bookmarkEnd w:id="205"/>
      <w:r>
        <w:rPr>
          <w:color w:val="000000"/>
          <w:spacing w:val="0"/>
          <w:w w:val="100"/>
          <w:position w:val="0"/>
        </w:rPr>
        <w:t>、</w:t>
        <w:tab/>
        <w:t>出售重大资产情况</w:t>
      </w:r>
      <w:bookmarkEnd w:id="203"/>
      <w:bookmarkEnd w:id="204"/>
      <w:bookmarkEnd w:id="206"/>
    </w:p>
    <w:p>
      <w:pPr>
        <w:pStyle w:val="Style18"/>
        <w:keepNext w:val="0"/>
        <w:keepLines w:val="0"/>
        <w:widowControl w:val="0"/>
        <w:numPr>
          <w:ilvl w:val="0"/>
          <w:numId w:val="5"/>
        </w:numPr>
        <w:shd w:val="clear" w:color="auto" w:fill="auto"/>
        <w:tabs>
          <w:tab w:pos="343" w:val="left"/>
        </w:tabs>
        <w:bidi w:val="0"/>
        <w:spacing w:before="0" w:after="140" w:line="240" w:lineRule="auto"/>
        <w:ind w:left="0" w:right="0" w:firstLine="0"/>
        <w:jc w:val="left"/>
      </w:pPr>
      <w:bookmarkStart w:id="207" w:name="bookmark207"/>
      <w:bookmarkEnd w:id="20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32"/>
        <w:keepNext/>
        <w:keepLines/>
        <w:widowControl w:val="0"/>
        <w:shd w:val="clear" w:color="auto" w:fill="auto"/>
        <w:tabs>
          <w:tab w:pos="378" w:val="left"/>
        </w:tabs>
        <w:bidi w:val="0"/>
        <w:spacing w:before="0" w:line="240" w:lineRule="auto"/>
        <w:ind w:left="0" w:right="0" w:firstLine="0"/>
        <w:jc w:val="left"/>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2</w:t>
      </w:r>
      <w:bookmarkEnd w:id="210"/>
      <w:r>
        <w:rPr>
          <w:color w:val="000000"/>
          <w:spacing w:val="0"/>
          <w:w w:val="100"/>
          <w:position w:val="0"/>
        </w:rPr>
        <w:t>、</w:t>
        <w:tab/>
        <w:t>出售重大股权情况</w:t>
      </w:r>
      <w:bookmarkEnd w:id="208"/>
      <w:bookmarkEnd w:id="209"/>
      <w:bookmarkEnd w:id="211"/>
    </w:p>
    <w:p>
      <w:pPr>
        <w:pStyle w:val="Style18"/>
        <w:keepNext w:val="0"/>
        <w:keepLines w:val="0"/>
        <w:widowControl w:val="0"/>
        <w:numPr>
          <w:ilvl w:val="0"/>
          <w:numId w:val="5"/>
        </w:numPr>
        <w:shd w:val="clear" w:color="auto" w:fill="auto"/>
        <w:tabs>
          <w:tab w:pos="343" w:val="left"/>
        </w:tabs>
        <w:bidi w:val="0"/>
        <w:spacing w:before="0" w:after="380" w:line="240" w:lineRule="auto"/>
        <w:ind w:left="0" w:right="0" w:firstLine="0"/>
        <w:jc w:val="left"/>
      </w:pPr>
      <w:bookmarkStart w:id="212" w:name="bookmark212"/>
      <w:bookmarkEnd w:id="21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3"/>
        <w:keepNext/>
        <w:keepLines/>
        <w:widowControl w:val="0"/>
        <w:shd w:val="clear" w:color="auto" w:fill="auto"/>
        <w:tabs>
          <w:tab w:pos="517" w:val="left"/>
        </w:tabs>
        <w:bidi w:val="0"/>
        <w:spacing w:before="0" w:after="380" w:line="240" w:lineRule="auto"/>
        <w:ind w:left="0" w:right="0" w:firstLine="0"/>
        <w:jc w:val="left"/>
      </w:pPr>
      <w:bookmarkStart w:id="213" w:name="bookmark213"/>
      <w:bookmarkStart w:id="214" w:name="bookmark214"/>
      <w:bookmarkStart w:id="215" w:name="bookmark215"/>
      <w:bookmarkStart w:id="216" w:name="bookmark216"/>
      <w:r>
        <w:rPr>
          <w:color w:val="000000"/>
          <w:spacing w:val="0"/>
          <w:w w:val="100"/>
          <w:position w:val="0"/>
        </w:rPr>
        <w:t>九</w:t>
      </w:r>
      <w:bookmarkEnd w:id="215"/>
      <w:r>
        <w:rPr>
          <w:color w:val="000000"/>
          <w:spacing w:val="0"/>
          <w:w w:val="100"/>
          <w:position w:val="0"/>
        </w:rPr>
        <w:t>、</w:t>
        <w:tab/>
        <w:t>主要控股参股公司分析</w:t>
      </w:r>
      <w:bookmarkEnd w:id="213"/>
      <w:bookmarkEnd w:id="214"/>
      <w:bookmarkEnd w:id="216"/>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r>
      <w:tr>
        <w:trPr>
          <w:trHeight w:val="134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北京东港嘉 华安全信息 技术有限公 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票证印刷</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品，档案存</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储，电子票</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证等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48,926,762.5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327,068,352.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181,913,971.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272,074,562.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37,587,088.8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30,985,321.4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报告期内取得和处置子公司的情况</w:t>
      </w:r>
    </w:p>
    <w:p>
      <w:pPr>
        <w:pStyle w:val="Style18"/>
        <w:keepNext w:val="0"/>
        <w:keepLines w:val="0"/>
        <w:widowControl w:val="0"/>
        <w:shd w:val="clear" w:color="auto" w:fill="auto"/>
        <w:bidi w:val="0"/>
        <w:spacing w:before="0" w:after="36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80" w:line="240" w:lineRule="auto"/>
        <w:ind w:left="0" w:right="0" w:firstLine="0"/>
        <w:jc w:val="both"/>
      </w:pPr>
      <w:bookmarkStart w:id="217" w:name="bookmark217"/>
      <w:bookmarkStart w:id="218" w:name="bookmark218"/>
      <w:bookmarkStart w:id="219" w:name="bookmark219"/>
      <w:r>
        <w:rPr>
          <w:color w:val="000000"/>
          <w:spacing w:val="0"/>
          <w:w w:val="100"/>
          <w:position w:val="0"/>
        </w:rPr>
        <w:t>十、公司控制的结构化主体情况</w:t>
      </w:r>
      <w:bookmarkEnd w:id="217"/>
      <w:bookmarkEnd w:id="218"/>
      <w:bookmarkEnd w:id="219"/>
    </w:p>
    <w:p>
      <w:pPr>
        <w:pStyle w:val="Style18"/>
        <w:keepNext w:val="0"/>
        <w:keepLines w:val="0"/>
        <w:widowControl w:val="0"/>
        <w:shd w:val="clear" w:color="auto" w:fill="auto"/>
        <w:bidi w:val="0"/>
        <w:spacing w:before="0" w:after="36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80" w:line="240" w:lineRule="auto"/>
        <w:ind w:left="0" w:right="0" w:firstLine="0"/>
        <w:jc w:val="both"/>
      </w:pPr>
      <w:bookmarkStart w:id="220" w:name="bookmark220"/>
      <w:bookmarkStart w:id="221" w:name="bookmark221"/>
      <w:bookmarkStart w:id="222" w:name="bookmark222"/>
      <w:r>
        <w:rPr>
          <w:color w:val="000000"/>
          <w:spacing w:val="0"/>
          <w:w w:val="100"/>
          <w:position w:val="0"/>
        </w:rPr>
        <w:t>十一、公司未来发展的展望</w:t>
      </w:r>
      <w:bookmarkEnd w:id="220"/>
      <w:bookmarkEnd w:id="221"/>
      <w:bookmarkEnd w:id="222"/>
    </w:p>
    <w:p>
      <w:pPr>
        <w:pStyle w:val="Style18"/>
        <w:keepNext w:val="0"/>
        <w:keepLines w:val="0"/>
        <w:widowControl w:val="0"/>
        <w:shd w:val="clear" w:color="auto" w:fill="auto"/>
        <w:tabs>
          <w:tab w:pos="709" w:val="left"/>
        </w:tabs>
        <w:bidi w:val="0"/>
        <w:spacing w:before="0" w:after="0" w:line="317" w:lineRule="exact"/>
        <w:ind w:left="0" w:right="0"/>
        <w:jc w:val="both"/>
      </w:pPr>
      <w:bookmarkStart w:id="223" w:name="bookmark223"/>
      <w:r>
        <w:rPr>
          <w:rFonts w:ascii="Times New Roman" w:eastAsia="Times New Roman" w:hAnsi="Times New Roman" w:cs="Times New Roman"/>
          <w:color w:val="000000"/>
          <w:spacing w:val="0"/>
          <w:w w:val="100"/>
          <w:position w:val="0"/>
          <w:sz w:val="18"/>
          <w:szCs w:val="18"/>
        </w:rPr>
        <w:t>1</w:t>
      </w:r>
      <w:bookmarkEnd w:id="223"/>
      <w:r>
        <w:rPr>
          <w:color w:val="000000"/>
          <w:spacing w:val="0"/>
          <w:w w:val="100"/>
          <w:position w:val="0"/>
        </w:rPr>
        <w:t>、</w:t>
        <w:tab/>
        <w:t>公司的发展战略</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本公司秉承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市场唯先、用户至上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的经营思想，以市场为导向，以管理为后盾，针对当前票证产品的发展趋势，不断加 大科研创新力度，提高产品技术含量，在保持印刷业务稳步增长的基础上，依托电子信息产业发展，大力推进电子票证、新 渠道彩票销售和档案存储与电子化等新业务的发展，全面提升公司的竞争能力，保持公司长期可持续发展。</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公司的经营战略是进一步巩固公司在国内票证印刷行业的领先地位，大力发展新产品，通过产品升级和产业转型，实现 由传统的商业票证印刷商向基于信息服务业的综合服务供应商转型，保持经营业绩的稳步增长。</w:t>
      </w:r>
    </w:p>
    <w:p>
      <w:pPr>
        <w:pStyle w:val="Style18"/>
        <w:keepNext w:val="0"/>
        <w:keepLines w:val="0"/>
        <w:widowControl w:val="0"/>
        <w:shd w:val="clear" w:color="auto" w:fill="auto"/>
        <w:tabs>
          <w:tab w:pos="714" w:val="left"/>
        </w:tabs>
        <w:bidi w:val="0"/>
        <w:spacing w:before="0" w:after="0" w:line="317" w:lineRule="exact"/>
        <w:ind w:left="0" w:right="0"/>
        <w:jc w:val="both"/>
      </w:pPr>
      <w:bookmarkStart w:id="224" w:name="bookmark224"/>
      <w:r>
        <w:rPr>
          <w:rFonts w:ascii="Times New Roman" w:eastAsia="Times New Roman" w:hAnsi="Times New Roman" w:cs="Times New Roman"/>
          <w:color w:val="000000"/>
          <w:spacing w:val="0"/>
          <w:w w:val="100"/>
          <w:position w:val="0"/>
          <w:sz w:val="18"/>
          <w:szCs w:val="18"/>
        </w:rPr>
        <w:t>2</w:t>
      </w:r>
      <w:bookmarkEnd w:id="22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年经营计划和主要目标</w:t>
      </w:r>
    </w:p>
    <w:p>
      <w:pPr>
        <w:pStyle w:val="Style18"/>
        <w:keepNext w:val="0"/>
        <w:keepLines w:val="0"/>
        <w:widowControl w:val="0"/>
        <w:shd w:val="clear" w:color="auto" w:fill="auto"/>
        <w:tabs>
          <w:tab w:pos="901" w:val="left"/>
        </w:tabs>
        <w:bidi w:val="0"/>
        <w:spacing w:before="0" w:after="0" w:line="317" w:lineRule="exact"/>
        <w:ind w:left="0" w:right="0"/>
        <w:jc w:val="both"/>
      </w:pPr>
      <w:bookmarkStart w:id="225" w:name="bookmark225"/>
      <w:r>
        <w:rPr>
          <w:color w:val="000000"/>
          <w:spacing w:val="0"/>
          <w:w w:val="100"/>
          <w:position w:val="0"/>
        </w:rPr>
        <w:t>（</w:t>
      </w:r>
      <w:bookmarkEnd w:id="22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充分利用客户和市场竞争优势，开发新的业务领域，提升产品综合服务能力，挖掘市场潜力，提高产品的客户覆 盖范围，争取更多优质客户，提升营业收入和净利润水平。</w:t>
      </w:r>
    </w:p>
    <w:p>
      <w:pPr>
        <w:pStyle w:val="Style18"/>
        <w:keepNext w:val="0"/>
        <w:keepLines w:val="0"/>
        <w:widowControl w:val="0"/>
        <w:shd w:val="clear" w:color="auto" w:fill="auto"/>
        <w:tabs>
          <w:tab w:pos="886" w:val="left"/>
        </w:tabs>
        <w:bidi w:val="0"/>
        <w:spacing w:before="0" w:after="0" w:line="317" w:lineRule="exact"/>
        <w:ind w:left="0" w:right="0"/>
        <w:jc w:val="both"/>
      </w:pPr>
      <w:bookmarkStart w:id="226" w:name="bookmark226"/>
      <w:r>
        <w:rPr>
          <w:color w:val="000000"/>
          <w:spacing w:val="0"/>
          <w:w w:val="100"/>
          <w:position w:val="0"/>
        </w:rPr>
        <w:t>（</w:t>
      </w:r>
      <w:bookmarkEnd w:id="22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继续推动技术服务和其他业务的快速发展，通过发展多样化的电子票证产品、扩大新渠道彩票销售终端的服务范 围、拓展电子档案存储等新业务，扩大市场规模，力争实现技术服务业务的快速发展。</w:t>
      </w:r>
    </w:p>
    <w:p>
      <w:pPr>
        <w:pStyle w:val="Style18"/>
        <w:keepNext w:val="0"/>
        <w:keepLines w:val="0"/>
        <w:widowControl w:val="0"/>
        <w:shd w:val="clear" w:color="auto" w:fill="auto"/>
        <w:bidi w:val="0"/>
        <w:spacing w:before="0" w:after="0" w:line="317" w:lineRule="exact"/>
        <w:ind w:left="0" w:right="0" w:firstLine="520"/>
        <w:jc w:val="both"/>
      </w:pPr>
      <w:bookmarkStart w:id="227" w:name="bookmark227"/>
      <w:r>
        <w:rPr>
          <w:rFonts w:ascii="Times New Roman" w:eastAsia="Times New Roman" w:hAnsi="Times New Roman" w:cs="Times New Roman"/>
          <w:color w:val="000000"/>
          <w:spacing w:val="0"/>
          <w:w w:val="100"/>
          <w:position w:val="0"/>
          <w:sz w:val="18"/>
          <w:szCs w:val="18"/>
        </w:rPr>
        <w:t>（</w:t>
      </w:r>
      <w:bookmarkEnd w:id="227"/>
      <w:r>
        <w:rPr>
          <w:rFonts w:ascii="Times New Roman" w:eastAsia="Times New Roman" w:hAnsi="Times New Roman" w:cs="Times New Roman"/>
          <w:color w:val="000000"/>
          <w:spacing w:val="0"/>
          <w:w w:val="100"/>
          <w:position w:val="0"/>
          <w:sz w:val="18"/>
          <w:szCs w:val="18"/>
        </w:rPr>
        <w:t>3）</w:t>
      </w:r>
      <w:r>
        <w:rPr>
          <w:color w:val="000000"/>
          <w:spacing w:val="0"/>
          <w:w w:val="100"/>
          <w:position w:val="0"/>
        </w:rPr>
        <w:t>进一步提高生产效率，控制采购成本，简化工艺流程，将生产成本费用控制在合理范围内。</w:t>
      </w:r>
    </w:p>
    <w:p>
      <w:pPr>
        <w:pStyle w:val="Style18"/>
        <w:keepNext w:val="0"/>
        <w:keepLines w:val="0"/>
        <w:widowControl w:val="0"/>
        <w:shd w:val="clear" w:color="auto" w:fill="auto"/>
        <w:tabs>
          <w:tab w:pos="714" w:val="left"/>
        </w:tabs>
        <w:bidi w:val="0"/>
        <w:spacing w:before="0" w:after="0" w:line="317" w:lineRule="exact"/>
        <w:ind w:left="0" w:right="0"/>
        <w:jc w:val="both"/>
      </w:pPr>
      <w:bookmarkStart w:id="228" w:name="bookmark228"/>
      <w:r>
        <w:rPr>
          <w:rFonts w:ascii="Times New Roman" w:eastAsia="Times New Roman" w:hAnsi="Times New Roman" w:cs="Times New Roman"/>
          <w:color w:val="000000"/>
          <w:spacing w:val="0"/>
          <w:w w:val="100"/>
          <w:position w:val="0"/>
          <w:sz w:val="18"/>
          <w:szCs w:val="18"/>
        </w:rPr>
        <w:t>3</w:t>
      </w:r>
      <w:bookmarkEnd w:id="228"/>
      <w:r>
        <w:rPr>
          <w:color w:val="000000"/>
          <w:spacing w:val="0"/>
          <w:w w:val="100"/>
          <w:position w:val="0"/>
        </w:rPr>
        <w:t>、</w:t>
        <w:tab/>
        <w:t>公司面临的风险及应对措施</w:t>
      </w:r>
    </w:p>
    <w:p>
      <w:pPr>
        <w:pStyle w:val="Style18"/>
        <w:keepNext w:val="0"/>
        <w:keepLines w:val="0"/>
        <w:widowControl w:val="0"/>
        <w:shd w:val="clear" w:color="auto" w:fill="auto"/>
        <w:tabs>
          <w:tab w:pos="805" w:val="left"/>
        </w:tabs>
        <w:bidi w:val="0"/>
        <w:spacing w:before="0" w:after="0" w:line="317" w:lineRule="exact"/>
        <w:ind w:left="0" w:right="0"/>
        <w:jc w:val="both"/>
      </w:pPr>
      <w:bookmarkStart w:id="229" w:name="bookmark229"/>
      <w:r>
        <w:rPr>
          <w:color w:val="000000"/>
          <w:spacing w:val="0"/>
          <w:w w:val="100"/>
          <w:position w:val="0"/>
        </w:rPr>
        <w:t>（</w:t>
      </w:r>
      <w:bookmarkEnd w:id="22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电子化对传统票证业务市场的冲击加大</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应对措施：不断扩大市场占有率，保持票证业务市场的竞争优势，增大产品的覆盖范围，从而保持公司票证业务的收入 水平。同时加大技术服务领域的市场开拓，寻找新的业务增长点。</w:t>
      </w:r>
    </w:p>
    <w:p>
      <w:pPr>
        <w:pStyle w:val="Style18"/>
        <w:keepNext w:val="0"/>
        <w:keepLines w:val="0"/>
        <w:widowControl w:val="0"/>
        <w:shd w:val="clear" w:color="auto" w:fill="auto"/>
        <w:tabs>
          <w:tab w:pos="805" w:val="left"/>
        </w:tabs>
        <w:bidi w:val="0"/>
        <w:spacing w:before="0" w:after="0" w:line="317" w:lineRule="exact"/>
        <w:ind w:left="0" w:right="0"/>
        <w:jc w:val="both"/>
      </w:pPr>
      <w:bookmarkStart w:id="230" w:name="bookmark230"/>
      <w:r>
        <w:rPr>
          <w:color w:val="000000"/>
          <w:spacing w:val="0"/>
          <w:w w:val="100"/>
          <w:position w:val="0"/>
        </w:rPr>
        <w:t>（</w:t>
      </w:r>
      <w:bookmarkEnd w:id="23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大宗原材料成本上升，产品成本压力增加</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应对措施：利用集团优势集中采购，增加合理库存，提升产品的技术含量，增加产品的议价能力，实现顺价销售。</w:t>
      </w:r>
    </w:p>
    <w:p>
      <w:pPr>
        <w:pStyle w:val="Style18"/>
        <w:keepNext w:val="0"/>
        <w:keepLines w:val="0"/>
        <w:widowControl w:val="0"/>
        <w:shd w:val="clear" w:color="auto" w:fill="auto"/>
        <w:tabs>
          <w:tab w:pos="805" w:val="left"/>
        </w:tabs>
        <w:bidi w:val="0"/>
        <w:spacing w:before="0" w:after="0" w:line="317" w:lineRule="exact"/>
        <w:ind w:left="0" w:right="0"/>
        <w:jc w:val="both"/>
      </w:pPr>
      <w:bookmarkStart w:id="231" w:name="bookmark231"/>
      <w:r>
        <w:rPr>
          <w:color w:val="000000"/>
          <w:spacing w:val="0"/>
          <w:w w:val="100"/>
          <w:position w:val="0"/>
        </w:rPr>
        <w:t>（</w:t>
      </w:r>
      <w:bookmarkEnd w:id="23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新业务增长面临较大不确定性</w:t>
      </w:r>
    </w:p>
    <w:p>
      <w:pPr>
        <w:pStyle w:val="Style18"/>
        <w:keepNext w:val="0"/>
        <w:keepLines w:val="0"/>
        <w:widowControl w:val="0"/>
        <w:shd w:val="clear" w:color="auto" w:fill="auto"/>
        <w:bidi w:val="0"/>
        <w:spacing w:before="0" w:after="360" w:line="317" w:lineRule="exact"/>
        <w:ind w:left="0" w:right="0"/>
        <w:jc w:val="both"/>
      </w:pPr>
      <w:r>
        <w:rPr>
          <w:color w:val="000000"/>
          <w:spacing w:val="0"/>
          <w:w w:val="100"/>
          <w:position w:val="0"/>
        </w:rPr>
        <w:t>应对措施：以市场需求为导向，以客户满意为着眼点，采用新的服务模式，促进新业务的发展。</w:t>
      </w:r>
    </w:p>
    <w:p>
      <w:pPr>
        <w:pStyle w:val="Style23"/>
        <w:keepNext/>
        <w:keepLines/>
        <w:widowControl w:val="0"/>
        <w:shd w:val="clear" w:color="auto" w:fill="auto"/>
        <w:bidi w:val="0"/>
        <w:spacing w:before="0" w:line="240" w:lineRule="auto"/>
        <w:ind w:left="0" w:right="0" w:firstLine="0"/>
        <w:jc w:val="both"/>
      </w:pPr>
      <w:bookmarkStart w:id="232" w:name="bookmark232"/>
      <w:bookmarkStart w:id="233" w:name="bookmark233"/>
      <w:bookmarkStart w:id="234" w:name="bookmark234"/>
      <w:r>
        <w:rPr>
          <w:color w:val="000000"/>
          <w:spacing w:val="0"/>
          <w:w w:val="100"/>
          <w:position w:val="0"/>
        </w:rPr>
        <w:t>十二、报告期内接待调研、沟通、采访等活动</w:t>
      </w:r>
      <w:bookmarkEnd w:id="232"/>
      <w:bookmarkEnd w:id="233"/>
      <w:bookmarkEnd w:id="234"/>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01"/>
        <w:gridCol w:w="1296"/>
        <w:gridCol w:w="1296"/>
        <w:gridCol w:w="1296"/>
        <w:gridCol w:w="1291"/>
        <w:gridCol w:w="1296"/>
        <w:gridCol w:w="1810"/>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接待地点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接待对象类型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接待对象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谈论的主要内</w:t>
            </w:r>
          </w:p>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容及提供的资 料</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调研的基本情况索引</w:t>
            </w:r>
          </w:p>
        </w:tc>
      </w:tr>
      <w:tr>
        <w:trPr>
          <w:trHeight w:val="166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电话会议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国泰君安证券</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等机构投资者</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公司经营状况</w:t>
            </w:r>
          </w:p>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及新业务发展 情况</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请查阅深圳证券交易 所</w:t>
            </w:r>
            <w:r>
              <w:rPr>
                <w:color w:val="000000"/>
                <w:spacing w:val="0"/>
                <w:w w:val="100"/>
                <w:position w:val="0"/>
                <w:sz w:val="18"/>
                <w:szCs w:val="18"/>
              </w:rPr>
              <w:t>"</w:t>
            </w:r>
            <w:r>
              <w:rPr>
                <w:rFonts w:ascii="SimSun" w:eastAsia="SimSun" w:hAnsi="SimSun" w:cs="SimSun"/>
                <w:color w:val="000000"/>
                <w:spacing w:val="0"/>
                <w:w w:val="100"/>
                <w:position w:val="0"/>
                <w:sz w:val="17"/>
                <w:szCs w:val="17"/>
              </w:rPr>
              <w:t>互动易</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栏目，本公 司披露的《东港股份投 资者调研记录 </w:t>
            </w:r>
            <w:r>
              <w:rPr>
                <w:color w:val="000000"/>
                <w:spacing w:val="0"/>
                <w:w w:val="100"/>
                <w:position w:val="0"/>
                <w:sz w:val="18"/>
                <w:szCs w:val="18"/>
              </w:rPr>
              <w:t>20210121</w:t>
            </w:r>
            <w:r>
              <w:rPr>
                <w:rFonts w:ascii="SimSun" w:eastAsia="SimSun" w:hAnsi="SimSun" w:cs="SimSun"/>
                <w:color w:val="000000"/>
                <w:spacing w:val="0"/>
                <w:w w:val="100"/>
                <w:position w:val="0"/>
                <w:sz w:val="17"/>
                <w:szCs w:val="17"/>
              </w:rPr>
              <w:t>》</w:t>
            </w:r>
          </w:p>
        </w:tc>
      </w:tr>
    </w:tbl>
    <w:p>
      <w:pPr>
        <w:pStyle w:val="Style10"/>
        <w:keepNext/>
        <w:keepLines/>
        <w:widowControl w:val="0"/>
        <w:shd w:val="clear" w:color="auto" w:fill="auto"/>
        <w:bidi w:val="0"/>
        <w:spacing w:before="0" w:after="480" w:line="240" w:lineRule="auto"/>
        <w:ind w:left="0" w:right="0" w:firstLine="0"/>
        <w:jc w:val="center"/>
      </w:pPr>
      <w:bookmarkStart w:id="235" w:name="bookmark235"/>
      <w:bookmarkStart w:id="236" w:name="bookmark236"/>
      <w:bookmarkStart w:id="237" w:name="bookmark237"/>
      <w:r>
        <w:rPr>
          <w:color w:val="000000"/>
          <w:spacing w:val="0"/>
          <w:w w:val="100"/>
          <w:position w:val="0"/>
        </w:rPr>
        <w:t>第四节公司治理</w:t>
      </w:r>
      <w:bookmarkEnd w:id="235"/>
      <w:bookmarkEnd w:id="236"/>
      <w:bookmarkEnd w:id="237"/>
    </w:p>
    <w:p>
      <w:pPr>
        <w:pStyle w:val="Style23"/>
        <w:keepNext/>
        <w:keepLines/>
        <w:widowControl w:val="0"/>
        <w:shd w:val="clear" w:color="auto" w:fill="auto"/>
        <w:tabs>
          <w:tab w:pos="517" w:val="left"/>
        </w:tabs>
        <w:bidi w:val="0"/>
        <w:spacing w:before="0" w:after="240" w:line="331" w:lineRule="exact"/>
        <w:ind w:left="0" w:right="0" w:firstLine="0"/>
        <w:jc w:val="left"/>
      </w:pPr>
      <w:bookmarkStart w:id="238" w:name="bookmark238"/>
      <w:bookmarkStart w:id="239" w:name="bookmark239"/>
      <w:bookmarkStart w:id="240" w:name="bookmark240"/>
      <w:bookmarkStart w:id="241" w:name="bookmark241"/>
      <w:bookmarkStart w:id="242" w:name="bookmark242"/>
      <w:r>
        <w:rPr>
          <w:color w:val="000000"/>
          <w:spacing w:val="0"/>
          <w:w w:val="100"/>
          <w:position w:val="0"/>
        </w:rPr>
        <w:t>一</w:t>
      </w:r>
      <w:bookmarkEnd w:id="241"/>
      <w:r>
        <w:rPr>
          <w:color w:val="000000"/>
          <w:spacing w:val="0"/>
          <w:w w:val="100"/>
          <w:position w:val="0"/>
        </w:rPr>
        <w:t>、</w:t>
        <w:tab/>
        <w:t>公司治理的基本状况</w:t>
      </w:r>
      <w:bookmarkEnd w:id="239"/>
      <w:bookmarkEnd w:id="240"/>
      <w:bookmarkEnd w:id="242"/>
      <w:bookmarkEnd w:id="238"/>
    </w:p>
    <w:p>
      <w:pPr>
        <w:pStyle w:val="Style18"/>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公司根据中国证监会关于规范公司治理结构的相关文件，建立健全了包括《股东大会议事规则》、《董事会议事规则》、 《监事会议事规则》、《独立董事制度》、《募集资金管理制度》等在内的内部控制制度，并在上市公司治理专项活动中， 进行了修订和完善，达到了证券监管部门的要求。董事会及其下设的专业委员会发挥职能，负责审议公司的经营战略和重大 决策，公司管理层在董事会的授权范围内，负责公司的日常生产经营活动，管理层和董事会之间责权关系明确。公司的各项 内部控制制度健全，并将内控制度的检查融入了日常工作中，不断完善，以适应公司管理和发展的需要，有效保证了公司正 常的生产经营和规范化运作。董事会下属的审计委员会和审计部认真履行职责，通过内部审计发现问题，预防风险，通过对 内部财务数据和工作流程的审计，规范内部运作，提高财务信息披露质量，保证了公司日常生产经营的合法性和规范化。公 司将在今后的工作中进一步完善内部控制制度，规范运作，为公司健康稳定的发展奠定基础。</w:t>
      </w:r>
    </w:p>
    <w:p>
      <w:pPr>
        <w:pStyle w:val="Style18"/>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300" w:line="313"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3"/>
        <w:keepNext/>
        <w:keepLines/>
        <w:widowControl w:val="0"/>
        <w:shd w:val="clear" w:color="auto" w:fill="auto"/>
        <w:tabs>
          <w:tab w:pos="522" w:val="left"/>
        </w:tabs>
        <w:bidi w:val="0"/>
        <w:spacing w:before="0" w:after="240" w:line="331" w:lineRule="exact"/>
        <w:ind w:left="0" w:right="0" w:firstLine="0"/>
        <w:jc w:val="left"/>
      </w:pPr>
      <w:bookmarkStart w:id="243" w:name="bookmark243"/>
      <w:bookmarkStart w:id="244" w:name="bookmark244"/>
      <w:bookmarkStart w:id="245" w:name="bookmark245"/>
      <w:bookmarkStart w:id="246" w:name="bookmark246"/>
      <w:r>
        <w:rPr>
          <w:color w:val="000000"/>
          <w:spacing w:val="0"/>
          <w:w w:val="100"/>
          <w:position w:val="0"/>
        </w:rPr>
        <w:t>二</w:t>
      </w:r>
      <w:bookmarkEnd w:id="245"/>
      <w:r>
        <w:rPr>
          <w:color w:val="000000"/>
          <w:spacing w:val="0"/>
          <w:w w:val="100"/>
          <w:position w:val="0"/>
        </w:rPr>
        <w:t>、</w:t>
        <w:tab/>
        <w:t>公司相对于控股股东、实际控制人在保证公司资产、人员、财务、机构、业务等方面的 独立情况</w:t>
      </w:r>
      <w:bookmarkEnd w:id="243"/>
      <w:bookmarkEnd w:id="244"/>
      <w:bookmarkEnd w:id="246"/>
    </w:p>
    <w:p>
      <w:pPr>
        <w:pStyle w:val="Style1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公司具备完整、规范的产、供、销生产经营管理体制和运行机制，公司与主要股东在业务、人员、资产、机构、财务等 方面完全分开，具有独立完整的业务及自主经营能力。</w:t>
      </w:r>
    </w:p>
    <w:p>
      <w:pPr>
        <w:pStyle w:val="Style18"/>
        <w:keepNext w:val="0"/>
        <w:keepLines w:val="0"/>
        <w:widowControl w:val="0"/>
        <w:shd w:val="clear" w:color="auto" w:fill="auto"/>
        <w:tabs>
          <w:tab w:pos="910" w:val="left"/>
        </w:tabs>
        <w:bidi w:val="0"/>
        <w:spacing w:before="0" w:after="0" w:line="322" w:lineRule="exact"/>
        <w:ind w:left="0" w:right="0" w:firstLine="300"/>
        <w:jc w:val="both"/>
      </w:pPr>
      <w:bookmarkStart w:id="247" w:name="bookmark247"/>
      <w:r>
        <w:rPr>
          <w:color w:val="000000"/>
          <w:spacing w:val="0"/>
          <w:w w:val="100"/>
          <w:position w:val="0"/>
        </w:rPr>
        <w:t>（</w:t>
      </w:r>
      <w:bookmarkEnd w:id="247"/>
      <w:r>
        <w:rPr>
          <w:color w:val="000000"/>
          <w:spacing w:val="0"/>
          <w:w w:val="100"/>
          <w:position w:val="0"/>
        </w:rPr>
        <w:t>一）</w:t>
        <w:tab/>
        <w:t>业务独立：公司具有完整的采购供应体系、完整的生产管理体系和独立的销售运作体系，独立开展业务，不依赖 于任何股东及关联方。</w:t>
      </w:r>
    </w:p>
    <w:p>
      <w:pPr>
        <w:pStyle w:val="Style18"/>
        <w:keepNext w:val="0"/>
        <w:keepLines w:val="0"/>
        <w:widowControl w:val="0"/>
        <w:shd w:val="clear" w:color="auto" w:fill="auto"/>
        <w:tabs>
          <w:tab w:pos="901" w:val="left"/>
        </w:tabs>
        <w:bidi w:val="0"/>
        <w:spacing w:before="0" w:after="0" w:line="317" w:lineRule="exact"/>
        <w:ind w:left="0" w:right="0" w:firstLine="300"/>
        <w:jc w:val="both"/>
      </w:pPr>
      <w:bookmarkStart w:id="248" w:name="bookmark248"/>
      <w:r>
        <w:rPr>
          <w:color w:val="000000"/>
          <w:spacing w:val="0"/>
          <w:w w:val="100"/>
          <w:position w:val="0"/>
        </w:rPr>
        <w:t>（</w:t>
      </w:r>
      <w:bookmarkEnd w:id="248"/>
      <w:r>
        <w:rPr>
          <w:color w:val="000000"/>
          <w:spacing w:val="0"/>
          <w:w w:val="100"/>
          <w:position w:val="0"/>
        </w:rPr>
        <w:t>二）</w:t>
        <w:tab/>
        <w:t>人员独立：本公司董事、监事及高级管理人员严格按照《公司法》《公司章程》的有关规定产生；公司建有独立 的人事及工资管理系统；公司还制订了严格的《人力资源管理制度》，人员管理做到了制度化。</w:t>
      </w:r>
    </w:p>
    <w:p>
      <w:pPr>
        <w:pStyle w:val="Style18"/>
        <w:keepNext w:val="0"/>
        <w:keepLines w:val="0"/>
        <w:widowControl w:val="0"/>
        <w:shd w:val="clear" w:color="auto" w:fill="auto"/>
        <w:bidi w:val="0"/>
        <w:spacing w:before="0" w:after="0" w:line="317" w:lineRule="exact"/>
        <w:ind w:left="0" w:right="0" w:firstLine="460"/>
        <w:jc w:val="both"/>
      </w:pPr>
      <w:bookmarkStart w:id="249" w:name="bookmark249"/>
      <w:r>
        <w:rPr>
          <w:color w:val="000000"/>
          <w:spacing w:val="0"/>
          <w:w w:val="100"/>
          <w:position w:val="0"/>
        </w:rPr>
        <w:t>（</w:t>
      </w:r>
      <w:bookmarkEnd w:id="249"/>
      <w:r>
        <w:rPr>
          <w:color w:val="000000"/>
          <w:spacing w:val="0"/>
          <w:w w:val="100"/>
          <w:position w:val="0"/>
        </w:rPr>
        <w:t>三）资产独立：本公司的主要资产包括主营业务所需的完整的生产设备、土地、厂房、办公用房、仓储用房、交通 工具和知识产权，具有完整的配套设施。上述资产产权清晰，完全独立于股东单位。</w:t>
      </w:r>
    </w:p>
    <w:p>
      <w:pPr>
        <w:pStyle w:val="Style18"/>
        <w:keepNext w:val="0"/>
        <w:keepLines w:val="0"/>
        <w:widowControl w:val="0"/>
        <w:shd w:val="clear" w:color="auto" w:fill="auto"/>
        <w:tabs>
          <w:tab w:pos="901" w:val="left"/>
        </w:tabs>
        <w:bidi w:val="0"/>
        <w:spacing w:before="0" w:after="0" w:line="312" w:lineRule="exact"/>
        <w:ind w:left="0" w:right="0" w:firstLine="300"/>
        <w:jc w:val="both"/>
      </w:pPr>
      <w:bookmarkStart w:id="250" w:name="bookmark250"/>
      <w:r>
        <w:rPr>
          <w:color w:val="000000"/>
          <w:spacing w:val="0"/>
          <w:w w:val="100"/>
          <w:position w:val="0"/>
        </w:rPr>
        <w:t>（</w:t>
      </w:r>
      <w:bookmarkEnd w:id="250"/>
      <w:r>
        <w:rPr>
          <w:color w:val="000000"/>
          <w:spacing w:val="0"/>
          <w:w w:val="100"/>
          <w:position w:val="0"/>
        </w:rPr>
        <w:t>四）</w:t>
        <w:tab/>
        <w:t>机构独立：本公司设股东大会、董事会、监事会，按照《公司章程》的规定履行相关权利和义务。公司拥有独立 的组织机构，拥有独立的运作、管理和考核机制。公司总裁、副总裁等高级管理人员均在公司领取报酬。</w:t>
      </w:r>
    </w:p>
    <w:p>
      <w:pPr>
        <w:pStyle w:val="Style18"/>
        <w:keepNext w:val="0"/>
        <w:keepLines w:val="0"/>
        <w:widowControl w:val="0"/>
        <w:shd w:val="clear" w:color="auto" w:fill="auto"/>
        <w:tabs>
          <w:tab w:pos="915" w:val="left"/>
        </w:tabs>
        <w:bidi w:val="0"/>
        <w:spacing w:before="0" w:after="300" w:line="312" w:lineRule="exact"/>
        <w:ind w:left="0" w:right="0" w:firstLine="300"/>
        <w:jc w:val="both"/>
      </w:pPr>
      <w:bookmarkStart w:id="251" w:name="bookmark251"/>
      <w:r>
        <w:rPr>
          <w:color w:val="000000"/>
          <w:spacing w:val="0"/>
          <w:w w:val="100"/>
          <w:position w:val="0"/>
        </w:rPr>
        <w:t>（</w:t>
      </w:r>
      <w:bookmarkEnd w:id="251"/>
      <w:r>
        <w:rPr>
          <w:color w:val="000000"/>
          <w:spacing w:val="0"/>
          <w:w w:val="100"/>
          <w:position w:val="0"/>
        </w:rPr>
        <w:t>五）</w:t>
        <w:tab/>
        <w:t>财务独立：公司设有独立的财务部门，建立独立的财务会计核算体系和财务管理制度，财务人员与股东单位完全 独立，不存在交叉任职情况。公司独立开设银行账户，作为独立的纳税人依法独立纳税。</w:t>
      </w:r>
    </w:p>
    <w:p>
      <w:pPr>
        <w:pStyle w:val="Style23"/>
        <w:keepNext/>
        <w:keepLines/>
        <w:widowControl w:val="0"/>
        <w:shd w:val="clear" w:color="auto" w:fill="auto"/>
        <w:tabs>
          <w:tab w:pos="522" w:val="left"/>
        </w:tabs>
        <w:bidi w:val="0"/>
        <w:spacing w:before="0" w:line="331" w:lineRule="exact"/>
        <w:ind w:left="0" w:right="0" w:firstLine="0"/>
        <w:jc w:val="left"/>
      </w:pPr>
      <w:bookmarkStart w:id="252" w:name="bookmark252"/>
      <w:bookmarkStart w:id="253" w:name="bookmark253"/>
      <w:bookmarkStart w:id="254" w:name="bookmark254"/>
      <w:bookmarkStart w:id="255" w:name="bookmark255"/>
      <w:r>
        <w:rPr>
          <w:color w:val="000000"/>
          <w:spacing w:val="0"/>
          <w:w w:val="100"/>
          <w:position w:val="0"/>
        </w:rPr>
        <w:t>三</w:t>
      </w:r>
      <w:bookmarkEnd w:id="254"/>
      <w:r>
        <w:rPr>
          <w:color w:val="000000"/>
          <w:spacing w:val="0"/>
          <w:w w:val="100"/>
          <w:position w:val="0"/>
        </w:rPr>
        <w:t>、</w:t>
        <w:tab/>
        <w:t>同业竞争情况</w:t>
      </w:r>
      <w:bookmarkEnd w:id="252"/>
      <w:bookmarkEnd w:id="253"/>
      <w:bookmarkEnd w:id="255"/>
    </w:p>
    <w:p>
      <w:pPr>
        <w:pStyle w:val="Style18"/>
        <w:keepNext w:val="0"/>
        <w:keepLines w:val="0"/>
        <w:widowControl w:val="0"/>
        <w:shd w:val="clear" w:color="auto" w:fill="auto"/>
        <w:bidi w:val="0"/>
        <w:spacing w:before="0" w:after="1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22" w:val="left"/>
        </w:tabs>
        <w:bidi w:val="0"/>
        <w:spacing w:before="0" w:line="331" w:lineRule="exact"/>
        <w:ind w:left="0" w:right="0" w:firstLine="0"/>
        <w:jc w:val="left"/>
      </w:pPr>
      <w:bookmarkStart w:id="256" w:name="bookmark256"/>
      <w:bookmarkStart w:id="257" w:name="bookmark257"/>
      <w:bookmarkStart w:id="258" w:name="bookmark258"/>
      <w:bookmarkStart w:id="259" w:name="bookmark259"/>
      <w:r>
        <w:rPr>
          <w:color w:val="000000"/>
          <w:spacing w:val="0"/>
          <w:w w:val="100"/>
          <w:position w:val="0"/>
        </w:rPr>
        <w:t>四</w:t>
      </w:r>
      <w:bookmarkEnd w:id="258"/>
      <w:r>
        <w:rPr>
          <w:color w:val="000000"/>
          <w:spacing w:val="0"/>
          <w:w w:val="100"/>
          <w:position w:val="0"/>
        </w:rPr>
        <w:t>、</w:t>
        <w:tab/>
        <w:t>报告期内召开的年度股东大会和临时股东大会的有关情况</w:t>
      </w:r>
      <w:bookmarkEnd w:id="256"/>
      <w:bookmarkEnd w:id="257"/>
      <w:bookmarkEnd w:id="259"/>
    </w:p>
    <w:p>
      <w:pPr>
        <w:pStyle w:val="Style32"/>
        <w:keepNext/>
        <w:keepLines/>
        <w:widowControl w:val="0"/>
        <w:shd w:val="clear" w:color="auto" w:fill="auto"/>
        <w:bidi w:val="0"/>
        <w:spacing w:before="0" w:after="300" w:line="240" w:lineRule="auto"/>
        <w:ind w:left="0" w:right="0" w:firstLine="0"/>
        <w:jc w:val="left"/>
      </w:pPr>
      <w:bookmarkStart w:id="260" w:name="bookmark260"/>
      <w:bookmarkStart w:id="261" w:name="bookmark261"/>
      <w:bookmarkStart w:id="262" w:name="bookmark262"/>
      <w:bookmarkStart w:id="263" w:name="bookmark263"/>
      <w:r>
        <w:rPr>
          <w:rFonts w:ascii="Times New Roman" w:eastAsia="Times New Roman" w:hAnsi="Times New Roman" w:cs="Times New Roman"/>
          <w:color w:val="000000"/>
          <w:spacing w:val="0"/>
          <w:w w:val="100"/>
          <w:position w:val="0"/>
        </w:rPr>
        <w:t>1</w:t>
      </w:r>
      <w:bookmarkEnd w:id="262"/>
      <w:r>
        <w:rPr>
          <w:color w:val="000000"/>
          <w:spacing w:val="0"/>
          <w:w w:val="100"/>
          <w:position w:val="0"/>
        </w:rPr>
        <w:t>、本报告期股东大会情况</w:t>
      </w:r>
      <w:bookmarkEnd w:id="260"/>
      <w:bookmarkEnd w:id="261"/>
      <w:bookmarkEnd w:id="263"/>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投资者参与比例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会议决议</w:t>
            </w: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w:t>
            </w:r>
            <w:r>
              <w:rPr>
                <w:color w:val="000000"/>
                <w:spacing w:val="0"/>
                <w:w w:val="100"/>
                <w:position w:val="0"/>
              </w:rPr>
              <w:t>http</w:t>
            </w:r>
            <w:r>
              <w:rPr>
                <w:color w:val="000000"/>
                <w:spacing w:val="0"/>
                <w:w w:val="100"/>
                <w:position w:val="0"/>
              </w:rPr>
              <w:t xml:space="preserve">: </w:t>
            </w:r>
            <w:r>
              <w:rPr>
                <w:color w:val="000000"/>
                <w:spacing w:val="0"/>
                <w:w w:val="100"/>
                <w:position w:val="0"/>
              </w:rPr>
              <w:t>//www. cninfo .com.cn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w:t>
            </w: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年度 股东大会决议公 告》，公告编号： </w:t>
            </w:r>
            <w:r>
              <w:rPr>
                <w:color w:val="000000"/>
                <w:spacing w:val="0"/>
                <w:w w:val="100"/>
                <w:position w:val="0"/>
              </w:rPr>
              <w:t>2021-015</w:t>
            </w:r>
          </w:p>
        </w:tc>
      </w:tr>
      <w:tr>
        <w:trPr>
          <w:trHeight w:val="197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年第一次临时 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w:t>
            </w: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xml:space="preserve"> .com.cn）</w:t>
            </w:r>
            <w:r>
              <w:rPr>
                <w:rFonts w:ascii="SimSun" w:eastAsia="SimSun" w:hAnsi="SimSun" w:cs="SimSun"/>
                <w:color w:val="000000"/>
                <w:spacing w:val="0"/>
                <w:w w:val="100"/>
                <w:position w:val="0"/>
                <w:sz w:val="17"/>
                <w:szCs w:val="17"/>
              </w:rPr>
              <w:t>《</w:t>
            </w:r>
            <w:r>
              <w:rPr>
                <w:color w:val="000000"/>
                <w:spacing w:val="0"/>
                <w:w w:val="100"/>
                <w:position w:val="0"/>
              </w:rPr>
              <w:t xml:space="preserve">2021 </w:t>
            </w:r>
            <w:r>
              <w:rPr>
                <w:rFonts w:ascii="SimSun" w:eastAsia="SimSun" w:hAnsi="SimSun" w:cs="SimSun"/>
                <w:color w:val="000000"/>
                <w:spacing w:val="0"/>
                <w:w w:val="100"/>
                <w:position w:val="0"/>
                <w:sz w:val="17"/>
                <w:szCs w:val="17"/>
              </w:rPr>
              <w:t>年第 一次临时股东大会 决议公告》，公告编 号：</w:t>
            </w:r>
            <w:r>
              <w:rPr>
                <w:color w:val="000000"/>
                <w:spacing w:val="0"/>
                <w:w w:val="100"/>
                <w:position w:val="0"/>
              </w:rPr>
              <w:t>2021-025</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264" w:name="bookmark264"/>
      <w:bookmarkStart w:id="265" w:name="bookmark265"/>
      <w:bookmarkStart w:id="266" w:name="bookmark266"/>
      <w:bookmarkStart w:id="267" w:name="bookmark267"/>
      <w:r>
        <w:rPr>
          <w:rFonts w:ascii="Times New Roman" w:eastAsia="Times New Roman" w:hAnsi="Times New Roman" w:cs="Times New Roman"/>
          <w:color w:val="000000"/>
          <w:spacing w:val="0"/>
          <w:w w:val="100"/>
          <w:position w:val="0"/>
        </w:rPr>
        <w:t>2</w:t>
      </w:r>
      <w:bookmarkEnd w:id="266"/>
      <w:r>
        <w:rPr>
          <w:color w:val="000000"/>
          <w:spacing w:val="0"/>
          <w:w w:val="100"/>
          <w:position w:val="0"/>
        </w:rPr>
        <w:t>、表决权恢复的优先股股东请求召开临时股东大会</w:t>
      </w:r>
      <w:bookmarkEnd w:id="264"/>
      <w:bookmarkEnd w:id="265"/>
      <w:bookmarkEnd w:id="267"/>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268" w:name="bookmark268"/>
      <w:bookmarkStart w:id="269" w:name="bookmark269"/>
      <w:bookmarkStart w:id="270" w:name="bookmark270"/>
      <w:bookmarkStart w:id="271" w:name="bookmark271"/>
      <w:r>
        <w:rPr>
          <w:color w:val="000000"/>
          <w:spacing w:val="0"/>
          <w:w w:val="100"/>
          <w:position w:val="0"/>
        </w:rPr>
        <w:t>五</w:t>
      </w:r>
      <w:bookmarkEnd w:id="270"/>
      <w:r>
        <w:rPr>
          <w:color w:val="000000"/>
          <w:spacing w:val="0"/>
          <w:w w:val="100"/>
          <w:position w:val="0"/>
        </w:rPr>
        <w:t>、董事、监事和高级管理人员情况</w:t>
      </w:r>
      <w:bookmarkEnd w:id="268"/>
      <w:bookmarkEnd w:id="269"/>
      <w:bookmarkEnd w:id="271"/>
    </w:p>
    <w:p>
      <w:pPr>
        <w:pStyle w:val="Style32"/>
        <w:keepNext/>
        <w:keepLines/>
        <w:widowControl w:val="0"/>
        <w:shd w:val="clear" w:color="auto" w:fill="auto"/>
        <w:bidi w:val="0"/>
        <w:spacing w:before="0" w:after="320" w:line="240" w:lineRule="auto"/>
        <w:ind w:left="0" w:right="0" w:firstLine="0"/>
        <w:jc w:val="left"/>
      </w:pPr>
      <w:bookmarkStart w:id="272" w:name="bookmark272"/>
      <w:bookmarkStart w:id="273" w:name="bookmark273"/>
      <w:bookmarkStart w:id="274" w:name="bookmark274"/>
      <w:bookmarkStart w:id="275" w:name="bookmark275"/>
      <w:r>
        <w:rPr>
          <w:rFonts w:ascii="Times New Roman" w:eastAsia="Times New Roman" w:hAnsi="Times New Roman" w:cs="Times New Roman"/>
          <w:color w:val="000000"/>
          <w:spacing w:val="0"/>
          <w:w w:val="100"/>
          <w:position w:val="0"/>
        </w:rPr>
        <w:t>1</w:t>
      </w:r>
      <w:bookmarkEnd w:id="274"/>
      <w:r>
        <w:rPr>
          <w:color w:val="000000"/>
          <w:spacing w:val="0"/>
          <w:w w:val="100"/>
          <w:position w:val="0"/>
        </w:rPr>
        <w:t>、基本情况</w:t>
      </w:r>
      <w:bookmarkEnd w:id="272"/>
      <w:bookmarkEnd w:id="273"/>
      <w:bookmarkEnd w:id="275"/>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任职状 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任期起</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任期终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止日期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期初持 股数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 持股份 数量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本期减 持股份 数量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其他增</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减变动</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期末持 股数 （股）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股份增</w:t>
            </w:r>
          </w:p>
          <w:p>
            <w:pPr>
              <w:pStyle w:val="Style20"/>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减变动</w:t>
            </w:r>
          </w:p>
          <w:p>
            <w:pPr>
              <w:pStyle w:val="Style20"/>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的原因</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史建中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王爱先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副董事 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楚伦巴 特尔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盖学刚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唐国奇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董事、常 务副总 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周建民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54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年</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张松旺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冯威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i/>
                <w:iCs/>
                <w:color w:val="000000"/>
                <w:spacing w:val="0"/>
                <w:w w:val="100"/>
                <w:position w:val="0"/>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李安龙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监事会</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i/>
                <w:iCs/>
                <w:color w:val="000000"/>
                <w:spacing w:val="0"/>
                <w:w w:val="100"/>
                <w:position w:val="0"/>
              </w:rPr>
              <w:t>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郭肖娜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i/>
                <w:iCs/>
                <w:color w:val="000000"/>
                <w:spacing w:val="0"/>
                <w:w w:val="100"/>
                <w:position w:val="0"/>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i/>
                <w:iCs/>
                <w:color w:val="000000"/>
                <w:spacing w:val="0"/>
                <w:w w:val="100"/>
                <w:position w:val="0"/>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王晓延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i/>
                <w:iCs/>
                <w:color w:val="000000"/>
                <w:spacing w:val="0"/>
                <w:w w:val="100"/>
                <w:position w:val="0"/>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13,500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i/>
                <w:iCs/>
                <w:color w:val="000000"/>
                <w:spacing w:val="0"/>
                <w:w w:val="100"/>
                <w:position w:val="0"/>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22,950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i/>
                <w:iCs/>
                <w:color w:val="000000"/>
                <w:spacing w:val="0"/>
                <w:w w:val="100"/>
                <w:position w:val="0"/>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2006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i/>
                <w:iCs/>
                <w:color w:val="000000"/>
                <w:spacing w:val="0"/>
                <w:w w:val="100"/>
                <w:position w:val="0"/>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2006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财务负</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责人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i/>
                <w:iCs/>
                <w:color w:val="000000"/>
                <w:spacing w:val="0"/>
                <w:w w:val="100"/>
                <w:position w:val="0"/>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2006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106,125</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齐利国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董事会</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秘书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i/>
                <w:iCs/>
                <w:color w:val="000000"/>
                <w:spacing w:val="0"/>
                <w:w w:val="100"/>
                <w:position w:val="0"/>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2006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91,125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夏文庆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i/>
                <w:iCs/>
                <w:color w:val="000000"/>
                <w:spacing w:val="0"/>
                <w:w w:val="100"/>
                <w:position w:val="0"/>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p>
            <w:pPr>
              <w:pStyle w:val="Style20"/>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刘宏</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i/>
                <w:iCs/>
                <w:color w:val="000000"/>
                <w:spacing w:val="0"/>
                <w:w w:val="100"/>
                <w:position w:val="0"/>
              </w:rPr>
              <w:t>53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郝纪勇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娄本美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233,700</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报告期是否存在任期内董事、监事离任和高级管理人员解聘的情况</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报告期内，公司第六届董事会董事夏文庆，第六届监事会监事娄本美，在任期内因工作原因离任。</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公司董事、监事、高级管理人员变动情况</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963"/>
        <w:gridCol w:w="3624"/>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夏文庆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工作原因辞职</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董事任期届满，仍担任公司副总裁</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郝继勇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独立董事任期届满</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独立董事任期届满</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独立董事任期届满</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娄本美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工作原因辞职</w:t>
            </w:r>
          </w:p>
        </w:tc>
      </w:tr>
    </w:tbl>
    <w:p>
      <w:pPr>
        <w:widowControl w:val="0"/>
        <w:spacing w:after="319" w:line="1" w:lineRule="exact"/>
      </w:pPr>
    </w:p>
    <w:p>
      <w:pPr>
        <w:pStyle w:val="Style32"/>
        <w:keepNext/>
        <w:keepLines/>
        <w:widowControl w:val="0"/>
        <w:shd w:val="clear" w:color="auto" w:fill="auto"/>
        <w:bidi w:val="0"/>
        <w:spacing w:before="0" w:after="280" w:line="240" w:lineRule="auto"/>
        <w:ind w:left="0" w:right="0" w:firstLine="0"/>
        <w:jc w:val="left"/>
      </w:pPr>
      <w:bookmarkStart w:id="276" w:name="bookmark276"/>
      <w:bookmarkStart w:id="277" w:name="bookmark277"/>
      <w:bookmarkStart w:id="278" w:name="bookmark278"/>
      <w:bookmarkStart w:id="279" w:name="bookmark279"/>
      <w:r>
        <w:rPr>
          <w:rFonts w:ascii="Times New Roman" w:eastAsia="Times New Roman" w:hAnsi="Times New Roman" w:cs="Times New Roman"/>
          <w:color w:val="000000"/>
          <w:spacing w:val="0"/>
          <w:w w:val="100"/>
          <w:position w:val="0"/>
        </w:rPr>
        <w:t>2</w:t>
      </w:r>
      <w:bookmarkEnd w:id="278"/>
      <w:r>
        <w:rPr>
          <w:color w:val="000000"/>
          <w:spacing w:val="0"/>
          <w:w w:val="100"/>
          <w:position w:val="0"/>
        </w:rPr>
        <w:t>、任职情况</w:t>
      </w:r>
      <w:bookmarkEnd w:id="276"/>
      <w:bookmarkEnd w:id="277"/>
      <w:bookmarkEnd w:id="279"/>
    </w:p>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18"/>
        <w:keepNext w:val="0"/>
        <w:keepLines w:val="0"/>
        <w:widowControl w:val="0"/>
        <w:shd w:val="clear" w:color="auto" w:fill="auto"/>
        <w:bidi w:val="0"/>
        <w:spacing w:before="0" w:after="0" w:line="307" w:lineRule="exact"/>
        <w:ind w:left="0" w:right="0" w:firstLine="0"/>
        <w:jc w:val="left"/>
      </w:pPr>
      <w:bookmarkStart w:id="280" w:name="bookmark280"/>
      <w:r>
        <w:rPr>
          <w:color w:val="000000"/>
          <w:spacing w:val="0"/>
          <w:w w:val="100"/>
          <w:position w:val="0"/>
        </w:rPr>
        <w:t>（</w:t>
      </w:r>
      <w:bookmarkEnd w:id="280"/>
      <w:r>
        <w:rPr>
          <w:rFonts w:ascii="Times New Roman" w:eastAsia="Times New Roman" w:hAnsi="Times New Roman" w:cs="Times New Roman"/>
          <w:color w:val="000000"/>
          <w:spacing w:val="0"/>
          <w:w w:val="100"/>
          <w:position w:val="0"/>
          <w:sz w:val="18"/>
          <w:szCs w:val="18"/>
        </w:rPr>
        <w:t>1</w:t>
      </w:r>
      <w:r>
        <w:rPr>
          <w:color w:val="000000"/>
          <w:spacing w:val="0"/>
          <w:w w:val="100"/>
          <w:position w:val="0"/>
        </w:rPr>
        <w:t>）现任董事：</w:t>
      </w:r>
    </w:p>
    <w:p>
      <w:pPr>
        <w:pStyle w:val="Style18"/>
        <w:keepNext w:val="0"/>
        <w:keepLines w:val="0"/>
        <w:widowControl w:val="0"/>
        <w:shd w:val="clear" w:color="auto" w:fill="auto"/>
        <w:bidi w:val="0"/>
        <w:spacing w:before="0" w:after="0" w:line="307" w:lineRule="exact"/>
        <w:ind w:left="0" w:right="0" w:firstLine="300"/>
        <w:jc w:val="both"/>
      </w:pPr>
      <w:r>
        <w:rPr>
          <w:color w:val="000000"/>
          <w:spacing w:val="0"/>
          <w:w w:val="100"/>
          <w:position w:val="0"/>
        </w:rPr>
        <w:t>史建中先生，大专学历，曾任山东省交通厅印刷所业务员、济南东港安全印务有限公司副总经理、常务副总经理。</w:t>
      </w:r>
      <w:r>
        <w:rPr>
          <w:rFonts w:ascii="Times New Roman" w:eastAsia="Times New Roman" w:hAnsi="Times New Roman" w:cs="Times New Roman"/>
          <w:color w:val="000000"/>
          <w:spacing w:val="0"/>
          <w:w w:val="100"/>
          <w:position w:val="0"/>
          <w:sz w:val="18"/>
          <w:szCs w:val="18"/>
        </w:rPr>
        <w:t xml:space="preserve">2002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月起任本公司董事、总经理、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日起任本公司董事长、总裁。现兼任北京东港安全印刷有限公司董事，西藏 共立创业投资合伙企业执行事务合伙人，北京中嘉华信息技术有限公司董事长，郑州东港安全印刷有限公司董事，北京东港 嘉华安全信息技术有限公司董事，广州东港安全印刷有限公司董事。</w:t>
      </w:r>
    </w:p>
    <w:p>
      <w:pPr>
        <w:pStyle w:val="Style18"/>
        <w:keepNext w:val="0"/>
        <w:keepLines w:val="0"/>
        <w:widowControl w:val="0"/>
        <w:shd w:val="clear" w:color="auto" w:fill="auto"/>
        <w:bidi w:val="0"/>
        <w:spacing w:before="0" w:after="0" w:line="307" w:lineRule="exact"/>
        <w:ind w:left="0" w:right="0" w:firstLine="300"/>
        <w:jc w:val="both"/>
      </w:pPr>
      <w:r>
        <w:rPr>
          <w:color w:val="000000"/>
          <w:spacing w:val="0"/>
          <w:w w:val="100"/>
          <w:position w:val="0"/>
        </w:rPr>
        <w:t>王爱先先生，大学学历，中共党员。曾任浪潮电子信息产业集团公司董事长、党委书记，中共十六大代表，王爱先先生 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月起任本公司董事长，</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日起，任本公司副董事长。现兼任北京东港嘉华安全信息技术有限公司董事。</w:t>
      </w:r>
    </w:p>
    <w:p>
      <w:pPr>
        <w:pStyle w:val="Style1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 xml:space="preserve">楚伦巴特尔先生，蒙古族，学士学位。曾任江苏银行支行副行长、江西信丰县金融局副局长（援边、非公务员）等职，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月至今任内蒙古云曙碧公益事业基金会理事长。</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月起任本公司董事。</w:t>
      </w:r>
    </w:p>
    <w:p>
      <w:pPr>
        <w:pStyle w:val="Style18"/>
        <w:keepNext w:val="0"/>
        <w:keepLines w:val="0"/>
        <w:widowControl w:val="0"/>
        <w:shd w:val="clear" w:color="auto" w:fill="auto"/>
        <w:bidi w:val="0"/>
        <w:spacing w:before="0" w:after="120" w:line="298" w:lineRule="exact"/>
        <w:ind w:left="0" w:right="0" w:firstLine="380"/>
        <w:jc w:val="both"/>
      </w:pPr>
      <w:r>
        <w:rPr>
          <w:color w:val="000000"/>
          <w:spacing w:val="0"/>
          <w:w w:val="100"/>
          <w:position w:val="0"/>
        </w:rPr>
        <w:t>盖学刚先生，本科学历，中共党员。曾就职于济南市历城区高尔乡人民政府、济南市历城区经信局、济南市历城区建委、 济南市历城区华山街道办事处。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月至今，任山东历城城市发展集团有限公司董事长；</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月起任本公司董事。</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唐国奇先生，硕士学位，经济师。</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月起任本公司副总裁、技术负责人，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日起，任本公司职工代表 董事。现兼任郑州东港安全印刷有限公司董事长，上海东港数据处理有限公司董事，山东东港数据处理有限公司董事，山东 东港彩意网络科技有限公司董事，北京中嘉华信息技术有限公司董事。</w:t>
      </w:r>
    </w:p>
    <w:p>
      <w:pPr>
        <w:pStyle w:val="Style18"/>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周建民先生，硕士学历，现任北京五道口投资基金管理有限公司董事长；北京金日国际广告发展有限公司董事长；新华 视点文化发展有限公司董事长；北京智联云上数据服务有限公司董事长；民生嘉合（北京）投资管理有限公司董事长；北京 富达国际供应链管理有限公司董事长；中国智能交通系统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控股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有限公司独立董事等职务。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日起任本公司独立 董事。</w:t>
      </w:r>
    </w:p>
    <w:p>
      <w:pPr>
        <w:pStyle w:val="Style18"/>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张松旺先生，本科学历，正高级会计师职称，中国注册会计师、资产评估师、价格鉴定师、拍卖师，山东省政协第十二 届委员，济南市第十三届、十四届政协委员。现任中天运会计师事务所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山东分所总经理，山东国润资产评估 有限公司董事长，北京中天运工程造价咨询有限公司济南分公司负责人，山东玉贵堂拍卖有限公司董事长，山东国润工程造 价咨询有限公司董事长兼总经理，现任山东惠发食品股份有限公司独立董事，山东中农联合生物科技股份有限公司独立董事、 潍坊智新电子股份有限公司独立董事。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日起任本公司独立董事。</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冯威女士，博士研究生学历，研究员，曾任山东大学法学院教师，现任山东大学法治中国研究所研究员。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日起任本公司独立董事。</w:t>
      </w:r>
    </w:p>
    <w:p>
      <w:pPr>
        <w:pStyle w:val="Style18"/>
        <w:keepNext w:val="0"/>
        <w:keepLines w:val="0"/>
        <w:widowControl w:val="0"/>
        <w:shd w:val="clear" w:color="auto" w:fill="auto"/>
        <w:tabs>
          <w:tab w:pos="385" w:val="left"/>
        </w:tabs>
        <w:bidi w:val="0"/>
        <w:spacing w:before="0" w:after="0" w:line="314" w:lineRule="exact"/>
        <w:ind w:left="0" w:right="0" w:firstLine="0"/>
        <w:jc w:val="both"/>
      </w:pPr>
      <w:bookmarkStart w:id="281" w:name="bookmark281"/>
      <w:r>
        <w:rPr>
          <w:color w:val="000000"/>
          <w:spacing w:val="0"/>
          <w:w w:val="100"/>
          <w:position w:val="0"/>
        </w:rPr>
        <w:t>（</w:t>
      </w:r>
      <w:bookmarkEnd w:id="28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现任监事：</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李安龙先生，大学学历，中共党员。曾任济南益东纸制品有限公司总经理。现任济南益东纸制品有限公司董事长；北 京中嘉华信息技术有限公司董事，自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月起任本公司监事会主席。</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郭肖娜女士，本科学历。曾就职于济南市历城区建筑总公司，现任山东历城城市发展集团有限公司副总经理。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月起任本公司监事。</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张宏先生，本科学历。历任浪潮电子信息产业股份有限公司财务部副总经理、财务部副总经理（主持工作），现任浪 潮电子信息产业股份有限公司董事会秘书、证券与投资部总经理。张宏先生自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月起担任本公司监事。</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王晓延先生，硕士研究生学历，经济师。</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年进入本公司工作，曾任本公司销售业务员、证券事务代表，现在公司 销售管理总部市场部任职。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月起担任本公司职工代表监事。</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张力女士，本科学历，高级工程师。</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年进入本公司工作，曾任本公司技术处副处长、处长，质量管理部经理，生 产管理总部技术质量主管。现任济南临港运营平台总经理助理。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月起担任本公司职工代表监事。</w:t>
      </w:r>
    </w:p>
    <w:p>
      <w:pPr>
        <w:pStyle w:val="Style18"/>
        <w:keepNext w:val="0"/>
        <w:keepLines w:val="0"/>
        <w:widowControl w:val="0"/>
        <w:shd w:val="clear" w:color="auto" w:fill="auto"/>
        <w:tabs>
          <w:tab w:pos="385" w:val="left"/>
        </w:tabs>
        <w:bidi w:val="0"/>
        <w:spacing w:before="0" w:after="0" w:line="314" w:lineRule="exact"/>
        <w:ind w:left="0" w:right="0" w:firstLine="0"/>
        <w:jc w:val="both"/>
      </w:pPr>
      <w:bookmarkStart w:id="282" w:name="bookmark282"/>
      <w:r>
        <w:rPr>
          <w:color w:val="000000"/>
          <w:spacing w:val="0"/>
          <w:w w:val="100"/>
          <w:position w:val="0"/>
        </w:rPr>
        <w:t>（</w:t>
      </w:r>
      <w:bookmarkEnd w:id="28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现任高级管理人员</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总裁史建中先生：详见现任董事史建中先生简介。</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常务副总裁唐国奇先生：详见现任董事唐国奇先生简介</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副总裁刘宏先生：研究生学历，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月起担任本公司副总裁，现兼任北京东港安全印刷有限公司董事长，北京东港 嘉华安全信息技术有限公司董事长，北京东港瑞宏科技有限公司董事长、东港瑞云数据技术有限公司董事长、上海东港安全 印刷有限公司董事、北京中嘉华信息技术有限公司董事等职。</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副总裁朱震先生：大学学历，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月起任本公司副总裁。现兼任广州东港安全印刷有限公司董事长，山东东港数据 处理有限公司董事长，新疆东港安全印刷有限公司董事，成都东港安全印刷有限公司董事，北京中嘉华信息技术有限公司监 事，甘肃图腾印务有限公司董事。</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副总裁、财务负责人郑理女士：硕士学历，高级会计师，</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月起任副总裁兼财务负责人。现兼任成都东港安全印 刷有限公司董事长，青海东港安全印刷有限公司监事，东港瑞云数据技术有限公司监事，北京东港瑞宏科技有限公司监事， 山东东港数据处理有限公司监事，甘肃图腾印务有限公司监事。</w:t>
      </w:r>
    </w:p>
    <w:p>
      <w:pPr>
        <w:pStyle w:val="Style18"/>
        <w:keepNext w:val="0"/>
        <w:keepLines w:val="0"/>
        <w:widowControl w:val="0"/>
        <w:shd w:val="clear" w:color="auto" w:fill="auto"/>
        <w:bidi w:val="0"/>
        <w:spacing w:before="0" w:after="500" w:line="316" w:lineRule="exact"/>
        <w:ind w:left="0" w:right="0" w:firstLine="380"/>
        <w:jc w:val="both"/>
      </w:pPr>
      <w:r>
        <w:rPr>
          <w:color w:val="000000"/>
          <w:spacing w:val="0"/>
          <w:w w:val="100"/>
          <w:position w:val="0"/>
        </w:rPr>
        <w:t>副总裁、董事会秘书齐利国先生：硕士学历。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月起任本公司副总裁兼董事会秘书、办公室主任。现兼任山东东 港彩意网络科技有限公司董事长，东港瑞云数据技术有限公司董事，上海东港安全印刷有限公司监事，上海东港数据处理有 限公司监事，成都东港安全印刷有限公司监事，广州东港安全印刷有限公司监事，北京东港安全印刷有限公司监事，郑州东 港安全印刷有限公司监事，北京东港嘉华安全信息技术有限公司监事，山东东港数据处理有限公司董事，北京东港瑞宏科技 有限公司董事。</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在股东单位任职情况</w:t>
      </w:r>
      <w:r>
        <w:br w:type="page"/>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3038"/>
        <w:gridCol w:w="1272"/>
        <w:gridCol w:w="1704"/>
        <w:gridCol w:w="854"/>
        <w:gridCol w:w="1493"/>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在股东单位担 任的职务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任期终止 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在股东单位是否 领取报酬津贴</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史建中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北京中嘉华信息技术有限公司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史建中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西藏共立创业投资合伙企业（有限合 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执行事务合伙 人委派代表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李安龙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北京中嘉华信息技术有限公司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北京中嘉华信息技术有限公司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唐国奇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北京中嘉华信息技术有限公司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北京中嘉华信息技术有限公司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张宏</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浪潮电子信息产业股份有限公司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董事会秘书、证</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券与投资部总</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在其他单位任职情况</w:t>
      </w:r>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483"/>
        <w:gridCol w:w="1104"/>
        <w:gridCol w:w="1387"/>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在其他单位</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任期终止日 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140" w:right="0" w:hanging="140"/>
              <w:jc w:val="left"/>
              <w:rPr>
                <w:sz w:val="17"/>
                <w:szCs w:val="17"/>
              </w:rPr>
            </w:pPr>
            <w:r>
              <w:rPr>
                <w:rFonts w:ascii="SimSun" w:eastAsia="SimSun" w:hAnsi="SimSun" w:cs="SimSun"/>
                <w:color w:val="000000"/>
                <w:spacing w:val="0"/>
                <w:w w:val="100"/>
                <w:position w:val="0"/>
                <w:sz w:val="17"/>
                <w:szCs w:val="17"/>
              </w:rPr>
              <w:t>在其他单位是否 领取报酬津贴</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盖学刚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山东历城城市发展集团有限公司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郭肖娜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山东历城城市发展集团有限公司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周建民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北京五道口投资基金管理有限公司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张松旺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中天运会计师事务所</w:t>
            </w:r>
            <w:r>
              <w:rPr>
                <w:color w:val="000000"/>
                <w:spacing w:val="0"/>
                <w:w w:val="100"/>
                <w:position w:val="0"/>
                <w:sz w:val="18"/>
                <w:szCs w:val="18"/>
              </w:rPr>
              <w:t>（</w:t>
            </w:r>
            <w:r>
              <w:rPr>
                <w:rFonts w:ascii="SimSun" w:eastAsia="SimSun" w:hAnsi="SimSun" w:cs="SimSun"/>
                <w:color w:val="000000"/>
                <w:spacing w:val="0"/>
                <w:w w:val="100"/>
                <w:position w:val="0"/>
                <w:sz w:val="17"/>
                <w:szCs w:val="17"/>
              </w:rPr>
              <w:t>特殊普通合伙</w:t>
            </w:r>
            <w:r>
              <w:rPr>
                <w:color w:val="000000"/>
                <w:spacing w:val="0"/>
                <w:w w:val="100"/>
                <w:position w:val="0"/>
                <w:sz w:val="18"/>
                <w:szCs w:val="18"/>
              </w:rPr>
              <w:t>）</w:t>
            </w:r>
            <w:r>
              <w:rPr>
                <w:rFonts w:ascii="SimSun" w:eastAsia="SimSun" w:hAnsi="SimSun" w:cs="SimSun"/>
                <w:color w:val="000000"/>
                <w:spacing w:val="0"/>
                <w:w w:val="100"/>
                <w:position w:val="0"/>
                <w:sz w:val="17"/>
                <w:szCs w:val="17"/>
              </w:rPr>
              <w:t>山东 分所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冯威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山东大学法治中国研究所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研究员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在其他单位任</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职情况的说明</w:t>
            </w:r>
          </w:p>
        </w:tc>
        <w:tc>
          <w:tcPr>
            <w:gridSpan w:val="5"/>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公司现任及报告期内离任董事、监事和高级管理人员近三年证券监管机构处罚的情况</w:t>
      </w:r>
    </w:p>
    <w:p>
      <w:pPr>
        <w:pStyle w:val="Style1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260" w:line="240" w:lineRule="auto"/>
        <w:ind w:left="0" w:right="0" w:firstLine="0"/>
        <w:jc w:val="both"/>
      </w:pPr>
      <w:bookmarkStart w:id="283" w:name="bookmark283"/>
      <w:bookmarkStart w:id="284" w:name="bookmark284"/>
      <w:bookmarkStart w:id="285" w:name="bookmark285"/>
      <w:bookmarkStart w:id="286" w:name="bookmark286"/>
      <w:r>
        <w:rPr>
          <w:rFonts w:ascii="Times New Roman" w:eastAsia="Times New Roman" w:hAnsi="Times New Roman" w:cs="Times New Roman"/>
          <w:color w:val="000000"/>
          <w:spacing w:val="0"/>
          <w:w w:val="100"/>
          <w:position w:val="0"/>
        </w:rPr>
        <w:t>3</w:t>
      </w:r>
      <w:bookmarkEnd w:id="285"/>
      <w:r>
        <w:rPr>
          <w:color w:val="000000"/>
          <w:spacing w:val="0"/>
          <w:w w:val="100"/>
          <w:position w:val="0"/>
        </w:rPr>
        <w:t>、董事、监事、高级管理人员报酬情况</w:t>
      </w:r>
      <w:bookmarkEnd w:id="283"/>
      <w:bookmarkEnd w:id="284"/>
      <w:bookmarkEnd w:id="286"/>
    </w:p>
    <w:p>
      <w:pPr>
        <w:pStyle w:val="Style18"/>
        <w:keepNext w:val="0"/>
        <w:keepLines w:val="0"/>
        <w:widowControl w:val="0"/>
        <w:shd w:val="clear" w:color="auto" w:fill="auto"/>
        <w:bidi w:val="0"/>
        <w:spacing w:before="0" w:line="312" w:lineRule="exact"/>
        <w:ind w:left="0" w:right="0" w:firstLine="0"/>
        <w:jc w:val="both"/>
      </w:pPr>
      <w:r>
        <w:rPr>
          <w:color w:val="000000"/>
          <w:spacing w:val="0"/>
          <w:w w:val="100"/>
          <w:position w:val="0"/>
        </w:rPr>
        <w:t>董事、监事、高级管理人员报酬的决策程序、确定依据、实际支付情况</w:t>
      </w:r>
    </w:p>
    <w:p>
      <w:pPr>
        <w:pStyle w:val="Style18"/>
        <w:keepNext w:val="0"/>
        <w:keepLines w:val="0"/>
        <w:widowControl w:val="0"/>
        <w:shd w:val="clear" w:color="auto" w:fill="auto"/>
        <w:bidi w:val="0"/>
        <w:spacing w:before="0" w:line="312" w:lineRule="exact"/>
        <w:ind w:left="0" w:right="0" w:firstLine="400"/>
        <w:jc w:val="both"/>
      </w:pPr>
      <w:r>
        <w:rPr>
          <w:color w:val="000000"/>
          <w:spacing w:val="0"/>
          <w:w w:val="100"/>
          <w:position w:val="0"/>
        </w:rPr>
        <w:t>公司按照《公司章程》的规定确定董事、监事和高级管理人员的报酬。董事和监事实行津贴制，报酬和支付方法由股 东大会确定；高级管理人员实行年薪制，报酬和支付方法由董事会确定。公司以行业薪酬水平、经济发展状况、居民生活标 准、公司经营业绩、岗位职责要求等为依据确定董事、监事和高级管理人员的年度薪酬。</w:t>
      </w:r>
    </w:p>
    <w:p>
      <w:pPr>
        <w:pStyle w:val="Style18"/>
        <w:keepNext w:val="0"/>
        <w:keepLines w:val="0"/>
        <w:widowControl w:val="0"/>
        <w:shd w:val="clear" w:color="auto" w:fill="auto"/>
        <w:bidi w:val="0"/>
        <w:spacing w:before="0" w:line="312" w:lineRule="exact"/>
        <w:ind w:left="0" w:right="0" w:firstLine="0"/>
        <w:jc w:val="left"/>
      </w:pPr>
      <w:r>
        <w:rPr>
          <w:color w:val="000000"/>
          <w:spacing w:val="0"/>
          <w:w w:val="100"/>
          <w:position w:val="0"/>
        </w:rPr>
        <w:t>公司报告期内董事、监事和高级管理人员报酬情况</w:t>
      </w:r>
    </w:p>
    <w:p>
      <w:pPr>
        <w:pStyle w:val="Style18"/>
        <w:keepNext w:val="0"/>
        <w:keepLines w:val="0"/>
        <w:widowControl w:val="0"/>
        <w:shd w:val="clear" w:color="auto" w:fill="auto"/>
        <w:bidi w:val="0"/>
        <w:spacing w:before="0" w:after="80" w:line="312" w:lineRule="exact"/>
        <w:ind w:left="0" w:right="0" w:firstLine="0"/>
        <w:jc w:val="right"/>
      </w:pPr>
      <w:r>
        <w:rPr>
          <w:color w:val="000000"/>
          <w:spacing w:val="0"/>
          <w:w w:val="100"/>
          <w:position w:val="0"/>
        </w:rPr>
        <w:t>单位：万元</w:t>
      </w:r>
    </w:p>
    <w:tbl>
      <w:tblPr>
        <w:tblOverlap w:val="never"/>
        <w:jc w:val="center"/>
        <w:tblLayout w:type="fixed"/>
      </w:tblPr>
      <w:tblGrid>
        <w:gridCol w:w="1378"/>
        <w:gridCol w:w="1608"/>
        <w:gridCol w:w="112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从公司获得的税 前报酬总额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 方获取报酬</w:t>
            </w:r>
          </w:p>
        </w:tc>
      </w:tr>
    </w:tbl>
    <w:p>
      <w:pPr>
        <w:widowControl w:val="0"/>
        <w:spacing w:line="1" w:lineRule="exact"/>
      </w:pPr>
      <w:r>
        <w:br w:type="page"/>
      </w:r>
    </w:p>
    <w:tbl>
      <w:tblPr>
        <w:tblOverlap w:val="never"/>
        <w:jc w:val="center"/>
        <w:tblLayout w:type="fixed"/>
      </w:tblPr>
      <w:tblGrid>
        <w:gridCol w:w="1378"/>
        <w:gridCol w:w="1608"/>
        <w:gridCol w:w="112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史建中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王爱先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楚伦巴特尔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盖学刚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唐国奇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董事、常务副总裁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周建民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张松旺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冯威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李安龙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郭肖娜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王晓延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副总裁、财务负责人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齐利国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副总裁、董事会秘书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夏文庆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郝继勇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娄本美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649.84</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left"/>
      </w:pPr>
      <w:bookmarkStart w:id="287" w:name="bookmark287"/>
      <w:bookmarkStart w:id="288" w:name="bookmark288"/>
      <w:bookmarkStart w:id="289" w:name="bookmark289"/>
      <w:bookmarkStart w:id="290" w:name="bookmark290"/>
      <w:r>
        <w:rPr>
          <w:color w:val="000000"/>
          <w:spacing w:val="0"/>
          <w:w w:val="100"/>
          <w:position w:val="0"/>
        </w:rPr>
        <w:t>六</w:t>
      </w:r>
      <w:bookmarkEnd w:id="289"/>
      <w:r>
        <w:rPr>
          <w:color w:val="000000"/>
          <w:spacing w:val="0"/>
          <w:w w:val="100"/>
          <w:position w:val="0"/>
        </w:rPr>
        <w:t>、报告期内董事履行职责的情况</w:t>
      </w:r>
      <w:bookmarkEnd w:id="287"/>
      <w:bookmarkEnd w:id="288"/>
      <w:bookmarkEnd w:id="290"/>
    </w:p>
    <w:p>
      <w:pPr>
        <w:pStyle w:val="Style32"/>
        <w:keepNext/>
        <w:keepLines/>
        <w:widowControl w:val="0"/>
        <w:shd w:val="clear" w:color="auto" w:fill="auto"/>
        <w:bidi w:val="0"/>
        <w:spacing w:before="0" w:after="320" w:line="240" w:lineRule="auto"/>
        <w:ind w:left="0" w:right="0" w:firstLine="0"/>
        <w:jc w:val="left"/>
      </w:pPr>
      <w:bookmarkStart w:id="291" w:name="bookmark291"/>
      <w:bookmarkStart w:id="292" w:name="bookmark292"/>
      <w:bookmarkStart w:id="293" w:name="bookmark293"/>
      <w:bookmarkStart w:id="294" w:name="bookmark294"/>
      <w:r>
        <w:rPr>
          <w:rFonts w:ascii="Times New Roman" w:eastAsia="Times New Roman" w:hAnsi="Times New Roman" w:cs="Times New Roman"/>
          <w:color w:val="000000"/>
          <w:spacing w:val="0"/>
          <w:w w:val="100"/>
          <w:position w:val="0"/>
        </w:rPr>
        <w:t>1</w:t>
      </w:r>
      <w:bookmarkEnd w:id="293"/>
      <w:r>
        <w:rPr>
          <w:color w:val="000000"/>
          <w:spacing w:val="0"/>
          <w:w w:val="100"/>
          <w:position w:val="0"/>
        </w:rPr>
        <w:t>、本报告期董事会情况</w:t>
      </w:r>
      <w:bookmarkEnd w:id="291"/>
      <w:bookmarkEnd w:id="292"/>
      <w:bookmarkEnd w:id="294"/>
    </w:p>
    <w:tbl>
      <w:tblPr>
        <w:tblOverlap w:val="never"/>
        <w:jc w:val="center"/>
        <w:tblLayout w:type="fixed"/>
      </w:tblPr>
      <w:tblGrid>
        <w:gridCol w:w="2400"/>
        <w:gridCol w:w="2002"/>
        <w:gridCol w:w="1987"/>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会议决议</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第六届董事会第十五次会议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 xml:space="preserve">http: //www. </w:t>
            </w:r>
            <w:r>
              <w:rPr>
                <w:color w:val="000000"/>
                <w:spacing w:val="0"/>
                <w:w w:val="100"/>
                <w:position w:val="0"/>
                <w:sz w:val="18"/>
                <w:szCs w:val="18"/>
              </w:rPr>
              <w:t>cninfo.com.cn</w:t>
            </w:r>
            <w:r>
              <w:rPr>
                <w:rFonts w:ascii="SimSun" w:eastAsia="SimSun" w:hAnsi="SimSun" w:cs="SimSun"/>
                <w:color w:val="000000"/>
                <w:spacing w:val="0"/>
                <w:w w:val="100"/>
                <w:position w:val="0"/>
                <w:sz w:val="17"/>
                <w:szCs w:val="17"/>
              </w:rPr>
              <w:t>)</w:t>
            </w:r>
          </w:p>
          <w:p>
            <w:pPr>
              <w:pStyle w:val="Style20"/>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sz w:val="17"/>
                <w:szCs w:val="17"/>
              </w:rPr>
              <w:t>《第六届董事会第十五次会议公告》，公 告编号：</w:t>
            </w:r>
            <w:r>
              <w:rPr>
                <w:color w:val="000000"/>
                <w:spacing w:val="0"/>
                <w:w w:val="100"/>
                <w:position w:val="0"/>
              </w:rPr>
              <w:t>2021-005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第六届董事会第十六次会议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审议通过了《</w:t>
            </w:r>
            <w:r>
              <w:rPr>
                <w:color w:val="000000"/>
                <w:spacing w:val="0"/>
                <w:w w:val="100"/>
                <w:position w:val="0"/>
                <w:sz w:val="18"/>
                <w:szCs w:val="18"/>
              </w:rPr>
              <w:t>2021</w:t>
            </w:r>
            <w:r>
              <w:rPr>
                <w:rFonts w:ascii="SimSun" w:eastAsia="SimSun" w:hAnsi="SimSun" w:cs="SimSun"/>
                <w:color w:val="000000"/>
                <w:spacing w:val="0"/>
                <w:w w:val="100"/>
                <w:position w:val="0"/>
                <w:sz w:val="17"/>
                <w:szCs w:val="17"/>
              </w:rPr>
              <w:t>年一季度报告》</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第六届董事会第十七次会议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审议通过了《</w:t>
            </w:r>
            <w:r>
              <w:rPr>
                <w:color w:val="000000"/>
                <w:spacing w:val="0"/>
                <w:w w:val="100"/>
                <w:position w:val="0"/>
                <w:sz w:val="18"/>
                <w:szCs w:val="18"/>
              </w:rPr>
              <w:t>2021</w:t>
            </w:r>
            <w:r>
              <w:rPr>
                <w:rFonts w:ascii="SimSun" w:eastAsia="SimSun" w:hAnsi="SimSun" w:cs="SimSun"/>
                <w:color w:val="000000"/>
                <w:spacing w:val="0"/>
                <w:w w:val="100"/>
                <w:position w:val="0"/>
                <w:sz w:val="17"/>
                <w:szCs w:val="17"/>
              </w:rPr>
              <w:t>年半年度报告》</w:t>
            </w:r>
          </w:p>
        </w:tc>
      </w:tr>
      <w:tr>
        <w:trPr>
          <w:trHeight w:val="68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第六届董事会第十八次会议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http</w:t>
            </w:r>
            <w:r>
              <w:rPr>
                <w:color w:val="000000"/>
                <w:spacing w:val="0"/>
                <w:w w:val="100"/>
                <w:position w:val="0"/>
                <w:sz w:val="18"/>
                <w:szCs w:val="18"/>
              </w:rPr>
              <w:t xml:space="preserve">: </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《第六届董事会第十八次会议公告》，公</w:t>
            </w:r>
          </w:p>
        </w:tc>
      </w:tr>
    </w:tbl>
    <w:p>
      <w:pPr>
        <w:widowControl w:val="0"/>
        <w:spacing w:line="1" w:lineRule="exact"/>
      </w:pPr>
      <w:r>
        <w:br w:type="page"/>
      </w:r>
    </w:p>
    <w:tbl>
      <w:tblPr>
        <w:tblOverlap w:val="never"/>
        <w:jc w:val="center"/>
        <w:tblLayout w:type="fixed"/>
      </w:tblPr>
      <w:tblGrid>
        <w:gridCol w:w="2400"/>
        <w:gridCol w:w="2002"/>
        <w:gridCol w:w="1987"/>
        <w:gridCol w:w="319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告编号：</w:t>
            </w:r>
            <w:r>
              <w:rPr>
                <w:color w:val="000000"/>
                <w:spacing w:val="0"/>
                <w:w w:val="100"/>
                <w:position w:val="0"/>
              </w:rPr>
              <w:t>2021-022</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第七届董事会第一次会议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 xml:space="preserve">http: //www. </w:t>
            </w:r>
            <w:r>
              <w:rPr>
                <w:color w:val="000000"/>
                <w:spacing w:val="0"/>
                <w:w w:val="100"/>
                <w:position w:val="0"/>
                <w:sz w:val="18"/>
                <w:szCs w:val="18"/>
              </w:rPr>
              <w:t>cninfo.com.cn</w:t>
            </w:r>
            <w:r>
              <w:rPr>
                <w:rFonts w:ascii="SimSun" w:eastAsia="SimSun" w:hAnsi="SimSun" w:cs="SimSun"/>
                <w:color w:val="000000"/>
                <w:spacing w:val="0"/>
                <w:w w:val="100"/>
                <w:position w:val="0"/>
                <w:sz w:val="17"/>
                <w:szCs w:val="17"/>
              </w:rPr>
              <w:t>)</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《第七届董事会第一次会议公告》，公告</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编号：</w:t>
            </w:r>
            <w:r>
              <w:rPr>
                <w:color w:val="000000"/>
                <w:spacing w:val="0"/>
                <w:w w:val="100"/>
                <w:position w:val="0"/>
              </w:rPr>
              <w:t>2021-027</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第七届董事会第二次会议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审议通过了《</w:t>
            </w:r>
            <w:r>
              <w:rPr>
                <w:color w:val="000000"/>
                <w:spacing w:val="0"/>
                <w:w w:val="100"/>
                <w:position w:val="0"/>
                <w:sz w:val="18"/>
                <w:szCs w:val="18"/>
              </w:rPr>
              <w:t>2021</w:t>
            </w:r>
            <w:r>
              <w:rPr>
                <w:rFonts w:ascii="SimSun" w:eastAsia="SimSun" w:hAnsi="SimSun" w:cs="SimSun"/>
                <w:color w:val="000000"/>
                <w:spacing w:val="0"/>
                <w:w w:val="100"/>
                <w:position w:val="0"/>
                <w:sz w:val="17"/>
                <w:szCs w:val="17"/>
              </w:rPr>
              <w:t>年三季度报告》</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295" w:name="bookmark295"/>
      <w:bookmarkStart w:id="296" w:name="bookmark296"/>
      <w:bookmarkStart w:id="297" w:name="bookmark297"/>
      <w:bookmarkStart w:id="298" w:name="bookmark298"/>
      <w:r>
        <w:rPr>
          <w:rFonts w:ascii="Times New Roman" w:eastAsia="Times New Roman" w:hAnsi="Times New Roman" w:cs="Times New Roman"/>
          <w:color w:val="000000"/>
          <w:spacing w:val="0"/>
          <w:w w:val="100"/>
          <w:position w:val="0"/>
        </w:rPr>
        <w:t>2</w:t>
      </w:r>
      <w:bookmarkEnd w:id="297"/>
      <w:r>
        <w:rPr>
          <w:color w:val="000000"/>
          <w:spacing w:val="0"/>
          <w:w w:val="100"/>
          <w:position w:val="0"/>
        </w:rPr>
        <w:t>、董事出席董事会及股东大会的情况</w:t>
      </w:r>
      <w:bookmarkEnd w:id="295"/>
      <w:bookmarkEnd w:id="296"/>
      <w:bookmarkEnd w:id="298"/>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董事姓名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本报告期应参</w:t>
            </w:r>
          </w:p>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现场出席董事 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以通讯方式参</w:t>
            </w:r>
          </w:p>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委托出席董事 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缺席董事会次 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是否连续两次</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未亲自参加董</w:t>
            </w:r>
          </w:p>
          <w:p>
            <w:pPr>
              <w:pStyle w:val="Style20"/>
              <w:keepNext w:val="0"/>
              <w:keepLines w:val="0"/>
              <w:widowControl w:val="0"/>
              <w:shd w:val="clear" w:color="auto" w:fill="auto"/>
              <w:bidi w:val="0"/>
              <w:spacing w:before="0" w:after="120" w:line="240" w:lineRule="auto"/>
              <w:ind w:left="0" w:right="0" w:firstLine="220"/>
              <w:jc w:val="left"/>
              <w:rPr>
                <w:sz w:val="17"/>
                <w:szCs w:val="17"/>
              </w:rPr>
            </w:pPr>
            <w:r>
              <w:rPr>
                <w:rFonts w:ascii="SimSun" w:eastAsia="SimSun" w:hAnsi="SimSun" w:cs="SimSun"/>
                <w:color w:val="000000"/>
                <w:spacing w:val="0"/>
                <w:w w:val="100"/>
                <w:position w:val="0"/>
                <w:sz w:val="17"/>
                <w:szCs w:val="17"/>
              </w:rPr>
              <w:t>事会会议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出席股东大会 次数</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史建中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王爱先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楚仑巴特尔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盖学刚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唐国奇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周建民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张松旺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冯威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郝继勇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line="240" w:lineRule="auto"/>
        <w:ind w:left="0" w:right="0" w:firstLine="0"/>
        <w:jc w:val="left"/>
      </w:pPr>
      <w:bookmarkStart w:id="299" w:name="bookmark299"/>
      <w:bookmarkStart w:id="300" w:name="bookmark300"/>
      <w:bookmarkStart w:id="301" w:name="bookmark301"/>
      <w:bookmarkStart w:id="302" w:name="bookmark302"/>
      <w:r>
        <w:rPr>
          <w:rFonts w:ascii="Times New Roman" w:eastAsia="Times New Roman" w:hAnsi="Times New Roman" w:cs="Times New Roman"/>
          <w:color w:val="000000"/>
          <w:spacing w:val="0"/>
          <w:w w:val="100"/>
          <w:position w:val="0"/>
        </w:rPr>
        <w:t>3</w:t>
      </w:r>
      <w:bookmarkEnd w:id="301"/>
      <w:r>
        <w:rPr>
          <w:color w:val="000000"/>
          <w:spacing w:val="0"/>
          <w:w w:val="100"/>
          <w:position w:val="0"/>
        </w:rPr>
        <w:t>、</w:t>
        <w:tab/>
        <w:t>董事对公司有关事项提出异议的情况</w:t>
      </w:r>
      <w:bookmarkEnd w:id="299"/>
      <w:bookmarkEnd w:id="300"/>
      <w:bookmarkEnd w:id="302"/>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董事对公司有关事项是否提出异议</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报告期内董事对公司有关事项未提出异议。</w:t>
      </w:r>
    </w:p>
    <w:p>
      <w:pPr>
        <w:pStyle w:val="Style32"/>
        <w:keepNext/>
        <w:keepLines/>
        <w:widowControl w:val="0"/>
        <w:shd w:val="clear" w:color="auto" w:fill="auto"/>
        <w:tabs>
          <w:tab w:pos="378" w:val="left"/>
        </w:tabs>
        <w:bidi w:val="0"/>
        <w:spacing w:before="0" w:line="240" w:lineRule="auto"/>
        <w:ind w:left="0" w:right="0" w:firstLine="0"/>
        <w:jc w:val="left"/>
      </w:pPr>
      <w:bookmarkStart w:id="303" w:name="bookmark303"/>
      <w:bookmarkStart w:id="304" w:name="bookmark304"/>
      <w:bookmarkStart w:id="305" w:name="bookmark305"/>
      <w:bookmarkStart w:id="306" w:name="bookmark306"/>
      <w:r>
        <w:rPr>
          <w:rFonts w:ascii="Times New Roman" w:eastAsia="Times New Roman" w:hAnsi="Times New Roman" w:cs="Times New Roman"/>
          <w:color w:val="000000"/>
          <w:spacing w:val="0"/>
          <w:w w:val="100"/>
          <w:position w:val="0"/>
        </w:rPr>
        <w:t>4</w:t>
      </w:r>
      <w:bookmarkEnd w:id="305"/>
      <w:r>
        <w:rPr>
          <w:color w:val="000000"/>
          <w:spacing w:val="0"/>
          <w:w w:val="100"/>
          <w:position w:val="0"/>
        </w:rPr>
        <w:t>、</w:t>
        <w:tab/>
        <w:t>董事履行职责的其他说明</w:t>
      </w:r>
      <w:bookmarkEnd w:id="303"/>
      <w:bookmarkEnd w:id="304"/>
      <w:bookmarkEnd w:id="306"/>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董事对公司有关建议是否被采纳</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董事对公司有关建议被采纳或未被采纳的说明</w:t>
      </w:r>
    </w:p>
    <w:p>
      <w:pPr>
        <w:pStyle w:val="Style18"/>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报告期内，在信息披露、财务审计、利润分配、公司发展战略、重大投资决策等方面，提请各位董事提前审议，确保</w:t>
        <w:br w:type="page"/>
      </w:r>
      <w:r>
        <w:rPr>
          <w:color w:val="000000"/>
          <w:spacing w:val="0"/>
          <w:w w:val="100"/>
          <w:position w:val="0"/>
        </w:rPr>
        <w:t>公司董事能够全面和深入了解具体内容，为公司规范化治理的提高，起到了积极地推动作用。公司对于董事提出的各项咨询、 建议和意见，能够积极回复、说明，解答有关疑问，并对有关方案做出完善和补充。</w:t>
      </w:r>
    </w:p>
    <w:p>
      <w:pPr>
        <w:pStyle w:val="Style23"/>
        <w:keepNext/>
        <w:keepLines/>
        <w:widowControl w:val="0"/>
        <w:shd w:val="clear" w:color="auto" w:fill="auto"/>
        <w:bidi w:val="0"/>
        <w:spacing w:before="0" w:after="300" w:line="240" w:lineRule="auto"/>
        <w:ind w:left="0" w:right="0" w:firstLine="0"/>
        <w:jc w:val="left"/>
      </w:pPr>
      <w:bookmarkStart w:id="307" w:name="bookmark307"/>
      <w:bookmarkStart w:id="308" w:name="bookmark308"/>
      <w:bookmarkStart w:id="309" w:name="bookmark309"/>
      <w:bookmarkStart w:id="310" w:name="bookmark310"/>
      <w:r>
        <w:rPr>
          <w:color w:val="000000"/>
          <w:spacing w:val="0"/>
          <w:w w:val="100"/>
          <w:position w:val="0"/>
        </w:rPr>
        <w:t>七</w:t>
      </w:r>
      <w:bookmarkEnd w:id="309"/>
      <w:r>
        <w:rPr>
          <w:color w:val="000000"/>
          <w:spacing w:val="0"/>
          <w:w w:val="100"/>
          <w:position w:val="0"/>
        </w:rPr>
        <w:t>、董事会下设专门委员会在报告期内的情况</w:t>
      </w:r>
      <w:bookmarkEnd w:id="307"/>
      <w:bookmarkEnd w:id="308"/>
      <w:bookmarkEnd w:id="310"/>
    </w:p>
    <w:tbl>
      <w:tblPr>
        <w:tblOverlap w:val="never"/>
        <w:jc w:val="center"/>
        <w:tblLayout w:type="fixed"/>
      </w:tblPr>
      <w:tblGrid>
        <w:gridCol w:w="1205"/>
        <w:gridCol w:w="1195"/>
        <w:gridCol w:w="1195"/>
        <w:gridCol w:w="1195"/>
        <w:gridCol w:w="1200"/>
        <w:gridCol w:w="1195"/>
        <w:gridCol w:w="1195"/>
        <w:gridCol w:w="1205"/>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委员会名称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成员情况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召开会议次数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240" w:right="0" w:hanging="240"/>
              <w:jc w:val="both"/>
              <w:rPr>
                <w:sz w:val="17"/>
                <w:szCs w:val="17"/>
              </w:rPr>
            </w:pPr>
            <w:r>
              <w:rPr>
                <w:rFonts w:ascii="SimSun" w:eastAsia="SimSun" w:hAnsi="SimSun" w:cs="SimSun"/>
                <w:color w:val="000000"/>
                <w:spacing w:val="0"/>
                <w:w w:val="100"/>
                <w:position w:val="0"/>
                <w:sz w:val="17"/>
                <w:szCs w:val="17"/>
              </w:rPr>
              <w:t>提出的重要意 见和建议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其他履行职责 的情况</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异议事项具体 情况（如有）</w:t>
            </w:r>
          </w:p>
        </w:tc>
      </w:tr>
      <w:tr>
        <w:trPr>
          <w:trHeight w:val="6331"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审计委员会</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许斌、郝继勇、 夏文庆（第六 届董事会）张 松旺、冯威、 楚仑巴特尔</w:t>
            </w:r>
          </w:p>
          <w:p>
            <w:pPr>
              <w:pStyle w:val="Style20"/>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（第七届董事 会）</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《东港股份有 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 度财务报告》、</w:t>
            </w:r>
          </w:p>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年年度 报告》及其摘 要、《关于续聘 信永中和会计 师事务所为 </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年度审计 机构的议案》、</w:t>
            </w:r>
          </w:p>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2020</w:t>
            </w:r>
            <w:r>
              <w:rPr>
                <w:rFonts w:ascii="SimSun" w:eastAsia="SimSun" w:hAnsi="SimSun" w:cs="SimSun"/>
                <w:color w:val="000000"/>
                <w:spacing w:val="0"/>
                <w:w w:val="100"/>
                <w:position w:val="0"/>
                <w:sz w:val="17"/>
                <w:szCs w:val="17"/>
              </w:rPr>
              <w:t>年内部 控制自我评价 报告》、《内部 控制规则落实 自查表》、</w:t>
            </w:r>
          </w:p>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年度内 部审计工作汇 报》、《</w:t>
            </w:r>
            <w:r>
              <w:rPr>
                <w:color w:val="000000"/>
                <w:spacing w:val="0"/>
                <w:w w:val="100"/>
                <w:position w:val="0"/>
                <w:sz w:val="18"/>
                <w:szCs w:val="18"/>
              </w:rPr>
              <w:t>2021</w:t>
            </w:r>
            <w:r>
              <w:rPr>
                <w:rFonts w:ascii="SimSun" w:eastAsia="SimSun" w:hAnsi="SimSun" w:cs="SimSun"/>
                <w:color w:val="000000"/>
                <w:spacing w:val="0"/>
                <w:w w:val="100"/>
                <w:position w:val="0"/>
                <w:sz w:val="17"/>
                <w:szCs w:val="17"/>
              </w:rPr>
              <w:t>年 度内部审计计 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对公司内部控 制进行了评 价，对公司年 度财务结果报 告进行了审 议，指导内部 审计工作有序 开展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审议通过了相</w:t>
            </w:r>
          </w:p>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关议案，同意</w:t>
            </w:r>
          </w:p>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提交董事会审 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22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w:t>
            </w:r>
            <w:r>
              <w:rPr>
                <w:rFonts w:ascii="SimSun" w:eastAsia="SimSun" w:hAnsi="SimSun" w:cs="SimSun"/>
                <w:color w:val="000000"/>
                <w:spacing w:val="0"/>
                <w:w w:val="100"/>
                <w:position w:val="0"/>
                <w:sz w:val="17"/>
                <w:szCs w:val="17"/>
              </w:rPr>
              <w:t>年一季 度财务报表》、</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年第一</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季度内部审计 工作报告》、</w:t>
            </w:r>
          </w:p>
          <w:p>
            <w:pPr>
              <w:pStyle w:val="Style20"/>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w:t>
            </w:r>
            <w:r>
              <w:rPr>
                <w:rFonts w:ascii="SimSun" w:eastAsia="SimSun" w:hAnsi="SimSun" w:cs="SimSun"/>
                <w:color w:val="000000"/>
                <w:spacing w:val="0"/>
                <w:w w:val="100"/>
                <w:position w:val="0"/>
                <w:sz w:val="17"/>
                <w:szCs w:val="17"/>
              </w:rPr>
              <w:t>年一季 度报告》。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结合公司实际 情况，审核季 度报告，对内 部审计工作进 行指导。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审议通过了相</w:t>
            </w:r>
          </w:p>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关议案，同意</w:t>
            </w:r>
          </w:p>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提交董事会审 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22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w:t>
            </w:r>
            <w:r>
              <w:rPr>
                <w:rFonts w:ascii="SimSun" w:eastAsia="SimSun" w:hAnsi="SimSun" w:cs="SimSun"/>
                <w:color w:val="000000"/>
                <w:spacing w:val="0"/>
                <w:w w:val="100"/>
                <w:position w:val="0"/>
                <w:sz w:val="17"/>
                <w:szCs w:val="17"/>
              </w:rPr>
              <w:t>年半年 度财务报表》、</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w:t>
            </w:r>
            <w:r>
              <w:rPr>
                <w:rFonts w:ascii="SimSun" w:eastAsia="SimSun" w:hAnsi="SimSun" w:cs="SimSun"/>
                <w:color w:val="000000"/>
                <w:spacing w:val="0"/>
                <w:w w:val="100"/>
                <w:position w:val="0"/>
                <w:sz w:val="17"/>
                <w:szCs w:val="17"/>
              </w:rPr>
              <w:t>年半年</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度内部审计工 作报告》、</w:t>
            </w:r>
          </w:p>
          <w:p>
            <w:pPr>
              <w:pStyle w:val="Style20"/>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w:t>
            </w:r>
            <w:r>
              <w:rPr>
                <w:rFonts w:ascii="SimSun" w:eastAsia="SimSun" w:hAnsi="SimSun" w:cs="SimSun"/>
                <w:color w:val="000000"/>
                <w:spacing w:val="0"/>
                <w:w w:val="100"/>
                <w:position w:val="0"/>
                <w:sz w:val="17"/>
                <w:szCs w:val="17"/>
              </w:rPr>
              <w:t>年半年 度报告》。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结合公司实际 情况，审核定 期报告，对内 部审计工作进 行指导。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审议通过了相</w:t>
            </w:r>
          </w:p>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关议案，同意</w:t>
            </w:r>
          </w:p>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提交董事会审 议。</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年第三 季度财务报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结合公司实际</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情况，审核定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审议通过了相</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关议案，同意</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表》、《</w:t>
            </w:r>
            <w:r>
              <w:rPr>
                <w:color w:val="000000"/>
                <w:spacing w:val="0"/>
                <w:w w:val="100"/>
                <w:position w:val="0"/>
                <w:sz w:val="18"/>
                <w:szCs w:val="18"/>
              </w:rPr>
              <w:t>2021</w:t>
            </w:r>
            <w:r>
              <w:rPr>
                <w:rFonts w:ascii="SimSun" w:eastAsia="SimSun" w:hAnsi="SimSun" w:cs="SimSun"/>
                <w:color w:val="000000"/>
                <w:spacing w:val="0"/>
                <w:w w:val="100"/>
                <w:position w:val="0"/>
                <w:sz w:val="17"/>
                <w:szCs w:val="17"/>
              </w:rPr>
              <w:t>年 第三季度内部 审计工作报 告》、《</w:t>
            </w:r>
            <w:r>
              <w:rPr>
                <w:color w:val="000000"/>
                <w:spacing w:val="0"/>
                <w:w w:val="100"/>
                <w:position w:val="0"/>
                <w:sz w:val="18"/>
                <w:szCs w:val="18"/>
              </w:rPr>
              <w:t>2021</w:t>
            </w:r>
            <w:r>
              <w:rPr>
                <w:rFonts w:ascii="SimSun" w:eastAsia="SimSun" w:hAnsi="SimSun" w:cs="SimSun"/>
                <w:color w:val="000000"/>
                <w:spacing w:val="0"/>
                <w:w w:val="100"/>
                <w:position w:val="0"/>
                <w:sz w:val="17"/>
                <w:szCs w:val="17"/>
              </w:rPr>
              <w:t>年 第三季度报 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期报告，对内</w:t>
            </w:r>
          </w:p>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部审计工作进 行指导。</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提交董事会审 议。</w:t>
            </w: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薪酬与考核委 员会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郝继勇、万刚、 王爱先（第六 届董事会）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《关于评定 </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年度高级 管理人员奖励 方案的议案》、</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《关于评选 </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年度突出 贡献奖的议 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结合公司业绩 情况，对高级 管理人员的业 绩进行评定， 并核定业绩奖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审议通过了相 关议案，提交 董事会审议。</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提名委员会</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万刚、许斌、</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史建中（第六</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届董事会）</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周建民、冯威、</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史建中（第七</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届董事会）</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《关于选举七 届董事会股东 代表董事的议 案》、《关于选 举七届董事会 独立董事的议 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对股东代表董 事和独立董事 的任职资格进 行了审议。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审议通过了相 关议案，并提 交董事会审 议。</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《关于对拟任 公司高级管理 人员资格审查 的议案》。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对拟任高级管 理人员的资格 进行了审查。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同意提名人</w:t>
            </w:r>
          </w:p>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选，并提交董 事会审议。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311" w:name="bookmark311"/>
      <w:bookmarkStart w:id="312" w:name="bookmark312"/>
      <w:bookmarkStart w:id="313" w:name="bookmark313"/>
      <w:bookmarkStart w:id="314" w:name="bookmark314"/>
      <w:r>
        <w:rPr>
          <w:color w:val="000000"/>
          <w:spacing w:val="0"/>
          <w:w w:val="100"/>
          <w:position w:val="0"/>
        </w:rPr>
        <w:t>八</w:t>
      </w:r>
      <w:bookmarkEnd w:id="313"/>
      <w:r>
        <w:rPr>
          <w:color w:val="000000"/>
          <w:spacing w:val="0"/>
          <w:w w:val="100"/>
          <w:position w:val="0"/>
        </w:rPr>
        <w:t>、监事会工作情况</w:t>
      </w:r>
      <w:bookmarkEnd w:id="311"/>
      <w:bookmarkEnd w:id="312"/>
      <w:bookmarkEnd w:id="314"/>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3"/>
        <w:keepNext/>
        <w:keepLines/>
        <w:widowControl w:val="0"/>
        <w:shd w:val="clear" w:color="auto" w:fill="auto"/>
        <w:bidi w:val="0"/>
        <w:spacing w:before="0" w:after="380" w:line="240" w:lineRule="auto"/>
        <w:ind w:left="0" w:right="0" w:firstLine="0"/>
        <w:jc w:val="left"/>
      </w:pPr>
      <w:bookmarkStart w:id="315" w:name="bookmark315"/>
      <w:bookmarkStart w:id="316" w:name="bookmark316"/>
      <w:bookmarkStart w:id="317" w:name="bookmark317"/>
      <w:bookmarkStart w:id="318" w:name="bookmark318"/>
      <w:r>
        <w:rPr>
          <w:color w:val="000000"/>
          <w:spacing w:val="0"/>
          <w:w w:val="100"/>
          <w:position w:val="0"/>
        </w:rPr>
        <w:t>九</w:t>
      </w:r>
      <w:bookmarkEnd w:id="317"/>
      <w:r>
        <w:rPr>
          <w:color w:val="000000"/>
          <w:spacing w:val="0"/>
          <w:w w:val="100"/>
          <w:position w:val="0"/>
        </w:rPr>
        <w:t>、公司员工情况</w:t>
      </w:r>
      <w:bookmarkEnd w:id="315"/>
      <w:bookmarkEnd w:id="316"/>
      <w:bookmarkEnd w:id="318"/>
    </w:p>
    <w:p>
      <w:pPr>
        <w:pStyle w:val="Style32"/>
        <w:keepNext/>
        <w:keepLines/>
        <w:widowControl w:val="0"/>
        <w:shd w:val="clear" w:color="auto" w:fill="auto"/>
        <w:bidi w:val="0"/>
        <w:spacing w:before="0" w:after="320" w:line="240" w:lineRule="auto"/>
        <w:ind w:left="0" w:right="0" w:firstLine="0"/>
        <w:jc w:val="left"/>
      </w:pPr>
      <w:bookmarkStart w:id="319" w:name="bookmark319"/>
      <w:bookmarkStart w:id="320" w:name="bookmark320"/>
      <w:bookmarkStart w:id="321" w:name="bookmark321"/>
      <w:bookmarkStart w:id="322" w:name="bookmark322"/>
      <w:r>
        <w:rPr>
          <w:rFonts w:ascii="Times New Roman" w:eastAsia="Times New Roman" w:hAnsi="Times New Roman" w:cs="Times New Roman"/>
          <w:color w:val="000000"/>
          <w:spacing w:val="0"/>
          <w:w w:val="100"/>
          <w:position w:val="0"/>
        </w:rPr>
        <w:t>1</w:t>
      </w:r>
      <w:bookmarkEnd w:id="321"/>
      <w:r>
        <w:rPr>
          <w:color w:val="000000"/>
          <w:spacing w:val="0"/>
          <w:w w:val="100"/>
          <w:position w:val="0"/>
        </w:rPr>
        <w:t>、员工数量、专业构成及教育程度</w:t>
      </w:r>
      <w:bookmarkEnd w:id="319"/>
      <w:bookmarkEnd w:id="320"/>
      <w:bookmarkEnd w:id="32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报告期末母公司在职员工的数量（人）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报告期末主要子公司在职员工的数量（人）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报告期末在职员工的数量合计（人）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line="1" w:lineRule="exact"/>
      </w:pPr>
    </w:p>
    <w:tbl>
      <w:tblPr>
        <w:tblOverlap w:val="never"/>
        <w:jc w:val="center"/>
        <w:tblLayout w:type="fixed"/>
      </w:tblPr>
      <w:tblGrid>
        <w:gridCol w:w="4790"/>
        <w:gridCol w:w="4795"/>
      </w:tblGrid>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left"/>
            </w:pPr>
            <w:r>
              <w:rPr>
                <w:color w:val="000000"/>
                <w:spacing w:val="0"/>
                <w:w w:val="100"/>
                <w:position w:val="0"/>
              </w:rPr>
              <w:t>558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left"/>
            </w:pPr>
            <w:r>
              <w:rPr>
                <w:color w:val="000000"/>
                <w:spacing w:val="0"/>
                <w:w w:val="100"/>
                <w:position w:val="0"/>
              </w:rPr>
              <w:t>155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left"/>
            </w:pPr>
            <w:r>
              <w:rPr>
                <w:color w:val="000000"/>
                <w:spacing w:val="0"/>
                <w:w w:val="100"/>
                <w:position w:val="0"/>
              </w:rPr>
              <w:t>658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1,494</w:t>
            </w:r>
          </w:p>
        </w:tc>
      </w:tr>
      <w:tr>
        <w:trPr>
          <w:trHeight w:val="398"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本科及本科以上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left"/>
            </w:pPr>
            <w:r>
              <w:rPr>
                <w:color w:val="000000"/>
                <w:spacing w:val="0"/>
                <w:w w:val="100"/>
                <w:position w:val="0"/>
              </w:rPr>
              <w:t>513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left"/>
            </w:pPr>
            <w:r>
              <w:rPr>
                <w:color w:val="000000"/>
                <w:spacing w:val="0"/>
                <w:w w:val="100"/>
                <w:position w:val="0"/>
              </w:rPr>
              <w:t>427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高中（中专）及以下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left"/>
            </w:pPr>
            <w:r>
              <w:rPr>
                <w:color w:val="000000"/>
                <w:spacing w:val="0"/>
                <w:w w:val="100"/>
                <w:position w:val="0"/>
              </w:rPr>
              <w:t>554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1,494</w:t>
            </w:r>
          </w:p>
        </w:tc>
      </w:tr>
    </w:tbl>
    <w:p>
      <w:pPr>
        <w:widowControl w:val="0"/>
        <w:spacing w:after="319" w:line="1" w:lineRule="exact"/>
      </w:pPr>
    </w:p>
    <w:p>
      <w:pPr>
        <w:pStyle w:val="Style32"/>
        <w:keepNext/>
        <w:keepLines/>
        <w:widowControl w:val="0"/>
        <w:shd w:val="clear" w:color="auto" w:fill="auto"/>
        <w:tabs>
          <w:tab w:pos="378" w:val="left"/>
        </w:tabs>
        <w:bidi w:val="0"/>
        <w:spacing w:before="0" w:after="260" w:line="240" w:lineRule="auto"/>
        <w:ind w:left="0" w:right="0" w:firstLine="0"/>
        <w:jc w:val="both"/>
      </w:pPr>
      <w:bookmarkStart w:id="323" w:name="bookmark323"/>
      <w:bookmarkStart w:id="324" w:name="bookmark324"/>
      <w:bookmarkStart w:id="325" w:name="bookmark325"/>
      <w:bookmarkStart w:id="326" w:name="bookmark326"/>
      <w:r>
        <w:rPr>
          <w:rFonts w:ascii="Times New Roman" w:eastAsia="Times New Roman" w:hAnsi="Times New Roman" w:cs="Times New Roman"/>
          <w:color w:val="000000"/>
          <w:spacing w:val="0"/>
          <w:w w:val="100"/>
          <w:position w:val="0"/>
        </w:rPr>
        <w:t>2</w:t>
      </w:r>
      <w:bookmarkEnd w:id="325"/>
      <w:r>
        <w:rPr>
          <w:color w:val="000000"/>
          <w:spacing w:val="0"/>
          <w:w w:val="100"/>
          <w:position w:val="0"/>
        </w:rPr>
        <w:t>、</w:t>
        <w:tab/>
        <w:t>薪酬政策</w:t>
      </w:r>
      <w:bookmarkEnd w:id="323"/>
      <w:bookmarkEnd w:id="324"/>
      <w:bookmarkEnd w:id="326"/>
    </w:p>
    <w:p>
      <w:pPr>
        <w:pStyle w:val="Style18"/>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本公司根据实际情况，结合不同岗位类别和层级的特点，本着合法、公平、竞争、激励、经济的原则建立了一整套完善 的薪酬体系，并依法缴纳五险一金。</w:t>
      </w:r>
    </w:p>
    <w:p>
      <w:pPr>
        <w:pStyle w:val="Style32"/>
        <w:keepNext/>
        <w:keepLines/>
        <w:widowControl w:val="0"/>
        <w:shd w:val="clear" w:color="auto" w:fill="auto"/>
        <w:tabs>
          <w:tab w:pos="378" w:val="left"/>
        </w:tabs>
        <w:bidi w:val="0"/>
        <w:spacing w:before="0" w:after="260" w:line="240" w:lineRule="auto"/>
        <w:ind w:left="0" w:right="0" w:firstLine="0"/>
        <w:jc w:val="both"/>
      </w:pPr>
      <w:bookmarkStart w:id="327" w:name="bookmark327"/>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rPr>
        <w:t>3</w:t>
      </w:r>
      <w:bookmarkEnd w:id="329"/>
      <w:r>
        <w:rPr>
          <w:color w:val="000000"/>
          <w:spacing w:val="0"/>
          <w:w w:val="100"/>
          <w:position w:val="0"/>
        </w:rPr>
        <w:t>、</w:t>
        <w:tab/>
        <w:t>培训计划</w:t>
      </w:r>
      <w:bookmarkEnd w:id="327"/>
      <w:bookmarkEnd w:id="328"/>
      <w:bookmarkEnd w:id="330"/>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本公司建立了科学的培训体系，根据新员工、在职员工、管理人员的不同情况开展有针对性的课程。培训内容涵盖企业 文化、行业现状及发展、业务技能、沟通能力、管理能力等。经过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多年的摸索和实践，总结出具有东港特色的传、帮、带 培训实践体系，使之能快速的获得相关工作技能，迅速融入工作团队。</w:t>
      </w:r>
    </w:p>
    <w:p>
      <w:pPr>
        <w:pStyle w:val="Style18"/>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所有入职的新员工均会接受入职培训和安全教育，其目的是让其了解公司目标、企业文化、政策及公司各部门的职能和 运作方式。在职员工与管理人员培训方面，通过不断的企业文化渗透及业务能力塑造，公司培养了一批批有能力、有责任、 能担当的高素质人才。</w:t>
      </w:r>
    </w:p>
    <w:p>
      <w:pPr>
        <w:pStyle w:val="Style32"/>
        <w:keepNext/>
        <w:keepLines/>
        <w:widowControl w:val="0"/>
        <w:shd w:val="clear" w:color="auto" w:fill="auto"/>
        <w:tabs>
          <w:tab w:pos="378" w:val="left"/>
        </w:tabs>
        <w:bidi w:val="0"/>
        <w:spacing w:before="0" w:after="260" w:line="240" w:lineRule="auto"/>
        <w:ind w:left="0" w:right="0" w:firstLine="0"/>
        <w:jc w:val="left"/>
      </w:pPr>
      <w:bookmarkStart w:id="331" w:name="bookmark331"/>
      <w:bookmarkStart w:id="332" w:name="bookmark332"/>
      <w:bookmarkStart w:id="333" w:name="bookmark333"/>
      <w:bookmarkStart w:id="334" w:name="bookmark334"/>
      <w:r>
        <w:rPr>
          <w:rFonts w:ascii="Times New Roman" w:eastAsia="Times New Roman" w:hAnsi="Times New Roman" w:cs="Times New Roman"/>
          <w:color w:val="000000"/>
          <w:spacing w:val="0"/>
          <w:w w:val="100"/>
          <w:position w:val="0"/>
        </w:rPr>
        <w:t>4</w:t>
      </w:r>
      <w:bookmarkEnd w:id="333"/>
      <w:r>
        <w:rPr>
          <w:color w:val="000000"/>
          <w:spacing w:val="0"/>
          <w:w w:val="100"/>
          <w:position w:val="0"/>
        </w:rPr>
        <w:t>、</w:t>
        <w:tab/>
        <w:t>劳务外包情况</w:t>
      </w:r>
      <w:bookmarkEnd w:id="331"/>
      <w:bookmarkEnd w:id="332"/>
      <w:bookmarkEnd w:id="334"/>
    </w:p>
    <w:p>
      <w:pPr>
        <w:pStyle w:val="Style18"/>
        <w:keepNext w:val="0"/>
        <w:keepLines w:val="0"/>
        <w:widowControl w:val="0"/>
        <w:shd w:val="clear" w:color="auto" w:fill="auto"/>
        <w:bidi w:val="0"/>
        <w:spacing w:before="0" w:after="38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60" w:line="240" w:lineRule="auto"/>
        <w:ind w:left="0" w:right="0" w:firstLine="0"/>
        <w:jc w:val="left"/>
      </w:pPr>
      <w:bookmarkStart w:id="335" w:name="bookmark335"/>
      <w:bookmarkStart w:id="336" w:name="bookmark336"/>
      <w:bookmarkStart w:id="337" w:name="bookmark337"/>
      <w:r>
        <w:rPr>
          <w:color w:val="000000"/>
          <w:spacing w:val="0"/>
          <w:w w:val="100"/>
          <w:position w:val="0"/>
        </w:rPr>
        <w:t>十、公司利润分配及资本公积金转增股本情况</w:t>
      </w:r>
      <w:bookmarkEnd w:id="335"/>
      <w:bookmarkEnd w:id="336"/>
      <w:bookmarkEnd w:id="337"/>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报告期内利润分配政策，特别是现金分红政策的制定、执行或调整情况</w:t>
      </w:r>
    </w:p>
    <w:p>
      <w:pPr>
        <w:pStyle w:val="Style18"/>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公司报告期内盈利且母公司可供股东分配利润为正但未提出现金红利分配预案</w:t>
      </w:r>
    </w:p>
    <w:p>
      <w:pPr>
        <w:pStyle w:val="Style18"/>
        <w:keepNext w:val="0"/>
        <w:keepLines w:val="0"/>
        <w:widowControl w:val="0"/>
        <w:shd w:val="clear" w:color="auto" w:fill="auto"/>
        <w:bidi w:val="0"/>
        <w:spacing w:before="0" w:after="14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本报告期利润分配及资本公积金转增股本情况</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8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545,666,421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现金分红金额（元）（含税）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620" w:right="0" w:firstLine="0"/>
              <w:jc w:val="both"/>
            </w:pPr>
            <w:r>
              <w:rPr>
                <w:color w:val="000000"/>
                <w:spacing w:val="0"/>
                <w:w w:val="100"/>
                <w:position w:val="0"/>
              </w:rPr>
              <w:t>163,699,926.30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以其他方式（如回购股份）现金分红金额（元）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现金分红总额（含其他方式）（元）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620" w:right="0" w:firstLine="0"/>
              <w:jc w:val="both"/>
            </w:pPr>
            <w:r>
              <w:rPr>
                <w:color w:val="000000"/>
                <w:spacing w:val="0"/>
                <w:w w:val="100"/>
                <w:position w:val="0"/>
              </w:rPr>
              <w:t>163,699,926.30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620" w:right="0" w:firstLine="0"/>
              <w:jc w:val="both"/>
            </w:pPr>
            <w:r>
              <w:rPr>
                <w:color w:val="000000"/>
                <w:spacing w:val="0"/>
                <w:w w:val="100"/>
                <w:position w:val="0"/>
              </w:rPr>
              <w:t>165,205,736.87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现金分红总额（含其他方式）占利润分配总额的 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公司发展阶段属成熟期且有重大资金支出安排的，进行利润分配时，现金分红在本次利润分配中所占比例最低应达到</w:t>
            </w:r>
            <w:r>
              <w:rPr>
                <w:color w:val="000000"/>
                <w:spacing w:val="0"/>
                <w:w w:val="100"/>
                <w:position w:val="0"/>
                <w:sz w:val="18"/>
                <w:szCs w:val="18"/>
              </w:rPr>
              <w:t>40</w:t>
            </w:r>
            <w:r>
              <w:rPr>
                <w:rFonts w:ascii="SimSun" w:eastAsia="SimSun" w:hAnsi="SimSun" w:cs="SimSun"/>
                <w:color w:val="000000"/>
                <w:spacing w:val="0"/>
                <w:w w:val="100"/>
                <w:position w:val="0"/>
                <w:sz w:val="17"/>
                <w:szCs w:val="17"/>
              </w:rPr>
              <w:t>%</w:t>
            </w:r>
          </w:p>
        </w:tc>
      </w:tr>
      <w:tr>
        <w:trPr>
          <w:trHeight w:val="398"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日公司总股本</w:t>
            </w:r>
            <w:r>
              <w:rPr>
                <w:color w:val="000000"/>
                <w:spacing w:val="0"/>
                <w:w w:val="100"/>
                <w:position w:val="0"/>
                <w:sz w:val="18"/>
                <w:szCs w:val="18"/>
              </w:rPr>
              <w:t>545,666,421</w:t>
            </w:r>
            <w:r>
              <w:rPr>
                <w:rFonts w:ascii="SimSun" w:eastAsia="SimSun" w:hAnsi="SimSun" w:cs="SimSun"/>
                <w:color w:val="000000"/>
                <w:spacing w:val="0"/>
                <w:w w:val="100"/>
                <w:position w:val="0"/>
                <w:sz w:val="17"/>
                <w:szCs w:val="17"/>
              </w:rPr>
              <w:t>股为基数，向全体股东每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股派发现金股利</w:t>
            </w:r>
            <w:r>
              <w:rPr>
                <w:color w:val="000000"/>
                <w:spacing w:val="0"/>
                <w:w w:val="100"/>
                <w:position w:val="0"/>
                <w:sz w:val="18"/>
                <w:szCs w:val="18"/>
              </w:rPr>
              <w:t>3</w:t>
            </w:r>
            <w:r>
              <w:rPr>
                <w:rFonts w:ascii="SimSun" w:eastAsia="SimSun" w:hAnsi="SimSun" w:cs="SimSun"/>
                <w:color w:val="000000"/>
                <w:spacing w:val="0"/>
                <w:w w:val="100"/>
                <w:position w:val="0"/>
                <w:sz w:val="17"/>
                <w:szCs w:val="17"/>
              </w:rPr>
              <w:t xml:space="preserve">元（含税）。公司将共计派发 </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年度现金股利</w:t>
            </w:r>
            <w:r>
              <w:rPr>
                <w:color w:val="000000"/>
                <w:spacing w:val="0"/>
                <w:w w:val="100"/>
                <w:position w:val="0"/>
                <w:sz w:val="18"/>
                <w:szCs w:val="18"/>
              </w:rPr>
              <w:t>163,699,926.30</w:t>
            </w:r>
            <w:r>
              <w:rPr>
                <w:rFonts w:ascii="SimSun" w:eastAsia="SimSun" w:hAnsi="SimSun" w:cs="SimSun"/>
                <w:color w:val="000000"/>
                <w:spacing w:val="0"/>
                <w:w w:val="100"/>
                <w:position w:val="0"/>
                <w:sz w:val="17"/>
                <w:szCs w:val="17"/>
              </w:rPr>
              <w:t>元。剩余未分配利润结转至下一年度。</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338" w:name="bookmark338"/>
      <w:bookmarkStart w:id="339" w:name="bookmark339"/>
      <w:bookmarkStart w:id="340" w:name="bookmark340"/>
      <w:r>
        <w:rPr>
          <w:color w:val="000000"/>
          <w:spacing w:val="0"/>
          <w:w w:val="100"/>
          <w:position w:val="0"/>
        </w:rPr>
        <w:t>十一、公司股权激励计划、员工持股计划或其他员工激励措施的实施情况</w:t>
      </w:r>
      <w:bookmarkEnd w:id="338"/>
      <w:bookmarkEnd w:id="339"/>
      <w:bookmarkEnd w:id="340"/>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公司报告期无股权激励计划、员工持股计划或其他员工激励措施及其实施情况。</w:t>
      </w:r>
    </w:p>
    <w:p>
      <w:pPr>
        <w:pStyle w:val="Style23"/>
        <w:keepNext/>
        <w:keepLines/>
        <w:widowControl w:val="0"/>
        <w:shd w:val="clear" w:color="auto" w:fill="auto"/>
        <w:bidi w:val="0"/>
        <w:spacing w:before="0" w:after="380" w:line="240" w:lineRule="auto"/>
        <w:ind w:left="0" w:right="0" w:firstLine="0"/>
        <w:jc w:val="left"/>
      </w:pPr>
      <w:bookmarkStart w:id="341" w:name="bookmark341"/>
      <w:bookmarkStart w:id="342" w:name="bookmark342"/>
      <w:bookmarkStart w:id="343" w:name="bookmark343"/>
      <w:r>
        <w:rPr>
          <w:color w:val="000000"/>
          <w:spacing w:val="0"/>
          <w:w w:val="100"/>
          <w:position w:val="0"/>
        </w:rPr>
        <w:t>十二、报告期内的内部控制制度建设及实施情况</w:t>
      </w:r>
      <w:bookmarkEnd w:id="341"/>
      <w:bookmarkEnd w:id="342"/>
      <w:bookmarkEnd w:id="343"/>
    </w:p>
    <w:p>
      <w:pPr>
        <w:pStyle w:val="Style32"/>
        <w:keepNext/>
        <w:keepLines/>
        <w:widowControl w:val="0"/>
        <w:shd w:val="clear" w:color="auto" w:fill="auto"/>
        <w:tabs>
          <w:tab w:pos="368" w:val="left"/>
        </w:tabs>
        <w:bidi w:val="0"/>
        <w:spacing w:before="0" w:after="260" w:line="240" w:lineRule="auto"/>
        <w:ind w:left="0" w:right="0" w:firstLine="0"/>
        <w:jc w:val="left"/>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1</w:t>
      </w:r>
      <w:bookmarkEnd w:id="346"/>
      <w:r>
        <w:rPr>
          <w:color w:val="000000"/>
          <w:spacing w:val="0"/>
          <w:w w:val="100"/>
          <w:position w:val="0"/>
        </w:rPr>
        <w:t>、</w:t>
        <w:tab/>
        <w:t>内部控制建设及实施情况</w:t>
      </w:r>
      <w:bookmarkEnd w:id="344"/>
      <w:bookmarkEnd w:id="345"/>
      <w:bookmarkEnd w:id="347"/>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公司内部控制的目标是合理保证经营管理合法合规、资产安全、财务报告及相关信息真实完整，提高经营效率和效果， 促进实现发展战略。</w:t>
      </w:r>
    </w:p>
    <w:p>
      <w:pPr>
        <w:pStyle w:val="Style1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报告期内，公司根据《企业内部控制基本规范》等相关规定，对内部控制体系进行适时的更新和完善，建立一套设计科 学、运行有效的内部控制体系，并由审计委员会、内部审计部门共同组成公司的风险内控管理组织体系，对公司的内部控制 管理进行监督与评价。通过对公司的内部控制体系进行持续改进、优化，不断适应变化的外部环境及内部管理要求。公司的 内部控制能够涵盖公司经营管理的主要方面，内部控制设计健全、合理，内部控制执行基本有效，不存在重大遗漏。</w:t>
      </w:r>
    </w:p>
    <w:p>
      <w:pPr>
        <w:pStyle w:val="Style32"/>
        <w:keepNext/>
        <w:keepLines/>
        <w:widowControl w:val="0"/>
        <w:shd w:val="clear" w:color="auto" w:fill="auto"/>
        <w:tabs>
          <w:tab w:pos="378" w:val="left"/>
        </w:tabs>
        <w:bidi w:val="0"/>
        <w:spacing w:before="0" w:line="240" w:lineRule="auto"/>
        <w:ind w:left="0" w:right="0" w:firstLine="0"/>
        <w:jc w:val="left"/>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2</w:t>
      </w:r>
      <w:bookmarkEnd w:id="350"/>
      <w:r>
        <w:rPr>
          <w:color w:val="000000"/>
          <w:spacing w:val="0"/>
          <w:w w:val="100"/>
          <w:position w:val="0"/>
        </w:rPr>
        <w:t>、</w:t>
        <w:tab/>
        <w:t>报告期内发现的内部控制重大缺陷的具体情况</w:t>
      </w:r>
      <w:bookmarkEnd w:id="348"/>
      <w:bookmarkEnd w:id="349"/>
      <w:bookmarkEnd w:id="351"/>
    </w:p>
    <w:p>
      <w:pPr>
        <w:pStyle w:val="Style1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keepLines/>
        <w:widowControl w:val="0"/>
        <w:shd w:val="clear" w:color="auto" w:fill="auto"/>
        <w:bidi w:val="0"/>
        <w:spacing w:before="0" w:after="260" w:line="240" w:lineRule="auto"/>
        <w:ind w:left="0" w:right="0" w:firstLine="0"/>
        <w:jc w:val="left"/>
      </w:pPr>
      <w:bookmarkStart w:id="352" w:name="bookmark352"/>
      <w:bookmarkStart w:id="353" w:name="bookmark353"/>
      <w:bookmarkStart w:id="354" w:name="bookmark354"/>
      <w:r>
        <w:rPr>
          <w:color w:val="000000"/>
          <w:spacing w:val="0"/>
          <w:w w:val="100"/>
          <w:position w:val="0"/>
        </w:rPr>
        <w:t>十三、公司报告期内对子公司的管理控制情况</w:t>
      </w:r>
      <w:bookmarkEnd w:id="352"/>
      <w:bookmarkEnd w:id="353"/>
      <w:bookmarkEnd w:id="354"/>
    </w:p>
    <w:p>
      <w:pPr>
        <w:pStyle w:val="Style1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报告期内公司未购买新增子公司</w:t>
      </w:r>
      <w:r>
        <w:br w:type="page"/>
      </w:r>
    </w:p>
    <w:p>
      <w:pPr>
        <w:pStyle w:val="Style23"/>
        <w:keepNext/>
        <w:keepLines/>
        <w:widowControl w:val="0"/>
        <w:shd w:val="clear" w:color="auto" w:fill="auto"/>
        <w:bidi w:val="0"/>
        <w:spacing w:before="0" w:line="240" w:lineRule="auto"/>
        <w:ind w:left="0" w:right="0" w:firstLine="0"/>
        <w:jc w:val="left"/>
      </w:pPr>
      <w:bookmarkStart w:id="355" w:name="bookmark355"/>
      <w:bookmarkStart w:id="356" w:name="bookmark356"/>
      <w:bookmarkStart w:id="357" w:name="bookmark357"/>
      <w:r>
        <w:rPr>
          <w:color w:val="000000"/>
          <w:spacing w:val="0"/>
          <w:w w:val="100"/>
          <w:position w:val="0"/>
        </w:rPr>
        <w:t>十四、内部控制自我评价报告或内部控制审计报告</w:t>
      </w:r>
      <w:bookmarkEnd w:id="355"/>
      <w:bookmarkEnd w:id="356"/>
      <w:bookmarkEnd w:id="357"/>
    </w:p>
    <w:p>
      <w:pPr>
        <w:pStyle w:val="Style32"/>
        <w:keepNext/>
        <w:keepLines/>
        <w:widowControl w:val="0"/>
        <w:shd w:val="clear" w:color="auto" w:fill="auto"/>
        <w:bidi w:val="0"/>
        <w:spacing w:before="0" w:after="320" w:line="240" w:lineRule="auto"/>
        <w:ind w:left="0" w:right="0" w:firstLine="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1</w:t>
      </w:r>
      <w:bookmarkEnd w:id="360"/>
      <w:r>
        <w:rPr>
          <w:color w:val="000000"/>
          <w:spacing w:val="0"/>
          <w:w w:val="100"/>
          <w:position w:val="0"/>
        </w:rPr>
        <w:t>、内控自我评价报告</w:t>
      </w:r>
      <w:bookmarkEnd w:id="358"/>
      <w:bookmarkEnd w:id="359"/>
      <w:bookmarkEnd w:id="361"/>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请见在巨潮资讯网披露的《内部控制自我评价报告》</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539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财务报告重大缺陷的迹象包括：（</w:t>
            </w:r>
            <w:r>
              <w:rPr>
                <w:color w:val="000000"/>
                <w:spacing w:val="0"/>
                <w:w w:val="100"/>
                <w:position w:val="0"/>
                <w:sz w:val="18"/>
                <w:szCs w:val="18"/>
              </w:rPr>
              <w:t>1</w:t>
            </w:r>
            <w:r>
              <w:rPr>
                <w:rFonts w:ascii="SimSun" w:eastAsia="SimSun" w:hAnsi="SimSun" w:cs="SimSun"/>
                <w:color w:val="000000"/>
                <w:spacing w:val="0"/>
                <w:w w:val="100"/>
                <w:position w:val="0"/>
                <w:sz w:val="17"/>
                <w:szCs w:val="17"/>
              </w:rPr>
              <w:t>）公司 董事、监事和高级管理人员的舞弊行为；</w:t>
            </w:r>
          </w:p>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）公司更正已公布的财务报告；（</w:t>
            </w:r>
            <w:r>
              <w:rPr>
                <w:color w:val="000000"/>
                <w:spacing w:val="0"/>
                <w:w w:val="100"/>
                <w:position w:val="0"/>
                <w:sz w:val="18"/>
                <w:szCs w:val="18"/>
              </w:rPr>
              <w:t>3</w:t>
            </w:r>
            <w:r>
              <w:rPr>
                <w:rFonts w:ascii="SimSun" w:eastAsia="SimSun" w:hAnsi="SimSun" w:cs="SimSun"/>
                <w:color w:val="000000"/>
                <w:spacing w:val="0"/>
                <w:w w:val="100"/>
                <w:position w:val="0"/>
                <w:sz w:val="17"/>
                <w:szCs w:val="17"/>
              </w:rPr>
              <w:t>）注 册会计师发现的却未被公司内部控制识别 的当期财务报告中的重大错报；（</w:t>
            </w:r>
            <w:r>
              <w:rPr>
                <w:color w:val="000000"/>
                <w:spacing w:val="0"/>
                <w:w w:val="100"/>
                <w:position w:val="0"/>
                <w:sz w:val="18"/>
                <w:szCs w:val="18"/>
              </w:rPr>
              <w:t>4</w:t>
            </w:r>
            <w:r>
              <w:rPr>
                <w:rFonts w:ascii="SimSun" w:eastAsia="SimSun" w:hAnsi="SimSun" w:cs="SimSun"/>
                <w:color w:val="000000"/>
                <w:spacing w:val="0"/>
                <w:w w:val="100"/>
                <w:position w:val="0"/>
                <w:sz w:val="17"/>
                <w:szCs w:val="17"/>
              </w:rPr>
              <w:t>）审计 委员会和审计部门对公司的对外财务报告 和财务报告内部控制监督无效。财务报告 重要缺陷的迹象包括：（</w:t>
            </w:r>
            <w:r>
              <w:rPr>
                <w:color w:val="000000"/>
                <w:spacing w:val="0"/>
                <w:w w:val="100"/>
                <w:position w:val="0"/>
                <w:sz w:val="18"/>
                <w:szCs w:val="18"/>
              </w:rPr>
              <w:t>1</w:t>
            </w:r>
            <w:r>
              <w:rPr>
                <w:rFonts w:ascii="SimSun" w:eastAsia="SimSun" w:hAnsi="SimSun" w:cs="SimSun"/>
                <w:color w:val="000000"/>
                <w:spacing w:val="0"/>
                <w:w w:val="100"/>
                <w:position w:val="0"/>
                <w:sz w:val="17"/>
                <w:szCs w:val="17"/>
              </w:rPr>
              <w:t>）未依照公认会 计准则选择和应用会计政策；（</w:t>
            </w:r>
            <w:r>
              <w:rPr>
                <w:color w:val="000000"/>
                <w:spacing w:val="0"/>
                <w:w w:val="100"/>
                <w:position w:val="0"/>
                <w:sz w:val="18"/>
                <w:szCs w:val="18"/>
              </w:rPr>
              <w:t>2</w:t>
            </w:r>
            <w:r>
              <w:rPr>
                <w:rFonts w:ascii="SimSun" w:eastAsia="SimSun" w:hAnsi="SimSun" w:cs="SimSun"/>
                <w:color w:val="000000"/>
                <w:spacing w:val="0"/>
                <w:w w:val="100"/>
                <w:position w:val="0"/>
                <w:sz w:val="17"/>
                <w:szCs w:val="17"/>
              </w:rPr>
              <w:t>）未建立 反舞弊程序和控制措施；（</w:t>
            </w:r>
            <w:r>
              <w:rPr>
                <w:color w:val="000000"/>
                <w:spacing w:val="0"/>
                <w:w w:val="100"/>
                <w:position w:val="0"/>
                <w:sz w:val="18"/>
                <w:szCs w:val="18"/>
              </w:rPr>
              <w:t>3</w:t>
            </w:r>
            <w:r>
              <w:rPr>
                <w:rFonts w:ascii="SimSun" w:eastAsia="SimSun" w:hAnsi="SimSun" w:cs="SimSun"/>
                <w:color w:val="000000"/>
                <w:spacing w:val="0"/>
                <w:w w:val="100"/>
                <w:position w:val="0"/>
                <w:sz w:val="17"/>
                <w:szCs w:val="17"/>
              </w:rPr>
              <w:t>）对于非常规 或特殊交易的账务处理没有建立相应的控 制机制或没有实施且没有相应的补偿性控 制；（</w:t>
            </w:r>
            <w:r>
              <w:rPr>
                <w:color w:val="000000"/>
                <w:spacing w:val="0"/>
                <w:w w:val="100"/>
                <w:position w:val="0"/>
                <w:sz w:val="18"/>
                <w:szCs w:val="18"/>
              </w:rPr>
              <w:t>4</w:t>
            </w:r>
            <w:r>
              <w:rPr>
                <w:rFonts w:ascii="SimSun" w:eastAsia="SimSun" w:hAnsi="SimSun" w:cs="SimSun"/>
                <w:color w:val="000000"/>
                <w:spacing w:val="0"/>
                <w:w w:val="100"/>
                <w:position w:val="0"/>
                <w:sz w:val="17"/>
                <w:szCs w:val="17"/>
              </w:rPr>
              <w:t>）对于期末财务报告过程的控制存 在一项或多项缺陷且不能合理保证编制的 财务报表达到真实、完整的目标。一般缺 陷是指除上述重大缺陷、重要缺陷之外的 其他控制缺陷。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非财务报告重大缺陷的迹象包括：（</w:t>
            </w:r>
            <w:r>
              <w:rPr>
                <w:color w:val="000000"/>
                <w:spacing w:val="0"/>
                <w:w w:val="100"/>
                <w:position w:val="0"/>
                <w:sz w:val="18"/>
                <w:szCs w:val="18"/>
              </w:rPr>
              <w:t>1</w:t>
            </w:r>
            <w:r>
              <w:rPr>
                <w:rFonts w:ascii="SimSun" w:eastAsia="SimSun" w:hAnsi="SimSun" w:cs="SimSun"/>
                <w:color w:val="000000"/>
                <w:spacing w:val="0"/>
                <w:w w:val="100"/>
                <w:position w:val="0"/>
                <w:sz w:val="17"/>
                <w:szCs w:val="17"/>
              </w:rPr>
              <w:t>） 违反国家法律、法规或规范性文件；</w:t>
            </w:r>
          </w:p>
          <w:p>
            <w:pPr>
              <w:pStyle w:val="Style20"/>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）决策程序不科学导致重大决策失 误；（</w:t>
            </w:r>
            <w:r>
              <w:rPr>
                <w:color w:val="000000"/>
                <w:spacing w:val="0"/>
                <w:w w:val="100"/>
                <w:position w:val="0"/>
                <w:sz w:val="18"/>
                <w:szCs w:val="18"/>
              </w:rPr>
              <w:t>3</w:t>
            </w:r>
            <w:r>
              <w:rPr>
                <w:rFonts w:ascii="SimSun" w:eastAsia="SimSun" w:hAnsi="SimSun" w:cs="SimSun"/>
                <w:color w:val="000000"/>
                <w:spacing w:val="0"/>
                <w:w w:val="100"/>
                <w:position w:val="0"/>
                <w:sz w:val="17"/>
                <w:szCs w:val="17"/>
              </w:rPr>
              <w:t>）重要业务制度性缺失或系统 性失效；（</w:t>
            </w:r>
            <w:r>
              <w:rPr>
                <w:color w:val="000000"/>
                <w:spacing w:val="0"/>
                <w:w w:val="100"/>
                <w:position w:val="0"/>
                <w:sz w:val="18"/>
                <w:szCs w:val="18"/>
              </w:rPr>
              <w:t>4</w:t>
            </w:r>
            <w:r>
              <w:rPr>
                <w:rFonts w:ascii="SimSun" w:eastAsia="SimSun" w:hAnsi="SimSun" w:cs="SimSun"/>
                <w:color w:val="000000"/>
                <w:spacing w:val="0"/>
                <w:w w:val="100"/>
                <w:position w:val="0"/>
                <w:sz w:val="17"/>
                <w:szCs w:val="17"/>
              </w:rPr>
              <w:t>）重大或重要缺陷不能得 到有效整改；（</w:t>
            </w:r>
            <w:r>
              <w:rPr>
                <w:color w:val="000000"/>
                <w:spacing w:val="0"/>
                <w:w w:val="100"/>
                <w:position w:val="0"/>
                <w:sz w:val="18"/>
                <w:szCs w:val="18"/>
              </w:rPr>
              <w:t>5</w:t>
            </w:r>
            <w:r>
              <w:rPr>
                <w:rFonts w:ascii="SimSun" w:eastAsia="SimSun" w:hAnsi="SimSun" w:cs="SimSun"/>
                <w:color w:val="000000"/>
                <w:spacing w:val="0"/>
                <w:w w:val="100"/>
                <w:position w:val="0"/>
                <w:sz w:val="17"/>
                <w:szCs w:val="17"/>
              </w:rPr>
              <w:t>）安全、环保事故对 公司造成重大负面影响的情形。非财 务报告内部控制重要缺陷包括：（</w:t>
            </w:r>
            <w:r>
              <w:rPr>
                <w:color w:val="000000"/>
                <w:spacing w:val="0"/>
                <w:w w:val="100"/>
                <w:position w:val="0"/>
                <w:sz w:val="18"/>
                <w:szCs w:val="18"/>
              </w:rPr>
              <w:t>1</w:t>
            </w:r>
            <w:r>
              <w:rPr>
                <w:rFonts w:ascii="SimSun" w:eastAsia="SimSun" w:hAnsi="SimSun" w:cs="SimSun"/>
                <w:color w:val="000000"/>
                <w:spacing w:val="0"/>
                <w:w w:val="100"/>
                <w:position w:val="0"/>
                <w:sz w:val="17"/>
                <w:szCs w:val="17"/>
              </w:rPr>
              <w:t>）重 要业务制度或系统存在的缺陷；（</w:t>
            </w:r>
            <w:r>
              <w:rPr>
                <w:color w:val="000000"/>
                <w:spacing w:val="0"/>
                <w:w w:val="100"/>
                <w:position w:val="0"/>
                <w:sz w:val="18"/>
                <w:szCs w:val="18"/>
              </w:rPr>
              <w:t>2</w:t>
            </w:r>
            <w:r>
              <w:rPr>
                <w:rFonts w:ascii="SimSun" w:eastAsia="SimSun" w:hAnsi="SimSun" w:cs="SimSun"/>
                <w:color w:val="000000"/>
                <w:spacing w:val="0"/>
                <w:w w:val="100"/>
                <w:position w:val="0"/>
                <w:sz w:val="17"/>
                <w:szCs w:val="17"/>
              </w:rPr>
              <w:t>）内 部控制内部监督发现的重要缺陷未及 时整改；（</w:t>
            </w:r>
            <w:r>
              <w:rPr>
                <w:color w:val="000000"/>
                <w:spacing w:val="0"/>
                <w:w w:val="100"/>
                <w:position w:val="0"/>
                <w:sz w:val="18"/>
                <w:szCs w:val="18"/>
              </w:rPr>
              <w:t>3</w:t>
            </w:r>
            <w:r>
              <w:rPr>
                <w:rFonts w:ascii="SimSun" w:eastAsia="SimSun" w:hAnsi="SimSun" w:cs="SimSun"/>
                <w:color w:val="000000"/>
                <w:spacing w:val="0"/>
                <w:w w:val="100"/>
                <w:position w:val="0"/>
                <w:sz w:val="17"/>
                <w:szCs w:val="17"/>
              </w:rPr>
              <w:t>）重要业务系统运转效率低 下。非财务报告内部控制一般缺陷：一 般业务制度或系统存在缺陷。</w:t>
            </w:r>
          </w:p>
        </w:tc>
      </w:tr>
      <w:tr>
        <w:trPr>
          <w:trHeight w:val="411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内部控制缺陷可能导致或导致的损失与利 润表相关的，以营业收入指标衡量。如果 该缺陷单独或连同其他缺陷可能导致的财 务报告错报金额小于营业收入的</w:t>
            </w:r>
            <w:r>
              <w:rPr>
                <w:color w:val="000000"/>
                <w:spacing w:val="0"/>
                <w:w w:val="100"/>
                <w:position w:val="0"/>
                <w:sz w:val="18"/>
                <w:szCs w:val="18"/>
              </w:rPr>
              <w:t>0.5%</w:t>
            </w:r>
            <w:r>
              <w:rPr>
                <w:rFonts w:ascii="SimSun" w:eastAsia="SimSun" w:hAnsi="SimSun" w:cs="SimSun"/>
                <w:color w:val="000000"/>
                <w:spacing w:val="0"/>
                <w:w w:val="100"/>
                <w:position w:val="0"/>
                <w:sz w:val="17"/>
                <w:szCs w:val="17"/>
              </w:rPr>
              <w:t xml:space="preserve">，则 认定为一般缺陷；如果超过营业收入的 </w:t>
            </w:r>
            <w:r>
              <w:rPr>
                <w:color w:val="000000"/>
                <w:spacing w:val="0"/>
                <w:w w:val="100"/>
                <w:position w:val="0"/>
                <w:sz w:val="18"/>
                <w:szCs w:val="18"/>
              </w:rPr>
              <w:t>0.5%</w:t>
            </w:r>
            <w:r>
              <w:rPr>
                <w:rFonts w:ascii="SimSun" w:eastAsia="SimSun" w:hAnsi="SimSun" w:cs="SimSun"/>
                <w:color w:val="000000"/>
                <w:spacing w:val="0"/>
                <w:w w:val="100"/>
                <w:position w:val="0"/>
                <w:sz w:val="17"/>
                <w:szCs w:val="17"/>
              </w:rPr>
              <w:t>但小于</w:t>
            </w:r>
            <w:r>
              <w:rPr>
                <w:color w:val="000000"/>
                <w:spacing w:val="0"/>
                <w:w w:val="100"/>
                <w:position w:val="0"/>
                <w:sz w:val="18"/>
                <w:szCs w:val="18"/>
              </w:rPr>
              <w:t>1%</w:t>
            </w:r>
            <w:r>
              <w:rPr>
                <w:rFonts w:ascii="SimSun" w:eastAsia="SimSun" w:hAnsi="SimSun" w:cs="SimSun"/>
                <w:color w:val="000000"/>
                <w:spacing w:val="0"/>
                <w:w w:val="100"/>
                <w:position w:val="0"/>
                <w:sz w:val="17"/>
                <w:szCs w:val="17"/>
              </w:rPr>
              <w:t>，则为重要缺陷；如果超 过营业收入的</w:t>
            </w:r>
            <w:r>
              <w:rPr>
                <w:color w:val="000000"/>
                <w:spacing w:val="0"/>
                <w:w w:val="100"/>
                <w:position w:val="0"/>
                <w:sz w:val="18"/>
                <w:szCs w:val="18"/>
              </w:rPr>
              <w:t>1%</w:t>
            </w:r>
            <w:r>
              <w:rPr>
                <w:rFonts w:ascii="SimSun" w:eastAsia="SimSun" w:hAnsi="SimSun" w:cs="SimSun"/>
                <w:color w:val="000000"/>
                <w:spacing w:val="0"/>
                <w:w w:val="100"/>
                <w:position w:val="0"/>
                <w:sz w:val="17"/>
                <w:szCs w:val="17"/>
              </w:rPr>
              <w:t>，则认定为重大缺陷。内 部控制缺陷可能导致或导致的损失与资产 管理相关的，以资产总额指标衡量。如果 该缺陷单独或连同其他缺陷可能导致的财 务报告错报金额小于资产总额的</w:t>
            </w:r>
            <w:r>
              <w:rPr>
                <w:color w:val="000000"/>
                <w:spacing w:val="0"/>
                <w:w w:val="100"/>
                <w:position w:val="0"/>
                <w:sz w:val="18"/>
                <w:szCs w:val="18"/>
              </w:rPr>
              <w:t>0.5%</w:t>
            </w:r>
            <w:r>
              <w:rPr>
                <w:rFonts w:ascii="SimSun" w:eastAsia="SimSun" w:hAnsi="SimSun" w:cs="SimSun"/>
                <w:color w:val="000000"/>
                <w:spacing w:val="0"/>
                <w:w w:val="100"/>
                <w:position w:val="0"/>
                <w:sz w:val="17"/>
                <w:szCs w:val="17"/>
              </w:rPr>
              <w:t xml:space="preserve">，则 认定为一般缺陷；如果超过资产总额的 </w:t>
            </w:r>
            <w:r>
              <w:rPr>
                <w:color w:val="000000"/>
                <w:spacing w:val="0"/>
                <w:w w:val="100"/>
                <w:position w:val="0"/>
                <w:sz w:val="18"/>
                <w:szCs w:val="18"/>
              </w:rPr>
              <w:t>0.5%</w:t>
            </w:r>
            <w:r>
              <w:rPr>
                <w:rFonts w:ascii="SimSun" w:eastAsia="SimSun" w:hAnsi="SimSun" w:cs="SimSun"/>
                <w:color w:val="000000"/>
                <w:spacing w:val="0"/>
                <w:w w:val="100"/>
                <w:position w:val="0"/>
                <w:sz w:val="17"/>
                <w:szCs w:val="17"/>
              </w:rPr>
              <w:t>但小于</w:t>
            </w:r>
            <w:r>
              <w:rPr>
                <w:color w:val="000000"/>
                <w:spacing w:val="0"/>
                <w:w w:val="100"/>
                <w:position w:val="0"/>
                <w:sz w:val="18"/>
                <w:szCs w:val="18"/>
              </w:rPr>
              <w:t>1%</w:t>
            </w:r>
            <w:r>
              <w:rPr>
                <w:rFonts w:ascii="SimSun" w:eastAsia="SimSun" w:hAnsi="SimSun" w:cs="SimSun"/>
                <w:color w:val="000000"/>
                <w:spacing w:val="0"/>
                <w:w w:val="100"/>
                <w:position w:val="0"/>
                <w:sz w:val="17"/>
                <w:szCs w:val="17"/>
              </w:rPr>
              <w:t>认定为重要缺陷；如果超</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内部控制缺陷可能导致或导致的损失 与利润报表相关的，以营业收入指标衡 量。如果该缺陷单独或连同其他缺陷可 能导致的财务报告错报金额小于营业 收入的</w:t>
            </w:r>
            <w:r>
              <w:rPr>
                <w:color w:val="000000"/>
                <w:spacing w:val="0"/>
                <w:w w:val="100"/>
                <w:position w:val="0"/>
                <w:sz w:val="18"/>
                <w:szCs w:val="18"/>
              </w:rPr>
              <w:t>0.5%</w:t>
            </w:r>
            <w:r>
              <w:rPr>
                <w:rFonts w:ascii="SimSun" w:eastAsia="SimSun" w:hAnsi="SimSun" w:cs="SimSun"/>
                <w:color w:val="000000"/>
                <w:spacing w:val="0"/>
                <w:w w:val="100"/>
                <w:position w:val="0"/>
                <w:sz w:val="17"/>
                <w:szCs w:val="17"/>
              </w:rPr>
              <w:t>，则认定为一般缺陷；如 果超过营业收入的</w:t>
            </w:r>
            <w:r>
              <w:rPr>
                <w:color w:val="000000"/>
                <w:spacing w:val="0"/>
                <w:w w:val="100"/>
                <w:position w:val="0"/>
                <w:sz w:val="18"/>
                <w:szCs w:val="18"/>
              </w:rPr>
              <w:t>0.5%</w:t>
            </w:r>
            <w:r>
              <w:rPr>
                <w:rFonts w:ascii="SimSun" w:eastAsia="SimSun" w:hAnsi="SimSun" w:cs="SimSun"/>
                <w:color w:val="000000"/>
                <w:spacing w:val="0"/>
                <w:w w:val="100"/>
                <w:position w:val="0"/>
                <w:sz w:val="17"/>
                <w:szCs w:val="17"/>
              </w:rPr>
              <w:t>但小于</w:t>
            </w:r>
            <w:r>
              <w:rPr>
                <w:color w:val="000000"/>
                <w:spacing w:val="0"/>
                <w:w w:val="100"/>
                <w:position w:val="0"/>
                <w:sz w:val="18"/>
                <w:szCs w:val="18"/>
              </w:rPr>
              <w:t>1%</w:t>
            </w:r>
            <w:r>
              <w:rPr>
                <w:rFonts w:ascii="SimSun" w:eastAsia="SimSun" w:hAnsi="SimSun" w:cs="SimSun"/>
                <w:color w:val="000000"/>
                <w:spacing w:val="0"/>
                <w:w w:val="100"/>
                <w:position w:val="0"/>
                <w:sz w:val="17"/>
                <w:szCs w:val="17"/>
              </w:rPr>
              <w:t>认 定为重要缺陷；如果超过税前利润营业 收入的</w:t>
            </w:r>
            <w:r>
              <w:rPr>
                <w:color w:val="000000"/>
                <w:spacing w:val="0"/>
                <w:w w:val="100"/>
                <w:position w:val="0"/>
                <w:sz w:val="18"/>
                <w:szCs w:val="18"/>
              </w:rPr>
              <w:t>1%</w:t>
            </w:r>
            <w:r>
              <w:rPr>
                <w:rFonts w:ascii="SimSun" w:eastAsia="SimSun" w:hAnsi="SimSun" w:cs="SimSun"/>
                <w:color w:val="000000"/>
                <w:spacing w:val="0"/>
                <w:w w:val="100"/>
                <w:position w:val="0"/>
                <w:sz w:val="17"/>
                <w:szCs w:val="17"/>
              </w:rPr>
              <w:t>，则认定为重大缺陷。内部 控制缺陷可能导致或导致的损失与资 产管理相关的，以资产总额指标衡量。 如果该缺陷单独或连同其他缺陷可能 导致的财务报告错报金额小于资产总 额的</w:t>
            </w:r>
            <w:r>
              <w:rPr>
                <w:color w:val="000000"/>
                <w:spacing w:val="0"/>
                <w:w w:val="100"/>
                <w:position w:val="0"/>
                <w:sz w:val="18"/>
                <w:szCs w:val="18"/>
              </w:rPr>
              <w:t>0.5%</w:t>
            </w:r>
            <w:r>
              <w:rPr>
                <w:rFonts w:ascii="SimSun" w:eastAsia="SimSun" w:hAnsi="SimSun" w:cs="SimSun"/>
                <w:color w:val="000000"/>
                <w:spacing w:val="0"/>
                <w:w w:val="100"/>
                <w:position w:val="0"/>
                <w:sz w:val="17"/>
                <w:szCs w:val="17"/>
              </w:rPr>
              <w:t>，则认定为一般缺陷；如果</w:t>
            </w:r>
          </w:p>
        </w:tc>
      </w:tr>
    </w:tbl>
    <w:p>
      <w:pPr>
        <w:widowControl w:val="0"/>
        <w:spacing w:line="1" w:lineRule="exact"/>
      </w:pPr>
    </w:p>
    <w:tbl>
      <w:tblPr>
        <w:tblOverlap w:val="never"/>
        <w:jc w:val="center"/>
        <w:tblLayout w:type="fixed"/>
      </w:tblPr>
      <w:tblGrid>
        <w:gridCol w:w="3202"/>
        <w:gridCol w:w="3322"/>
        <w:gridCol w:w="3062"/>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过资产总额</w:t>
            </w:r>
            <w:r>
              <w:rPr>
                <w:color w:val="000000"/>
                <w:spacing w:val="0"/>
                <w:w w:val="100"/>
                <w:position w:val="0"/>
                <w:sz w:val="18"/>
                <w:szCs w:val="18"/>
              </w:rPr>
              <w:t>1%</w:t>
            </w:r>
            <w:r>
              <w:rPr>
                <w:rFonts w:ascii="SimSun" w:eastAsia="SimSun" w:hAnsi="SimSun" w:cs="SimSun"/>
                <w:color w:val="000000"/>
                <w:spacing w:val="0"/>
                <w:w w:val="100"/>
                <w:position w:val="0"/>
                <w:sz w:val="17"/>
                <w:szCs w:val="17"/>
              </w:rPr>
              <w:t>，则认定为重大缺陷。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超过资产总额</w:t>
            </w:r>
            <w:r>
              <w:rPr>
                <w:color w:val="000000"/>
                <w:spacing w:val="0"/>
                <w:w w:val="100"/>
                <w:position w:val="0"/>
                <w:sz w:val="18"/>
                <w:szCs w:val="18"/>
              </w:rPr>
              <w:t>0.5%</w:t>
            </w:r>
            <w:r>
              <w:rPr>
                <w:rFonts w:ascii="SimSun" w:eastAsia="SimSun" w:hAnsi="SimSun" w:cs="SimSun"/>
                <w:color w:val="000000"/>
                <w:spacing w:val="0"/>
                <w:w w:val="100"/>
                <w:position w:val="0"/>
                <w:sz w:val="17"/>
                <w:szCs w:val="17"/>
              </w:rPr>
              <w:t>但小于</w:t>
            </w:r>
            <w:r>
              <w:rPr>
                <w:color w:val="000000"/>
                <w:spacing w:val="0"/>
                <w:w w:val="100"/>
                <w:position w:val="0"/>
                <w:sz w:val="18"/>
                <w:szCs w:val="18"/>
              </w:rPr>
              <w:t>1%</w:t>
            </w:r>
            <w:r>
              <w:rPr>
                <w:rFonts w:ascii="SimSun" w:eastAsia="SimSun" w:hAnsi="SimSun" w:cs="SimSun"/>
                <w:color w:val="000000"/>
                <w:spacing w:val="0"/>
                <w:w w:val="100"/>
                <w:position w:val="0"/>
                <w:sz w:val="17"/>
                <w:szCs w:val="17"/>
              </w:rPr>
              <w:t>则认定 为重要缺陷；如果超过资产总额</w:t>
            </w:r>
            <w:r>
              <w:rPr>
                <w:color w:val="000000"/>
                <w:spacing w:val="0"/>
                <w:w w:val="100"/>
                <w:position w:val="0"/>
                <w:sz w:val="18"/>
                <w:szCs w:val="18"/>
              </w:rPr>
              <w:t>1%</w:t>
            </w:r>
            <w:r>
              <w:rPr>
                <w:rFonts w:ascii="SimSun" w:eastAsia="SimSun" w:hAnsi="SimSun" w:cs="SimSun"/>
                <w:color w:val="000000"/>
                <w:spacing w:val="0"/>
                <w:w w:val="100"/>
                <w:position w:val="0"/>
                <w:sz w:val="17"/>
                <w:szCs w:val="17"/>
              </w:rPr>
              <w:t>， 则认定为重大缺陷。</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19" w:line="1" w:lineRule="exact"/>
      </w:pPr>
    </w:p>
    <w:p>
      <w:pPr>
        <w:pStyle w:val="Style32"/>
        <w:keepNext/>
        <w:keepLines/>
        <w:widowControl w:val="0"/>
        <w:shd w:val="clear" w:color="auto" w:fill="auto"/>
        <w:bidi w:val="0"/>
        <w:spacing w:before="0" w:after="280" w:line="240" w:lineRule="auto"/>
        <w:ind w:left="0" w:right="0" w:firstLine="0"/>
        <w:jc w:val="left"/>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2</w:t>
      </w:r>
      <w:bookmarkEnd w:id="364"/>
      <w:r>
        <w:rPr>
          <w:color w:val="000000"/>
          <w:spacing w:val="0"/>
          <w:w w:val="100"/>
          <w:position w:val="0"/>
        </w:rPr>
        <w:t>、内部控制审计报告</w:t>
      </w:r>
      <w:bookmarkEnd w:id="362"/>
      <w:bookmarkEnd w:id="363"/>
      <w:bookmarkEnd w:id="365"/>
    </w:p>
    <w:p>
      <w:pPr>
        <w:pStyle w:val="Style18"/>
        <w:keepNext w:val="0"/>
        <w:keepLines w:val="0"/>
        <w:widowControl w:val="0"/>
        <w:shd w:val="clear" w:color="auto" w:fill="auto"/>
        <w:bidi w:val="0"/>
        <w:spacing w:before="0" w:after="360" w:line="31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80" w:line="240" w:lineRule="auto"/>
        <w:ind w:left="0" w:right="0" w:firstLine="0"/>
        <w:jc w:val="left"/>
      </w:pPr>
      <w:bookmarkStart w:id="366" w:name="bookmark366"/>
      <w:bookmarkStart w:id="367" w:name="bookmark367"/>
      <w:bookmarkStart w:id="368" w:name="bookmark368"/>
      <w:r>
        <w:rPr>
          <w:color w:val="000000"/>
          <w:spacing w:val="0"/>
          <w:w w:val="100"/>
          <w:position w:val="0"/>
        </w:rPr>
        <w:t>十五、上市公司治理专项行动自查问题整改情况</w:t>
      </w:r>
      <w:bookmarkEnd w:id="366"/>
      <w:bookmarkEnd w:id="367"/>
      <w:bookmarkEnd w:id="368"/>
    </w:p>
    <w:p>
      <w:pPr>
        <w:pStyle w:val="Style18"/>
        <w:keepNext w:val="0"/>
        <w:keepLines w:val="0"/>
        <w:widowControl w:val="0"/>
        <w:shd w:val="clear" w:color="auto" w:fill="auto"/>
        <w:bidi w:val="0"/>
        <w:spacing w:before="0" w:after="0" w:line="311" w:lineRule="exact"/>
        <w:ind w:left="0" w:right="0" w:firstLine="520"/>
        <w:jc w:val="both"/>
      </w:pPr>
      <w:r>
        <w:rPr>
          <w:color w:val="000000"/>
          <w:spacing w:val="0"/>
          <w:w w:val="100"/>
          <w:position w:val="0"/>
        </w:rPr>
        <w:t>根据中国证券监督管理委员会上市公司治理专项自查清单填报系统，公司本着实事求是的原则，严格对照《公司法》、 《证券法》、《主板上市公司规范运作》等有关法律法规、以及内部规章制度，对专项活动的自查事项进行了自查，并进行 了认真地梳理填报。通过本次自查，公司认为本公司治理符合《公司法》、《证券法》、《主板上市公司规范运作》等法律、 法规的要求，公司治理结构较为完善，运作规范，不存在影响公司运行的重大缺陷。经过自查，公司还发现公司《章程》、 《股东大会议事规则》等内部控制制度存在未按照有关法律法规进行修订等缺陷。报告期内，公司根据发现的问题，及时对 公司《章程》、《股东大会议事规则》、《董事会议事规则》等内部控制制度进行了修订和完善，完成了相关问题的整改。</w:t>
      </w:r>
    </w:p>
    <w:p>
      <w:pPr>
        <w:pStyle w:val="Style18"/>
        <w:keepNext w:val="0"/>
        <w:keepLines w:val="0"/>
        <w:widowControl w:val="0"/>
        <w:shd w:val="clear" w:color="auto" w:fill="auto"/>
        <w:bidi w:val="0"/>
        <w:spacing w:before="0" w:after="300" w:line="311" w:lineRule="exact"/>
        <w:ind w:left="0" w:right="0" w:firstLine="440"/>
        <w:jc w:val="both"/>
      </w:pPr>
      <w:r>
        <w:rPr>
          <w:color w:val="000000"/>
          <w:spacing w:val="0"/>
          <w:w w:val="100"/>
          <w:position w:val="0"/>
        </w:rPr>
        <w:t>公司将不断完善内部控制制度体系，及时了解根据相关法律法规的制定、修订并结合公司实际情况制定新的符合公司 规范运作的相关内部控制制度，根据新要求修订相关制度，进一步健全公司规范管理制度体系。</w:t>
      </w:r>
      <w:r>
        <w:br w:type="page"/>
      </w:r>
    </w:p>
    <w:p>
      <w:pPr>
        <w:pStyle w:val="Style10"/>
        <w:keepNext/>
        <w:keepLines/>
        <w:widowControl w:val="0"/>
        <w:shd w:val="clear" w:color="auto" w:fill="auto"/>
        <w:bidi w:val="0"/>
        <w:spacing w:before="0" w:after="560" w:line="240" w:lineRule="auto"/>
        <w:ind w:left="0" w:right="0" w:firstLine="0"/>
        <w:jc w:val="center"/>
      </w:pPr>
      <w:bookmarkStart w:id="369" w:name="bookmark369"/>
      <w:bookmarkStart w:id="370" w:name="bookmark370"/>
      <w:bookmarkStart w:id="371" w:name="bookmark371"/>
      <w:r>
        <w:rPr>
          <w:color w:val="000000"/>
          <w:spacing w:val="0"/>
          <w:w w:val="100"/>
          <w:position w:val="0"/>
        </w:rPr>
        <w:t>第五节环境和社会责任</w:t>
      </w:r>
      <w:bookmarkEnd w:id="369"/>
      <w:bookmarkEnd w:id="370"/>
      <w:bookmarkEnd w:id="371"/>
    </w:p>
    <w:p>
      <w:pPr>
        <w:pStyle w:val="Style23"/>
        <w:keepNext/>
        <w:keepLines/>
        <w:widowControl w:val="0"/>
        <w:shd w:val="clear" w:color="auto" w:fill="auto"/>
        <w:bidi w:val="0"/>
        <w:spacing w:before="0" w:after="380" w:line="240" w:lineRule="auto"/>
        <w:ind w:left="0" w:right="0" w:firstLine="0"/>
        <w:jc w:val="left"/>
      </w:pPr>
      <w:bookmarkStart w:id="372" w:name="bookmark372"/>
      <w:bookmarkStart w:id="373" w:name="bookmark373"/>
      <w:bookmarkStart w:id="374" w:name="bookmark374"/>
      <w:bookmarkStart w:id="375" w:name="bookmark375"/>
      <w:bookmarkStart w:id="376" w:name="bookmark376"/>
      <w:r>
        <w:rPr>
          <w:color w:val="000000"/>
          <w:spacing w:val="0"/>
          <w:w w:val="100"/>
          <w:position w:val="0"/>
        </w:rPr>
        <w:t>一</w:t>
      </w:r>
      <w:bookmarkEnd w:id="375"/>
      <w:r>
        <w:rPr>
          <w:color w:val="000000"/>
          <w:spacing w:val="0"/>
          <w:w w:val="100"/>
          <w:position w:val="0"/>
        </w:rPr>
        <w:t>、重大环保问题</w:t>
      </w:r>
      <w:bookmarkEnd w:id="373"/>
      <w:bookmarkEnd w:id="374"/>
      <w:bookmarkEnd w:id="376"/>
      <w:bookmarkEnd w:id="372"/>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970"/>
        <w:gridCol w:w="955"/>
        <w:gridCol w:w="955"/>
        <w:gridCol w:w="955"/>
        <w:gridCol w:w="850"/>
        <w:gridCol w:w="1066"/>
        <w:gridCol w:w="955"/>
        <w:gridCol w:w="960"/>
        <w:gridCol w:w="955"/>
        <w:gridCol w:w="970"/>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220" w:right="0" w:hanging="220"/>
              <w:jc w:val="both"/>
              <w:rPr>
                <w:sz w:val="17"/>
                <w:szCs w:val="17"/>
              </w:rPr>
            </w:pPr>
            <w:r>
              <w:rPr>
                <w:rFonts w:ascii="SimSun" w:eastAsia="SimSun" w:hAnsi="SimSun" w:cs="SimSun"/>
                <w:color w:val="000000"/>
                <w:spacing w:val="0"/>
                <w:w w:val="100"/>
                <w:position w:val="0"/>
                <w:sz w:val="17"/>
                <w:szCs w:val="17"/>
              </w:rPr>
              <w:t>公司或子公 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主要污染物</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及特征污染</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物的名称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排放方式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排放口数量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排放口分 布情况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排放浓度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执行的污染</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物排放标准</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排放总量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核定的排放</w:t>
            </w:r>
          </w:p>
          <w:p>
            <w:pPr>
              <w:pStyle w:val="Style20"/>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总量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超标排放情 况</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东港股份有 限公司济南 临港开发区 分公司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挥发性有机 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统一排放口</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有组织排放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厂内生产 区域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sz w:val="16"/>
                <w:szCs w:val="16"/>
              </w:rPr>
              <w:t>W</w:t>
            </w:r>
            <w:r>
              <w:rPr>
                <w:color w:val="000000"/>
                <w:spacing w:val="0"/>
                <w:w w:val="100"/>
                <w:position w:val="0"/>
              </w:rPr>
              <w:t>50 mg/m3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DB37/2801. 4-2017</w:t>
            </w:r>
            <w:r>
              <w:rPr>
                <w:rFonts w:ascii="SimSun" w:eastAsia="SimSun" w:hAnsi="SimSun" w:cs="SimSun"/>
                <w:color w:val="000000"/>
                <w:spacing w:val="0"/>
                <w:w w:val="100"/>
                <w:position w:val="0"/>
                <w:sz w:val="17"/>
                <w:szCs w:val="17"/>
              </w:rPr>
              <w:t>《挥 发性有机物 排放标准 第</w:t>
            </w:r>
            <w:r>
              <w:rPr>
                <w:color w:val="000000"/>
                <w:spacing w:val="0"/>
                <w:w w:val="100"/>
                <w:position w:val="0"/>
                <w:sz w:val="18"/>
                <w:szCs w:val="18"/>
              </w:rPr>
              <w:t>4</w:t>
            </w:r>
            <w:r>
              <w:rPr>
                <w:rFonts w:ascii="SimSun" w:eastAsia="SimSun" w:hAnsi="SimSun" w:cs="SimSun"/>
                <w:color w:val="000000"/>
                <w:spacing w:val="0"/>
                <w:w w:val="100"/>
                <w:position w:val="0"/>
                <w:sz w:val="17"/>
                <w:szCs w:val="17"/>
              </w:rPr>
              <w:t>部分： 印刷业》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&lt;</w:t>
            </w:r>
            <w:r>
              <w:rPr>
                <w:color w:val="000000"/>
                <w:spacing w:val="0"/>
                <w:w w:val="100"/>
                <w:position w:val="0"/>
                <w:sz w:val="18"/>
                <w:szCs w:val="18"/>
              </w:rPr>
              <w:t xml:space="preserve">6.62 </w:t>
            </w:r>
            <w:r>
              <w:rPr>
                <w:rFonts w:ascii="SimSun" w:eastAsia="SimSun" w:hAnsi="SimSun" w:cs="SimSun"/>
                <w:color w:val="000000"/>
                <w:spacing w:val="0"/>
                <w:w w:val="100"/>
                <w:position w:val="0"/>
                <w:sz w:val="17"/>
                <w:szCs w:val="17"/>
              </w:rPr>
              <w:t>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东港股份有 限公司济南 临港开发区 分公司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统一排放口</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有组织排放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厂内生产 区域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sz w:val="16"/>
                <w:szCs w:val="16"/>
              </w:rPr>
              <w:t>W</w:t>
            </w:r>
            <w:r>
              <w:rPr>
                <w:color w:val="000000"/>
                <w:spacing w:val="0"/>
                <w:w w:val="100"/>
                <w:position w:val="0"/>
              </w:rPr>
              <w:t>0.5 mg/m3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DB37/2801. 4-2017</w:t>
            </w:r>
            <w:r>
              <w:rPr>
                <w:rFonts w:ascii="SimSun" w:eastAsia="SimSun" w:hAnsi="SimSun" w:cs="SimSun"/>
                <w:color w:val="000000"/>
                <w:spacing w:val="0"/>
                <w:w w:val="100"/>
                <w:position w:val="0"/>
                <w:sz w:val="17"/>
                <w:szCs w:val="17"/>
              </w:rPr>
              <w:t>《挥 发性有机物 排放标准 第</w:t>
            </w:r>
            <w:r>
              <w:rPr>
                <w:color w:val="000000"/>
                <w:spacing w:val="0"/>
                <w:w w:val="100"/>
                <w:position w:val="0"/>
                <w:sz w:val="18"/>
                <w:szCs w:val="18"/>
              </w:rPr>
              <w:t>4</w:t>
            </w:r>
            <w:r>
              <w:rPr>
                <w:rFonts w:ascii="SimSun" w:eastAsia="SimSun" w:hAnsi="SimSun" w:cs="SimSun"/>
                <w:color w:val="000000"/>
                <w:spacing w:val="0"/>
                <w:w w:val="100"/>
                <w:position w:val="0"/>
                <w:sz w:val="17"/>
                <w:szCs w:val="17"/>
              </w:rPr>
              <w:t>部分： 印刷业》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&lt;</w:t>
            </w:r>
            <w:r>
              <w:rPr>
                <w:color w:val="000000"/>
                <w:spacing w:val="0"/>
                <w:w w:val="100"/>
                <w:position w:val="0"/>
                <w:sz w:val="18"/>
                <w:szCs w:val="18"/>
              </w:rPr>
              <w:t xml:space="preserve">0.03 </w:t>
            </w:r>
            <w:r>
              <w:rPr>
                <w:rFonts w:ascii="SimSun" w:eastAsia="SimSun" w:hAnsi="SimSun" w:cs="SimSun"/>
                <w:color w:val="000000"/>
                <w:spacing w:val="0"/>
                <w:w w:val="100"/>
                <w:position w:val="0"/>
                <w:sz w:val="17"/>
                <w:szCs w:val="17"/>
              </w:rPr>
              <w:t>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19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东港股份有 限公司济南 临港开发区 分公司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甲苯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统一排放口</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有组织排放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厂内生产 区域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sz w:val="16"/>
                <w:szCs w:val="16"/>
              </w:rPr>
              <w:t>W</w:t>
            </w:r>
            <w:r>
              <w:rPr>
                <w:color w:val="000000"/>
                <w:spacing w:val="0"/>
                <w:w w:val="100"/>
                <w:position w:val="0"/>
              </w:rPr>
              <w:t>3 mg/m3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DB37/2801. 4-2017</w:t>
            </w:r>
            <w:r>
              <w:rPr>
                <w:rFonts w:ascii="SimSun" w:eastAsia="SimSun" w:hAnsi="SimSun" w:cs="SimSun"/>
                <w:color w:val="000000"/>
                <w:spacing w:val="0"/>
                <w:w w:val="100"/>
                <w:position w:val="0"/>
                <w:sz w:val="17"/>
                <w:szCs w:val="17"/>
              </w:rPr>
              <w:t>《挥 发性有机物 排放标准 第</w:t>
            </w:r>
            <w:r>
              <w:rPr>
                <w:color w:val="000000"/>
                <w:spacing w:val="0"/>
                <w:w w:val="100"/>
                <w:position w:val="0"/>
                <w:sz w:val="18"/>
                <w:szCs w:val="18"/>
              </w:rPr>
              <w:t>4</w:t>
            </w:r>
            <w:r>
              <w:rPr>
                <w:rFonts w:ascii="SimSun" w:eastAsia="SimSun" w:hAnsi="SimSun" w:cs="SimSun"/>
                <w:color w:val="000000"/>
                <w:spacing w:val="0"/>
                <w:w w:val="100"/>
                <w:position w:val="0"/>
                <w:sz w:val="17"/>
                <w:szCs w:val="17"/>
              </w:rPr>
              <w:t>部分： 印刷业》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&lt;</w:t>
            </w:r>
            <w:r>
              <w:rPr>
                <w:color w:val="000000"/>
                <w:spacing w:val="0"/>
                <w:w w:val="100"/>
                <w:position w:val="0"/>
                <w:sz w:val="18"/>
                <w:szCs w:val="18"/>
              </w:rPr>
              <w:t xml:space="preserve">0.14 </w:t>
            </w:r>
            <w:r>
              <w:rPr>
                <w:rFonts w:ascii="SimSun" w:eastAsia="SimSun" w:hAnsi="SimSun" w:cs="SimSun"/>
                <w:color w:val="000000"/>
                <w:spacing w:val="0"/>
                <w:w w:val="100"/>
                <w:position w:val="0"/>
                <w:sz w:val="17"/>
                <w:szCs w:val="17"/>
              </w:rPr>
              <w:t>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197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东港股份有 限公司济南 临港开发区 分公司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二甲苯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统一排放口</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有组织排放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厂内生产 区域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sz w:val="16"/>
                <w:szCs w:val="16"/>
              </w:rPr>
              <w:t>W</w:t>
            </w:r>
            <w:r>
              <w:rPr>
                <w:color w:val="000000"/>
                <w:spacing w:val="0"/>
                <w:w w:val="100"/>
                <w:position w:val="0"/>
              </w:rPr>
              <w:t>10 mg/m3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DB37/2801. 4-2017</w:t>
            </w:r>
            <w:r>
              <w:rPr>
                <w:rFonts w:ascii="SimSun" w:eastAsia="SimSun" w:hAnsi="SimSun" w:cs="SimSun"/>
                <w:color w:val="000000"/>
                <w:spacing w:val="0"/>
                <w:w w:val="100"/>
                <w:position w:val="0"/>
                <w:sz w:val="17"/>
                <w:szCs w:val="17"/>
              </w:rPr>
              <w:t>《挥 发性有机物 排放标准 第</w:t>
            </w:r>
            <w:r>
              <w:rPr>
                <w:color w:val="000000"/>
                <w:spacing w:val="0"/>
                <w:w w:val="100"/>
                <w:position w:val="0"/>
                <w:sz w:val="18"/>
                <w:szCs w:val="18"/>
              </w:rPr>
              <w:t>4</w:t>
            </w:r>
            <w:r>
              <w:rPr>
                <w:rFonts w:ascii="SimSun" w:eastAsia="SimSun" w:hAnsi="SimSun" w:cs="SimSun"/>
                <w:color w:val="000000"/>
                <w:spacing w:val="0"/>
                <w:w w:val="100"/>
                <w:position w:val="0"/>
                <w:sz w:val="17"/>
                <w:szCs w:val="17"/>
              </w:rPr>
              <w:t>部分： 印刷业》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&lt;</w:t>
            </w:r>
            <w:r>
              <w:rPr>
                <w:color w:val="000000"/>
                <w:spacing w:val="0"/>
                <w:w w:val="100"/>
                <w:position w:val="0"/>
                <w:sz w:val="18"/>
                <w:szCs w:val="18"/>
              </w:rPr>
              <w:t xml:space="preserve">0.16 </w:t>
            </w:r>
            <w:r>
              <w:rPr>
                <w:rFonts w:ascii="SimSun" w:eastAsia="SimSun" w:hAnsi="SimSun" w:cs="SimSun"/>
                <w:color w:val="000000"/>
                <w:spacing w:val="0"/>
                <w:w w:val="100"/>
                <w:position w:val="0"/>
                <w:sz w:val="17"/>
                <w:szCs w:val="17"/>
              </w:rPr>
              <w:t>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防治污染设施的建设和运行情况</w:t>
      </w:r>
    </w:p>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报告期内，临港开发区分公司在生产过程中印刷油墨及辅料挥发产生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OCs</w:t>
      </w:r>
      <w:r>
        <w:rPr>
          <w:color w:val="000000"/>
          <w:spacing w:val="0"/>
          <w:w w:val="100"/>
          <w:position w:val="0"/>
        </w:rPr>
        <w:t>废气，经收集设施集中收集后排入</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OCs</w:t>
      </w:r>
      <w:r>
        <w:rPr>
          <w:color w:val="000000"/>
          <w:spacing w:val="0"/>
          <w:w w:val="100"/>
          <w:position w:val="0"/>
        </w:rPr>
        <w:t>废 气处理设备，经水喷淋/光氧催化/高温燃烧工艺处理后经</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米高排气筒达标排放大气。</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建设项目环境影响评价及其他环境保护行政许可情况</w:t>
      </w:r>
    </w:p>
    <w:p>
      <w:pPr>
        <w:pStyle w:val="Style18"/>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所有生产项目建设前均按要求编制了环境影响评价报告，并向环保部门申报，获得环境影响评价批复后方开工建设； 项目建设完成具备生产条件后，按照要求编制环境影响验收报告，并向环保部门申报，获得环境影响评价验收批复后方可正 式生产。</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突发环境事件应急预案</w:t>
      </w:r>
    </w:p>
    <w:p>
      <w:pPr>
        <w:pStyle w:val="Style18"/>
        <w:keepNext w:val="0"/>
        <w:keepLines w:val="0"/>
        <w:widowControl w:val="0"/>
        <w:shd w:val="clear" w:color="auto" w:fill="auto"/>
        <w:bidi w:val="0"/>
        <w:spacing w:before="0" w:after="0" w:line="309" w:lineRule="exact"/>
        <w:ind w:left="0" w:right="0" w:firstLine="380"/>
        <w:jc w:val="both"/>
      </w:pPr>
      <w:r>
        <w:rPr>
          <w:color w:val="000000"/>
          <w:spacing w:val="0"/>
          <w:w w:val="100"/>
          <w:position w:val="0"/>
        </w:rPr>
        <w:t>根据《中华人民共和国突发事件应对法》、《突发环境事件应急管理办法》及其它相关法律、法规的要求，定期组织相 关部门编制《东港股份有限公司济南临港开发区分公司突发环境事件应急预案》。最新版的预案编制完成后，组织环保专家 进行了评审，通过后向所在地环保部门进行了备案，于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 xml:space="preserve">日获得济南市生态环境局备案批复，备案编号 </w:t>
      </w:r>
      <w:r>
        <w:rPr>
          <w:rFonts w:ascii="Times New Roman" w:eastAsia="Times New Roman" w:hAnsi="Times New Roman" w:cs="Times New Roman"/>
          <w:color w:val="000000"/>
          <w:spacing w:val="0"/>
          <w:w w:val="100"/>
          <w:position w:val="0"/>
          <w:sz w:val="18"/>
          <w:szCs w:val="18"/>
        </w:rPr>
        <w:t>370101-2021-006-L</w:t>
      </w:r>
      <w:r>
        <w:rPr>
          <w:color w:val="000000"/>
          <w:spacing w:val="0"/>
          <w:w w:val="100"/>
          <w:position w:val="0"/>
        </w:rPr>
        <w:t>。</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环境自行监测方案</w:t>
      </w:r>
    </w:p>
    <w:p>
      <w:pPr>
        <w:pStyle w:val="Style18"/>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我公司根据《企业事业单位环境信息公开办法》、《国家重点监控企业自行监测及信息公开办法（试行）》和《排污单 位自行监测技术指南》的规定，每年编制《山东省排污单位自行监测方案》，详细规定了各类污染物的监测内容、监测频次、 执行标准及监测方法等信息，该方案经所在地环保部门批准后实施。报告期内，已按照监测方案实施。</w:t>
      </w:r>
    </w:p>
    <w:p>
      <w:pPr>
        <w:pStyle w:val="Style18"/>
        <w:keepNext w:val="0"/>
        <w:keepLines w:val="0"/>
        <w:widowControl w:val="0"/>
        <w:shd w:val="clear" w:color="auto" w:fill="auto"/>
        <w:bidi w:val="0"/>
        <w:spacing w:before="0" w:after="80" w:line="312" w:lineRule="exact"/>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公司或子公司名称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处罚原因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违规情形</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处罚结果</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对上市公司生产经 营的影响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其他应当公开的环境信息</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在报告期内为减少其碳排放所采取的措施及效果</w:t>
      </w:r>
    </w:p>
    <w:p>
      <w:pPr>
        <w:pStyle w:val="Style1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60" w:line="240" w:lineRule="auto"/>
        <w:ind w:left="0" w:right="0" w:firstLine="0"/>
        <w:jc w:val="left"/>
      </w:pPr>
      <w:bookmarkStart w:id="377" w:name="bookmark377"/>
      <w:bookmarkStart w:id="378" w:name="bookmark378"/>
      <w:bookmarkStart w:id="379" w:name="bookmark379"/>
      <w:bookmarkStart w:id="380" w:name="bookmark380"/>
      <w:r>
        <w:rPr>
          <w:color w:val="000000"/>
          <w:spacing w:val="0"/>
          <w:w w:val="100"/>
          <w:position w:val="0"/>
        </w:rPr>
        <w:t>二</w:t>
      </w:r>
      <w:bookmarkEnd w:id="379"/>
      <w:r>
        <w:rPr>
          <w:color w:val="000000"/>
          <w:spacing w:val="0"/>
          <w:w w:val="100"/>
          <w:position w:val="0"/>
        </w:rPr>
        <w:t>、社会责任情况</w:t>
      </w:r>
      <w:bookmarkEnd w:id="377"/>
      <w:bookmarkEnd w:id="378"/>
      <w:bookmarkEnd w:id="380"/>
    </w:p>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公司历来重视企业社会价值的实现，为客户和消费者提供优质的产品和服务，努力创造利润并分红，积极纳税，重视员 工和供应商的权益保护，与经营环境和谐共生，饯行企业社会责任。</w:t>
      </w:r>
    </w:p>
    <w:p>
      <w:pPr>
        <w:pStyle w:val="Style18"/>
        <w:keepNext w:val="0"/>
        <w:keepLines w:val="0"/>
        <w:widowControl w:val="0"/>
        <w:shd w:val="clear" w:color="auto" w:fill="auto"/>
        <w:tabs>
          <w:tab w:pos="881" w:val="left"/>
        </w:tabs>
        <w:bidi w:val="0"/>
        <w:spacing w:before="0" w:after="0" w:line="312" w:lineRule="exact"/>
        <w:ind w:left="0" w:right="0" w:firstLine="380"/>
        <w:jc w:val="left"/>
      </w:pPr>
      <w:bookmarkStart w:id="381" w:name="bookmark381"/>
      <w:r>
        <w:rPr>
          <w:color w:val="000000"/>
          <w:spacing w:val="0"/>
          <w:w w:val="100"/>
          <w:position w:val="0"/>
        </w:rPr>
        <w:t>（</w:t>
      </w:r>
      <w:bookmarkEnd w:id="381"/>
      <w:r>
        <w:rPr>
          <w:color w:val="000000"/>
          <w:spacing w:val="0"/>
          <w:w w:val="100"/>
          <w:position w:val="0"/>
        </w:rPr>
        <w:t>一）</w:t>
        <w:tab/>
        <w:t>股东权益保护</w:t>
      </w:r>
    </w:p>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公司建立了较为完善的公司治理结构，形成了完整的内控制度，建立了与投资者的互动平台，在机制上保证了对所有股 东的公平、公正、公开，并充分享有法律、法规、规章所规定的各项合法权益。公司严格按照有关法律、法规、《公司章程》 和公司相关制度的要求，及时、真实、准确、完整地进行常规信息披露，确保公司所有股东能够以平等的机会获得公司信息， 保障全体股东的合法权益。同时，公司通过网上路演、投资者电话、投资者关系互动平台等多种方式与投资者进行沟通交流， 提高了公司的透明度和诚信度。公司重视对投资者的投资回报，在不影响公司正常经营和持续发展的前提下，公司采取积极 的利润分配方案。公司上市以来，连续多年实施了现金分红方案，每年的现金分红比率占合并报表中归属于上市公司股东净 利润的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以上。</w:t>
      </w:r>
    </w:p>
    <w:p>
      <w:pPr>
        <w:pStyle w:val="Style18"/>
        <w:keepNext w:val="0"/>
        <w:keepLines w:val="0"/>
        <w:widowControl w:val="0"/>
        <w:shd w:val="clear" w:color="auto" w:fill="auto"/>
        <w:tabs>
          <w:tab w:pos="881" w:val="left"/>
        </w:tabs>
        <w:bidi w:val="0"/>
        <w:spacing w:before="0" w:after="0" w:line="312" w:lineRule="exact"/>
        <w:ind w:left="0" w:right="0" w:firstLine="380"/>
        <w:jc w:val="left"/>
      </w:pPr>
      <w:bookmarkStart w:id="382" w:name="bookmark382"/>
      <w:r>
        <w:rPr>
          <w:color w:val="000000"/>
          <w:spacing w:val="0"/>
          <w:w w:val="100"/>
          <w:position w:val="0"/>
        </w:rPr>
        <w:t>（</w:t>
      </w:r>
      <w:bookmarkEnd w:id="382"/>
      <w:r>
        <w:rPr>
          <w:color w:val="000000"/>
          <w:spacing w:val="0"/>
          <w:w w:val="100"/>
          <w:position w:val="0"/>
        </w:rPr>
        <w:t>二）</w:t>
        <w:tab/>
        <w:t>重视员工权益</w:t>
      </w:r>
    </w:p>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公司始终秉承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以人为本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的管理理念，重视员工的利益和发展诉求。公司建立了 </w:t>
      </w:r>
      <w:r>
        <w:rPr>
          <w:rFonts w:ascii="Times New Roman" w:eastAsia="Times New Roman" w:hAnsi="Times New Roman" w:cs="Times New Roman"/>
          <w:color w:val="000000"/>
          <w:spacing w:val="0"/>
          <w:w w:val="100"/>
          <w:position w:val="0"/>
          <w:sz w:val="18"/>
          <w:szCs w:val="18"/>
        </w:rPr>
        <w:t>GB/T28001-200</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职业安全健康管理体系， 并严格按照体系要求运行。公司严格遵守《劳动法》、《劳动合同法》、《妇女权益保护法》等相关法律法规，尊重和维护 员工的个人权益，切实关注员工健康、安全和满意度。公司依法与员工签订劳动合同，明确劳工关系；为员工参加和缴纳各 项社会保险，保障员工依法享受社会保障待遇；定期安排员工进行体检，定期组织文体活动，以期达到关心全体员工身心健 康的目的。</w:t>
      </w:r>
    </w:p>
    <w:p>
      <w:pPr>
        <w:pStyle w:val="Style18"/>
        <w:keepNext w:val="0"/>
        <w:keepLines w:val="0"/>
        <w:widowControl w:val="0"/>
        <w:shd w:val="clear" w:color="auto" w:fill="auto"/>
        <w:bidi w:val="0"/>
        <w:spacing w:before="0" w:after="0" w:line="312" w:lineRule="exact"/>
        <w:ind w:left="0" w:right="0" w:firstLine="240"/>
        <w:jc w:val="left"/>
      </w:pPr>
      <w:bookmarkStart w:id="383" w:name="bookmark383"/>
      <w:r>
        <w:rPr>
          <w:color w:val="000000"/>
          <w:spacing w:val="0"/>
          <w:w w:val="100"/>
          <w:position w:val="0"/>
        </w:rPr>
        <w:t>（</w:t>
      </w:r>
      <w:bookmarkEnd w:id="383"/>
      <w:r>
        <w:rPr>
          <w:color w:val="000000"/>
          <w:spacing w:val="0"/>
          <w:w w:val="100"/>
          <w:position w:val="0"/>
        </w:rPr>
        <w:t>三）重视供应商和客户权益，和谐共赢</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公司一直遵循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平等、互利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的原则，积极构建和发展与供应商、客户的战略合作伙伴关系，注重与各相关方的沟通与协 调，共同构筑信任与合作的平台，切实履行公司对供应商、对客户的社会责任。公司已连续多年获得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守合同、重信用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 称号。</w:t>
      </w:r>
    </w:p>
    <w:p>
      <w:pPr>
        <w:pStyle w:val="Style18"/>
        <w:keepNext w:val="0"/>
        <w:keepLines w:val="0"/>
        <w:widowControl w:val="0"/>
        <w:shd w:val="clear" w:color="auto" w:fill="auto"/>
        <w:bidi w:val="0"/>
        <w:spacing w:before="0" w:after="0" w:line="312" w:lineRule="exact"/>
        <w:ind w:left="0" w:right="0" w:firstLine="380"/>
        <w:jc w:val="both"/>
      </w:pPr>
      <w:bookmarkStart w:id="384" w:name="bookmark384"/>
      <w:r>
        <w:rPr>
          <w:color w:val="000000"/>
          <w:spacing w:val="0"/>
          <w:w w:val="100"/>
          <w:position w:val="0"/>
        </w:rPr>
        <w:t>（</w:t>
      </w:r>
      <w:bookmarkEnd w:id="384"/>
      <w:r>
        <w:rPr>
          <w:color w:val="000000"/>
          <w:spacing w:val="0"/>
          <w:w w:val="100"/>
          <w:position w:val="0"/>
        </w:rPr>
        <w:t>四）安全生产及环境保护</w:t>
      </w:r>
    </w:p>
    <w:p>
      <w:pPr>
        <w:pStyle w:val="Style18"/>
        <w:keepNext w:val="0"/>
        <w:keepLines w:val="0"/>
        <w:widowControl w:val="0"/>
        <w:shd w:val="clear" w:color="auto" w:fill="auto"/>
        <w:bidi w:val="0"/>
        <w:spacing w:before="0" w:after="380" w:line="307" w:lineRule="exact"/>
        <w:ind w:left="0" w:right="0" w:firstLine="380"/>
        <w:jc w:val="both"/>
      </w:pPr>
      <w:r>
        <w:rPr>
          <w:color w:val="000000"/>
          <w:spacing w:val="0"/>
          <w:w w:val="100"/>
          <w:position w:val="0"/>
        </w:rPr>
        <w:t>公司高度重视安全生产，公司建立健全了安全生产责任制度，加强对员工的安全生产培训，并严格监督，多年来未发生 重大安全事故。公司严格执行</w:t>
      </w:r>
      <w:r>
        <w:rPr>
          <w:rFonts w:ascii="Times New Roman" w:eastAsia="Times New Roman" w:hAnsi="Times New Roman" w:cs="Times New Roman"/>
          <w:color w:val="000000"/>
          <w:spacing w:val="0"/>
          <w:w w:val="100"/>
          <w:position w:val="0"/>
          <w:sz w:val="18"/>
          <w:szCs w:val="18"/>
        </w:rPr>
        <w:t>ISO14001</w:t>
      </w:r>
      <w:r>
        <w:rPr>
          <w:color w:val="000000"/>
          <w:spacing w:val="0"/>
          <w:w w:val="100"/>
          <w:position w:val="0"/>
        </w:rPr>
        <w:t xml:space="preserve">环境管理体系，将环境保护、节能减排工作纳入重要议事日程。公司努力按照有关 </w:t>
      </w:r>
      <w:r>
        <w:rPr>
          <w:color w:val="000000"/>
          <w:spacing w:val="0"/>
          <w:w w:val="100"/>
          <w:position w:val="0"/>
        </w:rPr>
        <w:t>环保法规及相应标准对废水、废气、废渣进行有效综合治理，积极饯行企业环保责任。</w:t>
      </w:r>
    </w:p>
    <w:p>
      <w:pPr>
        <w:pStyle w:val="Style23"/>
        <w:keepNext/>
        <w:keepLines/>
        <w:widowControl w:val="0"/>
        <w:shd w:val="clear" w:color="auto" w:fill="auto"/>
        <w:bidi w:val="0"/>
        <w:spacing w:before="0" w:after="380" w:line="240" w:lineRule="auto"/>
        <w:ind w:left="0" w:right="0" w:firstLine="0"/>
        <w:jc w:val="left"/>
      </w:pPr>
      <w:bookmarkStart w:id="385" w:name="bookmark385"/>
      <w:bookmarkStart w:id="386" w:name="bookmark386"/>
      <w:bookmarkStart w:id="387" w:name="bookmark387"/>
      <w:bookmarkStart w:id="388" w:name="bookmark388"/>
      <w:r>
        <w:rPr>
          <w:color w:val="000000"/>
          <w:spacing w:val="0"/>
          <w:w w:val="100"/>
          <w:position w:val="0"/>
        </w:rPr>
        <w:t>三</w:t>
      </w:r>
      <w:bookmarkEnd w:id="387"/>
      <w:r>
        <w:rPr>
          <w:color w:val="000000"/>
          <w:spacing w:val="0"/>
          <w:w w:val="100"/>
          <w:position w:val="0"/>
        </w:rPr>
        <w:t>、巩固拓展脱贫攻坚成果、乡村振兴的情况</w:t>
      </w:r>
      <w:bookmarkEnd w:id="385"/>
      <w:bookmarkEnd w:id="386"/>
      <w:bookmarkEnd w:id="388"/>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r>
        <w:br w:type="page"/>
      </w:r>
    </w:p>
    <w:p>
      <w:pPr>
        <w:pStyle w:val="Style10"/>
        <w:keepNext/>
        <w:keepLines/>
        <w:widowControl w:val="0"/>
        <w:shd w:val="clear" w:color="auto" w:fill="auto"/>
        <w:bidi w:val="0"/>
        <w:spacing w:before="0" w:after="580" w:line="240" w:lineRule="auto"/>
        <w:ind w:left="0" w:right="0" w:firstLine="0"/>
        <w:jc w:val="center"/>
      </w:pPr>
      <w:bookmarkStart w:id="389" w:name="bookmark389"/>
      <w:bookmarkStart w:id="390" w:name="bookmark390"/>
      <w:bookmarkStart w:id="391" w:name="bookmark391"/>
      <w:r>
        <w:rPr>
          <w:color w:val="000000"/>
          <w:spacing w:val="0"/>
          <w:w w:val="100"/>
          <w:position w:val="0"/>
        </w:rPr>
        <w:t>第六节重要事项</w:t>
      </w:r>
      <w:bookmarkEnd w:id="389"/>
      <w:bookmarkEnd w:id="390"/>
      <w:bookmarkEnd w:id="391"/>
    </w:p>
    <w:p>
      <w:pPr>
        <w:pStyle w:val="Style23"/>
        <w:keepNext/>
        <w:keepLines/>
        <w:widowControl w:val="0"/>
        <w:shd w:val="clear" w:color="auto" w:fill="auto"/>
        <w:bidi w:val="0"/>
        <w:spacing w:before="0" w:after="260" w:line="240" w:lineRule="auto"/>
        <w:ind w:left="0" w:right="0" w:firstLine="0"/>
        <w:jc w:val="left"/>
      </w:pPr>
      <w:bookmarkStart w:id="392" w:name="bookmark392"/>
      <w:bookmarkStart w:id="393" w:name="bookmark393"/>
      <w:bookmarkStart w:id="394" w:name="bookmark394"/>
      <w:bookmarkStart w:id="395" w:name="bookmark395"/>
      <w:bookmarkStart w:id="396" w:name="bookmark396"/>
      <w:r>
        <w:rPr>
          <w:color w:val="000000"/>
          <w:spacing w:val="0"/>
          <w:w w:val="100"/>
          <w:position w:val="0"/>
        </w:rPr>
        <w:t>一</w:t>
      </w:r>
      <w:bookmarkEnd w:id="395"/>
      <w:r>
        <w:rPr>
          <w:color w:val="000000"/>
          <w:spacing w:val="0"/>
          <w:w w:val="100"/>
          <w:position w:val="0"/>
        </w:rPr>
        <w:t>、承诺事项履行情况</w:t>
      </w:r>
      <w:bookmarkEnd w:id="393"/>
      <w:bookmarkEnd w:id="394"/>
      <w:bookmarkEnd w:id="396"/>
      <w:bookmarkEnd w:id="392"/>
    </w:p>
    <w:p>
      <w:pPr>
        <w:pStyle w:val="Style32"/>
        <w:keepNext/>
        <w:keepLines/>
        <w:widowControl w:val="0"/>
        <w:shd w:val="clear" w:color="auto" w:fill="auto"/>
        <w:bidi w:val="0"/>
        <w:spacing w:before="0" w:after="340" w:line="326" w:lineRule="exact"/>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1</w:t>
      </w:r>
      <w:bookmarkEnd w:id="399"/>
      <w:r>
        <w:rPr>
          <w:color w:val="000000"/>
          <w:spacing w:val="0"/>
          <w:w w:val="100"/>
          <w:position w:val="0"/>
        </w:rPr>
        <w:t>、公司实际控制人、股东、关联方、收购人以及公司等承诺相关方在报告期内履行完毕及截至报告期末 尚未履行完毕的承诺事项</w:t>
      </w:r>
      <w:bookmarkEnd w:id="397"/>
      <w:bookmarkEnd w:id="398"/>
      <w:bookmarkEnd w:id="400"/>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6"/>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履行情况</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收购报告书或权益变动报告书中所</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8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首次公开发行或再融资时所作承诺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IPO</w:t>
            </w:r>
            <w:r>
              <w:rPr>
                <w:rFonts w:ascii="SimSun" w:eastAsia="SimSun" w:hAnsi="SimSun" w:cs="SimSun"/>
                <w:color w:val="000000"/>
                <w:spacing w:val="0"/>
                <w:w w:val="100"/>
                <w:position w:val="0"/>
                <w:sz w:val="17"/>
                <w:szCs w:val="17"/>
              </w:rPr>
              <w:t>前的发起 人股东</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避免同业竞</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、本公司目 前并未以任 何方式直接 或间接从事 与东港股份 公司相竞争 的业务；</w:t>
            </w: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 本公司目前 并未拥有从 事与东港股 份可能产生 同业竞争企 业（以下简称 </w:t>
            </w:r>
            <w:r>
              <w:rPr>
                <w:color w:val="000000"/>
                <w:spacing w:val="0"/>
                <w:w w:val="100"/>
                <w:position w:val="0"/>
                <w:sz w:val="18"/>
                <w:szCs w:val="18"/>
              </w:rPr>
              <w:t>"</w:t>
            </w:r>
            <w:r>
              <w:rPr>
                <w:rFonts w:ascii="SimSun" w:eastAsia="SimSun" w:hAnsi="SimSun" w:cs="SimSun"/>
                <w:color w:val="000000"/>
                <w:spacing w:val="0"/>
                <w:w w:val="100"/>
                <w:position w:val="0"/>
                <w:sz w:val="17"/>
                <w:szCs w:val="17"/>
              </w:rPr>
              <w:t>竞争企业</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 的任何股份、 股权或在任 何竞争企业 有任何利益； </w:t>
            </w:r>
            <w:r>
              <w:rPr>
                <w:color w:val="000000"/>
                <w:spacing w:val="0"/>
                <w:w w:val="100"/>
                <w:position w:val="0"/>
                <w:sz w:val="18"/>
                <w:szCs w:val="18"/>
              </w:rPr>
              <w:t>3</w:t>
            </w:r>
            <w:r>
              <w:rPr>
                <w:rFonts w:ascii="SimSun" w:eastAsia="SimSun" w:hAnsi="SimSun" w:cs="SimSun"/>
                <w:color w:val="000000"/>
                <w:spacing w:val="0"/>
                <w:w w:val="100"/>
                <w:position w:val="0"/>
                <w:sz w:val="17"/>
                <w:szCs w:val="17"/>
              </w:rPr>
              <w:t>、本公司将 来不会以任 何方式直接 从事与东港 股份相竞争 的业务；本公 司将来不会 直接投资、收 购竞争企业，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2007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w:t>
            </w:r>
          </w:p>
        </w:tc>
      </w:tr>
    </w:tbl>
    <w:p>
      <w:pPr>
        <w:widowControl w:val="0"/>
        <w:spacing w:line="1" w:lineRule="exact"/>
      </w:pPr>
    </w:p>
    <w:tbl>
      <w:tblPr>
        <w:tblOverlap w:val="never"/>
        <w:jc w:val="center"/>
        <w:tblLayout w:type="fixed"/>
      </w:tblPr>
      <w:tblGrid>
        <w:gridCol w:w="2846"/>
        <w:gridCol w:w="1123"/>
        <w:gridCol w:w="1128"/>
        <w:gridCol w:w="1123"/>
        <w:gridCol w:w="1128"/>
        <w:gridCol w:w="1118"/>
        <w:gridCol w:w="1118"/>
      </w:tblGrid>
      <w:tr>
        <w:trPr>
          <w:trHeight w:val="317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亦不会以任 何方式为竞 争企业提供 任何业务上 的帮助；</w:t>
            </w:r>
            <w:r>
              <w:rPr>
                <w:color w:val="000000"/>
                <w:spacing w:val="0"/>
                <w:w w:val="100"/>
                <w:position w:val="0"/>
                <w:sz w:val="18"/>
                <w:szCs w:val="18"/>
              </w:rPr>
              <w:t>4</w:t>
            </w:r>
            <w:r>
              <w:rPr>
                <w:rFonts w:ascii="SimSun" w:eastAsia="SimSun" w:hAnsi="SimSun" w:cs="SimSun"/>
                <w:color w:val="000000"/>
                <w:spacing w:val="0"/>
                <w:w w:val="100"/>
                <w:position w:val="0"/>
                <w:sz w:val="17"/>
                <w:szCs w:val="17"/>
              </w:rPr>
              <w:t>、 本公司确认 上述承诺适 用于本公司 具有控制权 的关联公司。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承诺是否按时履行</w:t>
            </w:r>
          </w:p>
        </w:tc>
        <w:tc>
          <w:tcPr>
            <w:gridSpan w:val="6"/>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239" w:line="1" w:lineRule="exact"/>
      </w:pPr>
    </w:p>
    <w:p>
      <w:pPr>
        <w:pStyle w:val="Style32"/>
        <w:keepNext/>
        <w:keepLines/>
        <w:widowControl w:val="0"/>
        <w:shd w:val="clear" w:color="auto" w:fill="auto"/>
        <w:bidi w:val="0"/>
        <w:spacing w:before="0" w:line="322" w:lineRule="exact"/>
        <w:ind w:left="0" w:right="0" w:firstLine="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2</w:t>
      </w:r>
      <w:bookmarkEnd w:id="403"/>
      <w:r>
        <w:rPr>
          <w:color w:val="000000"/>
          <w:spacing w:val="0"/>
          <w:w w:val="100"/>
          <w:position w:val="0"/>
        </w:rPr>
        <w:t>、公司资产或项目存在盈利预测，且报告期仍处在盈利预测期间，公司就资产或项目达到原盈利预测及 其原因做出说明</w:t>
      </w:r>
      <w:bookmarkEnd w:id="401"/>
      <w:bookmarkEnd w:id="402"/>
      <w:bookmarkEnd w:id="404"/>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380" w:line="240" w:lineRule="auto"/>
        <w:ind w:left="0" w:right="0" w:firstLine="0"/>
        <w:jc w:val="left"/>
      </w:pPr>
      <w:bookmarkStart w:id="405" w:name="bookmark405"/>
      <w:bookmarkStart w:id="406" w:name="bookmark406"/>
      <w:bookmarkStart w:id="407" w:name="bookmark407"/>
      <w:bookmarkStart w:id="408" w:name="bookmark408"/>
      <w:r>
        <w:rPr>
          <w:color w:val="000000"/>
          <w:spacing w:val="0"/>
          <w:w w:val="100"/>
          <w:position w:val="0"/>
        </w:rPr>
        <w:t>二</w:t>
      </w:r>
      <w:bookmarkEnd w:id="407"/>
      <w:r>
        <w:rPr>
          <w:color w:val="000000"/>
          <w:spacing w:val="0"/>
          <w:w w:val="100"/>
          <w:position w:val="0"/>
        </w:rPr>
        <w:t>、</w:t>
        <w:tab/>
        <w:t>控股股东及其他关联方对上市公司的非经营性占用资金情况</w:t>
      </w:r>
      <w:bookmarkEnd w:id="405"/>
      <w:bookmarkEnd w:id="406"/>
      <w:bookmarkEnd w:id="408"/>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3"/>
        <w:keepNext/>
        <w:keepLines/>
        <w:widowControl w:val="0"/>
        <w:shd w:val="clear" w:color="auto" w:fill="auto"/>
        <w:tabs>
          <w:tab w:pos="522" w:val="left"/>
        </w:tabs>
        <w:bidi w:val="0"/>
        <w:spacing w:before="0" w:after="380" w:line="240" w:lineRule="auto"/>
        <w:ind w:left="0" w:right="0" w:firstLine="0"/>
        <w:jc w:val="left"/>
      </w:pPr>
      <w:bookmarkStart w:id="409" w:name="bookmark409"/>
      <w:bookmarkStart w:id="410" w:name="bookmark410"/>
      <w:bookmarkStart w:id="411" w:name="bookmark411"/>
      <w:bookmarkStart w:id="412" w:name="bookmark412"/>
      <w:r>
        <w:rPr>
          <w:color w:val="000000"/>
          <w:spacing w:val="0"/>
          <w:w w:val="100"/>
          <w:position w:val="0"/>
        </w:rPr>
        <w:t>三</w:t>
      </w:r>
      <w:bookmarkEnd w:id="411"/>
      <w:r>
        <w:rPr>
          <w:color w:val="000000"/>
          <w:spacing w:val="0"/>
          <w:w w:val="100"/>
          <w:position w:val="0"/>
        </w:rPr>
        <w:t>、</w:t>
        <w:tab/>
        <w:t>违规对外担保情况</w:t>
      </w:r>
      <w:bookmarkEnd w:id="409"/>
      <w:bookmarkEnd w:id="410"/>
      <w:bookmarkEnd w:id="412"/>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23"/>
        <w:keepNext/>
        <w:keepLines/>
        <w:widowControl w:val="0"/>
        <w:shd w:val="clear" w:color="auto" w:fill="auto"/>
        <w:tabs>
          <w:tab w:pos="522" w:val="left"/>
        </w:tabs>
        <w:bidi w:val="0"/>
        <w:spacing w:before="0" w:after="380" w:line="240" w:lineRule="auto"/>
        <w:ind w:left="0" w:right="0" w:firstLine="0"/>
        <w:jc w:val="left"/>
      </w:pPr>
      <w:bookmarkStart w:id="413" w:name="bookmark413"/>
      <w:bookmarkStart w:id="414" w:name="bookmark414"/>
      <w:bookmarkStart w:id="415" w:name="bookmark415"/>
      <w:bookmarkStart w:id="416" w:name="bookmark416"/>
      <w:r>
        <w:rPr>
          <w:color w:val="000000"/>
          <w:spacing w:val="0"/>
          <w:w w:val="100"/>
          <w:position w:val="0"/>
        </w:rPr>
        <w:t>四</w:t>
      </w:r>
      <w:bookmarkEnd w:id="415"/>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13"/>
      <w:bookmarkEnd w:id="414"/>
      <w:bookmarkEnd w:id="416"/>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22" w:val="left"/>
        </w:tabs>
        <w:bidi w:val="0"/>
        <w:spacing w:before="0" w:after="380" w:line="240" w:lineRule="auto"/>
        <w:ind w:left="0" w:right="0" w:firstLine="0"/>
        <w:jc w:val="left"/>
      </w:pPr>
      <w:bookmarkStart w:id="417" w:name="bookmark417"/>
      <w:bookmarkStart w:id="418" w:name="bookmark418"/>
      <w:bookmarkStart w:id="419" w:name="bookmark419"/>
      <w:bookmarkStart w:id="420" w:name="bookmark420"/>
      <w:r>
        <w:rPr>
          <w:color w:val="000000"/>
          <w:spacing w:val="0"/>
          <w:w w:val="100"/>
          <w:position w:val="0"/>
        </w:rPr>
        <w:t>五</w:t>
      </w:r>
      <w:bookmarkEnd w:id="419"/>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17"/>
      <w:bookmarkEnd w:id="418"/>
      <w:bookmarkEnd w:id="420"/>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3"/>
        <w:keepNext/>
        <w:keepLines/>
        <w:widowControl w:val="0"/>
        <w:shd w:val="clear" w:color="auto" w:fill="auto"/>
        <w:tabs>
          <w:tab w:pos="522" w:val="left"/>
        </w:tabs>
        <w:bidi w:val="0"/>
        <w:spacing w:before="0" w:after="380" w:line="240" w:lineRule="auto"/>
        <w:ind w:left="0" w:right="0" w:firstLine="0"/>
        <w:jc w:val="left"/>
      </w:pPr>
      <w:bookmarkStart w:id="421" w:name="bookmark421"/>
      <w:bookmarkStart w:id="422" w:name="bookmark422"/>
      <w:bookmarkStart w:id="423" w:name="bookmark423"/>
      <w:bookmarkStart w:id="424" w:name="bookmark424"/>
      <w:r>
        <w:rPr>
          <w:color w:val="000000"/>
          <w:spacing w:val="0"/>
          <w:w w:val="100"/>
          <w:position w:val="0"/>
        </w:rPr>
        <w:t>六</w:t>
      </w:r>
      <w:bookmarkEnd w:id="423"/>
      <w:r>
        <w:rPr>
          <w:color w:val="000000"/>
          <w:spacing w:val="0"/>
          <w:w w:val="100"/>
          <w:position w:val="0"/>
        </w:rPr>
        <w:t>、</w:t>
        <w:tab/>
        <w:t>与上年度财务报告相比，会计政策、会计估计变更或重大会计差错更正的情况说明</w:t>
      </w:r>
      <w:bookmarkEnd w:id="421"/>
      <w:bookmarkEnd w:id="422"/>
      <w:bookmarkEnd w:id="424"/>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不适用 </w:t>
      </w:r>
      <w:r>
        <w:rPr>
          <w:color w:val="000000"/>
          <w:spacing w:val="0"/>
          <w:w w:val="100"/>
          <w:position w:val="0"/>
        </w:rPr>
        <w:t>公司报告期无会计政策、会计估计变更或重大会计差错更正的情况。</w:t>
      </w:r>
    </w:p>
    <w:p>
      <w:pPr>
        <w:pStyle w:val="Style23"/>
        <w:keepNext/>
        <w:keepLines/>
        <w:widowControl w:val="0"/>
        <w:shd w:val="clear" w:color="auto" w:fill="auto"/>
        <w:tabs>
          <w:tab w:pos="522" w:val="left"/>
        </w:tabs>
        <w:bidi w:val="0"/>
        <w:spacing w:before="0" w:line="240" w:lineRule="auto"/>
        <w:ind w:left="0" w:right="0" w:firstLine="0"/>
        <w:jc w:val="left"/>
      </w:pPr>
      <w:bookmarkStart w:id="425" w:name="bookmark425"/>
      <w:bookmarkStart w:id="426" w:name="bookmark426"/>
      <w:bookmarkStart w:id="427" w:name="bookmark427"/>
      <w:bookmarkStart w:id="428" w:name="bookmark428"/>
      <w:r>
        <w:rPr>
          <w:color w:val="000000"/>
          <w:spacing w:val="0"/>
          <w:w w:val="100"/>
          <w:position w:val="0"/>
        </w:rPr>
        <w:t>七</w:t>
      </w:r>
      <w:bookmarkEnd w:id="427"/>
      <w:r>
        <w:rPr>
          <w:color w:val="000000"/>
          <w:spacing w:val="0"/>
          <w:w w:val="100"/>
          <w:position w:val="0"/>
        </w:rPr>
        <w:t>、</w:t>
        <w:tab/>
        <w:t>与上年度财务报告相比，合并报表范围发生变化的情况说明</w:t>
      </w:r>
      <w:bookmarkEnd w:id="425"/>
      <w:bookmarkEnd w:id="426"/>
      <w:bookmarkEnd w:id="428"/>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公司报告期无合并报表范围发生变化的情况。</w:t>
      </w:r>
    </w:p>
    <w:p>
      <w:pPr>
        <w:pStyle w:val="Style23"/>
        <w:keepNext/>
        <w:keepLines/>
        <w:widowControl w:val="0"/>
        <w:shd w:val="clear" w:color="auto" w:fill="auto"/>
        <w:tabs>
          <w:tab w:pos="522" w:val="left"/>
        </w:tabs>
        <w:bidi w:val="0"/>
        <w:spacing w:before="0" w:line="240" w:lineRule="auto"/>
        <w:ind w:left="0" w:right="0" w:firstLine="0"/>
        <w:jc w:val="left"/>
      </w:pPr>
      <w:bookmarkStart w:id="429" w:name="bookmark429"/>
      <w:bookmarkStart w:id="430" w:name="bookmark430"/>
      <w:bookmarkStart w:id="431" w:name="bookmark431"/>
      <w:bookmarkStart w:id="432" w:name="bookmark432"/>
      <w:r>
        <w:rPr>
          <w:color w:val="000000"/>
          <w:spacing w:val="0"/>
          <w:w w:val="100"/>
          <w:position w:val="0"/>
        </w:rPr>
        <w:t>八</w:t>
      </w:r>
      <w:bookmarkEnd w:id="431"/>
      <w:r>
        <w:rPr>
          <w:color w:val="000000"/>
          <w:spacing w:val="0"/>
          <w:w w:val="100"/>
          <w:position w:val="0"/>
        </w:rPr>
        <w:t>、</w:t>
        <w:tab/>
        <w:t>聘任、解聘会计师事务所情况</w:t>
      </w:r>
      <w:bookmarkEnd w:id="429"/>
      <w:bookmarkEnd w:id="430"/>
      <w:bookmarkEnd w:id="432"/>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信永中和会计师事务所（特殊普通合伙）</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660" w:right="0" w:firstLine="0"/>
              <w:jc w:val="left"/>
            </w:pPr>
            <w:r>
              <w:rPr>
                <w:color w:val="000000"/>
                <w:spacing w:val="0"/>
                <w:w w:val="100"/>
                <w:position w:val="0"/>
              </w:rPr>
              <w:t>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崔迎，夏瑞</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境内会计师事务所注册会计师审计服务的连续年限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r>
              <w:rPr>
                <w:rFonts w:ascii="SimSun" w:eastAsia="SimSun" w:hAnsi="SimSun" w:cs="SimSun"/>
                <w:color w:val="000000"/>
                <w:spacing w:val="0"/>
                <w:w w:val="100"/>
                <w:position w:val="0"/>
                <w:sz w:val="17"/>
                <w:szCs w:val="17"/>
              </w:rPr>
              <w:t>、</w:t>
            </w:r>
            <w:r>
              <w:rPr>
                <w:color w:val="000000"/>
                <w:spacing w:val="0"/>
                <w:w w:val="100"/>
                <w:position w:val="0"/>
              </w:rPr>
              <w:t>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境外会计师事务所名称（如有）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境外会计师事务所报酬（万元）（如有）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境外会计师事务所审计服务的连续年限（如有）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境外会计师事务所注册会计师姓名（如有）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660" w:right="0" w:firstLine="0"/>
              <w:jc w:val="left"/>
              <w:rPr>
                <w:sz w:val="17"/>
                <w:szCs w:val="17"/>
              </w:rPr>
            </w:pPr>
            <w:r>
              <w:rPr>
                <w:rFonts w:ascii="SimSun" w:eastAsia="SimSun" w:hAnsi="SimSun" w:cs="SimSun"/>
                <w:color w:val="000000"/>
                <w:spacing w:val="0"/>
                <w:w w:val="100"/>
                <w:position w:val="0"/>
                <w:sz w:val="17"/>
                <w:szCs w:val="17"/>
              </w:rPr>
              <w:t>无</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660" w:right="0" w:firstLine="0"/>
              <w:jc w:val="left"/>
            </w:pPr>
            <w:r>
              <w:rPr>
                <w:color w:val="000000"/>
                <w:spacing w:val="0"/>
                <w:w w:val="100"/>
                <w:position w:val="0"/>
              </w:rPr>
              <w:t>0</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433" w:name="bookmark433"/>
      <w:bookmarkStart w:id="434" w:name="bookmark434"/>
      <w:bookmarkStart w:id="435" w:name="bookmark435"/>
      <w:bookmarkStart w:id="436" w:name="bookmark436"/>
      <w:r>
        <w:rPr>
          <w:color w:val="000000"/>
          <w:spacing w:val="0"/>
          <w:w w:val="100"/>
          <w:position w:val="0"/>
        </w:rPr>
        <w:t>九</w:t>
      </w:r>
      <w:bookmarkEnd w:id="435"/>
      <w:r>
        <w:rPr>
          <w:color w:val="000000"/>
          <w:spacing w:val="0"/>
          <w:w w:val="100"/>
          <w:position w:val="0"/>
        </w:rPr>
        <w:t>、年度报告披露后面临退市情况</w:t>
      </w:r>
      <w:bookmarkEnd w:id="433"/>
      <w:bookmarkEnd w:id="434"/>
      <w:bookmarkEnd w:id="436"/>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437" w:name="bookmark437"/>
      <w:bookmarkStart w:id="438" w:name="bookmark438"/>
      <w:bookmarkStart w:id="439" w:name="bookmark439"/>
      <w:r>
        <w:rPr>
          <w:color w:val="000000"/>
          <w:spacing w:val="0"/>
          <w:w w:val="100"/>
          <w:position w:val="0"/>
        </w:rPr>
        <w:t>十、破产重整相关事项</w:t>
      </w:r>
      <w:bookmarkEnd w:id="437"/>
      <w:bookmarkEnd w:id="438"/>
      <w:bookmarkEnd w:id="439"/>
    </w:p>
    <w:p>
      <w:pPr>
        <w:pStyle w:val="Style18"/>
        <w:keepNext w:val="0"/>
        <w:keepLines w:val="0"/>
        <w:widowControl w:val="0"/>
        <w:numPr>
          <w:ilvl w:val="0"/>
          <w:numId w:val="7"/>
        </w:numPr>
        <w:shd w:val="clear" w:color="auto" w:fill="auto"/>
        <w:tabs>
          <w:tab w:pos="282" w:val="left"/>
        </w:tabs>
        <w:bidi w:val="0"/>
        <w:spacing w:before="0" w:after="140" w:line="240" w:lineRule="auto"/>
        <w:ind w:left="0" w:right="0" w:firstLine="0"/>
        <w:jc w:val="left"/>
      </w:pPr>
      <w:bookmarkStart w:id="440" w:name="bookmark440"/>
      <w:bookmarkEnd w:id="44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3"/>
        <w:keepNext/>
        <w:keepLines/>
        <w:widowControl w:val="0"/>
        <w:shd w:val="clear" w:color="auto" w:fill="auto"/>
        <w:bidi w:val="0"/>
        <w:spacing w:before="0" w:line="240" w:lineRule="auto"/>
        <w:ind w:left="0" w:right="0" w:firstLine="0"/>
        <w:jc w:val="left"/>
      </w:pPr>
      <w:bookmarkStart w:id="441" w:name="bookmark441"/>
      <w:bookmarkStart w:id="442" w:name="bookmark442"/>
      <w:bookmarkStart w:id="443" w:name="bookmark443"/>
      <w:r>
        <w:rPr>
          <w:color w:val="000000"/>
          <w:spacing w:val="0"/>
          <w:w w:val="100"/>
          <w:position w:val="0"/>
        </w:rPr>
        <w:t>十一、重大诉讼、仲裁事项</w:t>
      </w:r>
      <w:bookmarkEnd w:id="441"/>
      <w:bookmarkEnd w:id="442"/>
      <w:bookmarkEnd w:id="443"/>
    </w:p>
    <w:p>
      <w:pPr>
        <w:pStyle w:val="Style18"/>
        <w:keepNext w:val="0"/>
        <w:keepLines w:val="0"/>
        <w:widowControl w:val="0"/>
        <w:numPr>
          <w:ilvl w:val="0"/>
          <w:numId w:val="7"/>
        </w:numPr>
        <w:shd w:val="clear" w:color="auto" w:fill="auto"/>
        <w:tabs>
          <w:tab w:pos="282" w:val="left"/>
        </w:tabs>
        <w:bidi w:val="0"/>
        <w:spacing w:before="0" w:after="140" w:line="240" w:lineRule="auto"/>
        <w:ind w:left="0" w:right="0" w:firstLine="0"/>
        <w:jc w:val="left"/>
      </w:pPr>
      <w:bookmarkStart w:id="444" w:name="bookmark444"/>
      <w:bookmarkEnd w:id="44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3"/>
        <w:keepNext/>
        <w:keepLines/>
        <w:widowControl w:val="0"/>
        <w:shd w:val="clear" w:color="auto" w:fill="auto"/>
        <w:bidi w:val="0"/>
        <w:spacing w:before="0" w:after="380" w:line="240" w:lineRule="auto"/>
        <w:ind w:left="0" w:right="0" w:firstLine="0"/>
        <w:jc w:val="both"/>
      </w:pPr>
      <w:bookmarkStart w:id="445" w:name="bookmark445"/>
      <w:bookmarkStart w:id="446" w:name="bookmark446"/>
      <w:bookmarkStart w:id="447" w:name="bookmark447"/>
      <w:r>
        <w:rPr>
          <w:color w:val="000000"/>
          <w:spacing w:val="0"/>
          <w:w w:val="100"/>
          <w:position w:val="0"/>
        </w:rPr>
        <w:t>十二、处罚及整改情况</w:t>
      </w:r>
      <w:bookmarkEnd w:id="445"/>
      <w:bookmarkEnd w:id="446"/>
      <w:bookmarkEnd w:id="447"/>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公司报告期不存在处罚及整改情况。</w:t>
      </w:r>
    </w:p>
    <w:p>
      <w:pPr>
        <w:pStyle w:val="Style23"/>
        <w:keepNext/>
        <w:keepLines/>
        <w:widowControl w:val="0"/>
        <w:shd w:val="clear" w:color="auto" w:fill="auto"/>
        <w:bidi w:val="0"/>
        <w:spacing w:before="0" w:after="380" w:line="240" w:lineRule="auto"/>
        <w:ind w:left="0" w:right="0" w:firstLine="0"/>
        <w:jc w:val="both"/>
      </w:pPr>
      <w:bookmarkStart w:id="448" w:name="bookmark448"/>
      <w:bookmarkStart w:id="449" w:name="bookmark449"/>
      <w:bookmarkStart w:id="450" w:name="bookmark450"/>
      <w:r>
        <w:rPr>
          <w:color w:val="000000"/>
          <w:spacing w:val="0"/>
          <w:w w:val="100"/>
          <w:position w:val="0"/>
        </w:rPr>
        <w:t>十三、公司及其控股股东、实际控制人的诚信状况</w:t>
      </w:r>
      <w:bookmarkEnd w:id="448"/>
      <w:bookmarkEnd w:id="449"/>
      <w:bookmarkEnd w:id="450"/>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both"/>
      </w:pPr>
      <w:bookmarkStart w:id="451" w:name="bookmark451"/>
      <w:bookmarkStart w:id="452" w:name="bookmark452"/>
      <w:bookmarkStart w:id="453" w:name="bookmark453"/>
      <w:r>
        <w:rPr>
          <w:color w:val="000000"/>
          <w:spacing w:val="0"/>
          <w:w w:val="100"/>
          <w:position w:val="0"/>
        </w:rPr>
        <w:t>十四、重大关联交易</w:t>
      </w:r>
      <w:bookmarkEnd w:id="451"/>
      <w:bookmarkEnd w:id="452"/>
      <w:bookmarkEnd w:id="453"/>
    </w:p>
    <w:p>
      <w:pPr>
        <w:pStyle w:val="Style32"/>
        <w:keepNext/>
        <w:keepLines/>
        <w:widowControl w:val="0"/>
        <w:shd w:val="clear" w:color="auto" w:fill="auto"/>
        <w:tabs>
          <w:tab w:pos="368" w:val="left"/>
        </w:tabs>
        <w:bidi w:val="0"/>
        <w:spacing w:before="0" w:line="240" w:lineRule="auto"/>
        <w:ind w:left="0" w:right="0" w:firstLine="0"/>
        <w:jc w:val="both"/>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1</w:t>
      </w:r>
      <w:bookmarkEnd w:id="456"/>
      <w:r>
        <w:rPr>
          <w:color w:val="000000"/>
          <w:spacing w:val="0"/>
          <w:w w:val="100"/>
          <w:position w:val="0"/>
        </w:rPr>
        <w:t>、</w:t>
        <w:tab/>
        <w:t>与日常经营相关的关联交易</w:t>
      </w:r>
      <w:bookmarkEnd w:id="454"/>
      <w:bookmarkEnd w:id="455"/>
      <w:bookmarkEnd w:id="457"/>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公司报告期未发生与日常经营相关的关联交易。</w:t>
      </w:r>
    </w:p>
    <w:p>
      <w:pPr>
        <w:pStyle w:val="Style32"/>
        <w:keepNext/>
        <w:keepLines/>
        <w:widowControl w:val="0"/>
        <w:shd w:val="clear" w:color="auto" w:fill="auto"/>
        <w:tabs>
          <w:tab w:pos="378" w:val="left"/>
        </w:tabs>
        <w:bidi w:val="0"/>
        <w:spacing w:before="0" w:line="240" w:lineRule="auto"/>
        <w:ind w:left="0" w:right="0" w:firstLine="0"/>
        <w:jc w:val="both"/>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2</w:t>
      </w:r>
      <w:bookmarkEnd w:id="460"/>
      <w:r>
        <w:rPr>
          <w:color w:val="000000"/>
          <w:spacing w:val="0"/>
          <w:w w:val="100"/>
          <w:position w:val="0"/>
        </w:rPr>
        <w:t>、</w:t>
        <w:tab/>
        <w:t>资产或股权收购、出售发生的关联交易</w:t>
      </w:r>
      <w:bookmarkEnd w:id="458"/>
      <w:bookmarkEnd w:id="459"/>
      <w:bookmarkEnd w:id="461"/>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公司报告期未发生资产或股权收购、出售的关联交易。</w:t>
      </w:r>
    </w:p>
    <w:p>
      <w:pPr>
        <w:pStyle w:val="Style32"/>
        <w:keepNext/>
        <w:keepLines/>
        <w:widowControl w:val="0"/>
        <w:shd w:val="clear" w:color="auto" w:fill="auto"/>
        <w:tabs>
          <w:tab w:pos="378" w:val="left"/>
        </w:tabs>
        <w:bidi w:val="0"/>
        <w:spacing w:before="0" w:line="240" w:lineRule="auto"/>
        <w:ind w:left="0" w:right="0" w:firstLine="0"/>
        <w:jc w:val="both"/>
      </w:pPr>
      <w:bookmarkStart w:id="462" w:name="bookmark462"/>
      <w:bookmarkStart w:id="463" w:name="bookmark463"/>
      <w:bookmarkStart w:id="464" w:name="bookmark464"/>
      <w:bookmarkStart w:id="465" w:name="bookmark465"/>
      <w:r>
        <w:rPr>
          <w:rFonts w:ascii="Times New Roman" w:eastAsia="Times New Roman" w:hAnsi="Times New Roman" w:cs="Times New Roman"/>
          <w:color w:val="000000"/>
          <w:spacing w:val="0"/>
          <w:w w:val="100"/>
          <w:position w:val="0"/>
        </w:rPr>
        <w:t>3</w:t>
      </w:r>
      <w:bookmarkEnd w:id="464"/>
      <w:r>
        <w:rPr>
          <w:color w:val="000000"/>
          <w:spacing w:val="0"/>
          <w:w w:val="100"/>
          <w:position w:val="0"/>
        </w:rPr>
        <w:t>、</w:t>
        <w:tab/>
        <w:t>共同对外投资的关联交易</w:t>
      </w:r>
      <w:bookmarkEnd w:id="462"/>
      <w:bookmarkEnd w:id="463"/>
      <w:bookmarkEnd w:id="465"/>
    </w:p>
    <w:p>
      <w:pPr>
        <w:pStyle w:val="Style18"/>
        <w:keepNext w:val="0"/>
        <w:keepLines w:val="0"/>
        <w:widowControl w:val="0"/>
        <w:numPr>
          <w:ilvl w:val="0"/>
          <w:numId w:val="7"/>
        </w:numPr>
        <w:shd w:val="clear" w:color="auto" w:fill="auto"/>
        <w:tabs>
          <w:tab w:pos="282" w:val="left"/>
        </w:tabs>
        <w:bidi w:val="0"/>
        <w:spacing w:before="0" w:after="140" w:line="240" w:lineRule="auto"/>
        <w:ind w:left="0" w:right="0" w:firstLine="0"/>
        <w:jc w:val="both"/>
      </w:pPr>
      <w:bookmarkStart w:id="466" w:name="bookmark466"/>
      <w:bookmarkEnd w:id="46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公司报告期未发生共同对外投资的关联交易。</w:t>
      </w:r>
    </w:p>
    <w:p>
      <w:pPr>
        <w:pStyle w:val="Style32"/>
        <w:keepNext/>
        <w:keepLines/>
        <w:widowControl w:val="0"/>
        <w:shd w:val="clear" w:color="auto" w:fill="auto"/>
        <w:tabs>
          <w:tab w:pos="378" w:val="left"/>
        </w:tabs>
        <w:bidi w:val="0"/>
        <w:spacing w:before="0" w:line="240" w:lineRule="auto"/>
        <w:ind w:left="0" w:right="0" w:firstLine="0"/>
        <w:jc w:val="both"/>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4</w:t>
      </w:r>
      <w:bookmarkEnd w:id="469"/>
      <w:r>
        <w:rPr>
          <w:color w:val="000000"/>
          <w:spacing w:val="0"/>
          <w:w w:val="100"/>
          <w:position w:val="0"/>
        </w:rPr>
        <w:t>、</w:t>
        <w:tab/>
        <w:t>关联债权债务往来</w:t>
      </w:r>
      <w:bookmarkEnd w:id="467"/>
      <w:bookmarkEnd w:id="468"/>
      <w:bookmarkEnd w:id="470"/>
    </w:p>
    <w:p>
      <w:pPr>
        <w:pStyle w:val="Style18"/>
        <w:keepNext w:val="0"/>
        <w:keepLines w:val="0"/>
        <w:widowControl w:val="0"/>
        <w:numPr>
          <w:ilvl w:val="0"/>
          <w:numId w:val="7"/>
        </w:numPr>
        <w:shd w:val="clear" w:color="auto" w:fill="auto"/>
        <w:tabs>
          <w:tab w:pos="282" w:val="left"/>
        </w:tabs>
        <w:bidi w:val="0"/>
        <w:spacing w:before="0" w:after="140" w:line="240" w:lineRule="auto"/>
        <w:ind w:left="0" w:right="0" w:firstLine="0"/>
        <w:jc w:val="both"/>
      </w:pPr>
      <w:bookmarkStart w:id="471" w:name="bookmark471"/>
      <w:bookmarkEnd w:id="47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公司报告期不存在关联债权债务往来。</w:t>
      </w:r>
    </w:p>
    <w:p>
      <w:pPr>
        <w:pStyle w:val="Style32"/>
        <w:keepNext/>
        <w:keepLines/>
        <w:widowControl w:val="0"/>
        <w:shd w:val="clear" w:color="auto" w:fill="auto"/>
        <w:tabs>
          <w:tab w:pos="378" w:val="left"/>
        </w:tabs>
        <w:bidi w:val="0"/>
        <w:spacing w:before="0" w:line="240" w:lineRule="auto"/>
        <w:ind w:left="0" w:right="0" w:firstLine="0"/>
        <w:jc w:val="both"/>
      </w:pPr>
      <w:bookmarkStart w:id="472" w:name="bookmark472"/>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rPr>
        <w:t>5</w:t>
      </w:r>
      <w:bookmarkEnd w:id="474"/>
      <w:r>
        <w:rPr>
          <w:color w:val="000000"/>
          <w:spacing w:val="0"/>
          <w:w w:val="100"/>
          <w:position w:val="0"/>
        </w:rPr>
        <w:t>、</w:t>
        <w:tab/>
        <w:t>与存在关联关系的财务公司的往来情况</w:t>
      </w:r>
      <w:bookmarkEnd w:id="472"/>
      <w:bookmarkEnd w:id="473"/>
      <w:bookmarkEnd w:id="475"/>
    </w:p>
    <w:p>
      <w:pPr>
        <w:pStyle w:val="Style18"/>
        <w:keepNext w:val="0"/>
        <w:keepLines w:val="0"/>
        <w:widowControl w:val="0"/>
        <w:numPr>
          <w:ilvl w:val="0"/>
          <w:numId w:val="7"/>
        </w:numPr>
        <w:shd w:val="clear" w:color="auto" w:fill="auto"/>
        <w:tabs>
          <w:tab w:pos="282" w:val="left"/>
        </w:tabs>
        <w:bidi w:val="0"/>
        <w:spacing w:before="0" w:after="140" w:line="240" w:lineRule="auto"/>
        <w:ind w:left="0" w:right="0" w:firstLine="0"/>
        <w:jc w:val="both"/>
      </w:pPr>
      <w:bookmarkStart w:id="476" w:name="bookmark476"/>
      <w:bookmarkEnd w:id="47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公司与存在关联关系的财务公司与关联方之间不存在存款、贷款、授信或其他金融业务。</w:t>
      </w:r>
    </w:p>
    <w:p>
      <w:pPr>
        <w:pStyle w:val="Style32"/>
        <w:keepNext/>
        <w:keepLines/>
        <w:widowControl w:val="0"/>
        <w:shd w:val="clear" w:color="auto" w:fill="auto"/>
        <w:tabs>
          <w:tab w:pos="378" w:val="left"/>
        </w:tabs>
        <w:bidi w:val="0"/>
        <w:spacing w:before="0" w:line="240" w:lineRule="auto"/>
        <w:ind w:left="0" w:right="0" w:firstLine="0"/>
        <w:jc w:val="both"/>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6</w:t>
      </w:r>
      <w:bookmarkEnd w:id="479"/>
      <w:r>
        <w:rPr>
          <w:color w:val="000000"/>
          <w:spacing w:val="0"/>
          <w:w w:val="100"/>
          <w:position w:val="0"/>
        </w:rPr>
        <w:t>、</w:t>
        <w:tab/>
        <w:t>公司控股的财务公司与关联方的往来情况</w:t>
      </w:r>
      <w:bookmarkEnd w:id="477"/>
      <w:bookmarkEnd w:id="478"/>
      <w:bookmarkEnd w:id="480"/>
    </w:p>
    <w:p>
      <w:pPr>
        <w:pStyle w:val="Style18"/>
        <w:keepNext w:val="0"/>
        <w:keepLines w:val="0"/>
        <w:widowControl w:val="0"/>
        <w:numPr>
          <w:ilvl w:val="0"/>
          <w:numId w:val="7"/>
        </w:numPr>
        <w:shd w:val="clear" w:color="auto" w:fill="auto"/>
        <w:tabs>
          <w:tab w:pos="282" w:val="left"/>
        </w:tabs>
        <w:bidi w:val="0"/>
        <w:spacing w:before="0" w:after="140" w:line="240" w:lineRule="auto"/>
        <w:ind w:left="0" w:right="0" w:firstLine="0"/>
        <w:jc w:val="both"/>
      </w:pPr>
      <w:bookmarkStart w:id="481" w:name="bookmark481"/>
      <w:bookmarkEnd w:id="48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公司控股的财务公司与关联方之间不存在存款、贷款、授信或其他金融业务。</w:t>
      </w:r>
    </w:p>
    <w:p>
      <w:pPr>
        <w:pStyle w:val="Style32"/>
        <w:keepNext/>
        <w:keepLines/>
        <w:widowControl w:val="0"/>
        <w:shd w:val="clear" w:color="auto" w:fill="auto"/>
        <w:tabs>
          <w:tab w:pos="373" w:val="left"/>
        </w:tabs>
        <w:bidi w:val="0"/>
        <w:spacing w:before="0" w:line="240" w:lineRule="auto"/>
        <w:ind w:left="0" w:right="0" w:firstLine="0"/>
        <w:jc w:val="both"/>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7</w:t>
      </w:r>
      <w:bookmarkEnd w:id="484"/>
      <w:r>
        <w:rPr>
          <w:color w:val="000000"/>
          <w:spacing w:val="0"/>
          <w:w w:val="100"/>
          <w:position w:val="0"/>
        </w:rPr>
        <w:t>、</w:t>
        <w:tab/>
        <w:t>其他重大关联交易</w:t>
      </w:r>
      <w:bookmarkEnd w:id="482"/>
      <w:bookmarkEnd w:id="483"/>
      <w:bookmarkEnd w:id="485"/>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公司报告期无其他重大关联交易。</w:t>
      </w:r>
    </w:p>
    <w:p>
      <w:pPr>
        <w:pStyle w:val="Style23"/>
        <w:keepNext/>
        <w:keepLines/>
        <w:widowControl w:val="0"/>
        <w:shd w:val="clear" w:color="auto" w:fill="auto"/>
        <w:bidi w:val="0"/>
        <w:spacing w:before="0" w:after="380" w:line="240" w:lineRule="auto"/>
        <w:ind w:left="0" w:right="0" w:firstLine="0"/>
        <w:jc w:val="both"/>
      </w:pPr>
      <w:bookmarkStart w:id="486" w:name="bookmark486"/>
      <w:bookmarkStart w:id="487" w:name="bookmark487"/>
      <w:bookmarkStart w:id="488" w:name="bookmark488"/>
      <w:r>
        <w:rPr>
          <w:color w:val="000000"/>
          <w:spacing w:val="0"/>
          <w:w w:val="100"/>
          <w:position w:val="0"/>
        </w:rPr>
        <w:t>十五、重大合同及其履行情况</w:t>
      </w:r>
      <w:bookmarkEnd w:id="486"/>
      <w:bookmarkEnd w:id="487"/>
      <w:bookmarkEnd w:id="488"/>
    </w:p>
    <w:p>
      <w:pPr>
        <w:pStyle w:val="Style32"/>
        <w:keepNext/>
        <w:keepLines/>
        <w:widowControl w:val="0"/>
        <w:shd w:val="clear" w:color="auto" w:fill="auto"/>
        <w:tabs>
          <w:tab w:pos="368" w:val="left"/>
        </w:tabs>
        <w:bidi w:val="0"/>
        <w:spacing w:before="0" w:line="240" w:lineRule="auto"/>
        <w:ind w:left="0" w:right="0" w:firstLine="0"/>
        <w:jc w:val="both"/>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1</w:t>
      </w:r>
      <w:bookmarkEnd w:id="491"/>
      <w:r>
        <w:rPr>
          <w:color w:val="000000"/>
          <w:spacing w:val="0"/>
          <w:w w:val="100"/>
          <w:position w:val="0"/>
        </w:rPr>
        <w:t>、</w:t>
        <w:tab/>
        <w:t>托管、承包、租赁事项情况</w:t>
      </w:r>
      <w:bookmarkEnd w:id="489"/>
      <w:bookmarkEnd w:id="490"/>
      <w:bookmarkEnd w:id="492"/>
    </w:p>
    <w:p>
      <w:pPr>
        <w:pStyle w:val="Style36"/>
        <w:keepNext/>
        <w:keepLines/>
        <w:widowControl w:val="0"/>
        <w:shd w:val="clear" w:color="auto" w:fill="auto"/>
        <w:tabs>
          <w:tab w:pos="493" w:val="left"/>
        </w:tabs>
        <w:bidi w:val="0"/>
        <w:spacing w:before="0" w:line="240" w:lineRule="auto"/>
        <w:ind w:left="0" w:right="0" w:firstLine="0"/>
        <w:jc w:val="both"/>
      </w:pPr>
      <w:bookmarkStart w:id="493" w:name="bookmark493"/>
      <w:bookmarkStart w:id="494" w:name="bookmark494"/>
      <w:bookmarkStart w:id="495" w:name="bookmark495"/>
      <w:bookmarkStart w:id="496" w:name="bookmark496"/>
      <w:r>
        <w:rPr>
          <w:color w:val="000000"/>
          <w:spacing w:val="0"/>
          <w:w w:val="100"/>
          <w:position w:val="0"/>
        </w:rPr>
        <w:t>（</w:t>
      </w:r>
      <w:bookmarkEnd w:id="495"/>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93"/>
      <w:bookmarkEnd w:id="494"/>
      <w:bookmarkEnd w:id="496"/>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36"/>
        <w:keepNext/>
        <w:keepLines/>
        <w:widowControl w:val="0"/>
        <w:shd w:val="clear" w:color="auto" w:fill="auto"/>
        <w:tabs>
          <w:tab w:pos="493" w:val="left"/>
        </w:tabs>
        <w:bidi w:val="0"/>
        <w:spacing w:before="0" w:line="240" w:lineRule="auto"/>
        <w:ind w:left="0" w:right="0" w:firstLine="0"/>
        <w:jc w:val="both"/>
      </w:pPr>
      <w:bookmarkStart w:id="497" w:name="bookmark497"/>
      <w:bookmarkStart w:id="498" w:name="bookmark498"/>
      <w:bookmarkStart w:id="499" w:name="bookmark499"/>
      <w:bookmarkStart w:id="500" w:name="bookmark500"/>
      <w:r>
        <w:rPr>
          <w:color w:val="000000"/>
          <w:spacing w:val="0"/>
          <w:w w:val="100"/>
          <w:position w:val="0"/>
        </w:rPr>
        <w:t>（</w:t>
      </w:r>
      <w:bookmarkEnd w:id="499"/>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97"/>
      <w:bookmarkEnd w:id="498"/>
      <w:bookmarkEnd w:id="500"/>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36"/>
        <w:keepNext/>
        <w:keepLines/>
        <w:widowControl w:val="0"/>
        <w:shd w:val="clear" w:color="auto" w:fill="auto"/>
        <w:tabs>
          <w:tab w:pos="493" w:val="left"/>
        </w:tabs>
        <w:bidi w:val="0"/>
        <w:spacing w:before="0" w:line="240" w:lineRule="auto"/>
        <w:ind w:left="0" w:right="0" w:firstLine="0"/>
        <w:jc w:val="both"/>
      </w:pPr>
      <w:bookmarkStart w:id="501" w:name="bookmark501"/>
      <w:bookmarkStart w:id="502" w:name="bookmark502"/>
      <w:bookmarkStart w:id="503" w:name="bookmark503"/>
      <w:bookmarkStart w:id="504" w:name="bookmark504"/>
      <w:r>
        <w:rPr>
          <w:color w:val="000000"/>
          <w:spacing w:val="0"/>
          <w:w w:val="100"/>
          <w:position w:val="0"/>
        </w:rPr>
        <w:t>（</w:t>
      </w:r>
      <w:bookmarkEnd w:id="503"/>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01"/>
      <w:bookmarkEnd w:id="502"/>
      <w:bookmarkEnd w:id="504"/>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32"/>
        <w:keepNext/>
        <w:keepLines/>
        <w:widowControl w:val="0"/>
        <w:shd w:val="clear" w:color="auto" w:fill="auto"/>
        <w:tabs>
          <w:tab w:pos="378" w:val="left"/>
        </w:tabs>
        <w:bidi w:val="0"/>
        <w:spacing w:before="0" w:line="240" w:lineRule="auto"/>
        <w:ind w:left="0" w:right="0" w:firstLine="0"/>
        <w:jc w:val="both"/>
      </w:pPr>
      <w:bookmarkStart w:id="505" w:name="bookmark505"/>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rPr>
        <w:t>2</w:t>
      </w:r>
      <w:bookmarkEnd w:id="507"/>
      <w:r>
        <w:rPr>
          <w:color w:val="000000"/>
          <w:spacing w:val="0"/>
          <w:w w:val="100"/>
          <w:position w:val="0"/>
        </w:rPr>
        <w:t>、</w:t>
        <w:tab/>
        <w:t>重大担保</w:t>
      </w:r>
      <w:bookmarkEnd w:id="505"/>
      <w:bookmarkEnd w:id="506"/>
      <w:bookmarkEnd w:id="508"/>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公司报告期不存在重大担保情况。</w:t>
      </w:r>
    </w:p>
    <w:p>
      <w:pPr>
        <w:pStyle w:val="Style32"/>
        <w:keepNext/>
        <w:keepLines/>
        <w:widowControl w:val="0"/>
        <w:shd w:val="clear" w:color="auto" w:fill="auto"/>
        <w:tabs>
          <w:tab w:pos="378" w:val="left"/>
        </w:tabs>
        <w:bidi w:val="0"/>
        <w:spacing w:before="0" w:line="240" w:lineRule="auto"/>
        <w:ind w:left="0" w:right="0" w:firstLine="0"/>
        <w:jc w:val="both"/>
      </w:pPr>
      <w:bookmarkStart w:id="509" w:name="bookmark509"/>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rPr>
        <w:t>3</w:t>
      </w:r>
      <w:bookmarkEnd w:id="511"/>
      <w:r>
        <w:rPr>
          <w:color w:val="000000"/>
          <w:spacing w:val="0"/>
          <w:w w:val="100"/>
          <w:position w:val="0"/>
        </w:rPr>
        <w:t>、</w:t>
        <w:tab/>
        <w:t>委托他人进行现金资产管理情况</w:t>
      </w:r>
      <w:bookmarkEnd w:id="509"/>
      <w:bookmarkEnd w:id="510"/>
      <w:bookmarkEnd w:id="512"/>
    </w:p>
    <w:p>
      <w:pPr>
        <w:pStyle w:val="Style36"/>
        <w:keepNext/>
        <w:keepLines/>
        <w:widowControl w:val="0"/>
        <w:shd w:val="clear" w:color="auto" w:fill="auto"/>
        <w:bidi w:val="0"/>
        <w:spacing w:before="0" w:line="240" w:lineRule="auto"/>
        <w:ind w:left="0" w:right="0" w:firstLine="0"/>
        <w:jc w:val="both"/>
      </w:pPr>
      <w:bookmarkStart w:id="513" w:name="bookmark513"/>
      <w:bookmarkStart w:id="514" w:name="bookmark514"/>
      <w:bookmarkStart w:id="515" w:name="bookmark515"/>
      <w:bookmarkStart w:id="516" w:name="bookmark516"/>
      <w:r>
        <w:rPr>
          <w:color w:val="000000"/>
          <w:spacing w:val="0"/>
          <w:w w:val="100"/>
          <w:position w:val="0"/>
        </w:rPr>
        <w:t>（</w:t>
      </w:r>
      <w:bookmarkEnd w:id="515"/>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13"/>
      <w:bookmarkEnd w:id="514"/>
      <w:bookmarkEnd w:id="516"/>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报告期内委托理财概况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4"/>
        <w:gridCol w:w="1642"/>
        <w:gridCol w:w="1661"/>
        <w:gridCol w:w="1598"/>
        <w:gridCol w:w="1550"/>
        <w:gridCol w:w="1560"/>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具体类型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委托理财的资金来 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委托理财发生额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未到期余额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逾期未收回的金额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逾期未收回理财己 计提减值金额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183,520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183,520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13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单项金额重大或安全性较低、流动性较差的高风险委托理财具体情况</w:t>
      </w:r>
    </w:p>
    <w:p>
      <w:pPr>
        <w:pStyle w:val="Style18"/>
        <w:keepNext w:val="0"/>
        <w:keepLines w:val="0"/>
        <w:widowControl w:val="0"/>
        <w:numPr>
          <w:ilvl w:val="0"/>
          <w:numId w:val="7"/>
        </w:numPr>
        <w:shd w:val="clear" w:color="auto" w:fill="auto"/>
        <w:tabs>
          <w:tab w:pos="317" w:val="left"/>
          <w:tab w:pos="728" w:val="left"/>
        </w:tabs>
        <w:bidi w:val="0"/>
        <w:spacing w:before="0" w:after="140" w:line="240" w:lineRule="auto"/>
        <w:ind w:left="0" w:right="0" w:firstLine="0"/>
        <w:jc w:val="both"/>
      </w:pPr>
      <w:bookmarkStart w:id="517" w:name="bookmark517"/>
      <w:bookmarkEnd w:id="517"/>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委托理财出现预期无法收回本金或存在其他可能导致减值的情形</w:t>
      </w:r>
    </w:p>
    <w:p>
      <w:pPr>
        <w:pStyle w:val="Style18"/>
        <w:keepNext w:val="0"/>
        <w:keepLines w:val="0"/>
        <w:widowControl w:val="0"/>
        <w:numPr>
          <w:ilvl w:val="0"/>
          <w:numId w:val="7"/>
        </w:numPr>
        <w:shd w:val="clear" w:color="auto" w:fill="auto"/>
        <w:tabs>
          <w:tab w:pos="317" w:val="left"/>
          <w:tab w:pos="728" w:val="left"/>
        </w:tabs>
        <w:bidi w:val="0"/>
        <w:spacing w:before="0" w:after="380" w:line="240" w:lineRule="auto"/>
        <w:ind w:left="0" w:right="0" w:firstLine="0"/>
        <w:jc w:val="both"/>
      </w:pPr>
      <w:bookmarkStart w:id="518" w:name="bookmark518"/>
      <w:bookmarkEnd w:id="518"/>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both"/>
      </w:pPr>
      <w:bookmarkStart w:id="519" w:name="bookmark519"/>
      <w:bookmarkStart w:id="520" w:name="bookmark520"/>
      <w:bookmarkStart w:id="521" w:name="bookmark521"/>
      <w:bookmarkStart w:id="522" w:name="bookmark522"/>
      <w:r>
        <w:rPr>
          <w:color w:val="000000"/>
          <w:spacing w:val="0"/>
          <w:w w:val="100"/>
          <w:position w:val="0"/>
        </w:rPr>
        <w:t>（</w:t>
      </w:r>
      <w:bookmarkEnd w:id="521"/>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19"/>
      <w:bookmarkEnd w:id="520"/>
      <w:bookmarkEnd w:id="522"/>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公司报告期不存在委托贷款。</w:t>
      </w:r>
    </w:p>
    <w:p>
      <w:pPr>
        <w:pStyle w:val="Style32"/>
        <w:keepNext/>
        <w:keepLines/>
        <w:widowControl w:val="0"/>
        <w:shd w:val="clear" w:color="auto" w:fill="auto"/>
        <w:bidi w:val="0"/>
        <w:spacing w:before="0" w:line="240" w:lineRule="auto"/>
        <w:ind w:left="0" w:right="0" w:firstLine="0"/>
        <w:jc w:val="both"/>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4</w:t>
      </w:r>
      <w:bookmarkEnd w:id="525"/>
      <w:r>
        <w:rPr>
          <w:color w:val="000000"/>
          <w:spacing w:val="0"/>
          <w:w w:val="100"/>
          <w:position w:val="0"/>
        </w:rPr>
        <w:t>、其他重大合同</w:t>
      </w:r>
      <w:bookmarkEnd w:id="523"/>
      <w:bookmarkEnd w:id="524"/>
      <w:bookmarkEnd w:id="526"/>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公司报告期不存在其他重大合同。</w:t>
      </w:r>
    </w:p>
    <w:p>
      <w:pPr>
        <w:pStyle w:val="Style23"/>
        <w:keepNext/>
        <w:keepLines/>
        <w:widowControl w:val="0"/>
        <w:shd w:val="clear" w:color="auto" w:fill="auto"/>
        <w:bidi w:val="0"/>
        <w:spacing w:before="0" w:after="380" w:line="240" w:lineRule="auto"/>
        <w:ind w:left="0" w:right="0" w:firstLine="0"/>
        <w:jc w:val="both"/>
      </w:pPr>
      <w:bookmarkStart w:id="527" w:name="bookmark527"/>
      <w:bookmarkStart w:id="528" w:name="bookmark528"/>
      <w:bookmarkStart w:id="529" w:name="bookmark529"/>
      <w:r>
        <w:rPr>
          <w:color w:val="000000"/>
          <w:spacing w:val="0"/>
          <w:w w:val="100"/>
          <w:position w:val="0"/>
        </w:rPr>
        <w:t>十六、其他重大事项的说明</w:t>
      </w:r>
      <w:bookmarkEnd w:id="527"/>
      <w:bookmarkEnd w:id="528"/>
      <w:bookmarkEnd w:id="529"/>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公司报告期不存在需要说明的其他重大事项。</w:t>
      </w:r>
    </w:p>
    <w:p>
      <w:pPr>
        <w:pStyle w:val="Style23"/>
        <w:keepNext/>
        <w:keepLines/>
        <w:widowControl w:val="0"/>
        <w:shd w:val="clear" w:color="auto" w:fill="auto"/>
        <w:bidi w:val="0"/>
        <w:spacing w:before="0" w:after="380" w:line="240" w:lineRule="auto"/>
        <w:ind w:left="0" w:right="0" w:firstLine="0"/>
        <w:jc w:val="both"/>
      </w:pPr>
      <w:bookmarkStart w:id="530" w:name="bookmark530"/>
      <w:bookmarkStart w:id="531" w:name="bookmark531"/>
      <w:bookmarkStart w:id="532" w:name="bookmark532"/>
      <w:r>
        <w:rPr>
          <w:color w:val="000000"/>
          <w:spacing w:val="0"/>
          <w:w w:val="100"/>
          <w:position w:val="0"/>
        </w:rPr>
        <w:t>十七、公司子公司重大事项</w:t>
      </w:r>
      <w:bookmarkEnd w:id="530"/>
      <w:bookmarkEnd w:id="531"/>
      <w:bookmarkEnd w:id="532"/>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10"/>
        <w:keepNext/>
        <w:keepLines/>
        <w:widowControl w:val="0"/>
        <w:shd w:val="clear" w:color="auto" w:fill="auto"/>
        <w:bidi w:val="0"/>
        <w:spacing w:before="0" w:after="560" w:line="240" w:lineRule="auto"/>
        <w:ind w:left="0" w:right="0" w:firstLine="0"/>
        <w:jc w:val="center"/>
      </w:pPr>
      <w:bookmarkStart w:id="533" w:name="bookmark533"/>
      <w:bookmarkStart w:id="534" w:name="bookmark534"/>
      <w:bookmarkStart w:id="535" w:name="bookmark535"/>
      <w:r>
        <w:rPr>
          <w:color w:val="000000"/>
          <w:spacing w:val="0"/>
          <w:w w:val="100"/>
          <w:position w:val="0"/>
        </w:rPr>
        <w:t>第七节股份变动及股东情况</w:t>
      </w:r>
      <w:bookmarkEnd w:id="533"/>
      <w:bookmarkEnd w:id="534"/>
      <w:bookmarkEnd w:id="535"/>
    </w:p>
    <w:p>
      <w:pPr>
        <w:pStyle w:val="Style23"/>
        <w:keepNext/>
        <w:keepLines/>
        <w:widowControl w:val="0"/>
        <w:shd w:val="clear" w:color="auto" w:fill="auto"/>
        <w:bidi w:val="0"/>
        <w:spacing w:before="0" w:line="240" w:lineRule="auto"/>
        <w:ind w:left="0" w:right="0" w:firstLine="0"/>
        <w:jc w:val="left"/>
      </w:pPr>
      <w:bookmarkStart w:id="536" w:name="bookmark536"/>
      <w:bookmarkStart w:id="537" w:name="bookmark537"/>
      <w:bookmarkStart w:id="538" w:name="bookmark538"/>
      <w:bookmarkStart w:id="539" w:name="bookmark539"/>
      <w:bookmarkStart w:id="540" w:name="bookmark540"/>
      <w:r>
        <w:rPr>
          <w:color w:val="000000"/>
          <w:spacing w:val="0"/>
          <w:w w:val="100"/>
          <w:position w:val="0"/>
        </w:rPr>
        <w:t>一</w:t>
      </w:r>
      <w:bookmarkEnd w:id="539"/>
      <w:r>
        <w:rPr>
          <w:color w:val="000000"/>
          <w:spacing w:val="0"/>
          <w:w w:val="100"/>
          <w:position w:val="0"/>
        </w:rPr>
        <w:t>、股份变动情况</w:t>
      </w:r>
      <w:bookmarkEnd w:id="537"/>
      <w:bookmarkEnd w:id="538"/>
      <w:bookmarkEnd w:id="540"/>
      <w:bookmarkEnd w:id="536"/>
    </w:p>
    <w:p>
      <w:pPr>
        <w:pStyle w:val="Style32"/>
        <w:keepNext/>
        <w:keepLines/>
        <w:widowControl w:val="0"/>
        <w:shd w:val="clear" w:color="auto" w:fill="auto"/>
        <w:bidi w:val="0"/>
        <w:spacing w:before="0" w:after="360" w:line="240" w:lineRule="auto"/>
        <w:ind w:left="0" w:right="0" w:firstLine="0"/>
        <w:jc w:val="left"/>
      </w:pPr>
      <w:bookmarkStart w:id="541" w:name="bookmark541"/>
      <w:bookmarkStart w:id="542" w:name="bookmark542"/>
      <w:bookmarkStart w:id="543" w:name="bookmark543"/>
      <w:bookmarkStart w:id="544" w:name="bookmark544"/>
      <w:r>
        <w:rPr>
          <w:rFonts w:ascii="Times New Roman" w:eastAsia="Times New Roman" w:hAnsi="Times New Roman" w:cs="Times New Roman"/>
          <w:color w:val="000000"/>
          <w:spacing w:val="0"/>
          <w:w w:val="100"/>
          <w:position w:val="0"/>
        </w:rPr>
        <w:t>1</w:t>
      </w:r>
      <w:bookmarkEnd w:id="543"/>
      <w:r>
        <w:rPr>
          <w:color w:val="000000"/>
          <w:spacing w:val="0"/>
          <w:w w:val="100"/>
          <w:position w:val="0"/>
        </w:rPr>
        <w:t>、股份变动情况</w:t>
      </w:r>
      <w:bookmarkEnd w:id="541"/>
      <w:bookmarkEnd w:id="542"/>
      <w:bookmarkEnd w:id="54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公积金转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175,275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175,275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175,275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175,275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175,275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175,275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545,491,1</w:t>
            </w:r>
          </w:p>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99.97%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545,491,1</w:t>
            </w:r>
          </w:p>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99.97%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545,491,1</w:t>
            </w:r>
          </w:p>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99.97%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545,491,1</w:t>
            </w:r>
          </w:p>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99.97%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color w:val="000000"/>
                <w:spacing w:val="0"/>
                <w:w w:val="100"/>
                <w:position w:val="0"/>
              </w:rPr>
              <w:t>545,666,4 21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color w:val="000000"/>
                <w:spacing w:val="0"/>
                <w:w w:val="100"/>
                <w:position w:val="0"/>
              </w:rPr>
              <w:t>545,666,4 21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13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w:t>
      </w:r>
      <w:r>
        <w:rPr>
          <w:color w:val="000000"/>
          <w:spacing w:val="0"/>
          <w:w w:val="100"/>
          <w:position w:val="0"/>
        </w:rPr>
        <w:t>公司认为必要或证券监管机构要求披露的其他内容</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545" w:name="bookmark545"/>
      <w:bookmarkStart w:id="546" w:name="bookmark546"/>
      <w:bookmarkStart w:id="547" w:name="bookmark547"/>
      <w:bookmarkStart w:id="548" w:name="bookmark548"/>
      <w:r>
        <w:rPr>
          <w:rFonts w:ascii="Times New Roman" w:eastAsia="Times New Roman" w:hAnsi="Times New Roman" w:cs="Times New Roman"/>
          <w:color w:val="000000"/>
          <w:spacing w:val="0"/>
          <w:w w:val="100"/>
          <w:position w:val="0"/>
        </w:rPr>
        <w:t>2</w:t>
      </w:r>
      <w:bookmarkEnd w:id="547"/>
      <w:r>
        <w:rPr>
          <w:color w:val="000000"/>
          <w:spacing w:val="0"/>
          <w:w w:val="100"/>
          <w:position w:val="0"/>
        </w:rPr>
        <w:t>、限售股份变动情况</w:t>
      </w:r>
      <w:bookmarkEnd w:id="545"/>
      <w:bookmarkEnd w:id="546"/>
      <w:bookmarkEnd w:id="548"/>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380" w:line="240" w:lineRule="auto"/>
        <w:ind w:left="0" w:right="0" w:firstLine="0"/>
        <w:jc w:val="left"/>
      </w:pPr>
      <w:bookmarkStart w:id="549" w:name="bookmark549"/>
      <w:bookmarkStart w:id="550" w:name="bookmark550"/>
      <w:bookmarkStart w:id="551" w:name="bookmark551"/>
      <w:bookmarkStart w:id="552" w:name="bookmark552"/>
      <w:r>
        <w:rPr>
          <w:color w:val="000000"/>
          <w:spacing w:val="0"/>
          <w:w w:val="100"/>
          <w:position w:val="0"/>
        </w:rPr>
        <w:t>二</w:t>
      </w:r>
      <w:bookmarkEnd w:id="551"/>
      <w:r>
        <w:rPr>
          <w:color w:val="000000"/>
          <w:spacing w:val="0"/>
          <w:w w:val="100"/>
          <w:position w:val="0"/>
        </w:rPr>
        <w:t>、</w:t>
        <w:tab/>
        <w:t>证券发行与上市情况</w:t>
      </w:r>
      <w:bookmarkEnd w:id="549"/>
      <w:bookmarkEnd w:id="550"/>
      <w:bookmarkEnd w:id="552"/>
    </w:p>
    <w:p>
      <w:pPr>
        <w:pStyle w:val="Style32"/>
        <w:keepNext/>
        <w:keepLines/>
        <w:widowControl w:val="0"/>
        <w:shd w:val="clear" w:color="auto" w:fill="auto"/>
        <w:tabs>
          <w:tab w:pos="381" w:val="left"/>
        </w:tabs>
        <w:bidi w:val="0"/>
        <w:spacing w:before="0" w:line="240" w:lineRule="auto"/>
        <w:ind w:left="0" w:right="0" w:firstLine="0"/>
        <w:jc w:val="left"/>
      </w:pPr>
      <w:bookmarkStart w:id="553" w:name="bookmark553"/>
      <w:bookmarkStart w:id="554" w:name="bookmark554"/>
      <w:bookmarkStart w:id="555" w:name="bookmark555"/>
      <w:bookmarkStart w:id="556" w:name="bookmark556"/>
      <w:r>
        <w:rPr>
          <w:rFonts w:ascii="Times New Roman" w:eastAsia="Times New Roman" w:hAnsi="Times New Roman" w:cs="Times New Roman"/>
          <w:color w:val="000000"/>
          <w:spacing w:val="0"/>
          <w:w w:val="100"/>
          <w:position w:val="0"/>
        </w:rPr>
        <w:t>1</w:t>
      </w:r>
      <w:bookmarkEnd w:id="555"/>
      <w:r>
        <w:rPr>
          <w:color w:val="000000"/>
          <w:spacing w:val="0"/>
          <w:w w:val="100"/>
          <w:position w:val="0"/>
        </w:rPr>
        <w:t>、</w:t>
        <w:tab/>
        <w:t>报告期内证券发行（不含优先股）情况</w:t>
      </w:r>
      <w:bookmarkEnd w:id="553"/>
      <w:bookmarkEnd w:id="554"/>
      <w:bookmarkEnd w:id="556"/>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81" w:val="left"/>
        </w:tabs>
        <w:bidi w:val="0"/>
        <w:spacing w:before="0" w:line="240" w:lineRule="auto"/>
        <w:ind w:left="0" w:right="0" w:firstLine="0"/>
        <w:jc w:val="left"/>
      </w:pPr>
      <w:bookmarkStart w:id="557" w:name="bookmark557"/>
      <w:bookmarkStart w:id="558" w:name="bookmark558"/>
      <w:bookmarkStart w:id="559" w:name="bookmark559"/>
      <w:bookmarkStart w:id="560" w:name="bookmark560"/>
      <w:r>
        <w:rPr>
          <w:rFonts w:ascii="Times New Roman" w:eastAsia="Times New Roman" w:hAnsi="Times New Roman" w:cs="Times New Roman"/>
          <w:color w:val="000000"/>
          <w:spacing w:val="0"/>
          <w:w w:val="100"/>
          <w:position w:val="0"/>
        </w:rPr>
        <w:t>2</w:t>
      </w:r>
      <w:bookmarkEnd w:id="559"/>
      <w:r>
        <w:rPr>
          <w:color w:val="000000"/>
          <w:spacing w:val="0"/>
          <w:w w:val="100"/>
          <w:position w:val="0"/>
        </w:rPr>
        <w:t>、</w:t>
        <w:tab/>
        <w:t>公司股份总数及股东结构的变动、公司资产和负债结构的变动情况说明</w:t>
      </w:r>
      <w:bookmarkEnd w:id="557"/>
      <w:bookmarkEnd w:id="558"/>
      <w:bookmarkEnd w:id="560"/>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81" w:val="left"/>
        </w:tabs>
        <w:bidi w:val="0"/>
        <w:spacing w:before="0" w:line="240" w:lineRule="auto"/>
        <w:ind w:left="0" w:right="0" w:firstLine="0"/>
        <w:jc w:val="left"/>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3</w:t>
      </w:r>
      <w:bookmarkEnd w:id="563"/>
      <w:r>
        <w:rPr>
          <w:color w:val="000000"/>
          <w:spacing w:val="0"/>
          <w:w w:val="100"/>
          <w:position w:val="0"/>
        </w:rPr>
        <w:t>、</w:t>
        <w:tab/>
        <w:t>现存的内部职工股情况</w:t>
      </w:r>
      <w:bookmarkEnd w:id="561"/>
      <w:bookmarkEnd w:id="562"/>
      <w:bookmarkEnd w:id="564"/>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3"/>
        <w:keepNext/>
        <w:keepLines/>
        <w:widowControl w:val="0"/>
        <w:shd w:val="clear" w:color="auto" w:fill="auto"/>
        <w:tabs>
          <w:tab w:pos="522" w:val="left"/>
        </w:tabs>
        <w:bidi w:val="0"/>
        <w:spacing w:before="0" w:after="380" w:line="240" w:lineRule="auto"/>
        <w:ind w:left="0" w:right="0" w:firstLine="0"/>
        <w:jc w:val="left"/>
      </w:pPr>
      <w:bookmarkStart w:id="565" w:name="bookmark565"/>
      <w:bookmarkStart w:id="566" w:name="bookmark566"/>
      <w:bookmarkStart w:id="567" w:name="bookmark567"/>
      <w:bookmarkStart w:id="568" w:name="bookmark568"/>
      <w:r>
        <w:rPr>
          <w:color w:val="000000"/>
          <w:spacing w:val="0"/>
          <w:w w:val="100"/>
          <w:position w:val="0"/>
        </w:rPr>
        <w:t>三</w:t>
      </w:r>
      <w:bookmarkEnd w:id="567"/>
      <w:r>
        <w:rPr>
          <w:color w:val="000000"/>
          <w:spacing w:val="0"/>
          <w:w w:val="100"/>
          <w:position w:val="0"/>
        </w:rPr>
        <w:t>、</w:t>
        <w:tab/>
        <w:t>股东和实际控制人情况</w:t>
      </w:r>
      <w:bookmarkEnd w:id="565"/>
      <w:bookmarkEnd w:id="566"/>
      <w:bookmarkEnd w:id="568"/>
    </w:p>
    <w:p>
      <w:pPr>
        <w:pStyle w:val="Style32"/>
        <w:keepNext/>
        <w:keepLines/>
        <w:widowControl w:val="0"/>
        <w:shd w:val="clear" w:color="auto" w:fill="auto"/>
        <w:bidi w:val="0"/>
        <w:spacing w:before="0" w:line="240" w:lineRule="auto"/>
        <w:ind w:left="0" w:right="0" w:firstLine="0"/>
        <w:jc w:val="left"/>
      </w:pPr>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1</w:t>
      </w:r>
      <w:r>
        <w:rPr>
          <w:color w:val="000000"/>
          <w:spacing w:val="0"/>
          <w:w w:val="100"/>
          <w:position w:val="0"/>
        </w:rPr>
        <w:t>、公司股东数量及持股情况</w:t>
      </w:r>
      <w:bookmarkEnd w:id="569"/>
      <w:bookmarkEnd w:id="570"/>
      <w:bookmarkEnd w:id="57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269"/>
        <w:gridCol w:w="926"/>
        <w:gridCol w:w="485"/>
        <w:gridCol w:w="806"/>
        <w:gridCol w:w="1022"/>
        <w:gridCol w:w="821"/>
        <w:gridCol w:w="710"/>
        <w:gridCol w:w="1013"/>
        <w:gridCol w:w="965"/>
        <w:gridCol w:w="422"/>
        <w:gridCol w:w="936"/>
      </w:tblGrid>
      <w:tr>
        <w:trPr>
          <w:trHeight w:val="16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报告期末普通</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股股东总数</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27,901</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年度报告披露日 前上一月末普通 股股东总数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34,21</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报告期末表决权 恢复的优先股股 东总数（如有）（参 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年度报告披露日 前上一月末表决 权恢复的优先股 股东总数（如有）</w:t>
            </w:r>
          </w:p>
          <w:p>
            <w:pPr>
              <w:pStyle w:val="Style20"/>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报告期末持</w:t>
            </w:r>
          </w:p>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股数量</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增减变动</w:t>
            </w:r>
          </w:p>
          <w:p>
            <w:pPr>
              <w:pStyle w:val="Style20"/>
              <w:keepNext w:val="0"/>
              <w:keepLines w:val="0"/>
              <w:widowControl w:val="0"/>
              <w:shd w:val="clear" w:color="auto" w:fill="auto"/>
              <w:bidi w:val="0"/>
              <w:spacing w:before="0" w:after="120" w:line="240" w:lineRule="auto"/>
              <w:ind w:left="0" w:right="0" w:firstLine="200"/>
              <w:jc w:val="left"/>
              <w:rPr>
                <w:sz w:val="17"/>
                <w:szCs w:val="17"/>
              </w:rPr>
            </w:pPr>
            <w:r>
              <w:rPr>
                <w:rFonts w:ascii="SimSun" w:eastAsia="SimSun" w:hAnsi="SimSun" w:cs="SimSun"/>
                <w:color w:val="000000"/>
                <w:spacing w:val="0"/>
                <w:w w:val="100"/>
                <w:position w:val="0"/>
                <w:sz w:val="17"/>
                <w:szCs w:val="17"/>
              </w:rPr>
              <w:t>情况</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持有有 限售条 件的股 份数量</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持有无限售</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条件的股份</w:t>
            </w:r>
          </w:p>
          <w:p>
            <w:pPr>
              <w:pStyle w:val="Style20"/>
              <w:keepNext w:val="0"/>
              <w:keepLines w:val="0"/>
              <w:widowControl w:val="0"/>
              <w:shd w:val="clear" w:color="auto" w:fill="auto"/>
              <w:bidi w:val="0"/>
              <w:spacing w:before="0" w:after="120" w:line="240" w:lineRule="auto"/>
              <w:ind w:left="0" w:right="320" w:firstLine="0"/>
              <w:jc w:val="right"/>
              <w:rPr>
                <w:sz w:val="17"/>
                <w:szCs w:val="17"/>
              </w:rPr>
            </w:pPr>
            <w:r>
              <w:rPr>
                <w:rFonts w:ascii="SimSun" w:eastAsia="SimSun" w:hAnsi="SimSun" w:cs="SimSun"/>
                <w:color w:val="000000"/>
                <w:spacing w:val="0"/>
                <w:w w:val="100"/>
                <w:position w:val="0"/>
                <w:sz w:val="17"/>
                <w:szCs w:val="17"/>
              </w:rPr>
              <w:t>数量</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质押、标记或冻结情况</w:t>
            </w:r>
          </w:p>
        </w:tc>
      </w:tr>
      <w:tr>
        <w:trPr>
          <w:trHeight w:val="936"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股份状态</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480" w:firstLine="0"/>
              <w:jc w:val="right"/>
              <w:rPr>
                <w:sz w:val="17"/>
                <w:szCs w:val="17"/>
              </w:rPr>
            </w:pPr>
            <w:r>
              <w:rPr>
                <w:rFonts w:ascii="SimSun" w:eastAsia="SimSun" w:hAnsi="SimSun" w:cs="SimSun"/>
                <w:color w:val="000000"/>
                <w:spacing w:val="0"/>
                <w:w w:val="100"/>
                <w:position w:val="0"/>
                <w:sz w:val="17"/>
                <w:szCs w:val="17"/>
              </w:rPr>
              <w:t>数量</w:t>
            </w:r>
          </w:p>
        </w:tc>
      </w:tr>
      <w:tr>
        <w:trPr>
          <w:trHeight w:val="710"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北京中嘉华信息 技术有限公司</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60,961,650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60,961,650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香港喜多来集团</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9.34%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50,948,000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50,948,000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济南发展国有工</w:t>
            </w:r>
          </w:p>
          <w:p>
            <w:pPr>
              <w:pStyle w:val="Style20"/>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业资产经营有限 公司</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9.09%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49,593,600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49,593,600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冻结</w:t>
            </w:r>
          </w:p>
        </w:tc>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4,980,703</w:t>
            </w:r>
          </w:p>
        </w:tc>
      </w:tr>
    </w:tbl>
    <w:p>
      <w:pPr>
        <w:widowControl w:val="0"/>
        <w:spacing w:line="1" w:lineRule="exact"/>
      </w:pPr>
      <w:r>
        <w:br w:type="page"/>
      </w:r>
    </w:p>
    <w:tbl>
      <w:tblPr>
        <w:tblOverlap w:val="never"/>
        <w:jc w:val="center"/>
        <w:tblLayout w:type="fixed"/>
      </w:tblPr>
      <w:tblGrid>
        <w:gridCol w:w="1478"/>
        <w:gridCol w:w="1411"/>
        <w:gridCol w:w="787"/>
        <w:gridCol w:w="1008"/>
        <w:gridCol w:w="854"/>
        <w:gridCol w:w="706"/>
        <w:gridCol w:w="634"/>
        <w:gridCol w:w="360"/>
        <w:gridCol w:w="989"/>
        <w:gridCol w:w="1358"/>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浪潮电子信息产 业股份有限公司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3.57%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19,458,262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19,458,262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费占军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9,800,000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5,180,000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9,800,000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上海依禅投资管 理有限公司一依 禅投资淳泽一号 私募证券投资基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8,400,083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499,750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8,400,083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西藏共立创业投 资合伙企业（有限 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6,520,000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6,520,000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汤宝辉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0.51%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2,768,800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2,768,800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潘玥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0.44%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2,402,500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-2,313,500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2,402,500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朱建芳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0.40%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2,177,150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2,177,150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战略投资者或一般法人因配售新股</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名股东的情况（如有）（参</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见注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gridSpan w:val="8"/>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710"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上述股东关联关系或一致行动的说 明</w:t>
            </w:r>
          </w:p>
        </w:tc>
        <w:tc>
          <w:tcPr>
            <w:gridSpan w:val="8"/>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北京中嘉华信息技术有限公司与西藏共立创业投资合伙企业（有限合伙）系一致行动 人。</w:t>
            </w:r>
          </w:p>
        </w:tc>
      </w:tr>
      <w:tr>
        <w:trPr>
          <w:trHeight w:val="715"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上述股东涉及委托</w:t>
            </w:r>
            <w:r>
              <w:rPr>
                <w:color w:val="000000"/>
                <w:spacing w:val="0"/>
                <w:w w:val="100"/>
                <w:position w:val="0"/>
                <w:sz w:val="18"/>
                <w:szCs w:val="18"/>
              </w:rPr>
              <w:t>/</w:t>
            </w:r>
            <w:r>
              <w:rPr>
                <w:rFonts w:ascii="SimSun" w:eastAsia="SimSun" w:hAnsi="SimSun" w:cs="SimSun"/>
                <w:color w:val="000000"/>
                <w:spacing w:val="0"/>
                <w:w w:val="100"/>
                <w:position w:val="0"/>
                <w:sz w:val="17"/>
                <w:szCs w:val="17"/>
              </w:rPr>
              <w:t>受托表决权、放 弃表决权情况的说明</w:t>
            </w:r>
          </w:p>
        </w:tc>
        <w:tc>
          <w:tcPr>
            <w:gridSpan w:val="8"/>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715"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名股东中存在回购专户的特别 说明（如有）（参见注</w:t>
            </w:r>
            <w:r>
              <w:rPr>
                <w:color w:val="000000"/>
                <w:spacing w:val="0"/>
                <w:w w:val="100"/>
                <w:position w:val="0"/>
                <w:sz w:val="18"/>
                <w:szCs w:val="18"/>
              </w:rPr>
              <w:t>10</w:t>
            </w:r>
            <w:r>
              <w:rPr>
                <w:rFonts w:ascii="SimSun" w:eastAsia="SimSun" w:hAnsi="SimSun" w:cs="SimSun"/>
                <w:color w:val="000000"/>
                <w:spacing w:val="0"/>
                <w:w w:val="100"/>
                <w:position w:val="0"/>
                <w:sz w:val="17"/>
                <w:szCs w:val="17"/>
              </w:rPr>
              <w:t>）</w:t>
            </w:r>
          </w:p>
        </w:tc>
        <w:tc>
          <w:tcPr>
            <w:gridSpan w:val="8"/>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gridSpan w:val="10"/>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数量</w:t>
            </w:r>
          </w:p>
        </w:tc>
      </w:tr>
      <w:tr>
        <w:trPr>
          <w:trHeight w:val="403"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北京中嘉华信息技术有限公司</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40" w:right="0" w:firstLine="0"/>
              <w:jc w:val="both"/>
            </w:pPr>
            <w:r>
              <w:rPr>
                <w:color w:val="000000"/>
                <w:spacing w:val="0"/>
                <w:w w:val="100"/>
                <w:position w:val="0"/>
              </w:rPr>
              <w:t>60,961,650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60,961,650</w:t>
            </w:r>
          </w:p>
        </w:tc>
      </w:tr>
      <w:tr>
        <w:trPr>
          <w:trHeight w:val="403"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香港喜多来集团有限公司</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40" w:right="0" w:firstLine="0"/>
              <w:jc w:val="both"/>
            </w:pPr>
            <w:r>
              <w:rPr>
                <w:color w:val="000000"/>
                <w:spacing w:val="0"/>
                <w:w w:val="100"/>
                <w:position w:val="0"/>
              </w:rPr>
              <w:t>50,948,000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50,948,000</w:t>
            </w:r>
          </w:p>
        </w:tc>
      </w:tr>
      <w:tr>
        <w:trPr>
          <w:trHeight w:val="710"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50" w:lineRule="exact"/>
              <w:ind w:left="0" w:right="0" w:firstLine="0"/>
              <w:jc w:val="left"/>
              <w:rPr>
                <w:sz w:val="17"/>
                <w:szCs w:val="17"/>
              </w:rPr>
            </w:pPr>
            <w:r>
              <w:rPr>
                <w:rFonts w:ascii="SimSun" w:eastAsia="SimSun" w:hAnsi="SimSun" w:cs="SimSun"/>
                <w:color w:val="000000"/>
                <w:spacing w:val="0"/>
                <w:w w:val="100"/>
                <w:position w:val="0"/>
                <w:sz w:val="17"/>
                <w:szCs w:val="17"/>
              </w:rPr>
              <w:t>济南发展国有工业资产经营有限公 司</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40" w:right="0" w:firstLine="0"/>
              <w:jc w:val="both"/>
            </w:pPr>
            <w:r>
              <w:rPr>
                <w:color w:val="000000"/>
                <w:spacing w:val="0"/>
                <w:w w:val="100"/>
                <w:position w:val="0"/>
              </w:rPr>
              <w:t>49,593,600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49,593,600</w:t>
            </w:r>
          </w:p>
        </w:tc>
      </w:tr>
      <w:tr>
        <w:trPr>
          <w:trHeight w:val="403"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浪潮电子信息产业股份有限公司</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40" w:right="0" w:firstLine="0"/>
              <w:jc w:val="both"/>
            </w:pPr>
            <w:r>
              <w:rPr>
                <w:color w:val="000000"/>
                <w:spacing w:val="0"/>
                <w:w w:val="100"/>
                <w:position w:val="0"/>
              </w:rPr>
              <w:t>19,458,262</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19,458,262</w:t>
            </w:r>
          </w:p>
        </w:tc>
      </w:tr>
      <w:tr>
        <w:trPr>
          <w:trHeight w:val="403"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费占军</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40" w:right="0" w:firstLine="0"/>
              <w:jc w:val="both"/>
            </w:pPr>
            <w:r>
              <w:rPr>
                <w:color w:val="000000"/>
                <w:spacing w:val="0"/>
                <w:w w:val="100"/>
                <w:position w:val="0"/>
              </w:rPr>
              <w:t>9,800,000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9,800,000</w:t>
            </w:r>
          </w:p>
        </w:tc>
      </w:tr>
      <w:tr>
        <w:trPr>
          <w:trHeight w:val="715"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上海依禅投资管理有限公司一依禅 投资淳泽一号私募证券投资基金</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40" w:right="0" w:firstLine="0"/>
              <w:jc w:val="both"/>
            </w:pPr>
            <w:r>
              <w:rPr>
                <w:color w:val="000000"/>
                <w:spacing w:val="0"/>
                <w:w w:val="100"/>
                <w:position w:val="0"/>
              </w:rPr>
              <w:t>8,400,083</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8,400,083</w:t>
            </w:r>
          </w:p>
        </w:tc>
      </w:tr>
      <w:tr>
        <w:trPr>
          <w:trHeight w:val="710"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西藏共立创业投资合伙企业（有限合 伙）</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40" w:right="0" w:firstLine="0"/>
              <w:jc w:val="both"/>
            </w:pPr>
            <w:r>
              <w:rPr>
                <w:color w:val="000000"/>
                <w:spacing w:val="0"/>
                <w:w w:val="100"/>
                <w:position w:val="0"/>
              </w:rPr>
              <w:t>6,520,000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6,520,000</w:t>
            </w:r>
          </w:p>
        </w:tc>
      </w:tr>
      <w:tr>
        <w:trPr>
          <w:trHeight w:val="403"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汤宝辉</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40" w:right="0" w:firstLine="0"/>
              <w:jc w:val="both"/>
            </w:pPr>
            <w:r>
              <w:rPr>
                <w:color w:val="000000"/>
                <w:spacing w:val="0"/>
                <w:w w:val="100"/>
                <w:position w:val="0"/>
              </w:rPr>
              <w:t>2,768,800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2,768,800</w:t>
            </w:r>
          </w:p>
        </w:tc>
      </w:tr>
      <w:tr>
        <w:trPr>
          <w:trHeight w:val="413" w:hRule="exact"/>
        </w:trPr>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潘玥</w:t>
            </w:r>
          </w:p>
        </w:tc>
        <w:tc>
          <w:tcPr>
            <w:gridSpan w:val="5"/>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40" w:right="0" w:firstLine="0"/>
              <w:jc w:val="both"/>
            </w:pPr>
            <w:r>
              <w:rPr>
                <w:color w:val="000000"/>
                <w:spacing w:val="0"/>
                <w:w w:val="100"/>
                <w:position w:val="0"/>
              </w:rPr>
              <w:t>2,402,500</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2,402,500</w:t>
            </w:r>
          </w:p>
        </w:tc>
      </w:tr>
    </w:tbl>
    <w:p>
      <w:pPr>
        <w:widowControl w:val="0"/>
        <w:spacing w:line="1" w:lineRule="exact"/>
      </w:pPr>
    </w:p>
    <w:tbl>
      <w:tblPr>
        <w:tblOverlap w:val="never"/>
        <w:jc w:val="center"/>
        <w:tblLayout w:type="fixed"/>
      </w:tblPr>
      <w:tblGrid>
        <w:gridCol w:w="2890"/>
        <w:gridCol w:w="3989"/>
        <w:gridCol w:w="1349"/>
        <w:gridCol w:w="1358"/>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朱建芳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2,177,150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2,177,150</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名无限售流通股股东之间，以 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名无限售流通股股东和前</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名股东之间关联关系或一致行动的 说明</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北京中嘉华信息技术有限公司与西藏共立创业投资合伙企业（有限合伙）系一致行动 人。</w:t>
            </w: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名普通股股东参与融资融券业 务情况说明（如有）（参见注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股东费占军通过信用账户持有</w:t>
            </w:r>
            <w:r>
              <w:rPr>
                <w:color w:val="000000"/>
                <w:spacing w:val="0"/>
                <w:w w:val="100"/>
                <w:position w:val="0"/>
                <w:sz w:val="18"/>
                <w:szCs w:val="18"/>
              </w:rPr>
              <w:t>8,900,000</w:t>
            </w:r>
            <w:r>
              <w:rPr>
                <w:rFonts w:ascii="SimSun" w:eastAsia="SimSun" w:hAnsi="SimSun" w:cs="SimSun"/>
                <w:color w:val="000000"/>
                <w:spacing w:val="0"/>
                <w:w w:val="100"/>
                <w:position w:val="0"/>
                <w:sz w:val="17"/>
                <w:szCs w:val="17"/>
              </w:rPr>
              <w:t>股，股东汤宝辉通过信用账户持有</w:t>
            </w:r>
            <w:r>
              <w:rPr>
                <w:color w:val="000000"/>
                <w:spacing w:val="0"/>
                <w:w w:val="100"/>
                <w:position w:val="0"/>
                <w:sz w:val="18"/>
                <w:szCs w:val="18"/>
              </w:rPr>
              <w:t xml:space="preserve">2,768,800 </w:t>
            </w:r>
            <w:r>
              <w:rPr>
                <w:rFonts w:ascii="SimSun" w:eastAsia="SimSun" w:hAnsi="SimSun" w:cs="SimSun"/>
                <w:color w:val="000000"/>
                <w:spacing w:val="0"/>
                <w:w w:val="100"/>
                <w:position w:val="0"/>
                <w:sz w:val="17"/>
                <w:szCs w:val="17"/>
              </w:rPr>
              <w:t>股，股东潘玥通过信用账户持有</w:t>
            </w:r>
            <w:r>
              <w:rPr>
                <w:color w:val="000000"/>
                <w:spacing w:val="0"/>
                <w:w w:val="100"/>
                <w:position w:val="0"/>
                <w:sz w:val="18"/>
                <w:szCs w:val="18"/>
              </w:rPr>
              <w:t>2,396,600</w:t>
            </w:r>
            <w:r>
              <w:rPr>
                <w:rFonts w:ascii="SimSun" w:eastAsia="SimSun" w:hAnsi="SimSun" w:cs="SimSun"/>
                <w:color w:val="000000"/>
                <w:spacing w:val="0"/>
                <w:w w:val="100"/>
                <w:position w:val="0"/>
                <w:sz w:val="17"/>
                <w:szCs w:val="17"/>
              </w:rPr>
              <w:t>股，股东朱建芳通过信用账户持有</w:t>
            </w:r>
            <w:r>
              <w:rPr>
                <w:color w:val="000000"/>
                <w:spacing w:val="0"/>
                <w:w w:val="100"/>
                <w:position w:val="0"/>
                <w:sz w:val="18"/>
                <w:szCs w:val="18"/>
              </w:rPr>
              <w:t xml:space="preserve">2,177,150 </w:t>
            </w:r>
            <w:r>
              <w:rPr>
                <w:rFonts w:ascii="SimSun" w:eastAsia="SimSun" w:hAnsi="SimSun" w:cs="SimSun"/>
                <w:color w:val="000000"/>
                <w:spacing w:val="0"/>
                <w:w w:val="100"/>
                <w:position w:val="0"/>
                <w:sz w:val="17"/>
                <w:szCs w:val="17"/>
              </w:rPr>
              <w:t>股。</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2"/>
        <w:keepNext/>
        <w:keepLines/>
        <w:widowControl w:val="0"/>
        <w:shd w:val="clear" w:color="auto" w:fill="auto"/>
        <w:tabs>
          <w:tab w:pos="378" w:val="left"/>
        </w:tabs>
        <w:bidi w:val="0"/>
        <w:spacing w:before="0" w:after="260" w:line="240" w:lineRule="auto"/>
        <w:ind w:left="0" w:right="0" w:firstLine="0"/>
        <w:jc w:val="left"/>
      </w:pPr>
      <w:bookmarkStart w:id="572" w:name="bookmark572"/>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rPr>
        <w:t>2</w:t>
      </w:r>
      <w:bookmarkEnd w:id="574"/>
      <w:r>
        <w:rPr>
          <w:color w:val="000000"/>
          <w:spacing w:val="0"/>
          <w:w w:val="100"/>
          <w:position w:val="0"/>
        </w:rPr>
        <w:t>、</w:t>
        <w:tab/>
        <w:t>公司控股股东情况</w:t>
      </w:r>
      <w:bookmarkEnd w:id="572"/>
      <w:bookmarkEnd w:id="573"/>
      <w:bookmarkEnd w:id="575"/>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控股股东性质：无控股主体</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控股股东类型：不存在</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公司不存在控股股东情况的说明</w:t>
      </w:r>
    </w:p>
    <w:p>
      <w:pPr>
        <w:pStyle w:val="Style18"/>
        <w:keepNext w:val="0"/>
        <w:keepLines w:val="0"/>
        <w:widowControl w:val="0"/>
        <w:shd w:val="clear" w:color="auto" w:fill="auto"/>
        <w:bidi w:val="0"/>
        <w:spacing w:before="0" w:after="0" w:line="315" w:lineRule="exact"/>
        <w:ind w:left="0" w:right="0" w:firstLine="300"/>
        <w:jc w:val="both"/>
      </w:pPr>
      <w:r>
        <w:rPr>
          <w:color w:val="000000"/>
          <w:spacing w:val="0"/>
          <w:w w:val="100"/>
          <w:position w:val="0"/>
        </w:rPr>
        <w:t>目前我公司持股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以上各个股东之间的持股比例较为接近，任一股东（及一致行动人）无法通过表决权控制股东大会或 对股东大会决议产生决定性影响；任一股东（及一致行动人）没有能力决定半数以上董事会成员的选任；公司的股东之间（及 一致行动人）均不存在一致行动安排。公司持股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以上股东的持股比例、表决权比例和董事会成员的选任方面均未能达到 有关公司控制权的标准，亦不存在共同控制公司的协议安排，因此，我公司为无控股股东和无实际控制人的公司。</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控股股东报告期内变更</w:t>
      </w:r>
    </w:p>
    <w:p>
      <w:pPr>
        <w:pStyle w:val="Style18"/>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公司报告期控股股东未发生变更。</w:t>
      </w:r>
    </w:p>
    <w:p>
      <w:pPr>
        <w:pStyle w:val="Style32"/>
        <w:keepNext/>
        <w:keepLines/>
        <w:widowControl w:val="0"/>
        <w:shd w:val="clear" w:color="auto" w:fill="auto"/>
        <w:tabs>
          <w:tab w:pos="378" w:val="left"/>
        </w:tabs>
        <w:bidi w:val="0"/>
        <w:spacing w:before="0" w:after="260" w:line="240" w:lineRule="auto"/>
        <w:ind w:left="0" w:right="0" w:firstLine="0"/>
        <w:jc w:val="left"/>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3</w:t>
      </w:r>
      <w:bookmarkEnd w:id="578"/>
      <w:r>
        <w:rPr>
          <w:color w:val="000000"/>
          <w:spacing w:val="0"/>
          <w:w w:val="100"/>
          <w:position w:val="0"/>
        </w:rPr>
        <w:t>、</w:t>
        <w:tab/>
        <w:t>公司实际控制人及其一致行动人</w:t>
      </w:r>
      <w:bookmarkEnd w:id="576"/>
      <w:bookmarkEnd w:id="577"/>
      <w:bookmarkEnd w:id="579"/>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实际控制人性质：无实际控制人</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实际控制人类型：不存在</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公司不存在实际控制人情况的说明</w:t>
      </w:r>
    </w:p>
    <w:p>
      <w:pPr>
        <w:pStyle w:val="Style18"/>
        <w:keepNext w:val="0"/>
        <w:keepLines w:val="0"/>
        <w:widowControl w:val="0"/>
        <w:shd w:val="clear" w:color="auto" w:fill="auto"/>
        <w:bidi w:val="0"/>
        <w:spacing w:before="0" w:after="380" w:line="315" w:lineRule="exact"/>
        <w:ind w:left="0" w:right="0" w:firstLine="300"/>
        <w:jc w:val="both"/>
      </w:pPr>
      <w:r>
        <w:rPr>
          <w:color w:val="000000"/>
          <w:spacing w:val="0"/>
          <w:w w:val="100"/>
          <w:position w:val="0"/>
        </w:rPr>
        <w:t>目前我公司持股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以上各个股东之间的持股比例较为接近，任一股东（及一致行动人）无法通过表决权控制股东大会或 对股东大会决议产生决定性影响；任一股东（及一致行动人）没有能力决定半数以上董事会成员的选任；公司的股东之间（及 一致行动人）均不存在一致行动安排。公司持股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以上股东的持股比例、表决权比例和董事会成员的选任方面均未能达到 有关公司控制权的标准，亦不存在共同控制公司的协议安排，因此，我公司为无控股股东和无实际控制人的公司。</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公司最终控制层面是否存在持股比例在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以上的股东情况</w:t>
      </w:r>
    </w:p>
    <w:p>
      <w:pPr>
        <w:pStyle w:val="Style18"/>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法人</w:t>
      </w:r>
    </w:p>
    <w:p>
      <w:pPr>
        <w:pStyle w:val="Style18"/>
        <w:keepNext w:val="0"/>
        <w:keepLines w:val="0"/>
        <w:widowControl w:val="0"/>
        <w:shd w:val="clear" w:color="auto" w:fill="auto"/>
        <w:bidi w:val="0"/>
        <w:spacing w:before="0" w:after="120" w:line="315" w:lineRule="exact"/>
        <w:ind w:left="0" w:right="0" w:firstLine="0"/>
        <w:jc w:val="both"/>
      </w:pPr>
      <w:r>
        <w:rPr>
          <w:color w:val="000000"/>
          <w:spacing w:val="0"/>
          <w:w w:val="100"/>
          <w:position w:val="0"/>
        </w:rPr>
        <w:t>最终控制层面持股情况</w:t>
      </w:r>
    </w:p>
    <w:tbl>
      <w:tblPr>
        <w:tblOverlap w:val="never"/>
        <w:jc w:val="center"/>
        <w:tblLayout w:type="fixed"/>
      </w:tblPr>
      <w:tblGrid>
        <w:gridCol w:w="2270"/>
        <w:gridCol w:w="1618"/>
        <w:gridCol w:w="1565"/>
        <w:gridCol w:w="1882"/>
        <w:gridCol w:w="2251"/>
      </w:tblGrid>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最终控制层面股东名称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w:t>
            </w:r>
            <w:r>
              <w:rPr>
                <w:rFonts w:ascii="SimSun" w:eastAsia="SimSun" w:hAnsi="SimSun" w:cs="SimSun"/>
                <w:color w:val="000000"/>
                <w:spacing w:val="0"/>
                <w:w w:val="100"/>
                <w:position w:val="0"/>
                <w:sz w:val="17"/>
                <w:szCs w:val="17"/>
              </w:rPr>
              <w:t>单位负 责人</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主要经营业务</w:t>
            </w:r>
          </w:p>
        </w:tc>
      </w:tr>
    </w:tbl>
    <w:p>
      <w:pPr>
        <w:widowControl w:val="0"/>
        <w:spacing w:line="1" w:lineRule="exact"/>
      </w:pPr>
    </w:p>
    <w:tbl>
      <w:tblPr>
        <w:tblOverlap w:val="never"/>
        <w:jc w:val="center"/>
        <w:tblLayout w:type="fixed"/>
      </w:tblPr>
      <w:tblGrid>
        <w:gridCol w:w="2270"/>
        <w:gridCol w:w="1618"/>
        <w:gridCol w:w="1565"/>
        <w:gridCol w:w="1882"/>
        <w:gridCol w:w="2251"/>
      </w:tblGrid>
      <w:tr>
        <w:trPr>
          <w:trHeight w:val="383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北京中嘉华信息技术有限公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史建中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9111010273347967XD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软件开发；数据处理服务； 经济贸易咨询、投资咨询、 企业管理咨询；销售计算机、 软件及辅助设备（计算机信 息系统安全专用产品除外）、 电子产品、日用品、五金交 电、机械设备、纸张、纸制 品；接受金融机构委托从事 金融业务流程外包。（依法须 经批准的项目，经相关部门 批准后依批准的内容开展经 营活动。）</w:t>
            </w: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最终控制层面股东报告期内 控制的其他境内外上市公司 的股权情况</w:t>
            </w:r>
          </w:p>
        </w:tc>
        <w:tc>
          <w:tcPr>
            <w:gridSpan w:val="4"/>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4</w:t>
      </w:r>
      <w:bookmarkEnd w:id="582"/>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580"/>
      <w:bookmarkEnd w:id="581"/>
      <w:bookmarkEnd w:id="583"/>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584" w:name="bookmark584"/>
      <w:bookmarkStart w:id="585" w:name="bookmark585"/>
      <w:bookmarkStart w:id="586" w:name="bookmark586"/>
      <w:bookmarkStart w:id="587" w:name="bookmark587"/>
      <w:r>
        <w:rPr>
          <w:rFonts w:ascii="Times New Roman" w:eastAsia="Times New Roman" w:hAnsi="Times New Roman" w:cs="Times New Roman"/>
          <w:color w:val="000000"/>
          <w:spacing w:val="0"/>
          <w:w w:val="100"/>
          <w:position w:val="0"/>
        </w:rPr>
        <w:t>5</w:t>
      </w:r>
      <w:bookmarkEnd w:id="586"/>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84"/>
      <w:bookmarkEnd w:id="585"/>
      <w:bookmarkEnd w:id="587"/>
    </w:p>
    <w:p>
      <w:pPr>
        <w:pStyle w:val="Style18"/>
        <w:keepNext w:val="0"/>
        <w:keepLines w:val="0"/>
        <w:widowControl w:val="0"/>
        <w:numPr>
          <w:ilvl w:val="0"/>
          <w:numId w:val="7"/>
        </w:numPr>
        <w:shd w:val="clear" w:color="auto" w:fill="auto"/>
        <w:tabs>
          <w:tab w:pos="282" w:val="left"/>
        </w:tabs>
        <w:bidi w:val="0"/>
        <w:spacing w:before="0" w:after="380" w:line="240" w:lineRule="auto"/>
        <w:ind w:left="0" w:right="0" w:firstLine="0"/>
        <w:jc w:val="left"/>
      </w:pPr>
      <w:bookmarkStart w:id="588" w:name="bookmark588"/>
      <w:bookmarkEnd w:id="58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6</w:t>
      </w:r>
      <w:bookmarkEnd w:id="591"/>
      <w:r>
        <w:rPr>
          <w:color w:val="000000"/>
          <w:spacing w:val="0"/>
          <w:w w:val="100"/>
          <w:position w:val="0"/>
        </w:rPr>
        <w:t>、</w:t>
        <w:tab/>
        <w:t>控股股东、实际控制人、重组方及其他承诺主体股份限制减持情况</w:t>
      </w:r>
      <w:bookmarkEnd w:id="589"/>
      <w:bookmarkEnd w:id="590"/>
      <w:bookmarkEnd w:id="592"/>
    </w:p>
    <w:p>
      <w:pPr>
        <w:pStyle w:val="Style18"/>
        <w:keepNext w:val="0"/>
        <w:keepLines w:val="0"/>
        <w:widowControl w:val="0"/>
        <w:numPr>
          <w:ilvl w:val="0"/>
          <w:numId w:val="7"/>
        </w:numPr>
        <w:shd w:val="clear" w:color="auto" w:fill="auto"/>
        <w:tabs>
          <w:tab w:pos="282" w:val="left"/>
        </w:tabs>
        <w:bidi w:val="0"/>
        <w:spacing w:before="0" w:after="380" w:line="240" w:lineRule="auto"/>
        <w:ind w:left="0" w:right="0" w:firstLine="0"/>
        <w:jc w:val="left"/>
      </w:pPr>
      <w:bookmarkStart w:id="593" w:name="bookmark593"/>
      <w:bookmarkEnd w:id="59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594" w:name="bookmark594"/>
      <w:bookmarkStart w:id="595" w:name="bookmark595"/>
      <w:bookmarkStart w:id="596" w:name="bookmark596"/>
      <w:bookmarkStart w:id="597" w:name="bookmark597"/>
      <w:r>
        <w:rPr>
          <w:color w:val="000000"/>
          <w:spacing w:val="0"/>
          <w:w w:val="100"/>
          <w:position w:val="0"/>
        </w:rPr>
        <w:t>四</w:t>
      </w:r>
      <w:bookmarkEnd w:id="596"/>
      <w:r>
        <w:rPr>
          <w:color w:val="000000"/>
          <w:spacing w:val="0"/>
          <w:w w:val="100"/>
          <w:position w:val="0"/>
        </w:rPr>
        <w:t>、股份回购在报告期的具体实施情况</w:t>
      </w:r>
      <w:bookmarkEnd w:id="594"/>
      <w:bookmarkEnd w:id="595"/>
      <w:bookmarkEnd w:id="597"/>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18"/>
        <w:keepNext w:val="0"/>
        <w:keepLines w:val="0"/>
        <w:widowControl w:val="0"/>
        <w:numPr>
          <w:ilvl w:val="0"/>
          <w:numId w:val="7"/>
        </w:numPr>
        <w:shd w:val="clear" w:color="auto" w:fill="auto"/>
        <w:tabs>
          <w:tab w:pos="282" w:val="left"/>
        </w:tabs>
        <w:bidi w:val="0"/>
        <w:spacing w:before="0" w:after="140" w:line="240" w:lineRule="auto"/>
        <w:ind w:left="0" w:right="0" w:firstLine="0"/>
        <w:jc w:val="left"/>
      </w:pPr>
      <w:bookmarkStart w:id="598" w:name="bookmark598"/>
      <w:bookmarkEnd w:id="59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18"/>
        <w:keepNext w:val="0"/>
        <w:keepLines w:val="0"/>
        <w:widowControl w:val="0"/>
        <w:numPr>
          <w:ilvl w:val="0"/>
          <w:numId w:val="7"/>
        </w:numPr>
        <w:shd w:val="clear" w:color="auto" w:fill="auto"/>
        <w:tabs>
          <w:tab w:pos="282" w:val="left"/>
        </w:tabs>
        <w:bidi w:val="0"/>
        <w:spacing w:before="0" w:after="260" w:line="240" w:lineRule="auto"/>
        <w:ind w:left="0" w:right="0" w:firstLine="0"/>
        <w:jc w:val="left"/>
      </w:pPr>
      <w:bookmarkStart w:id="599" w:name="bookmark599"/>
      <w:bookmarkEnd w:id="59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2691130</wp:posOffset>
                </wp:positionH>
                <wp:positionV relativeFrom="paragraph">
                  <wp:posOffset>0</wp:posOffset>
                </wp:positionV>
                <wp:extent cx="2170430" cy="243840"/>
                <wp:wrapTopAndBottom/>
                <wp:docPr id="3" name="Shape 3"/>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0"/>
                              <w:keepNext/>
                              <w:keepLines/>
                              <w:widowControl w:val="0"/>
                              <w:shd w:val="clear" w:color="auto" w:fill="auto"/>
                              <w:bidi w:val="0"/>
                              <w:spacing w:before="0" w:after="0" w:line="240" w:lineRule="auto"/>
                              <w:ind w:left="0" w:right="0" w:firstLine="0"/>
                              <w:jc w:val="center"/>
                            </w:pPr>
                            <w:bookmarkStart w:id="55" w:name="bookmark55"/>
                            <w:bookmarkStart w:id="56" w:name="bookmark56"/>
                            <w:bookmarkStart w:id="57" w:name="bookmark57"/>
                            <w:r>
                              <w:rPr>
                                <w:color w:val="000000"/>
                                <w:spacing w:val="0"/>
                                <w:w w:val="100"/>
                                <w:position w:val="0"/>
                              </w:rPr>
                              <w:t>第八节优先股相关情况</w:t>
                            </w:r>
                            <w:bookmarkEnd w:id="55"/>
                            <w:bookmarkEnd w:id="56"/>
                            <w:bookmarkEnd w:id="57"/>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211.90000000000001pt;margin-top:0;width:170.90000000000001pt;height:19.199999999999999pt;z-index:-125829375;mso-wrap-distance-left:0;mso-wrap-distance-right:0;mso-wrap-distance-bottom:21.pt;mso-position-horizontal-relative:page" filled="f" stroked="f">
                <v:textbox inset="0,0,0,0">
                  <w:txbxContent>
                    <w:p>
                      <w:pPr>
                        <w:pStyle w:val="Style10"/>
                        <w:keepNext/>
                        <w:keepLines/>
                        <w:widowControl w:val="0"/>
                        <w:shd w:val="clear" w:color="auto" w:fill="auto"/>
                        <w:bidi w:val="0"/>
                        <w:spacing w:before="0" w:after="0" w:line="240" w:lineRule="auto"/>
                        <w:ind w:left="0" w:right="0" w:firstLine="0"/>
                        <w:jc w:val="center"/>
                      </w:pPr>
                      <w:bookmarkStart w:id="55" w:name="bookmark55"/>
                      <w:bookmarkStart w:id="56" w:name="bookmark56"/>
                      <w:bookmarkStart w:id="57" w:name="bookmark57"/>
                      <w:r>
                        <w:rPr>
                          <w:color w:val="000000"/>
                          <w:spacing w:val="0"/>
                          <w:w w:val="100"/>
                          <w:position w:val="0"/>
                        </w:rPr>
                        <w:t>第八节优先股相关情况</w:t>
                      </w:r>
                      <w:bookmarkEnd w:id="55"/>
                      <w:bookmarkEnd w:id="56"/>
                      <w:bookmarkEnd w:id="57"/>
                    </w:p>
                  </w:txbxContent>
                </v:textbox>
                <w10:wrap type="topAndBottom" anchorx="page"/>
              </v:shape>
            </w:pict>
          </mc:Fallback>
        </mc:AlternateContent>
      </w:r>
    </w:p>
    <w:p>
      <w:pPr>
        <w:pStyle w:val="Style18"/>
        <w:keepNext w:val="0"/>
        <w:keepLines w:val="0"/>
        <w:widowControl w:val="0"/>
        <w:shd w:val="clear" w:color="auto" w:fill="auto"/>
        <w:bidi w:val="0"/>
        <w:spacing w:before="0" w:after="140" w:line="240" w:lineRule="auto"/>
        <w:ind w:left="0" w:right="0" w:firstLine="0"/>
        <w:jc w:val="left"/>
      </w:pPr>
      <w:bookmarkStart w:id="600" w:name="bookmark600"/>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00"/>
    </w:p>
    <w:p>
      <w:pPr>
        <w:pStyle w:val="Style1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88" w:right="1065" w:bottom="1422" w:left="1058" w:header="0" w:footer="3" w:gutter="0"/>
          <w:cols w:space="720"/>
          <w:noEndnote/>
          <w:rtlGutter w:val="0"/>
          <w:docGrid w:linePitch="360"/>
        </w:sectPr>
      </w:pPr>
      <w:r>
        <w:rPr>
          <w:color w:val="000000"/>
          <w:spacing w:val="0"/>
          <w:w w:val="100"/>
          <w:position w:val="0"/>
        </w:rPr>
        <w:t>报告期公司不存在优先股。</w:t>
      </w: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1900" w:h="16840"/>
          <w:pgMar w:top="1152" w:right="1138" w:bottom="1162" w:left="1114" w:header="0" w:footer="3" w:gutter="0"/>
          <w:cols w:space="720"/>
          <w:noEndnote/>
          <w:rtlGutter w:val="0"/>
          <w:docGrid w:linePitch="360"/>
        </w:sectPr>
      </w:pPr>
    </w:p>
    <w:p>
      <w:pPr>
        <w:pStyle w:val="Style18"/>
        <w:keepNext w:val="0"/>
        <w:keepLines w:val="0"/>
        <w:framePr w:w="1416" w:h="259" w:wrap="none" w:vAnchor="text" w:hAnchor="page" w:x="1115" w:y="918"/>
        <w:widowControl w:val="0"/>
        <w:shd w:val="clear" w:color="auto" w:fill="auto"/>
        <w:bidi w:val="0"/>
        <w:spacing w:before="0" w:after="0" w:line="240" w:lineRule="auto"/>
        <w:ind w:left="0" w:right="0" w:firstLine="0"/>
        <w:jc w:val="left"/>
      </w:pPr>
      <w:bookmarkStart w:id="601" w:name="bookmark601"/>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01"/>
    </w:p>
    <w:p>
      <w:pPr>
        <w:pStyle w:val="Style10"/>
        <w:keepNext/>
        <w:keepLines/>
        <w:framePr w:w="3091" w:h="389" w:wrap="none" w:vAnchor="text" w:hAnchor="page" w:x="4403" w:y="21"/>
        <w:widowControl w:val="0"/>
        <w:shd w:val="clear" w:color="auto" w:fill="auto"/>
        <w:bidi w:val="0"/>
        <w:spacing w:before="0" w:after="0" w:line="240" w:lineRule="auto"/>
        <w:ind w:left="0" w:right="0" w:firstLine="0"/>
        <w:jc w:val="center"/>
      </w:pPr>
      <w:bookmarkStart w:id="602" w:name="bookmark602"/>
      <w:bookmarkStart w:id="603" w:name="bookmark603"/>
      <w:bookmarkStart w:id="604" w:name="bookmark604"/>
      <w:r>
        <w:rPr>
          <w:color w:val="000000"/>
          <w:spacing w:val="0"/>
          <w:w w:val="100"/>
          <w:position w:val="0"/>
        </w:rPr>
        <w:t>第九节债券相关情况</w:t>
      </w:r>
      <w:bookmarkEnd w:id="602"/>
      <w:bookmarkEnd w:id="603"/>
      <w:bookmarkEnd w:id="604"/>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Restart w:val="continuous"/>
          </w:footnotePr>
          <w:type w:val="continuous"/>
          <w:pgSz w:w="11900" w:h="16840"/>
          <w:pgMar w:top="1152" w:right="1138" w:bottom="1162" w:left="1114" w:header="0" w:footer="3" w:gutter="0"/>
          <w:cols w:space="720"/>
          <w:noEndnote/>
          <w:rtlGutter w:val="0"/>
          <w:docGrid w:linePitch="360"/>
        </w:sectPr>
      </w:pPr>
    </w:p>
    <w:p>
      <w:pPr>
        <w:pStyle w:val="Style10"/>
        <w:keepNext/>
        <w:keepLines/>
        <w:widowControl w:val="0"/>
        <w:shd w:val="clear" w:color="auto" w:fill="auto"/>
        <w:bidi w:val="0"/>
        <w:spacing w:before="560" w:after="540" w:line="240" w:lineRule="auto"/>
        <w:ind w:left="0" w:right="0" w:firstLine="0"/>
        <w:jc w:val="center"/>
      </w:pPr>
      <w:bookmarkStart w:id="605" w:name="bookmark605"/>
      <w:bookmarkStart w:id="606" w:name="bookmark606"/>
      <w:bookmarkStart w:id="607" w:name="bookmark607"/>
      <w:r>
        <w:rPr>
          <w:color w:val="000000"/>
          <w:spacing w:val="0"/>
          <w:w w:val="100"/>
          <w:position w:val="0"/>
        </w:rPr>
        <w:t>第十节财务报告</w:t>
      </w:r>
      <w:bookmarkEnd w:id="605"/>
      <w:bookmarkEnd w:id="606"/>
      <w:bookmarkEnd w:id="607"/>
    </w:p>
    <w:p>
      <w:pPr>
        <w:pStyle w:val="Style23"/>
        <w:keepNext/>
        <w:keepLines/>
        <w:widowControl w:val="0"/>
        <w:shd w:val="clear" w:color="auto" w:fill="auto"/>
        <w:bidi w:val="0"/>
        <w:spacing w:before="0" w:after="340" w:line="240" w:lineRule="auto"/>
        <w:ind w:left="0" w:right="0" w:firstLine="0"/>
        <w:jc w:val="left"/>
      </w:pPr>
      <w:bookmarkStart w:id="608" w:name="bookmark608"/>
      <w:bookmarkStart w:id="609" w:name="bookmark609"/>
      <w:bookmarkStart w:id="610" w:name="bookmark610"/>
      <w:bookmarkStart w:id="611" w:name="bookmark611"/>
      <w:bookmarkStart w:id="612" w:name="bookmark612"/>
      <w:r>
        <w:rPr>
          <w:color w:val="000000"/>
          <w:spacing w:val="0"/>
          <w:w w:val="100"/>
          <w:position w:val="0"/>
        </w:rPr>
        <w:t>一</w:t>
      </w:r>
      <w:bookmarkEnd w:id="611"/>
      <w:r>
        <w:rPr>
          <w:color w:val="000000"/>
          <w:spacing w:val="0"/>
          <w:w w:val="100"/>
          <w:position w:val="0"/>
        </w:rPr>
        <w:t>、审计报告</w:t>
      </w:r>
      <w:bookmarkEnd w:id="609"/>
      <w:bookmarkEnd w:id="610"/>
      <w:bookmarkEnd w:id="612"/>
      <w:bookmarkEnd w:id="608"/>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信永中和会计师事务所</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XYZH/2022BJAA</w:t>
            </w:r>
            <w:r>
              <w:rPr>
                <w:color w:val="000000"/>
                <w:spacing w:val="0"/>
                <w:w w:val="100"/>
                <w:position w:val="0"/>
              </w:rPr>
              <w:t>120004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崔迎、夏瑞</w:t>
            </w:r>
          </w:p>
        </w:tc>
      </w:tr>
    </w:tbl>
    <w:p>
      <w:pPr>
        <w:pStyle w:val="Style25"/>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399" w:line="1" w:lineRule="exact"/>
      </w:pPr>
    </w:p>
    <w:p>
      <w:pPr>
        <w:pStyle w:val="Style20"/>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东港股份有限公司全体股东</w:t>
      </w:r>
      <w:r>
        <w:rPr>
          <w:rFonts w:ascii="SimSun" w:eastAsia="SimSun" w:hAnsi="SimSun" w:cs="SimSun"/>
          <w:b/>
          <w:bCs/>
          <w:color w:val="000000"/>
          <w:spacing w:val="0"/>
          <w:w w:val="100"/>
          <w:position w:val="0"/>
          <w:sz w:val="22"/>
          <w:szCs w:val="22"/>
        </w:rPr>
        <w:t>：</w:t>
      </w:r>
    </w:p>
    <w:p>
      <w:pPr>
        <w:pStyle w:val="Style18"/>
        <w:keepNext w:val="0"/>
        <w:keepLines w:val="0"/>
        <w:widowControl w:val="0"/>
        <w:shd w:val="clear" w:color="auto" w:fill="auto"/>
        <w:tabs>
          <w:tab w:pos="1320" w:val="left"/>
        </w:tabs>
        <w:bidi w:val="0"/>
        <w:spacing w:before="0" w:after="0" w:line="310" w:lineRule="exact"/>
        <w:ind w:left="0" w:right="0" w:firstLine="880"/>
        <w:jc w:val="both"/>
      </w:pPr>
      <w:bookmarkStart w:id="613" w:name="bookmark613"/>
      <w:r>
        <w:rPr>
          <w:b/>
          <w:bCs/>
          <w:color w:val="000000"/>
          <w:spacing w:val="0"/>
          <w:w w:val="100"/>
          <w:position w:val="0"/>
        </w:rPr>
        <w:t>一</w:t>
      </w:r>
      <w:bookmarkEnd w:id="613"/>
      <w:r>
        <w:rPr>
          <w:b/>
          <w:bCs/>
          <w:color w:val="000000"/>
          <w:spacing w:val="0"/>
          <w:w w:val="100"/>
          <w:position w:val="0"/>
        </w:rPr>
        <w:t>、</w:t>
        <w:tab/>
        <w:t>审计意见</w:t>
      </w:r>
    </w:p>
    <w:p>
      <w:pPr>
        <w:pStyle w:val="Style18"/>
        <w:keepNext w:val="0"/>
        <w:keepLines w:val="0"/>
        <w:widowControl w:val="0"/>
        <w:shd w:val="clear" w:color="auto" w:fill="auto"/>
        <w:bidi w:val="0"/>
        <w:spacing w:before="0" w:after="0" w:line="310" w:lineRule="exact"/>
        <w:ind w:left="0" w:right="0" w:firstLine="300"/>
        <w:jc w:val="both"/>
      </w:pPr>
      <w:r>
        <w:rPr>
          <w:color w:val="000000"/>
          <w:spacing w:val="0"/>
          <w:w w:val="100"/>
          <w:position w:val="0"/>
        </w:rPr>
        <w:t>我们审计了东港股份有限公司（以下简称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东港股份公司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日的合并及母公司资产负债表，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年度的合并及母公司利润表、合并及母公司现金流量表、合并及母公司股东权益变动表，以及相关财务报表附注。</w:t>
      </w:r>
    </w:p>
    <w:p>
      <w:pPr>
        <w:pStyle w:val="Style18"/>
        <w:keepNext w:val="0"/>
        <w:keepLines w:val="0"/>
        <w:widowControl w:val="0"/>
        <w:shd w:val="clear" w:color="auto" w:fill="auto"/>
        <w:bidi w:val="0"/>
        <w:spacing w:before="0" w:after="0" w:line="310" w:lineRule="exact"/>
        <w:ind w:left="0" w:right="0" w:firstLine="460"/>
        <w:jc w:val="both"/>
      </w:pPr>
      <w:r>
        <w:rPr>
          <w:color w:val="000000"/>
          <w:spacing w:val="0"/>
          <w:w w:val="100"/>
          <w:position w:val="0"/>
        </w:rPr>
        <w:t>我们认为，后附的财务报表在所有重大方面按照企业会计准则的规定编制，公允反映了东港股份公司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的合并及母公司财务状况以及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年度的合并及母公司经营成果和现金流量。</w:t>
      </w:r>
    </w:p>
    <w:p>
      <w:pPr>
        <w:pStyle w:val="Style18"/>
        <w:keepNext w:val="0"/>
        <w:keepLines w:val="0"/>
        <w:widowControl w:val="0"/>
        <w:shd w:val="clear" w:color="auto" w:fill="auto"/>
        <w:tabs>
          <w:tab w:pos="1320" w:val="left"/>
        </w:tabs>
        <w:bidi w:val="0"/>
        <w:spacing w:before="0" w:after="0" w:line="310" w:lineRule="exact"/>
        <w:ind w:left="0" w:right="0" w:firstLine="880"/>
        <w:jc w:val="both"/>
      </w:pPr>
      <w:bookmarkStart w:id="614" w:name="bookmark614"/>
      <w:r>
        <w:rPr>
          <w:b/>
          <w:bCs/>
          <w:color w:val="000000"/>
          <w:spacing w:val="0"/>
          <w:w w:val="100"/>
          <w:position w:val="0"/>
        </w:rPr>
        <w:t>二</w:t>
      </w:r>
      <w:bookmarkEnd w:id="614"/>
      <w:r>
        <w:rPr>
          <w:b/>
          <w:bCs/>
          <w:color w:val="000000"/>
          <w:spacing w:val="0"/>
          <w:w w:val="100"/>
          <w:position w:val="0"/>
        </w:rPr>
        <w:t>、</w:t>
        <w:tab/>
        <w:t>形成审计意见的基础</w:t>
      </w:r>
    </w:p>
    <w:p>
      <w:pPr>
        <w:pStyle w:val="Style18"/>
        <w:keepNext w:val="0"/>
        <w:keepLines w:val="0"/>
        <w:widowControl w:val="0"/>
        <w:shd w:val="clear" w:color="auto" w:fill="auto"/>
        <w:bidi w:val="0"/>
        <w:spacing w:before="0" w:after="0" w:line="310" w:lineRule="exact"/>
        <w:ind w:left="0" w:right="0" w:firstLine="46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 步阐述了我们在这些准则下的责任。按照中国注册会计师职业道德守则，我们独立于东港股份公司，并履行了职业道德方面 的其他责任。我们相信，我们获取的审计证据是充分、适当的，为发表审计意见提供了基础。</w:t>
      </w:r>
    </w:p>
    <w:p>
      <w:pPr>
        <w:pStyle w:val="Style18"/>
        <w:keepNext w:val="0"/>
        <w:keepLines w:val="0"/>
        <w:widowControl w:val="0"/>
        <w:shd w:val="clear" w:color="auto" w:fill="auto"/>
        <w:tabs>
          <w:tab w:pos="1320" w:val="left"/>
        </w:tabs>
        <w:bidi w:val="0"/>
        <w:spacing w:before="0" w:after="0" w:line="310" w:lineRule="exact"/>
        <w:ind w:left="0" w:right="0" w:firstLine="880"/>
        <w:jc w:val="both"/>
      </w:pPr>
      <w:bookmarkStart w:id="615" w:name="bookmark615"/>
      <w:r>
        <w:rPr>
          <w:b/>
          <w:bCs/>
          <w:color w:val="000000"/>
          <w:spacing w:val="0"/>
          <w:w w:val="100"/>
          <w:position w:val="0"/>
        </w:rPr>
        <w:t>三</w:t>
      </w:r>
      <w:bookmarkEnd w:id="615"/>
      <w:r>
        <w:rPr>
          <w:b/>
          <w:bCs/>
          <w:color w:val="000000"/>
          <w:spacing w:val="0"/>
          <w:w w:val="100"/>
          <w:position w:val="0"/>
        </w:rPr>
        <w:t>、</w:t>
        <w:tab/>
        <w:t>关键审计事项</w:t>
      </w:r>
    </w:p>
    <w:p>
      <w:pPr>
        <w:pStyle w:val="Style18"/>
        <w:keepNext w:val="0"/>
        <w:keepLines w:val="0"/>
        <w:widowControl w:val="0"/>
        <w:shd w:val="clear" w:color="auto" w:fill="auto"/>
        <w:bidi w:val="0"/>
        <w:spacing w:before="0" w:after="340" w:line="310" w:lineRule="exact"/>
        <w:ind w:left="0" w:right="0" w:firstLine="460"/>
        <w:jc w:val="both"/>
      </w:pPr>
      <w:r>
        <w:rPr>
          <w:color w:val="000000"/>
          <w:spacing w:val="0"/>
          <w:w w:val="100"/>
          <w:position w:val="0"/>
        </w:rPr>
        <w:t>关键审计事项是我们根据职业判断，认为对本期财务报表审计最为重要的事项。这些事项的应对以对财务报表整体进 行审计并形成审计意见为背景，我们不对这些事项单独发表意见。</w:t>
      </w:r>
    </w:p>
    <w:tbl>
      <w:tblPr>
        <w:tblOverlap w:val="never"/>
        <w:jc w:val="center"/>
        <w:tblLayout w:type="fixed"/>
      </w:tblPr>
      <w:tblGrid>
        <w:gridCol w:w="4354"/>
        <w:gridCol w:w="4358"/>
      </w:tblGrid>
      <w:tr>
        <w:trPr>
          <w:trHeight w:val="355"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1.</w:t>
            </w:r>
            <w:r>
              <w:rPr>
                <w:rFonts w:ascii="SimSun" w:eastAsia="SimSun" w:hAnsi="SimSun" w:cs="SimSun"/>
                <w:b/>
                <w:bCs/>
                <w:color w:val="000000"/>
                <w:spacing w:val="0"/>
                <w:w w:val="100"/>
                <w:position w:val="0"/>
                <w:sz w:val="17"/>
                <w:szCs w:val="17"/>
              </w:rPr>
              <w:t>收入确认</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关键审计事项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审计中的应对</w:t>
            </w:r>
          </w:p>
        </w:tc>
      </w:tr>
      <w:tr>
        <w:trPr>
          <w:trHeight w:val="4104"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3" w:lineRule="exact"/>
              <w:ind w:left="0" w:right="0" w:firstLine="440"/>
              <w:jc w:val="both"/>
              <w:rPr>
                <w:sz w:val="17"/>
                <w:szCs w:val="17"/>
              </w:rPr>
            </w:pPr>
            <w:r>
              <w:rPr>
                <w:rFonts w:ascii="SimSun" w:eastAsia="SimSun" w:hAnsi="SimSun" w:cs="SimSun"/>
                <w:color w:val="000000"/>
                <w:spacing w:val="0"/>
                <w:w w:val="100"/>
                <w:position w:val="0"/>
                <w:sz w:val="17"/>
                <w:szCs w:val="17"/>
              </w:rPr>
              <w:t>东港股份公司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 xml:space="preserve">年度实现营业收入 </w:t>
            </w:r>
            <w:r>
              <w:rPr>
                <w:color w:val="000000"/>
                <w:spacing w:val="0"/>
                <w:w w:val="100"/>
                <w:position w:val="0"/>
                <w:sz w:val="18"/>
                <w:szCs w:val="18"/>
              </w:rPr>
              <w:t>1,200,941,510.94</w:t>
            </w:r>
            <w:r>
              <w:rPr>
                <w:rFonts w:ascii="SimSun" w:eastAsia="SimSun" w:hAnsi="SimSun" w:cs="SimSun"/>
                <w:color w:val="000000"/>
                <w:spacing w:val="0"/>
                <w:w w:val="100"/>
                <w:position w:val="0"/>
                <w:sz w:val="17"/>
                <w:szCs w:val="17"/>
              </w:rPr>
              <w:t>元。公司以印刷及相关产品为主营业务， 并且该类销售业务交易发生频繁，涉及众多机构。根据 销售合同的约定，通常以与货物所有权上的风险和报酬 转移作为收入的确认时点，由于收入是公司的关键业绩 指标之一，存在管理层为了达到特定目标或期望而操纵 收入确认时点的固有风险，因此，我们将收入确认识别 为关键审计事项。</w:t>
            </w:r>
          </w:p>
          <w:p>
            <w:pPr>
              <w:pStyle w:val="Style20"/>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相关信息披露参见财务报表附注四、</w:t>
            </w:r>
            <w:r>
              <w:rPr>
                <w:color w:val="000000"/>
                <w:spacing w:val="0"/>
                <w:w w:val="100"/>
                <w:position w:val="0"/>
                <w:sz w:val="18"/>
                <w:szCs w:val="18"/>
              </w:rPr>
              <w:t>30</w:t>
            </w:r>
            <w:r>
              <w:rPr>
                <w:rFonts w:ascii="SimSun" w:eastAsia="SimSun" w:hAnsi="SimSun" w:cs="SimSun"/>
                <w:color w:val="000000"/>
                <w:spacing w:val="0"/>
                <w:w w:val="100"/>
                <w:position w:val="0"/>
                <w:sz w:val="17"/>
                <w:szCs w:val="17"/>
              </w:rPr>
              <w:t>及附注六、</w:t>
            </w:r>
            <w:r>
              <w:rPr>
                <w:color w:val="000000"/>
                <w:spacing w:val="0"/>
                <w:w w:val="100"/>
                <w:position w:val="0"/>
                <w:sz w:val="18"/>
                <w:szCs w:val="18"/>
              </w:rPr>
              <w:t>36</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tabs>
                <w:tab w:pos="408" w:val="left"/>
              </w:tabs>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tab/>
              <w:t>评价、测试与收入确认相关的关键内部控制的设计 和运行的有效性。</w:t>
            </w:r>
          </w:p>
          <w:p>
            <w:pPr>
              <w:pStyle w:val="Style20"/>
              <w:keepNext w:val="0"/>
              <w:keepLines w:val="0"/>
              <w:widowControl w:val="0"/>
              <w:shd w:val="clear" w:color="auto" w:fill="auto"/>
              <w:tabs>
                <w:tab w:pos="403" w:val="left"/>
              </w:tabs>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tab/>
              <w:t>选取样本检查签订的销售合同，识别与商品所有权 相关的风险报酬转移的条款和条件，评价收入确认的时 点是否符合企业会计准则的要求。</w:t>
            </w:r>
          </w:p>
          <w:p>
            <w:pPr>
              <w:pStyle w:val="Style20"/>
              <w:keepNext w:val="0"/>
              <w:keepLines w:val="0"/>
              <w:widowControl w:val="0"/>
              <w:shd w:val="clear" w:color="auto" w:fill="auto"/>
              <w:tabs>
                <w:tab w:pos="403" w:val="left"/>
              </w:tabs>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w:t>
              <w:tab/>
              <w:t>在本年账面记录的销售收入中选取样本，检查销售 合同、货物发运单、验收单等评价收入的确认是否符合 收入确认的会计政策。</w:t>
            </w:r>
          </w:p>
          <w:p>
            <w:pPr>
              <w:pStyle w:val="Style20"/>
              <w:keepNext w:val="0"/>
              <w:keepLines w:val="0"/>
              <w:widowControl w:val="0"/>
              <w:shd w:val="clear" w:color="auto" w:fill="auto"/>
              <w:tabs>
                <w:tab w:pos="403" w:val="left"/>
              </w:tabs>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w:t>
              <w:tab/>
              <w:t>将出库记录与账面收入记录核对，检查收入记录是 否完整。</w:t>
            </w:r>
          </w:p>
          <w:p>
            <w:pPr>
              <w:pStyle w:val="Style20"/>
              <w:keepNext w:val="0"/>
              <w:keepLines w:val="0"/>
              <w:widowControl w:val="0"/>
              <w:shd w:val="clear" w:color="auto" w:fill="auto"/>
              <w:tabs>
                <w:tab w:pos="422" w:val="left"/>
              </w:tabs>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5</w:t>
            </w:r>
            <w:r>
              <w:rPr>
                <w:rFonts w:ascii="SimSun" w:eastAsia="SimSun" w:hAnsi="SimSun" w:cs="SimSun"/>
                <w:color w:val="000000"/>
                <w:spacing w:val="0"/>
                <w:w w:val="100"/>
                <w:position w:val="0"/>
                <w:sz w:val="17"/>
                <w:szCs w:val="17"/>
              </w:rPr>
              <w:t>）</w:t>
              <w:tab/>
              <w:t>向重要客户实施函证程序，询证本年发生的销售金 额及往来款项余额。</w:t>
            </w:r>
          </w:p>
          <w:p>
            <w:pPr>
              <w:pStyle w:val="Style20"/>
              <w:keepNext w:val="0"/>
              <w:keepLines w:val="0"/>
              <w:widowControl w:val="0"/>
              <w:shd w:val="clear" w:color="auto" w:fill="auto"/>
              <w:tabs>
                <w:tab w:pos="312" w:val="left"/>
              </w:tabs>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6</w:t>
            </w:r>
            <w:r>
              <w:rPr>
                <w:rFonts w:ascii="SimSun" w:eastAsia="SimSun" w:hAnsi="SimSun" w:cs="SimSun"/>
                <w:color w:val="000000"/>
                <w:spacing w:val="0"/>
                <w:w w:val="100"/>
                <w:position w:val="0"/>
                <w:sz w:val="17"/>
                <w:szCs w:val="17"/>
              </w:rPr>
              <w:t>）</w:t>
              <w:tab/>
              <w:t>选取资产负债表日前后的收入确认交易样本，检查</w:t>
            </w:r>
          </w:p>
        </w:tc>
      </w:tr>
    </w:tbl>
    <w:p>
      <w:pPr>
        <w:widowControl w:val="0"/>
        <w:spacing w:line="1" w:lineRule="exact"/>
      </w:pPr>
    </w:p>
    <w:tbl>
      <w:tblPr>
        <w:tblOverlap w:val="never"/>
        <w:jc w:val="center"/>
        <w:tblLayout w:type="fixed"/>
      </w:tblPr>
      <w:tblGrid>
        <w:gridCol w:w="4354"/>
        <w:gridCol w:w="4358"/>
      </w:tblGrid>
      <w:tr>
        <w:trPr>
          <w:trHeight w:val="6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货物发运单等相关文件，评价收入是否记录在恰当的会 计期间。</w:t>
            </w:r>
          </w:p>
        </w:tc>
      </w:tr>
      <w:tr>
        <w:trPr>
          <w:trHeight w:val="346"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2.</w:t>
            </w:r>
            <w:r>
              <w:rPr>
                <w:rFonts w:ascii="SimSun" w:eastAsia="SimSun" w:hAnsi="SimSun" w:cs="SimSun"/>
                <w:b/>
                <w:bCs/>
                <w:color w:val="000000"/>
                <w:spacing w:val="0"/>
                <w:w w:val="100"/>
                <w:position w:val="0"/>
                <w:sz w:val="17"/>
                <w:szCs w:val="17"/>
              </w:rPr>
              <w:t>应收账款的坏账准备</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关键审计事项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审计中的应对</w:t>
            </w:r>
          </w:p>
        </w:tc>
      </w:tr>
      <w:tr>
        <w:trPr>
          <w:trHeight w:val="4099"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3" w:lineRule="exact"/>
              <w:ind w:left="0" w:right="0" w:firstLine="440"/>
              <w:jc w:val="both"/>
              <w:rPr>
                <w:sz w:val="17"/>
                <w:szCs w:val="17"/>
              </w:rPr>
            </w:pPr>
            <w:r>
              <w:rPr>
                <w:rFonts w:ascii="SimSun" w:eastAsia="SimSun" w:hAnsi="SimSun" w:cs="SimSun"/>
                <w:color w:val="000000"/>
                <w:spacing w:val="0"/>
                <w:w w:val="100"/>
                <w:position w:val="0"/>
                <w:sz w:val="17"/>
                <w:szCs w:val="17"/>
              </w:rPr>
              <w:t>东港股份公司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 xml:space="preserve">日应收账款余额为 </w:t>
            </w:r>
            <w:r>
              <w:rPr>
                <w:color w:val="000000"/>
                <w:spacing w:val="0"/>
                <w:w w:val="100"/>
                <w:position w:val="0"/>
                <w:sz w:val="18"/>
                <w:szCs w:val="18"/>
              </w:rPr>
              <w:t>185,095,653.6</w:t>
            </w:r>
            <w:r>
              <w:rPr>
                <w:color w:val="000000"/>
                <w:spacing w:val="0"/>
                <w:w w:val="100"/>
                <w:position w:val="0"/>
                <w:sz w:val="18"/>
                <w:szCs w:val="18"/>
              </w:rPr>
              <w:t>7</w:t>
            </w:r>
            <w:r>
              <w:rPr>
                <w:rFonts w:ascii="SimSun" w:eastAsia="SimSun" w:hAnsi="SimSun" w:cs="SimSun"/>
                <w:color w:val="000000"/>
                <w:spacing w:val="0"/>
                <w:w w:val="100"/>
                <w:position w:val="0"/>
                <w:sz w:val="17"/>
                <w:szCs w:val="17"/>
              </w:rPr>
              <w:t>元，坏账准备为</w:t>
            </w:r>
            <w:r>
              <w:rPr>
                <w:color w:val="000000"/>
                <w:spacing w:val="0"/>
                <w:w w:val="100"/>
                <w:position w:val="0"/>
                <w:sz w:val="18"/>
                <w:szCs w:val="18"/>
              </w:rPr>
              <w:t>13,222,885.38</w:t>
            </w:r>
            <w:r>
              <w:rPr>
                <w:rFonts w:ascii="SimSun" w:eastAsia="SimSun" w:hAnsi="SimSun" w:cs="SimSun"/>
                <w:color w:val="000000"/>
                <w:spacing w:val="0"/>
                <w:w w:val="100"/>
                <w:position w:val="0"/>
                <w:sz w:val="17"/>
                <w:szCs w:val="17"/>
              </w:rPr>
              <w:t xml:space="preserve">元，净值为 </w:t>
            </w:r>
            <w:r>
              <w:rPr>
                <w:color w:val="000000"/>
                <w:spacing w:val="0"/>
                <w:w w:val="100"/>
                <w:position w:val="0"/>
                <w:sz w:val="18"/>
                <w:szCs w:val="18"/>
              </w:rPr>
              <w:t>171,872,768.29</w:t>
            </w:r>
            <w:r>
              <w:rPr>
                <w:rFonts w:ascii="SimSun" w:eastAsia="SimSun" w:hAnsi="SimSun" w:cs="SimSun"/>
                <w:color w:val="000000"/>
                <w:spacing w:val="0"/>
                <w:w w:val="100"/>
                <w:position w:val="0"/>
                <w:sz w:val="17"/>
                <w:szCs w:val="17"/>
              </w:rPr>
              <w:t>元，应收账款余额占</w:t>
            </w:r>
            <w:r>
              <w:rPr>
                <w:color w:val="000000"/>
                <w:spacing w:val="0"/>
                <w:w w:val="100"/>
                <w:position w:val="0"/>
                <w:sz w:val="18"/>
                <w:szCs w:val="18"/>
              </w:rPr>
              <w:t>2021</w:t>
            </w:r>
            <w:r>
              <w:rPr>
                <w:rFonts w:ascii="SimSun" w:eastAsia="SimSun" w:hAnsi="SimSun" w:cs="SimSun"/>
                <w:color w:val="000000"/>
                <w:spacing w:val="0"/>
                <w:w w:val="100"/>
                <w:position w:val="0"/>
                <w:sz w:val="17"/>
                <w:szCs w:val="17"/>
              </w:rPr>
              <w:t xml:space="preserve">年度营业收入的 </w:t>
            </w:r>
            <w:r>
              <w:rPr>
                <w:color w:val="000000"/>
                <w:spacing w:val="0"/>
                <w:w w:val="100"/>
                <w:position w:val="0"/>
                <w:sz w:val="18"/>
                <w:szCs w:val="18"/>
              </w:rPr>
              <w:t>15.41%</w:t>
            </w:r>
            <w:r>
              <w:rPr>
                <w:rFonts w:ascii="SimSun" w:eastAsia="SimSun" w:hAnsi="SimSun" w:cs="SimSun"/>
                <w:color w:val="000000"/>
                <w:spacing w:val="0"/>
                <w:w w:val="100"/>
                <w:position w:val="0"/>
                <w:sz w:val="17"/>
                <w:szCs w:val="17"/>
              </w:rPr>
              <w:t>，占</w:t>
            </w:r>
            <w:r>
              <w:rPr>
                <w:color w:val="000000"/>
                <w:spacing w:val="0"/>
                <w:w w:val="100"/>
                <w:position w:val="0"/>
                <w:sz w:val="18"/>
                <w:szCs w:val="18"/>
              </w:rPr>
              <w:t>2021</w:t>
            </w:r>
            <w:r>
              <w:rPr>
                <w:rFonts w:ascii="SimSun" w:eastAsia="SimSun" w:hAnsi="SimSun" w:cs="SimSun"/>
                <w:color w:val="000000"/>
                <w:spacing w:val="0"/>
                <w:w w:val="100"/>
                <w:position w:val="0"/>
                <w:sz w:val="17"/>
                <w:szCs w:val="17"/>
              </w:rPr>
              <w:t>年末资产总额的</w:t>
            </w:r>
            <w:r>
              <w:rPr>
                <w:color w:val="000000"/>
                <w:spacing w:val="0"/>
                <w:w w:val="100"/>
                <w:position w:val="0"/>
                <w:sz w:val="18"/>
                <w:szCs w:val="18"/>
              </w:rPr>
              <w:t>8.37%</w:t>
            </w:r>
            <w:r>
              <w:rPr>
                <w:rFonts w:ascii="SimSun" w:eastAsia="SimSun" w:hAnsi="SimSun" w:cs="SimSun"/>
                <w:color w:val="000000"/>
                <w:spacing w:val="0"/>
                <w:w w:val="100"/>
                <w:position w:val="0"/>
                <w:sz w:val="17"/>
                <w:szCs w:val="17"/>
              </w:rPr>
              <w:t>。由于东港股份 公司管理层在确定应收账款预计可收回金额时需要运用 重要会计估计和判断，且应收账款不能按期收回或者无 法收回对财务报表的影响较为重大，因此我们将应收账 款的坏账准备识别为关键审计事项。</w:t>
            </w:r>
          </w:p>
          <w:p>
            <w:pPr>
              <w:pStyle w:val="Style20"/>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相关信息披露参见财务报表附注四、</w:t>
            </w:r>
            <w:r>
              <w:rPr>
                <w:color w:val="000000"/>
                <w:spacing w:val="0"/>
                <w:w w:val="100"/>
                <w:position w:val="0"/>
                <w:sz w:val="18"/>
                <w:szCs w:val="18"/>
              </w:rPr>
              <w:t>10</w:t>
            </w:r>
            <w:r>
              <w:rPr>
                <w:rFonts w:ascii="SimSun" w:eastAsia="SimSun" w:hAnsi="SimSun" w:cs="SimSun"/>
                <w:color w:val="000000"/>
                <w:spacing w:val="0"/>
                <w:w w:val="100"/>
                <w:position w:val="0"/>
                <w:sz w:val="17"/>
                <w:szCs w:val="17"/>
              </w:rPr>
              <w:t>及附注六、</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tabs>
                <w:tab w:pos="413" w:val="left"/>
              </w:tabs>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tab/>
              <w:t>评价、测试与应收账款管理相关的关键内部控制制 度的设计和运行的有效性。</w:t>
            </w:r>
          </w:p>
          <w:p>
            <w:pPr>
              <w:pStyle w:val="Style20"/>
              <w:keepNext w:val="0"/>
              <w:keepLines w:val="0"/>
              <w:widowControl w:val="0"/>
              <w:shd w:val="clear" w:color="auto" w:fill="auto"/>
              <w:tabs>
                <w:tab w:pos="422" w:val="left"/>
              </w:tabs>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tab/>
              <w:t>通过查阅销售合同、检查以往货款的回收情况、与 管理层沟通等程序了解和评价管理层对应收账款坏账准 备计提的会计估计是否合理。</w:t>
            </w:r>
          </w:p>
          <w:p>
            <w:pPr>
              <w:pStyle w:val="Style20"/>
              <w:keepNext w:val="0"/>
              <w:keepLines w:val="0"/>
              <w:widowControl w:val="0"/>
              <w:shd w:val="clear" w:color="auto" w:fill="auto"/>
              <w:tabs>
                <w:tab w:pos="470" w:val="left"/>
              </w:tabs>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w:t>
              <w:tab/>
              <w:t>复核东港股份公司对应收账款坏账准备的计提过 程，包括对按账龄分析法进行计提以及单项计提的坏账 准备。</w:t>
            </w:r>
          </w:p>
          <w:p>
            <w:pPr>
              <w:pStyle w:val="Style20"/>
              <w:keepNext w:val="0"/>
              <w:keepLines w:val="0"/>
              <w:widowControl w:val="0"/>
              <w:shd w:val="clear" w:color="auto" w:fill="auto"/>
              <w:tabs>
                <w:tab w:pos="350" w:val="left"/>
              </w:tabs>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w:t>
              <w:tab/>
              <w:t>对应收账款期末余额选取样本执行函证程序。</w:t>
            </w:r>
          </w:p>
          <w:p>
            <w:pPr>
              <w:pStyle w:val="Style20"/>
              <w:keepNext w:val="0"/>
              <w:keepLines w:val="0"/>
              <w:widowControl w:val="0"/>
              <w:shd w:val="clear" w:color="auto" w:fill="auto"/>
              <w:tabs>
                <w:tab w:pos="350" w:val="left"/>
              </w:tabs>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5</w:t>
            </w:r>
            <w:r>
              <w:rPr>
                <w:rFonts w:ascii="SimSun" w:eastAsia="SimSun" w:hAnsi="SimSun" w:cs="SimSun"/>
                <w:color w:val="000000"/>
                <w:spacing w:val="0"/>
                <w:w w:val="100"/>
                <w:position w:val="0"/>
                <w:sz w:val="17"/>
                <w:szCs w:val="17"/>
              </w:rPr>
              <w:t>）</w:t>
              <w:tab/>
              <w:t>对账龄较长应收账款分析是否存在减值迹象。</w:t>
            </w:r>
          </w:p>
          <w:p>
            <w:pPr>
              <w:pStyle w:val="Style20"/>
              <w:keepNext w:val="0"/>
              <w:keepLines w:val="0"/>
              <w:widowControl w:val="0"/>
              <w:shd w:val="clear" w:color="auto" w:fill="auto"/>
              <w:tabs>
                <w:tab w:pos="427" w:val="left"/>
              </w:tabs>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6</w:t>
            </w:r>
            <w:r>
              <w:rPr>
                <w:rFonts w:ascii="SimSun" w:eastAsia="SimSun" w:hAnsi="SimSun" w:cs="SimSun"/>
                <w:color w:val="000000"/>
                <w:spacing w:val="0"/>
                <w:w w:val="100"/>
                <w:position w:val="0"/>
                <w:sz w:val="17"/>
                <w:szCs w:val="17"/>
              </w:rPr>
              <w:t>）</w:t>
              <w:tab/>
              <w:t>比较前期坏账准备的计提数和实际发生数，对应收 账款余额进行期后收款测试，评价本期应收账款坏账准 备计提的合理性。</w:t>
            </w:r>
          </w:p>
        </w:tc>
      </w:tr>
    </w:tbl>
    <w:p>
      <w:pPr>
        <w:pStyle w:val="Style20"/>
        <w:keepNext w:val="0"/>
        <w:keepLines w:val="0"/>
        <w:widowControl w:val="0"/>
        <w:shd w:val="clear" w:color="auto" w:fill="auto"/>
        <w:bidi w:val="0"/>
        <w:spacing w:before="0" w:after="0" w:line="240" w:lineRule="auto"/>
        <w:ind w:left="0" w:right="0" w:firstLine="880"/>
        <w:jc w:val="both"/>
        <w:rPr>
          <w:sz w:val="22"/>
          <w:szCs w:val="22"/>
        </w:rPr>
      </w:pPr>
      <w:bookmarkStart w:id="616" w:name="bookmark616"/>
      <w:r>
        <w:rPr>
          <w:rFonts w:ascii="SimSun" w:eastAsia="SimSun" w:hAnsi="SimSun" w:cs="SimSun"/>
          <w:b/>
          <w:bCs/>
          <w:color w:val="000000"/>
          <w:spacing w:val="0"/>
          <w:w w:val="100"/>
          <w:position w:val="0"/>
          <w:sz w:val="22"/>
          <w:szCs w:val="22"/>
        </w:rPr>
        <w:t>四</w:t>
      </w:r>
      <w:bookmarkEnd w:id="616"/>
      <w:r>
        <w:rPr>
          <w:rFonts w:ascii="SimSun" w:eastAsia="SimSun" w:hAnsi="SimSun" w:cs="SimSun"/>
          <w:b/>
          <w:bCs/>
          <w:color w:val="000000"/>
          <w:spacing w:val="0"/>
          <w:w w:val="100"/>
          <w:position w:val="0"/>
          <w:sz w:val="22"/>
          <w:szCs w:val="22"/>
        </w:rPr>
        <w:t>、其他信息</w:t>
      </w:r>
    </w:p>
    <w:p>
      <w:pPr>
        <w:pStyle w:val="Style1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东港股份公司管理层（以下简称管理层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对其他信息负责。其他信息包括东港股份公司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年年度报告中涵盖的信息， 但不包括财务报表和我们的审计报告。</w:t>
      </w:r>
    </w:p>
    <w:p>
      <w:pPr>
        <w:pStyle w:val="Style1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我们对财务报表发表的审计意见不涵盖其他信息，我们也不对其他信息发表任何形式的鉴证结论。</w:t>
      </w:r>
    </w:p>
    <w:p>
      <w:pPr>
        <w:pStyle w:val="Style1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结合我们对财务报表的审计，我们的责任是阅读其他信息，在此过程中，考虑其他信息是否与财务报表或我们在审计 过程中了解到的情况存在重大不一致或者似乎存在重大错报。</w:t>
      </w:r>
    </w:p>
    <w:p>
      <w:pPr>
        <w:pStyle w:val="Style1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基于我们已执行的工作，如果我们确定其他信息存在重大错报，我们应当报告该事实。在这方面，我们无任何事项需 要报告。</w:t>
      </w:r>
    </w:p>
    <w:p>
      <w:pPr>
        <w:pStyle w:val="Style18"/>
        <w:keepNext w:val="0"/>
        <w:keepLines w:val="0"/>
        <w:widowControl w:val="0"/>
        <w:shd w:val="clear" w:color="auto" w:fill="auto"/>
        <w:tabs>
          <w:tab w:pos="1320" w:val="left"/>
        </w:tabs>
        <w:bidi w:val="0"/>
        <w:spacing w:before="0" w:after="0" w:line="315" w:lineRule="exact"/>
        <w:ind w:left="0" w:right="0" w:firstLine="880"/>
        <w:jc w:val="both"/>
      </w:pPr>
      <w:bookmarkStart w:id="617" w:name="bookmark617"/>
      <w:r>
        <w:rPr>
          <w:b/>
          <w:bCs/>
          <w:color w:val="000000"/>
          <w:spacing w:val="0"/>
          <w:w w:val="100"/>
          <w:position w:val="0"/>
        </w:rPr>
        <w:t>五</w:t>
      </w:r>
      <w:bookmarkEnd w:id="617"/>
      <w:r>
        <w:rPr>
          <w:b/>
          <w:bCs/>
          <w:color w:val="000000"/>
          <w:spacing w:val="0"/>
          <w:w w:val="100"/>
          <w:position w:val="0"/>
        </w:rPr>
        <w:t>、</w:t>
        <w:tab/>
        <w:t>管理层和治理层对财务报表的责任</w:t>
      </w:r>
    </w:p>
    <w:p>
      <w:pPr>
        <w:pStyle w:val="Style1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管理层负责按照企业会计准则的规定编制财务报表，使其实现公允反映，并设计、执行和维护必要的内部控制，以使 财务报表不存在由于舞弊或错误导致的重大错报。</w:t>
      </w:r>
    </w:p>
    <w:p>
      <w:pPr>
        <w:pStyle w:val="Style1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在编制财务报表时，管理层负责评估东港股份公司的持续经营能力，披露与持续经营相关的事项（如适用），并运用 持续经营假设，除非管理层计划清算东港股份公司、终止运营或别无其他现实的选择。</w:t>
      </w:r>
    </w:p>
    <w:p>
      <w:pPr>
        <w:pStyle w:val="Style1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治理层负责监督东港股份公司的财务报告过程。</w:t>
      </w:r>
    </w:p>
    <w:p>
      <w:pPr>
        <w:pStyle w:val="Style18"/>
        <w:keepNext w:val="0"/>
        <w:keepLines w:val="0"/>
        <w:widowControl w:val="0"/>
        <w:shd w:val="clear" w:color="auto" w:fill="auto"/>
        <w:tabs>
          <w:tab w:pos="1320" w:val="left"/>
        </w:tabs>
        <w:bidi w:val="0"/>
        <w:spacing w:before="0" w:after="0" w:line="315" w:lineRule="exact"/>
        <w:ind w:left="0" w:right="0" w:firstLine="880"/>
        <w:jc w:val="both"/>
      </w:pPr>
      <w:bookmarkStart w:id="618" w:name="bookmark618"/>
      <w:r>
        <w:rPr>
          <w:b/>
          <w:bCs/>
          <w:color w:val="000000"/>
          <w:spacing w:val="0"/>
          <w:w w:val="100"/>
          <w:position w:val="0"/>
        </w:rPr>
        <w:t>六</w:t>
      </w:r>
      <w:bookmarkEnd w:id="618"/>
      <w:r>
        <w:rPr>
          <w:b/>
          <w:bCs/>
          <w:color w:val="000000"/>
          <w:spacing w:val="0"/>
          <w:w w:val="100"/>
          <w:position w:val="0"/>
        </w:rPr>
        <w:t>、</w:t>
        <w:tab/>
        <w:t>注册会计师对财务报表审计的责任</w:t>
      </w:r>
    </w:p>
    <w:p>
      <w:pPr>
        <w:pStyle w:val="Style1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我们的目标是对财务报表整体是否不存在由于舞弊或错误导致的重大错报获取合理保证，并出具包含审计意见的审计 报告。合理保证是高水平的保证，但并不能保证按照审计准则执行的审计在某一重大错报存在时总能发现。错报可能由于舞 弊或错误导致，如果合理预期错报单独或汇总起来可能影响财务报表使用者依据财务报表作出的经济决策，则通常认为错报 是重大的。</w:t>
      </w:r>
    </w:p>
    <w:p>
      <w:pPr>
        <w:pStyle w:val="Style1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在按照审计准则执行审计工作的过程中，我们运用职业判断，并保持职业怀疑。同时，我们也执行以下工作：</w:t>
      </w:r>
    </w:p>
    <w:p>
      <w:pPr>
        <w:pStyle w:val="Style18"/>
        <w:keepNext w:val="0"/>
        <w:keepLines w:val="0"/>
        <w:widowControl w:val="0"/>
        <w:shd w:val="clear" w:color="auto" w:fill="auto"/>
        <w:tabs>
          <w:tab w:pos="973" w:val="left"/>
        </w:tabs>
        <w:bidi w:val="0"/>
        <w:spacing w:before="0" w:after="0" w:line="315" w:lineRule="exact"/>
        <w:ind w:left="0" w:right="0" w:firstLine="440"/>
        <w:jc w:val="both"/>
      </w:pPr>
      <w:bookmarkStart w:id="619" w:name="bookmark619"/>
      <w:r>
        <w:rPr>
          <w:color w:val="000000"/>
          <w:spacing w:val="0"/>
          <w:w w:val="100"/>
          <w:position w:val="0"/>
        </w:rPr>
        <w:t>（</w:t>
      </w:r>
      <w:bookmarkEnd w:id="61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18"/>
        <w:keepNext w:val="0"/>
        <w:keepLines w:val="0"/>
        <w:widowControl w:val="0"/>
        <w:shd w:val="clear" w:color="auto" w:fill="auto"/>
        <w:tabs>
          <w:tab w:pos="904" w:val="left"/>
        </w:tabs>
        <w:bidi w:val="0"/>
        <w:spacing w:before="0" w:after="0" w:line="315" w:lineRule="exact"/>
        <w:ind w:left="0" w:right="0" w:firstLine="440"/>
        <w:jc w:val="both"/>
      </w:pPr>
      <w:bookmarkStart w:id="620" w:name="bookmark620"/>
      <w:r>
        <w:rPr>
          <w:color w:val="000000"/>
          <w:spacing w:val="0"/>
          <w:w w:val="100"/>
          <w:position w:val="0"/>
        </w:rPr>
        <w:t>（</w:t>
      </w:r>
      <w:bookmarkEnd w:id="62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了解与审计相关的内部控制，以设计恰当的审计程序。</w:t>
      </w:r>
    </w:p>
    <w:p>
      <w:pPr>
        <w:pStyle w:val="Style18"/>
        <w:keepNext w:val="0"/>
        <w:keepLines w:val="0"/>
        <w:widowControl w:val="0"/>
        <w:shd w:val="clear" w:color="auto" w:fill="auto"/>
        <w:tabs>
          <w:tab w:pos="904" w:val="left"/>
        </w:tabs>
        <w:bidi w:val="0"/>
        <w:spacing w:before="0" w:after="0" w:line="315" w:lineRule="exact"/>
        <w:ind w:left="0" w:right="0" w:firstLine="440"/>
        <w:jc w:val="both"/>
      </w:pPr>
      <w:bookmarkStart w:id="621" w:name="bookmark621"/>
      <w:r>
        <w:rPr>
          <w:color w:val="000000"/>
          <w:spacing w:val="0"/>
          <w:w w:val="100"/>
          <w:position w:val="0"/>
        </w:rPr>
        <w:t>（</w:t>
      </w:r>
      <w:bookmarkEnd w:id="62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评价管理层选用会计政策的恰当性和作出会计估计及相关披露的合理性。</w:t>
      </w:r>
    </w:p>
    <w:p>
      <w:pPr>
        <w:pStyle w:val="Style18"/>
        <w:keepNext w:val="0"/>
        <w:keepLines w:val="0"/>
        <w:widowControl w:val="0"/>
        <w:shd w:val="clear" w:color="auto" w:fill="auto"/>
        <w:tabs>
          <w:tab w:pos="973" w:val="left"/>
        </w:tabs>
        <w:bidi w:val="0"/>
        <w:spacing w:before="0" w:after="0" w:line="315" w:lineRule="exact"/>
        <w:ind w:left="0" w:right="0" w:firstLine="440"/>
        <w:jc w:val="both"/>
      </w:pPr>
      <w:bookmarkStart w:id="622" w:name="bookmark622"/>
      <w:r>
        <w:rPr>
          <w:color w:val="000000"/>
          <w:spacing w:val="0"/>
          <w:w w:val="100"/>
          <w:position w:val="0"/>
        </w:rPr>
        <w:t>（</w:t>
      </w:r>
      <w:bookmarkEnd w:id="62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对管理层使用持续经营假设的恰当性得出结论。同时，根据获取的审计证据，就可能导致对东港股份公司持续 经营能力产生重大疑虑的事项或情况是否存在重大不确定性得出结论。如果我们得出结论认为存在重大不确定性，审计准则</w:t>
        <w:br w:type="page"/>
      </w:r>
      <w:r>
        <w:rPr>
          <w:color w:val="000000"/>
          <w:spacing w:val="0"/>
          <w:w w:val="100"/>
          <w:position w:val="0"/>
        </w:rPr>
        <w:t>要求我们在审计报告中提请报表使用者注意财务报表中的相关披露；如果披露不充分，我们应当发表非无保留意见。我们的 结论基于截至审计报告日可获得的信息。然而，未来的事项或情况可能导致东港股份公司不能持续经营。</w:t>
      </w:r>
    </w:p>
    <w:p>
      <w:pPr>
        <w:pStyle w:val="Style18"/>
        <w:keepNext w:val="0"/>
        <w:keepLines w:val="0"/>
        <w:widowControl w:val="0"/>
        <w:shd w:val="clear" w:color="auto" w:fill="auto"/>
        <w:tabs>
          <w:tab w:pos="897" w:val="left"/>
        </w:tabs>
        <w:bidi w:val="0"/>
        <w:spacing w:before="0" w:after="0" w:line="315" w:lineRule="exact"/>
        <w:ind w:left="0" w:right="0" w:firstLine="440"/>
        <w:jc w:val="both"/>
      </w:pPr>
      <w:bookmarkStart w:id="623" w:name="bookmark623"/>
      <w:r>
        <w:rPr>
          <w:color w:val="000000"/>
          <w:spacing w:val="0"/>
          <w:w w:val="100"/>
          <w:position w:val="0"/>
        </w:rPr>
        <w:t>（</w:t>
      </w:r>
      <w:bookmarkEnd w:id="623"/>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评价财务报表的总体列报、结构和内容，并评价财务报表是否公允反映相关交易和事项。</w:t>
      </w:r>
    </w:p>
    <w:p>
      <w:pPr>
        <w:pStyle w:val="Style18"/>
        <w:keepNext w:val="0"/>
        <w:keepLines w:val="0"/>
        <w:widowControl w:val="0"/>
        <w:shd w:val="clear" w:color="auto" w:fill="auto"/>
        <w:tabs>
          <w:tab w:pos="968" w:val="left"/>
        </w:tabs>
        <w:bidi w:val="0"/>
        <w:spacing w:before="0" w:after="0" w:line="315" w:lineRule="exact"/>
        <w:ind w:left="0" w:right="0" w:firstLine="440"/>
        <w:jc w:val="both"/>
      </w:pPr>
      <w:bookmarkStart w:id="624" w:name="bookmark624"/>
      <w:r>
        <w:rPr>
          <w:color w:val="000000"/>
          <w:spacing w:val="0"/>
          <w:w w:val="100"/>
          <w:position w:val="0"/>
        </w:rPr>
        <w:t>（</w:t>
      </w:r>
      <w:bookmarkEnd w:id="624"/>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就东港股份公司中实体或业务活动的财务信息获取充分、适当的审计证据，以对财务报表发表审计意见。我们 负责指导、监督和执行集团审计，并对审计意见承担全部责任。</w:t>
      </w:r>
    </w:p>
    <w:p>
      <w:pPr>
        <w:pStyle w:val="Style1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我们与治理层就计划的审计范围、时间安排和重大审计发现等事项进行沟通，包括沟通我们在审计中识别出的值得关 注的内部控制缺陷。</w:t>
      </w:r>
    </w:p>
    <w:p>
      <w:pPr>
        <w:pStyle w:val="Style1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我们还就已遵守与独立性相关的职业道德要求向治理层提供声明，并与治理层沟通可能被合理认为影响我们独立性的 所有关系和其他事项，以及相关的防范措施（如适用）。</w:t>
      </w:r>
    </w:p>
    <w:p>
      <w:pPr>
        <w:pStyle w:val="Style18"/>
        <w:keepNext w:val="0"/>
        <w:keepLines w:val="0"/>
        <w:widowControl w:val="0"/>
        <w:shd w:val="clear" w:color="auto" w:fill="auto"/>
        <w:bidi w:val="0"/>
        <w:spacing w:before="0" w:after="380" w:line="315" w:lineRule="exact"/>
        <w:ind w:left="0" w:right="0" w:firstLine="440"/>
        <w:jc w:val="both"/>
      </w:pPr>
      <w:r>
        <w:rPr>
          <w:color w:val="000000"/>
          <w:spacing w:val="0"/>
          <w:w w:val="100"/>
          <w:position w:val="0"/>
        </w:rPr>
        <w:t>从与治理层沟通过的事项中，我们确定哪些事项对本期财务报表审计最为重要，因而构成关键审计事项。我们在审计 报告中描述这些事项，除非法律法规禁止公开披露这些事项，或在极少数情形下，如果合理预期在审计报告中沟通某事项造 成的负面后果超过在公众利益方面产生的益处，我们确定不应在审计报告中沟通该事项。</w:t>
      </w:r>
    </w:p>
    <w:p>
      <w:pPr>
        <w:pStyle w:val="Style18"/>
        <w:keepNext w:val="0"/>
        <w:keepLines w:val="0"/>
        <w:widowControl w:val="0"/>
        <w:shd w:val="clear" w:color="auto" w:fill="auto"/>
        <w:bidi w:val="0"/>
        <w:spacing w:before="0" w:after="460" w:line="240" w:lineRule="auto"/>
        <w:ind w:left="1160" w:right="0" w:firstLine="0"/>
        <w:jc w:val="both"/>
      </w:pPr>
      <w:r>
        <mc:AlternateContent>
          <mc:Choice Requires="wps">
            <w:drawing>
              <wp:anchor distT="0" distB="831850" distL="114300" distR="114300" simplePos="0" relativeHeight="125829380" behindDoc="0" locked="0" layoutInCell="1" allowOverlap="1">
                <wp:simplePos x="0" y="0"/>
                <wp:positionH relativeFrom="page">
                  <wp:posOffset>683895</wp:posOffset>
                </wp:positionH>
                <wp:positionV relativeFrom="paragraph">
                  <wp:posOffset>12700</wp:posOffset>
                </wp:positionV>
                <wp:extent cx="1935480" cy="158750"/>
                <wp:wrapSquare wrapText="right"/>
                <wp:docPr id="5" name="Shape 5"/>
                <a:graphic xmlns:a="http://schemas.openxmlformats.org/drawingml/2006/main">
                  <a:graphicData uri="http://schemas.microsoft.com/office/word/2010/wordprocessingShape">
                    <wps:wsp>
                      <wps:cNvSpPr txBox="1"/>
                      <wps:spPr>
                        <a:xfrm>
                          <a:ext cx="1935480" cy="15875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信永中和会计师事务所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rFonts w:ascii="Times New Roman" w:eastAsia="Times New Roman" w:hAnsi="Times New Roman" w:cs="Times New Roman"/>
                                <w:color w:val="000000"/>
                                <w:spacing w:val="0"/>
                                <w:w w:val="100"/>
                                <w:position w:val="0"/>
                                <w:sz w:val="18"/>
                                <w:szCs w:val="18"/>
                              </w:rPr>
                              <w:t>）</w:t>
                            </w:r>
                          </w:p>
                        </w:txbxContent>
                      </wps:txbx>
                      <wps:bodyPr wrap="none" lIns="0" tIns="0" rIns="0" bIns="0">
                        <a:noAutoFit/>
                      </wps:bodyPr>
                    </wps:wsp>
                  </a:graphicData>
                </a:graphic>
              </wp:anchor>
            </w:drawing>
          </mc:Choice>
          <mc:Fallback>
            <w:pict>
              <v:shape id="_x0000_s1031" type="#_x0000_t202" style="position:absolute;margin-left:53.850000000000001pt;margin-top:1.pt;width:152.40000000000001pt;height:12.5pt;z-index:-125829373;mso-wrap-distance-left:9.pt;mso-wrap-distance-right:9.pt;mso-wrap-distance-bottom:65.5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信永中和会计师事务所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rFonts w:ascii="Times New Roman" w:eastAsia="Times New Roman" w:hAnsi="Times New Roman" w:cs="Times New Roman"/>
                          <w:color w:val="000000"/>
                          <w:spacing w:val="0"/>
                          <w:w w:val="100"/>
                          <w:position w:val="0"/>
                          <w:sz w:val="18"/>
                          <w:szCs w:val="18"/>
                        </w:rPr>
                        <w:t>）</w:t>
                      </w:r>
                    </w:p>
                  </w:txbxContent>
                </v:textbox>
                <w10:wrap type="square" side="right" anchorx="page"/>
              </v:shape>
            </w:pict>
          </mc:Fallback>
        </mc:AlternateContent>
      </w:r>
      <w:r>
        <mc:AlternateContent>
          <mc:Choice Requires="wps">
            <w:drawing>
              <wp:anchor distT="841375" distB="0" distL="1172210" distR="470535" simplePos="0" relativeHeight="125829382" behindDoc="0" locked="0" layoutInCell="1" allowOverlap="1">
                <wp:simplePos x="0" y="0"/>
                <wp:positionH relativeFrom="page">
                  <wp:posOffset>1741805</wp:posOffset>
                </wp:positionH>
                <wp:positionV relativeFrom="paragraph">
                  <wp:posOffset>854075</wp:posOffset>
                </wp:positionV>
                <wp:extent cx="521335" cy="149225"/>
                <wp:wrapSquare wrapText="right"/>
                <wp:docPr id="7" name="Shape 7"/>
                <a:graphic xmlns:a="http://schemas.openxmlformats.org/drawingml/2006/main">
                  <a:graphicData uri="http://schemas.microsoft.com/office/word/2010/wordprocessingShape">
                    <wps:wsp>
                      <wps:cNvSpPr txBox="1"/>
                      <wps:spPr>
                        <a:xfrm>
                          <a:ext cx="521335"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wps:txbx>
                      <wps:bodyPr wrap="none" lIns="0" tIns="0" rIns="0" bIns="0">
                        <a:noAutoFit/>
                      </wps:bodyPr>
                    </wps:wsp>
                  </a:graphicData>
                </a:graphic>
              </wp:anchor>
            </w:drawing>
          </mc:Choice>
          <mc:Fallback>
            <w:pict>
              <v:shape id="_x0000_s1033" type="#_x0000_t202" style="position:absolute;margin-left:137.15000000000001pt;margin-top:67.25pt;width:41.050000000000004pt;height:11.75pt;z-index:-125829371;mso-wrap-distance-left:92.299999999999997pt;mso-wrap-distance-top:66.25pt;mso-wrap-distance-right:37.050000000000004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v:textbox>
                <w10:wrap type="square" side="right" anchorx="page"/>
              </v:shape>
            </w:pict>
          </mc:Fallback>
        </mc:AlternateContent>
      </w:r>
      <w:r>
        <w:rPr>
          <w:color w:val="000000"/>
          <w:spacing w:val="0"/>
          <w:w w:val="100"/>
          <w:position w:val="0"/>
        </w:rPr>
        <w:t>中国注册会计师：（项目合伙人）崔迎</w:t>
      </w:r>
    </w:p>
    <w:p>
      <w:pPr>
        <w:pStyle w:val="Style18"/>
        <w:keepNext w:val="0"/>
        <w:keepLines w:val="0"/>
        <w:widowControl w:val="0"/>
        <w:shd w:val="clear" w:color="auto" w:fill="auto"/>
        <w:bidi w:val="0"/>
        <w:spacing w:before="0" w:after="460" w:line="240" w:lineRule="auto"/>
        <w:ind w:left="1160" w:right="0" w:firstLine="0"/>
        <w:jc w:val="both"/>
      </w:pPr>
      <w:r>
        <w:rPr>
          <w:color w:val="000000"/>
          <w:spacing w:val="0"/>
          <w:w w:val="100"/>
          <w:position w:val="0"/>
        </w:rPr>
        <w:t>中国注册会计师：夏瑞</w:t>
      </w:r>
    </w:p>
    <w:p>
      <w:pPr>
        <w:pStyle w:val="Style18"/>
        <w:keepNext w:val="0"/>
        <w:keepLines w:val="0"/>
        <w:widowControl w:val="0"/>
        <w:shd w:val="clear" w:color="auto" w:fill="auto"/>
        <w:bidi w:val="0"/>
        <w:spacing w:before="0" w:after="720" w:line="240" w:lineRule="auto"/>
        <w:ind w:left="1160" w:right="0" w:firstLine="0"/>
        <w:jc w:val="both"/>
      </w:pPr>
      <w:r>
        <w:rPr>
          <w:color w:val="000000"/>
          <w:spacing w:val="0"/>
          <w:w w:val="100"/>
          <w:position w:val="0"/>
        </w:rPr>
        <w:t>二</w:t>
      </w:r>
      <w:r>
        <w:rPr>
          <w:rFonts w:ascii="Courier New" w:eastAsia="Courier New" w:hAnsi="Courier New" w:cs="Courier New"/>
          <w:color w:val="000000"/>
          <w:spacing w:val="0"/>
          <w:w w:val="100"/>
          <w:position w:val="0"/>
          <w:sz w:val="16"/>
          <w:szCs w:val="16"/>
        </w:rPr>
        <w:t>O</w:t>
      </w:r>
      <w:r>
        <w:rPr>
          <w:color w:val="000000"/>
          <w:spacing w:val="0"/>
          <w:w w:val="100"/>
          <w:position w:val="0"/>
        </w:rPr>
        <w:t>二二年四月七日</w:t>
      </w:r>
    </w:p>
    <w:p>
      <w:pPr>
        <w:pStyle w:val="Style23"/>
        <w:keepNext/>
        <w:keepLines/>
        <w:widowControl w:val="0"/>
        <w:shd w:val="clear" w:color="auto" w:fill="auto"/>
        <w:bidi w:val="0"/>
        <w:spacing w:before="0" w:after="380" w:line="240" w:lineRule="auto"/>
        <w:ind w:left="0" w:right="0" w:firstLine="0"/>
        <w:jc w:val="both"/>
      </w:pPr>
      <w:bookmarkStart w:id="625" w:name="bookmark625"/>
      <w:bookmarkStart w:id="626" w:name="bookmark626"/>
      <w:bookmarkStart w:id="627" w:name="bookmark627"/>
      <w:bookmarkStart w:id="628" w:name="bookmark628"/>
      <w:r>
        <w:rPr>
          <w:color w:val="000000"/>
          <w:spacing w:val="0"/>
          <w:w w:val="100"/>
          <w:position w:val="0"/>
        </w:rPr>
        <w:t>二</w:t>
      </w:r>
      <w:bookmarkEnd w:id="627"/>
      <w:r>
        <w:rPr>
          <w:color w:val="000000"/>
          <w:spacing w:val="0"/>
          <w:w w:val="100"/>
          <w:position w:val="0"/>
        </w:rPr>
        <w:t>、财务报表</w:t>
      </w:r>
      <w:bookmarkEnd w:id="625"/>
      <w:bookmarkEnd w:id="626"/>
      <w:bookmarkEnd w:id="628"/>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财务附注中报表的单位为：元</w:t>
      </w:r>
    </w:p>
    <w:p>
      <w:pPr>
        <w:pStyle w:val="Style32"/>
        <w:keepNext/>
        <w:keepLines/>
        <w:widowControl w:val="0"/>
        <w:shd w:val="clear" w:color="auto" w:fill="auto"/>
        <w:bidi w:val="0"/>
        <w:spacing w:before="0" w:line="240" w:lineRule="auto"/>
        <w:ind w:left="0" w:right="0" w:firstLine="0"/>
        <w:jc w:val="both"/>
      </w:pPr>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29"/>
      <w:bookmarkEnd w:id="630"/>
      <w:bookmarkEnd w:id="631"/>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编制单位：东港股份有限公司</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754,901,350.15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712,276,110.35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117,249,145.86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200,000,000.00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295,209.65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693,235.47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171,872,768.29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220,287,693.15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477,886.21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422,093.43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22,226,002.00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10,848,628.10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24,175,204.53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24,904,504.62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153,900,123.04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115,654,405.03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23,508,295.42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13,182,677.03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5,299,095.13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23,252,628.56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1,273,905,080.28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1,321,521,975.74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43,965,529.19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38,845,030.72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742,851,414.16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800,678,248.15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1,806,275.76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5,109,816.16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33,726,283.76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89,847,779.23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82,616,905.71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15,190,033.76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2,485,097.93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2,485,097.93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14,374,310.23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14,981,608.20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6,707,274.28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5,941,086.01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2,179,777.35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937,943,741.89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965,847,826.64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2,211,848,822.17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2,287,369,802.38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82,444,868.17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114,464,429.35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110,202,022.38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155,030,715.35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2,654,035.67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2,230,063.69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237,963,401.45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266,438,938.51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61,684,377.60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55,082,420.83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30,840,792.04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22,647,349.13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54,732,266.04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56,297,725.55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11,196,610.15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590,762.99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563,485.22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592,309,136.49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672,755,127.63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19,260,061.57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5,051,167.32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6,329,204.32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12,747,464.11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21,212,906.83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37,058,693.00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27,542,111.15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629,367,829.49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700,297,238.78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545,666,421.00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545,666,421.00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264,915,973.91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249,782,710.21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317,421,006.86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300,990,141.76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439,124,762.19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487,333,691.60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1,567,128,163.96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1,583,772,964.57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15,352,828.72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3,299,599.03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1,582,480,992.68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1,587,072,563.60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2,211,848,822.17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2,287,369,802.38</w:t>
            </w: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850" simplePos="0" relativeHeight="125829384" behindDoc="0" locked="0" layoutInCell="1" allowOverlap="1">
                <wp:simplePos x="0" y="0"/>
                <wp:positionH relativeFrom="page">
                  <wp:posOffset>705485</wp:posOffset>
                </wp:positionH>
                <wp:positionV relativeFrom="margin">
                  <wp:posOffset>5879465</wp:posOffset>
                </wp:positionV>
                <wp:extent cx="1051560" cy="149225"/>
                <wp:wrapTopAndBottom/>
                <wp:docPr id="9" name="Shape 9"/>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法定代表人：史建中</w:t>
                            </w:r>
                          </w:p>
                        </w:txbxContent>
                      </wps:txbx>
                      <wps:bodyPr wrap="none" lIns="0" tIns="0" rIns="0" bIns="0">
                        <a:noAutoFit/>
                      </wps:bodyPr>
                    </wps:wsp>
                  </a:graphicData>
                </a:graphic>
              </wp:anchor>
            </w:drawing>
          </mc:Choice>
          <mc:Fallback>
            <w:pict>
              <v:shape id="_x0000_s1035" type="#_x0000_t202" style="position:absolute;margin-left:55.550000000000004pt;margin-top:462.94999999999999pt;width:82.799999999999997pt;height:11.75pt;z-index:-125829369;mso-wrap-distance-left:9.pt;mso-wrap-distance-top:12.pt;mso-wrap-distance-right:405.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法定代表人：史建中</w:t>
                      </w:r>
                    </w:p>
                  </w:txbxContent>
                </v:textbox>
                <w10:wrap type="topAndBottom" anchorx="page" anchory="margin"/>
              </v:shape>
            </w:pict>
          </mc:Fallback>
        </mc:AlternateContent>
      </w:r>
      <w:r>
        <mc:AlternateContent>
          <mc:Choice Requires="wps">
            <w:drawing>
              <wp:anchor distT="152400" distB="3175" distL="2348230" distR="2461895" simplePos="0" relativeHeight="125829386" behindDoc="0" locked="0" layoutInCell="1" allowOverlap="1">
                <wp:simplePos x="0" y="0"/>
                <wp:positionH relativeFrom="page">
                  <wp:posOffset>2939415</wp:posOffset>
                </wp:positionH>
                <wp:positionV relativeFrom="margin">
                  <wp:posOffset>5879465</wp:posOffset>
                </wp:positionV>
                <wp:extent cx="1505585" cy="146050"/>
                <wp:wrapTopAndBottom/>
                <wp:docPr id="11" name="Shape 11"/>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主管会计工作负责人：史建中</w:t>
                            </w:r>
                          </w:p>
                        </w:txbxContent>
                      </wps:txbx>
                      <wps:bodyPr wrap="none" lIns="0" tIns="0" rIns="0" bIns="0">
                        <a:noAutoFit/>
                      </wps:bodyPr>
                    </wps:wsp>
                  </a:graphicData>
                </a:graphic>
              </wp:anchor>
            </w:drawing>
          </mc:Choice>
          <mc:Fallback>
            <w:pict>
              <v:shape id="_x0000_s1037" type="#_x0000_t202" style="position:absolute;margin-left:231.45000000000002pt;margin-top:462.94999999999999pt;width:118.55pt;height:11.5pt;z-index:-125829367;mso-wrap-distance-left:184.90000000000001pt;mso-wrap-distance-top:12.pt;mso-wrap-distance-right:193.84999999999999pt;mso-wrap-distance-bottom:0.2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主管会计工作负责人：史建中</w:t>
                      </w:r>
                    </w:p>
                  </w:txbxContent>
                </v:textbox>
                <w10:wrap type="topAndBottom" anchorx="page" anchory="margin"/>
              </v:shape>
            </w:pict>
          </mc:Fallback>
        </mc:AlternateContent>
      </w:r>
      <w:r>
        <mc:AlternateContent>
          <mc:Choice Requires="wps">
            <w:drawing>
              <wp:anchor distT="152400" distB="0" distL="5030470" distR="114935" simplePos="0" relativeHeight="125829388" behindDoc="0" locked="0" layoutInCell="1" allowOverlap="1">
                <wp:simplePos x="0" y="0"/>
                <wp:positionH relativeFrom="page">
                  <wp:posOffset>5621655</wp:posOffset>
                </wp:positionH>
                <wp:positionV relativeFrom="margin">
                  <wp:posOffset>5879465</wp:posOffset>
                </wp:positionV>
                <wp:extent cx="1170305" cy="149225"/>
                <wp:wrapTopAndBottom/>
                <wp:docPr id="13" name="Shape 13"/>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会计机构负责人：郑理</w:t>
                            </w:r>
                          </w:p>
                        </w:txbxContent>
                      </wps:txbx>
                      <wps:bodyPr wrap="none" lIns="0" tIns="0" rIns="0" bIns="0">
                        <a:noAutoFit/>
                      </wps:bodyPr>
                    </wps:wsp>
                  </a:graphicData>
                </a:graphic>
              </wp:anchor>
            </w:drawing>
          </mc:Choice>
          <mc:Fallback>
            <w:pict>
              <v:shape id="_x0000_s1039" type="#_x0000_t202" style="position:absolute;margin-left:442.65000000000003pt;margin-top:462.94999999999999pt;width:92.150000000000006pt;height:11.75pt;z-index:-125829365;mso-wrap-distance-left:396.10000000000002pt;mso-wrap-distance-top:12.pt;mso-wrap-distance-right:9.0500000000000007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会计机构负责人：郑理</w:t>
                      </w:r>
                    </w:p>
                  </w:txbxContent>
                </v:textbox>
                <w10:wrap type="topAndBottom" anchorx="page" anchory="margin"/>
              </v:shape>
            </w:pict>
          </mc:Fallback>
        </mc:AlternateContent>
      </w:r>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32"/>
      <w:bookmarkEnd w:id="633"/>
      <w:bookmarkEnd w:id="63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3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717,063,362.21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625,837,977.16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85,800,000.00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200,000,000.00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295,209.65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693,235.47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114,829,201.06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144,372,774.76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477,886.21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422,093.43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17,008,183.09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3,332,359.80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14,110,157.05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32,974,044.17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92,265,531.39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54,305,728.19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568,202.06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7,762,141.31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1,042,417,732.72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1,069,700,354.29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611,226,791.39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583,226,791.39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4,027,094.02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5,033,698.80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473,575,736.20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496,216,247.39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1,612,879.54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3,574,624.69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54,899,044.90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47,291,269.78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11,870,586.23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4,044,067.00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2,681,652.97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4,439,235.75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3,786,087.81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1,153,824,848.80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1,153,680,959.06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2,196,242,581.52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2,223,381,313.35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82,444,868.17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114,464,429.35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56,882,523.10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73,027,585.99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105,917,111.98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158,358,933.56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27,121,926.86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24,789,783.00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16,848,248.79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11,020,244.47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499,889,875.37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380,514,847.30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pPr>
            <w:r>
              <w:rPr>
                <w:color w:val="000000"/>
                <w:spacing w:val="0"/>
                <w:w w:val="100"/>
                <w:position w:val="0"/>
              </w:rPr>
              <w:t>398,691.48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pPr>
            <w:r>
              <w:rPr>
                <w:color w:val="000000"/>
                <w:spacing w:val="0"/>
                <w:w w:val="100"/>
                <w:position w:val="0"/>
              </w:rPr>
              <w:t>386,276.48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789,503,245.75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762,562,100.15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pPr>
            <w:r>
              <w:rPr>
                <w:color w:val="000000"/>
                <w:spacing w:val="0"/>
                <w:w w:val="100"/>
                <w:position w:val="0"/>
              </w:rPr>
              <w:t>426,860.00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pPr>
            <w:r>
              <w:rPr>
                <w:color w:val="000000"/>
                <w:spacing w:val="0"/>
                <w:w w:val="100"/>
                <w:position w:val="0"/>
              </w:rPr>
              <w:t>548,820.00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pPr>
            <w:r>
              <w:rPr>
                <w:color w:val="000000"/>
                <w:spacing w:val="0"/>
                <w:w w:val="100"/>
                <w:position w:val="0"/>
              </w:rPr>
              <w:t>426,860.00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pPr>
            <w:r>
              <w:rPr>
                <w:color w:val="000000"/>
                <w:spacing w:val="0"/>
                <w:w w:val="100"/>
                <w:position w:val="0"/>
              </w:rPr>
              <w:t>548,820.00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789,930,105.75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763,110,920.15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545,666,421.00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545,666,421.00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378,000,186.04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378,000,186.04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317,421,006.86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300,990,141.76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165,224,861.87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235,613,644.40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1,406,312,475.77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1,460,270,393.20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2,196,242,581.52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2,223,381,313.35</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3</w:t>
      </w:r>
      <w:bookmarkEnd w:id="637"/>
      <w:r>
        <w:rPr>
          <w:color w:val="000000"/>
          <w:spacing w:val="0"/>
          <w:w w:val="100"/>
          <w:position w:val="0"/>
        </w:rPr>
        <w:t>、合并利润表</w:t>
      </w:r>
      <w:bookmarkEnd w:id="635"/>
      <w:bookmarkEnd w:id="636"/>
      <w:bookmarkEnd w:id="638"/>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1,200,941,510.94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1,180,859,259.81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1,200,941,510.94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1,180,859,259.81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1,013,730,569.26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1,030,786,597.21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740,555,277.50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737,941,603.08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940"/>
              <w:jc w:val="both"/>
              <w:rPr>
                <w:sz w:val="17"/>
                <w:szCs w:val="17"/>
              </w:rPr>
            </w:pPr>
            <w:r>
              <w:rPr>
                <w:rFonts w:ascii="SimSun" w:eastAsia="SimSun" w:hAnsi="SimSun" w:cs="SimSun"/>
                <w:color w:val="000000"/>
                <w:spacing w:val="0"/>
                <w:w w:val="100"/>
                <w:position w:val="0"/>
                <w:sz w:val="17"/>
                <w:szCs w:val="17"/>
              </w:rPr>
              <w:t>提取保险责任合同准备金</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16,648,545.68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20,674,710.12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88,121,301.48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80,888,523.54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93,981,092.86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91,600,405.59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74,000,511.43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100,047,908.31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423,840.31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-366,553.43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both"/>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1,145,053.05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660" w:right="0" w:firstLine="0"/>
              <w:jc w:val="both"/>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988,648.82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628,786.27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14,673,249.84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10,177,583.14</w:t>
            </w: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22,213,677.96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22,691,863.45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1100" w:right="0" w:firstLine="0"/>
              <w:jc w:val="left"/>
              <w:rPr>
                <w:sz w:val="17"/>
                <w:szCs w:val="17"/>
              </w:rPr>
            </w:pPr>
            <w:r>
              <w:rPr>
                <w:rFonts w:ascii="SimSun" w:eastAsia="SimSun" w:hAnsi="SimSun" w:cs="SimSun"/>
                <w:color w:val="000000"/>
                <w:spacing w:val="0"/>
                <w:w w:val="100"/>
                <w:position w:val="0"/>
                <w:sz w:val="17"/>
                <w:szCs w:val="17"/>
              </w:rPr>
              <w:t>以摊余成本计量的金融</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汇兑收益（损失以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净敞口套期收益（损失以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740"/>
              <w:jc w:val="both"/>
              <w:rPr>
                <w:sz w:val="17"/>
                <w:szCs w:val="17"/>
              </w:rPr>
            </w:pPr>
            <w:r>
              <w:rPr>
                <w:rFonts w:ascii="SimSun" w:eastAsia="SimSun" w:hAnsi="SimSun" w:cs="SimSun"/>
                <w:color w:val="000000"/>
                <w:spacing w:val="0"/>
                <w:w w:val="100"/>
                <w:position w:val="0"/>
                <w:sz w:val="17"/>
                <w:szCs w:val="17"/>
              </w:rPr>
              <w:t>公允价值变动收益（损失以</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60" w:right="0" w:firstLine="0"/>
              <w:jc w:val="both"/>
            </w:pPr>
            <w:r>
              <w:rPr>
                <w:color w:val="000000"/>
                <w:spacing w:val="0"/>
                <w:w w:val="100"/>
                <w:position w:val="0"/>
              </w:rPr>
              <w:t>549,145.86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信用减值损失（损失以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60" w:right="0" w:firstLine="0"/>
              <w:jc w:val="both"/>
            </w:pPr>
            <w:r>
              <w:rPr>
                <w:color w:val="000000"/>
                <w:spacing w:val="0"/>
                <w:w w:val="100"/>
                <w:position w:val="0"/>
              </w:rPr>
              <w:t>339,514.48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00" w:right="0" w:firstLine="0"/>
              <w:jc w:val="both"/>
            </w:pPr>
            <w:r>
              <w:rPr>
                <w:color w:val="000000"/>
                <w:spacing w:val="0"/>
                <w:w w:val="100"/>
                <w:position w:val="0"/>
              </w:rPr>
              <w:t>2,588,864.42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资产减值损失（损失以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-646,371.27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-387,722.11</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资产处置收益（损失以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-673,690.95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161,520.21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223,666,467.60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185,304,771.71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60" w:right="0" w:firstLine="0"/>
              <w:jc w:val="both"/>
            </w:pPr>
            <w:r>
              <w:rPr>
                <w:color w:val="000000"/>
                <w:spacing w:val="0"/>
                <w:w w:val="100"/>
                <w:position w:val="0"/>
              </w:rPr>
              <w:t>375,527.75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787,023.08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2,323,491.93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00" w:right="0" w:firstLine="0"/>
              <w:jc w:val="both"/>
            </w:pPr>
            <w:r>
              <w:rPr>
                <w:color w:val="000000"/>
                <w:spacing w:val="0"/>
                <w:w w:val="100"/>
                <w:position w:val="0"/>
              </w:rPr>
              <w:t>3,109,043.37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221,718,503.42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182,982,751.42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33,043,505.94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18,356,438.55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188,674,997.48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164,626,312.87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188,674,997.48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164,626,312.87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186,488,504.09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163,330,111.01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2,186,493.39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00" w:right="0" w:firstLine="0"/>
              <w:jc w:val="both"/>
            </w:pPr>
            <w:r>
              <w:rPr>
                <w:color w:val="000000"/>
                <w:spacing w:val="0"/>
                <w:w w:val="100"/>
                <w:position w:val="0"/>
              </w:rPr>
              <w:t>1,296,201.86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220"/>
              <w:jc w:val="left"/>
              <w:rPr>
                <w:sz w:val="17"/>
                <w:szCs w:val="17"/>
              </w:rPr>
            </w:pPr>
            <w:r>
              <w:rPr>
                <w:rFonts w:ascii="SimSun" w:eastAsia="SimSun" w:hAnsi="SimSun" w:cs="SimSun"/>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220"/>
              <w:jc w:val="left"/>
              <w:rPr>
                <w:sz w:val="17"/>
                <w:szCs w:val="17"/>
              </w:rPr>
            </w:pPr>
            <w:r>
              <w:rPr>
                <w:rFonts w:ascii="SimSun" w:eastAsia="SimSun" w:hAnsi="SimSun" w:cs="SimSun"/>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188,674,997.48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164,626,312.87</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186,488,504.09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163,330,111.01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2,186,493.39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1,296,201.86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0.3418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0.2993</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0.3418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0.2993</w:t>
            </w: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850" simplePos="0" relativeHeight="125829390" behindDoc="0" locked="0" layoutInCell="1" allowOverlap="1">
                <wp:simplePos x="0" y="0"/>
                <wp:positionH relativeFrom="page">
                  <wp:posOffset>705485</wp:posOffset>
                </wp:positionH>
                <wp:positionV relativeFrom="margin">
                  <wp:posOffset>7324090</wp:posOffset>
                </wp:positionV>
                <wp:extent cx="1051560" cy="149225"/>
                <wp:wrapTopAndBottom/>
                <wp:docPr id="15" name="Shape 15"/>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法定代表人：史建中</w:t>
                            </w:r>
                          </w:p>
                        </w:txbxContent>
                      </wps:txbx>
                      <wps:bodyPr wrap="none" lIns="0" tIns="0" rIns="0" bIns="0">
                        <a:noAutoFit/>
                      </wps:bodyPr>
                    </wps:wsp>
                  </a:graphicData>
                </a:graphic>
              </wp:anchor>
            </w:drawing>
          </mc:Choice>
          <mc:Fallback>
            <w:pict>
              <v:shape id="_x0000_s1041" type="#_x0000_t202" style="position:absolute;margin-left:55.550000000000004pt;margin-top:576.70000000000005pt;width:82.799999999999997pt;height:11.75pt;z-index:-125829363;mso-wrap-distance-left:9.pt;mso-wrap-distance-top:12.pt;mso-wrap-distance-right:405.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法定代表人：史建中</w:t>
                      </w:r>
                    </w:p>
                  </w:txbxContent>
                </v:textbox>
                <w10:wrap type="topAndBottom" anchorx="page" anchory="margin"/>
              </v:shape>
            </w:pict>
          </mc:Fallback>
        </mc:AlternateContent>
      </w:r>
      <w:r>
        <mc:AlternateContent>
          <mc:Choice Requires="wps">
            <w:drawing>
              <wp:anchor distT="152400" distB="3175" distL="2348230" distR="2461895" simplePos="0" relativeHeight="125829392" behindDoc="0" locked="0" layoutInCell="1" allowOverlap="1">
                <wp:simplePos x="0" y="0"/>
                <wp:positionH relativeFrom="page">
                  <wp:posOffset>2939415</wp:posOffset>
                </wp:positionH>
                <wp:positionV relativeFrom="margin">
                  <wp:posOffset>7324090</wp:posOffset>
                </wp:positionV>
                <wp:extent cx="1505585" cy="146050"/>
                <wp:wrapTopAndBottom/>
                <wp:docPr id="17" name="Shape 17"/>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主管会计工作负责人：史建中</w:t>
                            </w:r>
                          </w:p>
                        </w:txbxContent>
                      </wps:txbx>
                      <wps:bodyPr wrap="none" lIns="0" tIns="0" rIns="0" bIns="0">
                        <a:noAutoFit/>
                      </wps:bodyPr>
                    </wps:wsp>
                  </a:graphicData>
                </a:graphic>
              </wp:anchor>
            </w:drawing>
          </mc:Choice>
          <mc:Fallback>
            <w:pict>
              <v:shape id="_x0000_s1043" type="#_x0000_t202" style="position:absolute;margin-left:231.45000000000002pt;margin-top:576.70000000000005pt;width:118.55pt;height:11.5pt;z-index:-125829361;mso-wrap-distance-left:184.90000000000001pt;mso-wrap-distance-top:12.pt;mso-wrap-distance-right:193.84999999999999pt;mso-wrap-distance-bottom:0.2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主管会计工作负责人：史建中</w:t>
                      </w:r>
                    </w:p>
                  </w:txbxContent>
                </v:textbox>
                <w10:wrap type="topAndBottom" anchorx="page" anchory="margin"/>
              </v:shape>
            </w:pict>
          </mc:Fallback>
        </mc:AlternateContent>
      </w:r>
      <w:r>
        <mc:AlternateContent>
          <mc:Choice Requires="wps">
            <w:drawing>
              <wp:anchor distT="152400" distB="0" distL="5030470" distR="114935" simplePos="0" relativeHeight="125829394" behindDoc="0" locked="0" layoutInCell="1" allowOverlap="1">
                <wp:simplePos x="0" y="0"/>
                <wp:positionH relativeFrom="page">
                  <wp:posOffset>5621655</wp:posOffset>
                </wp:positionH>
                <wp:positionV relativeFrom="margin">
                  <wp:posOffset>7324090</wp:posOffset>
                </wp:positionV>
                <wp:extent cx="1170305" cy="149225"/>
                <wp:wrapTopAndBottom/>
                <wp:docPr id="19" name="Shape 19"/>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会计机构负责人：郑理</w:t>
                            </w:r>
                          </w:p>
                        </w:txbxContent>
                      </wps:txbx>
                      <wps:bodyPr wrap="none" lIns="0" tIns="0" rIns="0" bIns="0">
                        <a:noAutoFit/>
                      </wps:bodyPr>
                    </wps:wsp>
                  </a:graphicData>
                </a:graphic>
              </wp:anchor>
            </w:drawing>
          </mc:Choice>
          <mc:Fallback>
            <w:pict>
              <v:shape id="_x0000_s1045" type="#_x0000_t202" style="position:absolute;margin-left:442.65000000000003pt;margin-top:576.70000000000005pt;width:92.150000000000006pt;height:11.75pt;z-index:-125829359;mso-wrap-distance-left:396.10000000000002pt;mso-wrap-distance-top:12.pt;mso-wrap-distance-right:9.0500000000000007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会计机构负责人：郑理</w:t>
                      </w:r>
                    </w:p>
                  </w:txbxContent>
                </v:textbox>
                <w10:wrap type="topAndBottom" anchorx="page" anchory="margin"/>
              </v:shape>
            </w:pict>
          </mc:Fallback>
        </mc:AlternateContent>
      </w:r>
      <w:bookmarkStart w:id="639" w:name="bookmark639"/>
      <w:bookmarkStart w:id="640" w:name="bookmark640"/>
      <w:bookmarkStart w:id="641" w:name="bookmark641"/>
      <w:bookmarkStart w:id="642" w:name="bookmark642"/>
      <w:r>
        <w:rPr>
          <w:rFonts w:ascii="Times New Roman" w:eastAsia="Times New Roman" w:hAnsi="Times New Roman" w:cs="Times New Roman"/>
          <w:color w:val="000000"/>
          <w:spacing w:val="0"/>
          <w:w w:val="100"/>
          <w:position w:val="0"/>
        </w:rPr>
        <w:t>4</w:t>
      </w:r>
      <w:bookmarkEnd w:id="641"/>
      <w:r>
        <w:rPr>
          <w:color w:val="000000"/>
          <w:spacing w:val="0"/>
          <w:w w:val="100"/>
          <w:position w:val="0"/>
        </w:rPr>
        <w:t>、母公司利润表</w:t>
      </w:r>
      <w:bookmarkEnd w:id="639"/>
      <w:bookmarkEnd w:id="640"/>
      <w:bookmarkEnd w:id="64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979"/>
        <w:gridCol w:w="2798"/>
        <w:gridCol w:w="280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861,714,176.58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872,518,290.17</w:t>
            </w:r>
          </w:p>
        </w:tc>
      </w:tr>
    </w:tbl>
    <w:p>
      <w:pPr>
        <w:widowControl w:val="0"/>
        <w:spacing w:line="1" w:lineRule="exact"/>
      </w:pPr>
      <w:r>
        <w:br w:type="page"/>
      </w:r>
    </w:p>
    <w:tbl>
      <w:tblPr>
        <w:tblOverlap w:val="never"/>
        <w:jc w:val="center"/>
        <w:tblLayout w:type="fixed"/>
      </w:tblPr>
      <w:tblGrid>
        <w:gridCol w:w="3979"/>
        <w:gridCol w:w="2798"/>
        <w:gridCol w:w="280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pPr>
            <w:r>
              <w:rPr>
                <w:color w:val="000000"/>
                <w:spacing w:val="0"/>
                <w:w w:val="100"/>
                <w:position w:val="0"/>
              </w:rPr>
              <w:t>648,642,604.37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pPr>
            <w:r>
              <w:rPr>
                <w:color w:val="000000"/>
                <w:spacing w:val="0"/>
                <w:w w:val="100"/>
                <w:position w:val="0"/>
              </w:rPr>
              <w:t>689,435,152.65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pPr>
            <w:r>
              <w:rPr>
                <w:color w:val="000000"/>
                <w:spacing w:val="0"/>
                <w:w w:val="100"/>
                <w:position w:val="0"/>
              </w:rPr>
              <w:t>6,891,215.51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10,062,910.69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pPr>
            <w:r>
              <w:rPr>
                <w:color w:val="000000"/>
                <w:spacing w:val="0"/>
                <w:w w:val="100"/>
                <w:position w:val="0"/>
              </w:rPr>
              <w:t>43,346,829.13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pPr>
            <w:r>
              <w:rPr>
                <w:color w:val="000000"/>
                <w:spacing w:val="0"/>
                <w:w w:val="100"/>
                <w:position w:val="0"/>
              </w:rPr>
              <w:t>34,786,115.09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pPr>
            <w:r>
              <w:rPr>
                <w:color w:val="000000"/>
                <w:spacing w:val="0"/>
                <w:w w:val="100"/>
                <w:position w:val="0"/>
              </w:rPr>
              <w:t>50,932,167.30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pPr>
            <w:r>
              <w:rPr>
                <w:color w:val="000000"/>
                <w:spacing w:val="0"/>
                <w:w w:val="100"/>
                <w:position w:val="0"/>
              </w:rPr>
              <w:t>48,705,996.34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pPr>
            <w:r>
              <w:rPr>
                <w:color w:val="000000"/>
                <w:spacing w:val="0"/>
                <w:w w:val="100"/>
                <w:position w:val="0"/>
              </w:rPr>
              <w:t>29,262,898.14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pPr>
            <w:r>
              <w:rPr>
                <w:color w:val="000000"/>
                <w:spacing w:val="0"/>
                <w:w w:val="100"/>
                <w:position w:val="0"/>
              </w:rPr>
              <w:t>45,408,605.80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-631,784.26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-391,463.79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795,218.76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536,559.89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pPr>
            <w:r>
              <w:rPr>
                <w:color w:val="000000"/>
                <w:spacing w:val="0"/>
                <w:w w:val="100"/>
                <w:position w:val="0"/>
              </w:rPr>
              <w:t>5,987,352.04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pPr>
            <w:r>
              <w:rPr>
                <w:color w:val="000000"/>
                <w:spacing w:val="0"/>
                <w:w w:val="100"/>
                <w:position w:val="0"/>
              </w:rPr>
              <w:t>3,343,315.51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pPr>
            <w:r>
              <w:rPr>
                <w:color w:val="000000"/>
                <w:spacing w:val="0"/>
                <w:w w:val="100"/>
                <w:position w:val="0"/>
              </w:rPr>
              <w:t>88,323,563.69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160,565,729.65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1100" w:right="0" w:firstLine="0"/>
              <w:jc w:val="left"/>
              <w:rPr>
                <w:sz w:val="17"/>
                <w:szCs w:val="17"/>
              </w:rPr>
            </w:pPr>
            <w:r>
              <w:rPr>
                <w:rFonts w:ascii="SimSun" w:eastAsia="SimSun" w:hAnsi="SimSun" w:cs="SimSun"/>
                <w:color w:val="000000"/>
                <w:spacing w:val="0"/>
                <w:w w:val="100"/>
                <w:position w:val="0"/>
                <w:sz w:val="17"/>
                <w:szCs w:val="17"/>
              </w:rPr>
              <w:t>以摊余成本计量的金融资产终止确</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认收益（损失以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净敞口套期收益（损失以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公允价值变动收益（损失以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信用减值损失（损失以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517,766.08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pPr>
            <w:r>
              <w:rPr>
                <w:color w:val="000000"/>
                <w:spacing w:val="0"/>
                <w:w w:val="100"/>
                <w:position w:val="0"/>
              </w:rPr>
              <w:t>2,359,663.04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资产减值损失（损失以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资产处置收益（损失以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-403,393.22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26,577.26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177,695,534.98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pPr>
            <w:r>
              <w:rPr>
                <w:color w:val="000000"/>
                <w:spacing w:val="0"/>
                <w:w w:val="100"/>
                <w:position w:val="0"/>
              </w:rPr>
              <w:t>210,806,258.85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62,635.94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352,918.40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202,732.32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7,459.13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177,555,438.60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pPr>
            <w:r>
              <w:rPr>
                <w:color w:val="000000"/>
                <w:spacing w:val="0"/>
                <w:w w:val="100"/>
                <w:position w:val="0"/>
              </w:rPr>
              <w:t>211,151,718.12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13,246,787.63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pPr>
            <w:r>
              <w:rPr>
                <w:color w:val="000000"/>
                <w:spacing w:val="0"/>
                <w:w w:val="100"/>
                <w:position w:val="0"/>
              </w:rPr>
              <w:t>3,939,939.70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164,308,650.97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pPr>
            <w:r>
              <w:rPr>
                <w:color w:val="000000"/>
                <w:spacing w:val="0"/>
                <w:w w:val="100"/>
                <w:position w:val="0"/>
              </w:rPr>
              <w:t>207,211,778.42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（一）持续经营净利润（净亏损以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164,308,650.97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pPr>
            <w:r>
              <w:rPr>
                <w:color w:val="000000"/>
                <w:spacing w:val="0"/>
                <w:w w:val="100"/>
                <w:position w:val="0"/>
              </w:rPr>
              <w:t>207,211,778.42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（二）终止经营净利润（净亏损以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9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（二）将重分类进损益的其他综合收益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979"/>
        <w:gridCol w:w="2798"/>
        <w:gridCol w:w="280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9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金融资产重分类计入其他综合收益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164,308,650.97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207,211,778.42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0.3797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0.3011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0.3797</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643" w:name="bookmark643"/>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rPr>
        <w:t>5</w:t>
      </w:r>
      <w:bookmarkEnd w:id="645"/>
      <w:r>
        <w:rPr>
          <w:color w:val="000000"/>
          <w:spacing w:val="0"/>
          <w:w w:val="100"/>
          <w:position w:val="0"/>
        </w:rPr>
        <w:t>、合并现金流量表</w:t>
      </w:r>
      <w:bookmarkEnd w:id="643"/>
      <w:bookmarkEnd w:id="644"/>
      <w:bookmarkEnd w:id="646"/>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1,319,080,991.71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1,431,567,661.63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361,191.03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192,367,516.36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172,245,738.24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1,511,809,699.10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1,603,813,399.87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759,173,634.96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761,177,734.43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223,338,893.64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168,052,543.58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79,597,847.42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125,746,599.27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257,876,075.83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287,621,553.54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1,319,986,451.85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1,342,598,430.82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191,823,247.25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261,214,969.05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1,918,500,000.00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1,914,200,000.00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22,213,677.96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22,695,049.54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2,354,040.00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212,574.00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1,943,067,717.96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1,937,107,623.54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45,927,572.19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32,927,474.58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1,835,200,000.00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1,574,200,000.00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1,881,127,572.19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1,607,127,474.58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61,940,145.77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329,980,148.96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707,579.50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1,113,896.81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25,707,579.50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1,113,896.81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218,266,568.40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218,266,568.40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13,319,279.81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13,941,022.46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231,585,848.21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232,207,590.86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-205,878,268.71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-231,093,694.05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47,884,020.34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360,101,436.43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680,990,839.45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320,889,403.02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728,874,859.79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680,990,839.45</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647" w:name="bookmark647"/>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rPr>
        <w:t>6</w:t>
      </w:r>
      <w:bookmarkEnd w:id="649"/>
      <w:r>
        <w:rPr>
          <w:color w:val="000000"/>
          <w:spacing w:val="0"/>
          <w:w w:val="100"/>
          <w:position w:val="0"/>
        </w:rPr>
        <w:t>、母公司现金流量表</w:t>
      </w:r>
      <w:bookmarkEnd w:id="647"/>
      <w:bookmarkEnd w:id="648"/>
      <w:bookmarkEnd w:id="650"/>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30"/>
        <w:gridCol w:w="3221"/>
        <w:gridCol w:w="323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933,778,352.79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1,052,429,662.23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344,849.08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499,207,662.17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643,602,438.23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1,433,330,864.04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1,696,032,100.46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833,931,162.64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838,767,373.05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支付给职工以及为职工支付的现金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65,530,093.18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75,904,845.04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23,660,535.05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47,040,488.68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335,735,394.11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555,007,306.02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1,258,857,184.98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1,516,720,012.79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174,473,679.06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179,312,087.67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1,913,500,000.00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1,919,700,000.00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88,323,563.69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160,568,915.74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处置固定资产、无形资产和其他长 期资产收回的现金净额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2,222,880.00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78,550.00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30"/>
        <w:gridCol w:w="3221"/>
        <w:gridCol w:w="3235"/>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2,004,046,443.69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2,080,347,465.74</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购建固定资产、无形资产和其他长 期资产支付的现金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37,354,115.29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19,730,141.73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1,827,300,000.00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1,607,120,027.74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1,864,654,115.29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1,626,850,169.47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139,392,328.40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453,497,296.27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707,579.50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1,113,896.81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707,579.50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1,113,896.81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分配股利、利润或偿付利息支付的 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218,266,568.40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218,266,568.40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792,029.00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1,020,994.72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219,058,597.40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219,287,563.12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-218,351,017.90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-218,173,666.31</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四、汇率变动对现金及现金等价物的影 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95,513,885.59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414,635,730.10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596,101,836.26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181,466,106.16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691,615,721.85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596,101,836.26</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651" w:name="bookmark651"/>
      <w:bookmarkStart w:id="652" w:name="bookmark652"/>
      <w:bookmarkStart w:id="653" w:name="bookmark653"/>
      <w:bookmarkStart w:id="654" w:name="bookmark654"/>
      <w:r>
        <w:rPr>
          <w:rFonts w:ascii="Times New Roman" w:eastAsia="Times New Roman" w:hAnsi="Times New Roman" w:cs="Times New Roman"/>
          <w:color w:val="000000"/>
          <w:spacing w:val="0"/>
          <w:w w:val="100"/>
          <w:position w:val="0"/>
        </w:rPr>
        <w:t>7</w:t>
      </w:r>
      <w:bookmarkEnd w:id="653"/>
      <w:r>
        <w:rPr>
          <w:color w:val="000000"/>
          <w:spacing w:val="0"/>
          <w:w w:val="100"/>
          <w:position w:val="0"/>
        </w:rPr>
        <w:t>、合并所有者权益变动表</w:t>
      </w:r>
      <w:bookmarkEnd w:id="651"/>
      <w:bookmarkEnd w:id="652"/>
      <w:bookmarkEnd w:id="654"/>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少数</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股东</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综合</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专项</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盈余</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未分</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配利</w:t>
            </w:r>
          </w:p>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545,6</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66,42</w:t>
            </w:r>
          </w:p>
          <w:p>
            <w:pPr>
              <w:pStyle w:val="Style2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249,78</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2,710.</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300,99</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0,141.</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487,33</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3,691.</w:t>
            </w:r>
          </w:p>
          <w:p>
            <w:pPr>
              <w:pStyle w:val="Style20"/>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1,583,</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772,96</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3,299,</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599.03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both"/>
            </w:pPr>
            <w:r>
              <w:rPr>
                <w:color w:val="000000"/>
                <w:spacing w:val="0"/>
                <w:w w:val="100"/>
                <w:position w:val="0"/>
              </w:rPr>
              <w:t>1,587, 072,56</w:t>
            </w:r>
          </w:p>
          <w:p>
            <w:pPr>
              <w:pStyle w:val="Style20"/>
              <w:keepNext w:val="0"/>
              <w:keepLines w:val="0"/>
              <w:widowControl w:val="0"/>
              <w:shd w:val="clear" w:color="auto" w:fill="auto"/>
              <w:bidi w:val="0"/>
              <w:spacing w:before="0" w:after="0" w:line="360" w:lineRule="auto"/>
              <w:ind w:left="0" w:right="0" w:firstLine="0"/>
              <w:jc w:val="right"/>
            </w:pPr>
            <w:r>
              <w:rPr>
                <w:color w:val="000000"/>
                <w:spacing w:val="0"/>
                <w:w w:val="100"/>
                <w:position w:val="0"/>
              </w:rPr>
              <w:t>3.60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740"/>
              <w:jc w:val="both"/>
              <w:rPr>
                <w:sz w:val="17"/>
                <w:szCs w:val="17"/>
              </w:rPr>
            </w:pPr>
            <w:r>
              <w:rPr>
                <w:rFonts w:ascii="SimSun" w:eastAsia="SimSun" w:hAnsi="SimSun" w:cs="SimSun"/>
                <w:color w:val="000000"/>
                <w:spacing w:val="0"/>
                <w:w w:val="100"/>
                <w:position w:val="0"/>
                <w:sz w:val="17"/>
                <w:szCs w:val="17"/>
              </w:rPr>
              <w:t>同一</w:t>
            </w:r>
          </w:p>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545,6</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66,42</w:t>
            </w:r>
          </w:p>
          <w:p>
            <w:pPr>
              <w:pStyle w:val="Style2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249,78</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2,710.</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300,99</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0,141.</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487,33</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3,691.</w:t>
            </w:r>
          </w:p>
          <w:p>
            <w:pPr>
              <w:pStyle w:val="Style20"/>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1,583,</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772,96</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3,299,</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599.03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both"/>
            </w:pPr>
            <w:r>
              <w:rPr>
                <w:color w:val="000000"/>
                <w:spacing w:val="0"/>
                <w:w w:val="100"/>
                <w:position w:val="0"/>
              </w:rPr>
              <w:t>1,587, 072,56</w:t>
            </w:r>
          </w:p>
          <w:p>
            <w:pPr>
              <w:pStyle w:val="Style20"/>
              <w:keepNext w:val="0"/>
              <w:keepLines w:val="0"/>
              <w:widowControl w:val="0"/>
              <w:shd w:val="clear" w:color="auto" w:fill="auto"/>
              <w:bidi w:val="0"/>
              <w:spacing w:before="0" w:after="0" w:line="360" w:lineRule="auto"/>
              <w:ind w:left="0" w:right="0" w:firstLine="0"/>
              <w:jc w:val="right"/>
            </w:pPr>
            <w:r>
              <w:rPr>
                <w:color w:val="000000"/>
                <w:spacing w:val="0"/>
                <w:w w:val="100"/>
                <w:position w:val="0"/>
              </w:rPr>
              <w:t>3.60</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4" w:lineRule="exact"/>
              <w:ind w:left="0" w:right="0" w:firstLine="0"/>
              <w:jc w:val="both"/>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15,133 </w:t>
            </w:r>
            <w:r>
              <w:rPr>
                <w:color w:val="000000"/>
                <w:spacing w:val="0"/>
                <w:w w:val="100"/>
                <w:position w:val="0"/>
              </w:rPr>
              <w:t xml:space="preserve">,263.7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16,430</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,865.1</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-48,20</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8,929.</w:t>
            </w:r>
          </w:p>
          <w:p>
            <w:pPr>
              <w:pStyle w:val="Style20"/>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-16,64</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4,800.</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12,053</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,229.6</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both"/>
            </w:pPr>
            <w:r>
              <w:rPr>
                <w:color w:val="000000"/>
                <w:spacing w:val="0"/>
                <w:w w:val="100"/>
                <w:position w:val="0"/>
              </w:rPr>
              <w:t>-4,591, 570.92</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186,48</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8,504.</w:t>
            </w:r>
          </w:p>
          <w:p>
            <w:pPr>
              <w:pStyle w:val="Style20"/>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186,48</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8,504.</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2,186,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493.39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188,67</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4,997.</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15,133 </w:t>
            </w:r>
            <w:r>
              <w:rPr>
                <w:color w:val="000000"/>
                <w:spacing w:val="0"/>
                <w:w w:val="100"/>
                <w:position w:val="0"/>
              </w:rPr>
              <w:t xml:space="preserve">,263.7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15,133 </w:t>
            </w:r>
            <w:r>
              <w:rPr>
                <w:color w:val="000000"/>
                <w:spacing w:val="0"/>
                <w:w w:val="100"/>
                <w:position w:val="0"/>
              </w:rPr>
              <w:t xml:space="preserve">,263.7 </w:t>
            </w: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9,866,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736.30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25,000 </w:t>
            </w:r>
            <w:r>
              <w:rPr>
                <w:color w:val="000000"/>
                <w:spacing w:val="0"/>
                <w:w w:val="100"/>
                <w:position w:val="0"/>
              </w:rPr>
              <w:t xml:space="preserve">,000.0 </w:t>
            </w:r>
            <w:r>
              <w:rPr>
                <w:color w:val="000000"/>
                <w:spacing w:val="0"/>
                <w:w w:val="100"/>
                <w:position w:val="0"/>
              </w:rPr>
              <w:t>0</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25,000</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,000.0</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25,000 </w:t>
            </w:r>
            <w:r>
              <w:rPr>
                <w:color w:val="000000"/>
                <w:spacing w:val="0"/>
                <w:w w:val="100"/>
                <w:position w:val="0"/>
              </w:rPr>
              <w:t xml:space="preserve">,000.0 </w:t>
            </w:r>
            <w:r>
              <w:rPr>
                <w:color w:val="000000"/>
                <w:spacing w:val="0"/>
                <w:w w:val="100"/>
                <w:position w:val="0"/>
              </w:rPr>
              <w:t>0</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15,133 </w:t>
            </w:r>
            <w:r>
              <w:rPr>
                <w:color w:val="000000"/>
                <w:spacing w:val="0"/>
                <w:w w:val="100"/>
                <w:position w:val="0"/>
              </w:rPr>
              <w:t xml:space="preserve">,263.7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15,133 </w:t>
            </w:r>
            <w:r>
              <w:rPr>
                <w:color w:val="000000"/>
                <w:spacing w:val="0"/>
                <w:w w:val="100"/>
                <w:position w:val="0"/>
              </w:rPr>
              <w:t xml:space="preserve">,263.7 </w:t>
            </w: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-15,13</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3,263.</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16,430</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,865.1</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-234,6</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97,433</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-218,2</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66,568</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-218,2</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66,568</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16,430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-16,43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677"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,865.1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0,865.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-218,2</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66,568</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-218,2</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66,568</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-218,2</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66,568</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545,6</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66,42</w:t>
            </w:r>
          </w:p>
          <w:p>
            <w:pPr>
              <w:pStyle w:val="Style2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264,91</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5,973.</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317,42</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1,006.</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439,12</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4,762.</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1,567,</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128,16</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15,352</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,828.7</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1,582,</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480,99</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1392"/>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少数股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所有者</w:t>
            </w:r>
          </w:p>
          <w:p>
            <w:pPr>
              <w:pStyle w:val="Style20"/>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权益合</w:t>
            </w:r>
          </w:p>
          <w:p>
            <w:pPr>
              <w:pStyle w:val="Style20"/>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综合</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专项</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盈余</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未分</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配利</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优先永续其他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一、上年期末 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545,6</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66,42</w:t>
            </w:r>
          </w:p>
          <w:p>
            <w:pPr>
              <w:pStyle w:val="Style2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249,78</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2,710.</w:t>
            </w:r>
          </w:p>
          <w:p>
            <w:pPr>
              <w:pStyle w:val="Style20"/>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280,26</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8,963.</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562,99</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1,326.</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1,638,</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709,42</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2,003,3</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97.17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1,640,7</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12,819.</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740"/>
              <w:jc w:val="both"/>
              <w:rPr>
                <w:sz w:val="17"/>
                <w:szCs w:val="17"/>
              </w:rPr>
            </w:pPr>
            <w:r>
              <w:rPr>
                <w:rFonts w:ascii="SimSun" w:eastAsia="SimSun" w:hAnsi="SimSun" w:cs="SimSun"/>
                <w:color w:val="000000"/>
                <w:spacing w:val="0"/>
                <w:w w:val="100"/>
                <w:position w:val="0"/>
                <w:sz w:val="17"/>
                <w:szCs w:val="17"/>
              </w:rPr>
              <w:t>同一</w:t>
            </w:r>
          </w:p>
          <w:p>
            <w:pPr>
              <w:pStyle w:val="Style20"/>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545,6</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66,42</w:t>
            </w:r>
          </w:p>
          <w:p>
            <w:pPr>
              <w:pStyle w:val="Style2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249,78</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2,710.</w:t>
            </w:r>
          </w:p>
          <w:p>
            <w:pPr>
              <w:pStyle w:val="Style20"/>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280,26</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8,963.</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562,99</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1,326.</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1,638,</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709,42</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2,003,3</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97.17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1,640,7</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12,819.</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w:t>
            </w:r>
          </w:p>
        </w:tc>
      </w:tr>
      <w:tr>
        <w:trPr>
          <w:trHeight w:val="13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三、本期增减 变动金额（减 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20,721 </w:t>
            </w:r>
            <w:r>
              <w:rPr>
                <w:color w:val="000000"/>
                <w:spacing w:val="0"/>
                <w:w w:val="100"/>
                <w:position w:val="0"/>
              </w:rPr>
              <w:t xml:space="preserve">,177.8 </w:t>
            </w: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-75,65</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7,635.</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-54,93</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6,457.</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1,296,2</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01.86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-53,640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,255.53</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163,33</w:t>
            </w:r>
          </w:p>
          <w:p>
            <w:pPr>
              <w:pStyle w:val="Style20"/>
              <w:keepNext w:val="0"/>
              <w:keepLines w:val="0"/>
              <w:widowControl w:val="0"/>
              <w:shd w:val="clear" w:color="auto" w:fill="auto"/>
              <w:bidi w:val="0"/>
              <w:spacing w:before="0" w:after="140" w:line="240" w:lineRule="auto"/>
              <w:ind w:left="0" w:right="0" w:firstLine="0"/>
              <w:jc w:val="right"/>
            </w:pPr>
            <w:r>
              <w:rPr>
                <w:color w:val="000000"/>
                <w:spacing w:val="0"/>
                <w:w w:val="100"/>
                <w:position w:val="0"/>
              </w:rPr>
              <w:t>0,111.0</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163,33</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0,111.</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1,296,2</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01.86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164,626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,312.87</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20,721 </w:t>
            </w:r>
            <w:r>
              <w:rPr>
                <w:color w:val="000000"/>
                <w:spacing w:val="0"/>
                <w:w w:val="100"/>
                <w:position w:val="0"/>
              </w:rPr>
              <w:t xml:space="preserve">,177.8 </w:t>
            </w: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-238,9</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87,746</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-218,2</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66,568</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-218,26</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6,568.4</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r>
      <w:tr>
        <w:trPr>
          <w:trHeight w:val="103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提取盈余公 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20,721 </w:t>
            </w:r>
            <w:r>
              <w:rPr>
                <w:color w:val="000000"/>
                <w:spacing w:val="0"/>
                <w:w w:val="100"/>
                <w:position w:val="0"/>
              </w:rPr>
              <w:t xml:space="preserve">,177.8 </w:t>
            </w: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-20,72</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1,177.</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w:t>
            </w:r>
          </w:p>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-218,2</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66,568</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-218,2</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66,568</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-218,26</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6,568.4</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（四）所有者</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545,6</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66,42</w:t>
            </w:r>
          </w:p>
          <w:p>
            <w:pPr>
              <w:pStyle w:val="Style2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249,78</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2,710.</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300,99</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0,141.</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487,33</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3,691.</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1,583,</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772,96</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3,299,5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1,587,0</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72,563.</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8</w:t>
      </w:r>
      <w:bookmarkEnd w:id="657"/>
      <w:r>
        <w:rPr>
          <w:color w:val="000000"/>
          <w:spacing w:val="0"/>
          <w:w w:val="100"/>
          <w:position w:val="0"/>
        </w:rPr>
        <w:t>、母公司所有者权益变动表</w:t>
      </w:r>
      <w:bookmarkEnd w:id="655"/>
      <w:bookmarkEnd w:id="656"/>
      <w:bookmarkEnd w:id="658"/>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其他综</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545,66</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6,421.0</w:t>
            </w:r>
          </w:p>
          <w:p>
            <w:pPr>
              <w:pStyle w:val="Style20"/>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378,000,</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300,990,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235,61</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3,644.4</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1,460,270,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393.20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545,66</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6,421.0</w:t>
            </w:r>
          </w:p>
          <w:p>
            <w:pPr>
              <w:pStyle w:val="Style20"/>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378,000,</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300,990,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235,61</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3,644.4</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1,460,270,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393.20</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16,430,8</w:t>
            </w:r>
          </w:p>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65.10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-70,388</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,782.53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-53,957,91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164,30</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8,650.9</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164,308,6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16,430,8</w:t>
            </w:r>
          </w:p>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65.10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-234,69</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7,433.5</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-218,266,5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16,430,8</w:t>
            </w:r>
          </w:p>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65.10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-16,430</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,865.10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-218,26</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6,568.4</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-218,266,5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545,66</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6,421.0</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378,000,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317,421,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006.86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165,22</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4,861.8</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1,406,312,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475.77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未分配利 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545,66</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6,421.</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378,000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280,268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267,389,6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1,471,325,1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420"/>
              <w:jc w:val="left"/>
              <w:rPr>
                <w:sz w:val="17"/>
                <w:szCs w:val="17"/>
              </w:rPr>
            </w:pPr>
            <w:r>
              <w:rPr>
                <w:rFonts w:ascii="SimSun" w:eastAsia="SimSun" w:hAnsi="SimSun" w:cs="SimSun"/>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545,66</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6,421.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378,000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,186.04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280,268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267,389,6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1,471,325,1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83.18</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4" w:lineRule="exact"/>
              <w:ind w:left="0" w:right="0" w:firstLine="0"/>
              <w:jc w:val="left"/>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20,721,</w:t>
            </w:r>
          </w:p>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177.84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-31,775,9</w:t>
            </w:r>
          </w:p>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67.82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-11,054,789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207,211,7</w:t>
            </w:r>
          </w:p>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78.42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207,211,77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20,721,</w:t>
            </w:r>
          </w:p>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177.84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-238,987,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-218,266,56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20,721,</w:t>
            </w:r>
          </w:p>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177.84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-20,721,1</w:t>
            </w:r>
          </w:p>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77.84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-218,266,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-218,266,56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545,66</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6,421.</w:t>
            </w:r>
          </w:p>
          <w:p>
            <w:pPr>
              <w:pStyle w:val="Style20"/>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378,000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,186.04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300,990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,141.76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235,613,6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1,460,270,3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93.20</w:t>
            </w:r>
          </w:p>
        </w:tc>
      </w:tr>
    </w:tbl>
    <w:p>
      <w:pPr>
        <w:widowControl w:val="0"/>
        <w:spacing w:after="319" w:line="1" w:lineRule="exact"/>
      </w:pPr>
    </w:p>
    <w:p>
      <w:pPr>
        <w:pStyle w:val="Style23"/>
        <w:keepNext/>
        <w:keepLines/>
        <w:widowControl w:val="0"/>
        <w:shd w:val="clear" w:color="auto" w:fill="auto"/>
        <w:bidi w:val="0"/>
        <w:spacing w:before="0" w:after="280" w:line="240" w:lineRule="auto"/>
        <w:ind w:left="0" w:right="0" w:firstLine="0"/>
        <w:jc w:val="left"/>
      </w:pPr>
      <w:bookmarkStart w:id="659" w:name="bookmark659"/>
      <w:bookmarkStart w:id="660" w:name="bookmark660"/>
      <w:bookmarkStart w:id="661" w:name="bookmark661"/>
      <w:bookmarkStart w:id="662" w:name="bookmark662"/>
      <w:r>
        <w:rPr>
          <w:color w:val="000000"/>
          <w:spacing w:val="0"/>
          <w:w w:val="100"/>
          <w:position w:val="0"/>
        </w:rPr>
        <w:t>三</w:t>
      </w:r>
      <w:bookmarkEnd w:id="661"/>
      <w:r>
        <w:rPr>
          <w:color w:val="000000"/>
          <w:spacing w:val="0"/>
          <w:w w:val="100"/>
          <w:position w:val="0"/>
        </w:rPr>
        <w:t>、公司基本情况</w:t>
      </w:r>
      <w:bookmarkEnd w:id="659"/>
      <w:bookmarkEnd w:id="660"/>
      <w:bookmarkEnd w:id="662"/>
    </w:p>
    <w:p>
      <w:pPr>
        <w:pStyle w:val="Style18"/>
        <w:keepNext w:val="0"/>
        <w:keepLines w:val="0"/>
        <w:widowControl w:val="0"/>
        <w:shd w:val="clear" w:color="auto" w:fill="auto"/>
        <w:bidi w:val="0"/>
        <w:spacing w:before="0" w:after="0" w:line="311" w:lineRule="exact"/>
        <w:ind w:left="0" w:right="0" w:firstLine="380"/>
        <w:jc w:val="left"/>
      </w:pPr>
      <w:r>
        <w:rPr>
          <w:color w:val="000000"/>
          <w:spacing w:val="0"/>
          <w:w w:val="100"/>
          <w:position w:val="0"/>
        </w:rPr>
        <w:t>东港股份有限公司（以下简称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）是由香港喜多来集团有限公司、浪潮电子信息产业股份有限公司、北 京中嘉华信息技术有限公司、济南发展国有工业资产经营有限公司等公司共同发起设立的股份有限公司，注册地为中华人民 共和国山东省济南市。公司于</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年经山东省工商行政管理局核准登记，统一社会信用代码为：</w:t>
      </w:r>
      <w:r>
        <w:rPr>
          <w:rFonts w:ascii="Times New Roman" w:eastAsia="Times New Roman" w:hAnsi="Times New Roman" w:cs="Times New Roman"/>
          <w:color w:val="000000"/>
          <w:spacing w:val="0"/>
          <w:w w:val="100"/>
          <w:position w:val="0"/>
          <w:sz w:val="18"/>
          <w:szCs w:val="18"/>
        </w:rPr>
        <w:t>91370000613207311A</w:t>
      </w:r>
      <w:r>
        <w:rPr>
          <w:color w:val="000000"/>
          <w:spacing w:val="0"/>
          <w:w w:val="100"/>
          <w:position w:val="0"/>
        </w:rPr>
        <w:t>。</w:t>
      </w:r>
    </w:p>
    <w:p>
      <w:pPr>
        <w:pStyle w:val="Style18"/>
        <w:keepNext w:val="0"/>
        <w:keepLines w:val="0"/>
        <w:widowControl w:val="0"/>
        <w:shd w:val="clear" w:color="auto" w:fill="auto"/>
        <w:bidi w:val="0"/>
        <w:spacing w:before="0" w:after="0" w:line="311" w:lineRule="exact"/>
        <w:ind w:left="0" w:right="0" w:firstLine="380"/>
        <w:jc w:val="left"/>
      </w:pPr>
      <w:r>
        <w:rPr>
          <w:color w:val="000000"/>
          <w:spacing w:val="0"/>
          <w:w w:val="100"/>
          <w:position w:val="0"/>
        </w:rPr>
        <w:t>本公司前身为济南东港安全印务有限公司，</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日在该公司基础上改制为股份有限公司。</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日经中 国证券监督管理委员会证监发行字</w:t>
      </w:r>
      <w:r>
        <w:rPr>
          <w:rFonts w:ascii="Times New Roman" w:eastAsia="Times New Roman" w:hAnsi="Times New Roman" w:cs="Times New Roman"/>
          <w:color w:val="000000"/>
          <w:spacing w:val="0"/>
          <w:w w:val="100"/>
          <w:position w:val="0"/>
          <w:sz w:val="18"/>
          <w:szCs w:val="18"/>
        </w:rPr>
        <w:t>[2007]24</w:t>
      </w:r>
      <w:r>
        <w:rPr>
          <w:color w:val="000000"/>
          <w:spacing w:val="0"/>
          <w:w w:val="100"/>
          <w:position w:val="0"/>
        </w:rPr>
        <w:t>号文核准，本公司于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日向社会发行人民币普通股股票</w:t>
      </w:r>
      <w:r>
        <w:rPr>
          <w:rFonts w:ascii="Times New Roman" w:eastAsia="Times New Roman" w:hAnsi="Times New Roman" w:cs="Times New Roman"/>
          <w:color w:val="000000"/>
          <w:spacing w:val="0"/>
          <w:w w:val="100"/>
          <w:position w:val="0"/>
          <w:sz w:val="18"/>
          <w:szCs w:val="18"/>
        </w:rPr>
        <w:t>2,800</w:t>
      </w:r>
      <w:r>
        <w:rPr>
          <w:color w:val="000000"/>
          <w:spacing w:val="0"/>
          <w:w w:val="100"/>
          <w:position w:val="0"/>
        </w:rPr>
        <w:t>万股，发行 后累计注册资本金额为人民币</w:t>
      </w:r>
      <w:r>
        <w:rPr>
          <w:rFonts w:ascii="Times New Roman" w:eastAsia="Times New Roman" w:hAnsi="Times New Roman" w:cs="Times New Roman"/>
          <w:color w:val="000000"/>
          <w:spacing w:val="0"/>
          <w:w w:val="100"/>
          <w:position w:val="0"/>
          <w:sz w:val="18"/>
          <w:szCs w:val="18"/>
        </w:rPr>
        <w:t>110,000,000.00</w:t>
      </w:r>
      <w:r>
        <w:rPr>
          <w:color w:val="000000"/>
          <w:spacing w:val="0"/>
          <w:w w:val="100"/>
          <w:position w:val="0"/>
        </w:rPr>
        <w:t>元，股本为人民币</w:t>
      </w:r>
      <w:r>
        <w:rPr>
          <w:rFonts w:ascii="Times New Roman" w:eastAsia="Times New Roman" w:hAnsi="Times New Roman" w:cs="Times New Roman"/>
          <w:color w:val="000000"/>
          <w:spacing w:val="0"/>
          <w:w w:val="100"/>
          <w:position w:val="0"/>
          <w:sz w:val="18"/>
          <w:szCs w:val="18"/>
        </w:rPr>
        <w:t>110,000,000.00</w:t>
      </w:r>
      <w:r>
        <w:rPr>
          <w:color w:val="000000"/>
          <w:spacing w:val="0"/>
          <w:w w:val="100"/>
          <w:position w:val="0"/>
        </w:rPr>
        <w:t>元，股票面值为每股人民币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元。公司注册地址： 山东省济南市山大北路</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号。法定代表人：史建中。注册资本：</w:t>
      </w:r>
      <w:r>
        <w:rPr>
          <w:rFonts w:ascii="Times New Roman" w:eastAsia="Times New Roman" w:hAnsi="Times New Roman" w:cs="Times New Roman"/>
          <w:color w:val="000000"/>
          <w:spacing w:val="0"/>
          <w:w w:val="100"/>
          <w:position w:val="0"/>
          <w:sz w:val="18"/>
          <w:szCs w:val="18"/>
        </w:rPr>
        <w:t>545,666,421.00</w:t>
      </w:r>
      <w:r>
        <w:rPr>
          <w:color w:val="000000"/>
          <w:spacing w:val="0"/>
          <w:w w:val="100"/>
          <w:position w:val="0"/>
        </w:rPr>
        <w:t>元人民币。</w:t>
      </w:r>
    </w:p>
    <w:p>
      <w:pPr>
        <w:pStyle w:val="Style18"/>
        <w:keepNext w:val="0"/>
        <w:keepLines w:val="0"/>
        <w:widowControl w:val="0"/>
        <w:shd w:val="clear" w:color="auto" w:fill="auto"/>
        <w:bidi w:val="0"/>
        <w:spacing w:before="0" w:after="0" w:line="311" w:lineRule="exact"/>
        <w:ind w:left="0" w:right="0" w:firstLine="380"/>
        <w:jc w:val="left"/>
      </w:pPr>
      <w:r>
        <w:rPr>
          <w:color w:val="000000"/>
          <w:spacing w:val="0"/>
          <w:w w:val="100"/>
          <w:position w:val="0"/>
        </w:rPr>
        <w:t>本公司属于轻工制造</w:t>
      </w:r>
      <w:r>
        <w:rPr>
          <w:color w:val="000000"/>
          <w:spacing w:val="0"/>
          <w:w w:val="100"/>
          <w:position w:val="0"/>
          <w:sz w:val="18"/>
          <w:szCs w:val="18"/>
        </w:rPr>
        <w:t>一</w:t>
      </w:r>
      <w:r>
        <w:rPr>
          <w:color w:val="000000"/>
          <w:spacing w:val="0"/>
          <w:w w:val="100"/>
          <w:position w:val="0"/>
        </w:rPr>
        <w:t>包装印刷行业，经营范围：出版物、包装装潢印刷品及其他印刷品印刷（有效期以许可证为准）； 办公用纸、纸制品的生产；高档纸张的防伪处理，磁卡、</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卡、智能卡、识别卡和智能标签、印刷器材、电子设备及产品、 办公自动化设备及产品、电子元器件、软件产品的开发、生产，销售本公司生产的产品；信息系统集成工程及技术服务，数 据及信息处理服务，科技信息咨询服务；从事上述产品的批发；图书期刊、音像制品、电子出版物的批发及网络销售（凭许 可证经营）；档案存储及数字化加工服务，档案管理、咨询服务；代理广告业务；接受金融机构委托从事金融业务流程外包； 技术进出口，自有房屋租赁；经国家密码管理机构批准的商用密码产品开发、生产，销售经国家密码管理局批准并通过指定 检测机构产品质量检测的商用密码产品（以上两项有效期以许可证为准）；自助终端设备的开发、生产、销售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普通货运（凭 许可证经营）；仓储服务（不含危险品）；物流配送；标牌制作，</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产品的研发、生产及销售。（依法须经批准的项目， 经相关部门批准后方可开展经营活动）。</w:t>
      </w:r>
    </w:p>
    <w:p>
      <w:pPr>
        <w:pStyle w:val="Style18"/>
        <w:keepNext w:val="0"/>
        <w:keepLines w:val="0"/>
        <w:widowControl w:val="0"/>
        <w:shd w:val="clear" w:color="auto" w:fill="auto"/>
        <w:bidi w:val="0"/>
        <w:spacing w:before="0" w:after="0" w:line="311" w:lineRule="exact"/>
        <w:ind w:left="0" w:right="0" w:firstLine="300"/>
        <w:jc w:val="both"/>
      </w:pPr>
      <w:r>
        <w:rPr>
          <w:color w:val="000000"/>
          <w:spacing w:val="0"/>
          <w:w w:val="100"/>
          <w:position w:val="0"/>
        </w:rPr>
        <w:t>目前公司的主要业务分为印刷类业务，覆合类业务和技术服务类业务。其中印刷类业务包括：商业票证印刷，数据处理 打印与邮发封装，个性化彩色印刷和普通商业标签；覆合类业务包括：智能卡制造与个性化处理与</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智能标签；技术服 务类业务包括：电子票证服务，档案存储与电子化、票</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送等。</w:t>
      </w:r>
    </w:p>
    <w:p>
      <w:pPr>
        <w:pStyle w:val="Style18"/>
        <w:keepNext w:val="0"/>
        <w:keepLines w:val="0"/>
        <w:widowControl w:val="0"/>
        <w:shd w:val="clear" w:color="auto" w:fill="auto"/>
        <w:bidi w:val="0"/>
        <w:spacing w:before="0" w:after="380" w:line="311" w:lineRule="exact"/>
        <w:ind w:left="0" w:right="0" w:firstLine="380"/>
        <w:jc w:val="left"/>
      </w:pPr>
      <w:r>
        <w:rPr>
          <w:color w:val="000000"/>
          <w:spacing w:val="0"/>
          <w:w w:val="100"/>
          <w:position w:val="0"/>
        </w:rPr>
        <w:t>本公司本年纳入合并范围的共</w:t>
      </w:r>
      <w:r>
        <w:rPr>
          <w:rFonts w:ascii="Courier New" w:eastAsia="Courier New" w:hAnsi="Courier New" w:cs="Courier New"/>
          <w:color w:val="000000"/>
          <w:spacing w:val="0"/>
          <w:w w:val="100"/>
          <w:position w:val="0"/>
          <w:sz w:val="16"/>
          <w:szCs w:val="16"/>
        </w:rPr>
        <w:t>9</w:t>
      </w:r>
      <w:r>
        <w:rPr>
          <w:color w:val="000000"/>
          <w:spacing w:val="0"/>
          <w:w w:val="100"/>
          <w:position w:val="0"/>
        </w:rPr>
        <w:t>户，详见本附注“八、在其他主体中的权益”相关内容。</w:t>
      </w:r>
    </w:p>
    <w:p>
      <w:pPr>
        <w:pStyle w:val="Style23"/>
        <w:keepNext/>
        <w:keepLines/>
        <w:widowControl w:val="0"/>
        <w:shd w:val="clear" w:color="auto" w:fill="auto"/>
        <w:bidi w:val="0"/>
        <w:spacing w:before="0" w:after="380" w:line="240" w:lineRule="auto"/>
        <w:ind w:left="0" w:right="0" w:firstLine="0"/>
        <w:jc w:val="left"/>
      </w:pPr>
      <w:bookmarkStart w:id="663" w:name="bookmark663"/>
      <w:bookmarkStart w:id="664" w:name="bookmark664"/>
      <w:bookmarkStart w:id="665" w:name="bookmark665"/>
      <w:bookmarkStart w:id="666" w:name="bookmark666"/>
      <w:r>
        <w:rPr>
          <w:color w:val="000000"/>
          <w:spacing w:val="0"/>
          <w:w w:val="100"/>
          <w:position w:val="0"/>
        </w:rPr>
        <w:t>四</w:t>
      </w:r>
      <w:bookmarkEnd w:id="665"/>
      <w:r>
        <w:rPr>
          <w:color w:val="000000"/>
          <w:spacing w:val="0"/>
          <w:w w:val="100"/>
          <w:position w:val="0"/>
        </w:rPr>
        <w:t>、财务报表的编制基础</w:t>
      </w:r>
      <w:bookmarkEnd w:id="663"/>
      <w:bookmarkEnd w:id="664"/>
      <w:bookmarkEnd w:id="666"/>
    </w:p>
    <w:p>
      <w:pPr>
        <w:pStyle w:val="Style32"/>
        <w:keepNext/>
        <w:keepLines/>
        <w:widowControl w:val="0"/>
        <w:shd w:val="clear" w:color="auto" w:fill="auto"/>
        <w:tabs>
          <w:tab w:pos="317" w:val="left"/>
        </w:tabs>
        <w:bidi w:val="0"/>
        <w:spacing w:before="0" w:after="280" w:line="240" w:lineRule="auto"/>
        <w:ind w:left="0" w:right="0" w:firstLine="0"/>
        <w:jc w:val="left"/>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1</w:t>
      </w:r>
      <w:bookmarkEnd w:id="669"/>
      <w:r>
        <w:rPr>
          <w:color w:val="000000"/>
          <w:spacing w:val="0"/>
          <w:w w:val="100"/>
          <w:position w:val="0"/>
        </w:rPr>
        <w:t>、</w:t>
        <w:tab/>
        <w:t>编制基础</w:t>
      </w:r>
      <w:bookmarkEnd w:id="667"/>
      <w:bookmarkEnd w:id="668"/>
      <w:bookmarkEnd w:id="670"/>
    </w:p>
    <w:p>
      <w:pPr>
        <w:pStyle w:val="Style18"/>
        <w:keepNext w:val="0"/>
        <w:keepLines w:val="0"/>
        <w:widowControl w:val="0"/>
        <w:shd w:val="clear" w:color="auto" w:fill="auto"/>
        <w:bidi w:val="0"/>
        <w:spacing w:before="0" w:after="380" w:line="283" w:lineRule="exact"/>
        <w:ind w:left="0" w:right="0" w:firstLine="380"/>
        <w:jc w:val="both"/>
      </w:pPr>
      <w:r>
        <w:rPr>
          <w:color w:val="000000"/>
          <w:spacing w:val="0"/>
          <w:w w:val="100"/>
          <w:position w:val="0"/>
        </w:rPr>
        <w:t>本公司财务报表以持续经营为基础，根据实际发生的交易和事项，按照财政部颁布的《企业会计准则》及相关规定，并 基于本附注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四、重要会计政策及会计估计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所述会计政策和会计估计编制。</w:t>
      </w:r>
    </w:p>
    <w:p>
      <w:pPr>
        <w:pStyle w:val="Style32"/>
        <w:keepNext/>
        <w:keepLines/>
        <w:widowControl w:val="0"/>
        <w:shd w:val="clear" w:color="auto" w:fill="auto"/>
        <w:tabs>
          <w:tab w:pos="320" w:val="left"/>
        </w:tabs>
        <w:bidi w:val="0"/>
        <w:spacing w:before="0" w:line="240" w:lineRule="auto"/>
        <w:ind w:left="0" w:right="0" w:firstLine="0"/>
        <w:jc w:val="left"/>
      </w:pP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2</w:t>
      </w:r>
      <w:bookmarkEnd w:id="673"/>
      <w:r>
        <w:rPr>
          <w:color w:val="000000"/>
          <w:spacing w:val="0"/>
          <w:w w:val="100"/>
          <w:position w:val="0"/>
        </w:rPr>
        <w:t>、</w:t>
        <w:tab/>
        <w:t>持续经营</w:t>
      </w:r>
      <w:bookmarkEnd w:id="671"/>
      <w:bookmarkEnd w:id="672"/>
      <w:bookmarkEnd w:id="674"/>
    </w:p>
    <w:p>
      <w:pPr>
        <w:pStyle w:val="Style18"/>
        <w:keepNext w:val="0"/>
        <w:keepLines w:val="0"/>
        <w:widowControl w:val="0"/>
        <w:shd w:val="clear" w:color="auto" w:fill="auto"/>
        <w:bidi w:val="0"/>
        <w:spacing w:before="0" w:after="400" w:line="240" w:lineRule="auto"/>
        <w:ind w:left="0" w:right="0" w:firstLine="300"/>
        <w:jc w:val="left"/>
      </w:pPr>
      <w:r>
        <w:rPr>
          <w:color w:val="000000"/>
          <w:spacing w:val="0"/>
          <w:w w:val="100"/>
          <w:position w:val="0"/>
        </w:rPr>
        <w:t>本公司董事会相信本公司拥有充足的营运资金，将能自本财务报表批准日后不短于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个月的可预见未来期间内持续经 </w:t>
      </w:r>
      <w:r>
        <w:rPr>
          <w:color w:val="000000"/>
          <w:spacing w:val="0"/>
          <w:w w:val="100"/>
          <w:position w:val="0"/>
        </w:rPr>
        <w:t>营，无影响持续经营能力的重大事项。因此，董事会继续以持续经营为基础编制本公司截至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年度财 务报表。</w:t>
      </w:r>
    </w:p>
    <w:p>
      <w:pPr>
        <w:pStyle w:val="Style23"/>
        <w:keepNext/>
        <w:keepLines/>
        <w:widowControl w:val="0"/>
        <w:shd w:val="clear" w:color="auto" w:fill="auto"/>
        <w:bidi w:val="0"/>
        <w:spacing w:before="0" w:after="260" w:line="240" w:lineRule="auto"/>
        <w:ind w:left="0" w:right="0" w:firstLine="0"/>
        <w:jc w:val="both"/>
      </w:pPr>
      <w:bookmarkStart w:id="675" w:name="bookmark675"/>
      <w:bookmarkStart w:id="676" w:name="bookmark676"/>
      <w:bookmarkStart w:id="677" w:name="bookmark677"/>
      <w:bookmarkStart w:id="678" w:name="bookmark678"/>
      <w:r>
        <w:rPr>
          <w:color w:val="000000"/>
          <w:spacing w:val="0"/>
          <w:w w:val="100"/>
          <w:position w:val="0"/>
        </w:rPr>
        <w:t>五</w:t>
      </w:r>
      <w:bookmarkEnd w:id="677"/>
      <w:r>
        <w:rPr>
          <w:color w:val="000000"/>
          <w:spacing w:val="0"/>
          <w:w w:val="100"/>
          <w:position w:val="0"/>
        </w:rPr>
        <w:t>、重要会计政策及会计估计</w:t>
      </w:r>
      <w:bookmarkEnd w:id="675"/>
      <w:bookmarkEnd w:id="676"/>
      <w:bookmarkEnd w:id="678"/>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具体会计政策和会计估计提示：</w:t>
      </w:r>
    </w:p>
    <w:p>
      <w:pPr>
        <w:pStyle w:val="Style18"/>
        <w:keepNext w:val="0"/>
        <w:keepLines w:val="0"/>
        <w:widowControl w:val="0"/>
        <w:shd w:val="clear" w:color="auto" w:fill="auto"/>
        <w:bidi w:val="0"/>
        <w:spacing w:before="0" w:after="400" w:line="317" w:lineRule="exact"/>
        <w:ind w:left="0" w:right="0" w:firstLine="300"/>
        <w:jc w:val="both"/>
      </w:pPr>
      <w:r>
        <w:rPr>
          <w:color w:val="000000"/>
          <w:spacing w:val="0"/>
          <w:w w:val="100"/>
          <w:position w:val="0"/>
        </w:rPr>
        <w:t>本公司根据实际生产经营特点制定的具体会计政策和会计估计包括应收款项坏账准备的确认和计量、发出存货计量、固 定资产分类及折旧方法、无形资产摊销、研发费用资本化条件、收入确认和计量等。</w:t>
      </w:r>
    </w:p>
    <w:p>
      <w:pPr>
        <w:pStyle w:val="Style32"/>
        <w:keepNext/>
        <w:keepLines/>
        <w:widowControl w:val="0"/>
        <w:shd w:val="clear" w:color="auto" w:fill="auto"/>
        <w:tabs>
          <w:tab w:pos="368" w:val="left"/>
        </w:tabs>
        <w:bidi w:val="0"/>
        <w:spacing w:before="0" w:after="260" w:line="240"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1</w:t>
      </w:r>
      <w:bookmarkEnd w:id="681"/>
      <w:r>
        <w:rPr>
          <w:color w:val="000000"/>
          <w:spacing w:val="0"/>
          <w:w w:val="100"/>
          <w:position w:val="0"/>
        </w:rPr>
        <w:t>、</w:t>
        <w:tab/>
        <w:t>遵循企业会计准则的声明</w:t>
      </w:r>
      <w:bookmarkEnd w:id="679"/>
      <w:bookmarkEnd w:id="680"/>
      <w:bookmarkEnd w:id="682"/>
    </w:p>
    <w:p>
      <w:pPr>
        <w:pStyle w:val="Style18"/>
        <w:keepNext w:val="0"/>
        <w:keepLines w:val="0"/>
        <w:widowControl w:val="0"/>
        <w:shd w:val="clear" w:color="auto" w:fill="auto"/>
        <w:bidi w:val="0"/>
        <w:spacing w:before="0" w:after="400" w:line="312" w:lineRule="exact"/>
        <w:ind w:left="0" w:right="0" w:firstLine="300"/>
        <w:jc w:val="both"/>
      </w:pPr>
      <w:r>
        <w:rPr>
          <w:color w:val="000000"/>
          <w:spacing w:val="0"/>
          <w:w w:val="100"/>
          <w:position w:val="0"/>
        </w:rPr>
        <w:t>本公司编制的财务报表符合企业会计准则的要求，真实、完整地反映了本公司的财务状况、经营成果和现金流量等有关 信息。</w:t>
      </w:r>
    </w:p>
    <w:p>
      <w:pPr>
        <w:pStyle w:val="Style32"/>
        <w:keepNext/>
        <w:keepLines/>
        <w:widowControl w:val="0"/>
        <w:shd w:val="clear" w:color="auto" w:fill="auto"/>
        <w:tabs>
          <w:tab w:pos="378" w:val="left"/>
        </w:tabs>
        <w:bidi w:val="0"/>
        <w:spacing w:before="0" w:after="260" w:line="240" w:lineRule="auto"/>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2</w:t>
      </w:r>
      <w:bookmarkEnd w:id="685"/>
      <w:r>
        <w:rPr>
          <w:color w:val="000000"/>
          <w:spacing w:val="0"/>
          <w:w w:val="100"/>
          <w:position w:val="0"/>
        </w:rPr>
        <w:t>、</w:t>
        <w:tab/>
        <w:t>会计期间</w:t>
      </w:r>
      <w:bookmarkEnd w:id="683"/>
      <w:bookmarkEnd w:id="684"/>
      <w:bookmarkEnd w:id="686"/>
    </w:p>
    <w:p>
      <w:pPr>
        <w:pStyle w:val="Style18"/>
        <w:keepNext w:val="0"/>
        <w:keepLines w:val="0"/>
        <w:widowControl w:val="0"/>
        <w:shd w:val="clear" w:color="auto" w:fill="auto"/>
        <w:bidi w:val="0"/>
        <w:spacing w:before="0" w:after="400" w:line="313" w:lineRule="exact"/>
        <w:ind w:left="0" w:right="0" w:firstLine="300"/>
        <w:jc w:val="left"/>
      </w:pPr>
      <w:r>
        <w:rPr>
          <w:color w:val="000000"/>
          <w:spacing w:val="0"/>
          <w:w w:val="100"/>
          <w:position w:val="0"/>
        </w:rPr>
        <w:t>本公司的会计期间为公历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32"/>
        <w:keepNext/>
        <w:keepLines/>
        <w:widowControl w:val="0"/>
        <w:shd w:val="clear" w:color="auto" w:fill="auto"/>
        <w:tabs>
          <w:tab w:pos="378" w:val="left"/>
        </w:tabs>
        <w:bidi w:val="0"/>
        <w:spacing w:before="0" w:after="260" w:line="240"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3</w:t>
      </w:r>
      <w:bookmarkEnd w:id="689"/>
      <w:r>
        <w:rPr>
          <w:color w:val="000000"/>
          <w:spacing w:val="0"/>
          <w:w w:val="100"/>
          <w:position w:val="0"/>
        </w:rPr>
        <w:t>、</w:t>
        <w:tab/>
        <w:t>营业周期</w:t>
      </w:r>
      <w:bookmarkEnd w:id="687"/>
      <w:bookmarkEnd w:id="688"/>
      <w:bookmarkEnd w:id="690"/>
    </w:p>
    <w:p>
      <w:pPr>
        <w:pStyle w:val="Style18"/>
        <w:keepNext w:val="0"/>
        <w:keepLines w:val="0"/>
        <w:widowControl w:val="0"/>
        <w:shd w:val="clear" w:color="auto" w:fill="auto"/>
        <w:bidi w:val="0"/>
        <w:spacing w:before="0" w:after="400" w:line="326" w:lineRule="exact"/>
        <w:ind w:left="0" w:right="0" w:firstLine="300"/>
        <w:jc w:val="left"/>
      </w:pPr>
      <w:r>
        <w:rPr>
          <w:color w:val="000000"/>
          <w:spacing w:val="0"/>
          <w:w w:val="100"/>
          <w:position w:val="0"/>
        </w:rPr>
        <w:t>正常营业周期是指本公司从购买用于加工的资产起至实现现金或现金等价物的期间。本公司以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 期，并以其作为资产和负债的流动性划分标准。</w:t>
      </w:r>
    </w:p>
    <w:p>
      <w:pPr>
        <w:pStyle w:val="Style32"/>
        <w:keepNext/>
        <w:keepLines/>
        <w:widowControl w:val="0"/>
        <w:shd w:val="clear" w:color="auto" w:fill="auto"/>
        <w:tabs>
          <w:tab w:pos="378" w:val="left"/>
        </w:tabs>
        <w:bidi w:val="0"/>
        <w:spacing w:before="0" w:after="260" w:line="240"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4</w:t>
      </w:r>
      <w:bookmarkEnd w:id="693"/>
      <w:r>
        <w:rPr>
          <w:color w:val="000000"/>
          <w:spacing w:val="0"/>
          <w:w w:val="100"/>
          <w:position w:val="0"/>
        </w:rPr>
        <w:t>、</w:t>
        <w:tab/>
        <w:t>记账本位币</w:t>
      </w:r>
      <w:bookmarkEnd w:id="691"/>
      <w:bookmarkEnd w:id="692"/>
      <w:bookmarkEnd w:id="694"/>
    </w:p>
    <w:p>
      <w:pPr>
        <w:pStyle w:val="Style18"/>
        <w:keepNext w:val="0"/>
        <w:keepLines w:val="0"/>
        <w:widowControl w:val="0"/>
        <w:shd w:val="clear" w:color="auto" w:fill="auto"/>
        <w:bidi w:val="0"/>
        <w:spacing w:before="0" w:after="400" w:line="313" w:lineRule="exact"/>
        <w:ind w:left="0" w:right="0" w:firstLine="300"/>
        <w:jc w:val="left"/>
      </w:pPr>
      <w:r>
        <w:rPr>
          <w:color w:val="000000"/>
          <w:spacing w:val="0"/>
          <w:w w:val="100"/>
          <w:position w:val="0"/>
        </w:rPr>
        <w:t>本公司以人民币为记账本位币。</w:t>
      </w:r>
    </w:p>
    <w:p>
      <w:pPr>
        <w:pStyle w:val="Style32"/>
        <w:keepNext/>
        <w:keepLines/>
        <w:widowControl w:val="0"/>
        <w:shd w:val="clear" w:color="auto" w:fill="auto"/>
        <w:tabs>
          <w:tab w:pos="378" w:val="left"/>
        </w:tabs>
        <w:bidi w:val="0"/>
        <w:spacing w:before="0" w:after="26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5</w:t>
      </w:r>
      <w:bookmarkEnd w:id="697"/>
      <w:r>
        <w:rPr>
          <w:color w:val="000000"/>
          <w:spacing w:val="0"/>
          <w:w w:val="100"/>
          <w:position w:val="0"/>
        </w:rPr>
        <w:t>、</w:t>
        <w:tab/>
        <w:t>同一控制下和非同一控制下企业合并的会计处理方法</w:t>
      </w:r>
      <w:bookmarkEnd w:id="695"/>
      <w:bookmarkEnd w:id="696"/>
      <w:bookmarkEnd w:id="698"/>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本公司作为合并方，在同一控制下企业合并中取得的资产和负债，在合并日按被合并方在最终控制方合并报表中的账面 价值计量。取得的净资产账面价值与支付的合并对价账面价值的差额，调整资本公积；资本公积不足冲减的，调整留存收益。</w:t>
      </w:r>
    </w:p>
    <w:p>
      <w:pPr>
        <w:pStyle w:val="Style18"/>
        <w:keepNext w:val="0"/>
        <w:keepLines w:val="0"/>
        <w:widowControl w:val="0"/>
        <w:shd w:val="clear" w:color="auto" w:fill="auto"/>
        <w:bidi w:val="0"/>
        <w:spacing w:before="0" w:after="400" w:line="313" w:lineRule="exact"/>
        <w:ind w:left="0" w:right="0" w:firstLine="300"/>
        <w:jc w:val="both"/>
      </w:pPr>
      <w:r>
        <w:rPr>
          <w:color w:val="000000"/>
          <w:spacing w:val="0"/>
          <w:w w:val="100"/>
          <w:position w:val="0"/>
        </w:rPr>
        <w:t>在非同一控制下企业合并中取得的被购买方可辨认资产、负债及或有负债在收购日以公允价值计量。合并成本为本公司 在购买日为取得对被购买方的控制权而支付的现金或非现金资产、发行或承担的负债、发行的权益性证券等的公允价值以及 在企业合并中发生的各项直接相关费用之和（通过多次交易分步实现的企业合并，其合并成本为每一单项交易的成本之和）。 合并成本大于合并中取得的被购买方可辨认净资产公允价值份额的差额，确认为商誉；合并成本小于合并中取得的被购买方 可辨认净资产公允价值份额的，首先对合并中取得的各项可辨认资产、负债及或有负债的公允价值、以及合并对价的非现金 资产或发行的权益性证券等的公允价值进行复核，经复核后，合并成本仍小于合并中取得的被购买方可辨认净资产公允价值 份额的，将其差额计入合并当期营业外收入。</w:t>
      </w:r>
    </w:p>
    <w:p>
      <w:pPr>
        <w:pStyle w:val="Style32"/>
        <w:keepNext/>
        <w:keepLines/>
        <w:widowControl w:val="0"/>
        <w:shd w:val="clear" w:color="auto" w:fill="auto"/>
        <w:tabs>
          <w:tab w:pos="378" w:val="left"/>
        </w:tabs>
        <w:bidi w:val="0"/>
        <w:spacing w:before="0" w:after="26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6</w:t>
      </w:r>
      <w:bookmarkEnd w:id="701"/>
      <w:r>
        <w:rPr>
          <w:color w:val="000000"/>
          <w:spacing w:val="0"/>
          <w:w w:val="100"/>
          <w:position w:val="0"/>
        </w:rPr>
        <w:t>、</w:t>
        <w:tab/>
        <w:t>合并财务报表的编制方法</w:t>
      </w:r>
      <w:bookmarkEnd w:id="699"/>
      <w:bookmarkEnd w:id="700"/>
      <w:bookmarkEnd w:id="702"/>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本公司将所有控制的子公司纳入合并财务报表范围。</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在编制合并财务报表时，子公司与本公司采用的会计政策或会计期间不一致的，按照本公司的会计政策或会计期间对子 公司财务报表进行必要的调整。</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合并范围内的所有重大内部交易、往来余额及未实现利润在合并报表编制时予以抵销。子公司的所有者权益中不属于母 </w:t>
      </w:r>
      <w:r>
        <w:rPr>
          <w:color w:val="000000"/>
          <w:spacing w:val="0"/>
          <w:w w:val="100"/>
          <w:position w:val="0"/>
        </w:rPr>
        <w:t>公司的份额以及当期净损益、其他综合收益及综合收益总额中属于少数股东权益的份额，分别在合并财务报表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少数股东权 益、少数股东损益、归属于少数股东的其他综合收益及归属于少数股东的综合收益总额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对于同一控制下企业合并取得的子公司，其经营成果和现金流量自合并当期期初纳入合并财务报表。编制比较合并财务 报表时，对上年财务报表的相关项目进行调整，视同合并后形成的报告主体自最终控制方开始控制时点起一直存在。</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通过多次交易分步取得同一控制下被投资单位的股权，最终形成企业合并的，应在取得控制权的报告期，补充披露在合 并财务报表中的处理方法。例如：通过多次交易分步取得同一控制下被投资单位的股权，最终形成企业合并，编制合并报表 时，视同在最终控制方开始控制时即以目前的状态存在进行调整，在编制比较报表时，以不早于本公司和被合并方同处于最 终控制方的控制之下的时点为限，将被合并方的有关资产、负债并入本公司合并财务报表的比较报表中，并将合并而增加的 净资产在比较报表中调整所有者权益项下的相关项目。为避免对被合并方净资产的价值进行重复计算，本公司在达到合并之 前持有的长期股权投资，在取得原股权之日与本公司和被合并方处于同一方最终控制之日孰晚日起至合并日之间已确认有关 损益、其他综合收益和其他净资产变动，应分别冲减比较报表期间的期初留存收益和当期损益。</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对于非同一控制下企业合并取得子公司，经营成果和现金流量自本公司取得控制权之日起纳入合并财务报表。在编制合 并财务报表时，以购买日确定的各项可辨认资产、负债及或有负债的公允价值为基础对子公司的财务报表进行调整。</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通过多次交易分步取得非同一控制下被投资单位的股权，最终形成企业合并的，应在取得控制权的报告期，补充披露在 合并财务报表中的处理方法。例如：通过多次交易分步取得非同一控制下被投资单位的股权，最终形成企业合并，编制合并 报表时，对于购买日之前持有的被购买方的股权，按照该股权在购买日的公允价值进行重新计量，公允价值与其账面价值的 差额计入当期投资收益；与其相关的购买日之前持有的被购买方的股权涉及权益法核算下的其他综合收益以及除净损益、其 他综合收益和利润分配外的其他所有者权益变动，在购买日所属当期转为投资损益，由于被投资方重新计量设定受益计划净 负债或净资产变动而产生的其他综合收益除外。</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本公司在不丧失控制权的情况下部分处置对子公司的长期股权投资，在合并财务报表中，处置价款与处置长期股权投资 相对应享有子公司自购买日或合并日开始持续计算的净资产份额之间的差额，调整资本溢价或股本溢价，资本公积不足冲减 的，调整留存收益。</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本公司因处置部分股权投资等原因丧失了对被投资方的控制权的，在编制合并财务报表时，对于剩余股权，按照其在丧 失控制权日的公允价值进行重新计量。处置股权取得的对价与剩余股权公允价值之和，减去按原持股比例计算应享有原有子 公司自购买日或合并日开始持续计算的净资产的份额之间的差额，计入丧失控制权当期的投资损益，同时冲减商誉。与原有 子公司股权投资相关的其他综合收益等，在丧失控制权时转为当期投资损益。</w:t>
      </w:r>
    </w:p>
    <w:p>
      <w:pPr>
        <w:pStyle w:val="Style18"/>
        <w:keepNext w:val="0"/>
        <w:keepLines w:val="0"/>
        <w:widowControl w:val="0"/>
        <w:shd w:val="clear" w:color="auto" w:fill="auto"/>
        <w:bidi w:val="0"/>
        <w:spacing w:before="0" w:after="400" w:line="312" w:lineRule="exact"/>
        <w:ind w:left="0" w:right="0" w:firstLine="300"/>
        <w:jc w:val="both"/>
      </w:pPr>
      <w:r>
        <w:rPr>
          <w:color w:val="000000"/>
          <w:spacing w:val="0"/>
          <w:w w:val="100"/>
          <w:position w:val="0"/>
        </w:rPr>
        <w:t>本公司通过多次交易分步处置对子公司股权投资直至丧失控制权的，如果处置对子公司股权投资直至丧失控制权的各项 交易属于一揽子交易的，应当将各项交易作为一项处置子公司并丧失控制权的交易进行会计处理；但是，在丧失控制权之前 每一次处置价款与处置投资对应的享有该子公司净资产份额的差额，在合并财务报表中确认为其他综合收益，在丧失控制权 时一并转入丧失控制权当期的投资损益。</w:t>
      </w:r>
    </w:p>
    <w:p>
      <w:pPr>
        <w:pStyle w:val="Style32"/>
        <w:keepNext/>
        <w:keepLines/>
        <w:widowControl w:val="0"/>
        <w:shd w:val="clear" w:color="auto" w:fill="auto"/>
        <w:tabs>
          <w:tab w:pos="315" w:val="left"/>
        </w:tabs>
        <w:bidi w:val="0"/>
        <w:spacing w:before="0" w:after="26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7</w:t>
      </w:r>
      <w:bookmarkEnd w:id="705"/>
      <w:r>
        <w:rPr>
          <w:color w:val="000000"/>
          <w:spacing w:val="0"/>
          <w:w w:val="100"/>
          <w:position w:val="0"/>
        </w:rPr>
        <w:t>、</w:t>
        <w:tab/>
        <w:t>合营安排分类及共同经营会计处理方法</w:t>
      </w:r>
      <w:bookmarkEnd w:id="703"/>
      <w:bookmarkEnd w:id="704"/>
      <w:bookmarkEnd w:id="706"/>
    </w:p>
    <w:p>
      <w:pPr>
        <w:pStyle w:val="Style18"/>
        <w:keepNext w:val="0"/>
        <w:keepLines w:val="0"/>
        <w:widowControl w:val="0"/>
        <w:shd w:val="clear" w:color="auto" w:fill="auto"/>
        <w:bidi w:val="0"/>
        <w:spacing w:before="0" w:after="400" w:line="314" w:lineRule="exact"/>
        <w:ind w:left="0" w:right="0" w:firstLine="300"/>
        <w:jc w:val="both"/>
      </w:pPr>
      <w:r>
        <w:rPr>
          <w:color w:val="000000"/>
          <w:spacing w:val="0"/>
          <w:w w:val="100"/>
          <w:position w:val="0"/>
        </w:rPr>
        <w:t>本公司的合营安排包括共同经营和合营企业。对于共同经营项目</w:t>
      </w:r>
      <w:r>
        <w:rPr>
          <w:color w:val="000000"/>
          <w:spacing w:val="0"/>
          <w:w w:val="100"/>
          <w:position w:val="0"/>
          <w:sz w:val="18"/>
          <w:szCs w:val="18"/>
        </w:rPr>
        <w:t>，</w:t>
      </w:r>
      <w:r>
        <w:rPr>
          <w:color w:val="000000"/>
          <w:spacing w:val="0"/>
          <w:w w:val="100"/>
          <w:position w:val="0"/>
        </w:rPr>
        <w:t>本公司作为共同经营中的合营方确认单独持有的资产和 承担的负债，以及按份额确认持有的资产和承担的负债，根据相关约定单独或按份额确认相关的收入和费用。与共同经营发 生购买、销售不构成业务的资产交易的，仅确认因该交易产生的损益中归属于共同经营其他参与方的部分。</w:t>
      </w:r>
    </w:p>
    <w:p>
      <w:pPr>
        <w:pStyle w:val="Style32"/>
        <w:keepNext/>
        <w:keepLines/>
        <w:widowControl w:val="0"/>
        <w:shd w:val="clear" w:color="auto" w:fill="auto"/>
        <w:tabs>
          <w:tab w:pos="318" w:val="left"/>
        </w:tabs>
        <w:bidi w:val="0"/>
        <w:spacing w:before="0" w:after="260" w:line="240" w:lineRule="auto"/>
        <w:ind w:left="0" w:right="0" w:firstLine="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8</w:t>
      </w:r>
      <w:bookmarkEnd w:id="709"/>
      <w:r>
        <w:rPr>
          <w:color w:val="000000"/>
          <w:spacing w:val="0"/>
          <w:w w:val="100"/>
          <w:position w:val="0"/>
        </w:rPr>
        <w:t>、</w:t>
        <w:tab/>
        <w:t>现金及现金等价物的确定标准</w:t>
      </w:r>
      <w:bookmarkEnd w:id="707"/>
      <w:bookmarkEnd w:id="708"/>
      <w:bookmarkEnd w:id="710"/>
    </w:p>
    <w:p>
      <w:pPr>
        <w:pStyle w:val="Style18"/>
        <w:keepNext w:val="0"/>
        <w:keepLines w:val="0"/>
        <w:widowControl w:val="0"/>
        <w:shd w:val="clear" w:color="auto" w:fill="auto"/>
        <w:bidi w:val="0"/>
        <w:spacing w:before="0" w:after="400" w:line="317" w:lineRule="exact"/>
        <w:ind w:left="0" w:right="0" w:firstLine="300"/>
        <w:jc w:val="left"/>
      </w:pPr>
      <w:r>
        <w:rPr>
          <w:color w:val="000000"/>
          <w:spacing w:val="0"/>
          <w:w w:val="100"/>
          <w:position w:val="0"/>
        </w:rPr>
        <w:t>本公司现金流量表之现金指库存现金以及可以随时用于支付的存款。现金流量表之现金等价物指持有期限不超过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 流动性强、易于转换为已知金额现金且价值变动风险很小的投资。</w:t>
      </w:r>
    </w:p>
    <w:p>
      <w:pPr>
        <w:pStyle w:val="Style32"/>
        <w:keepNext/>
        <w:keepLines/>
        <w:widowControl w:val="0"/>
        <w:shd w:val="clear" w:color="auto" w:fill="auto"/>
        <w:tabs>
          <w:tab w:pos="318" w:val="left"/>
        </w:tabs>
        <w:bidi w:val="0"/>
        <w:spacing w:before="0" w:after="400" w:line="240" w:lineRule="auto"/>
        <w:ind w:left="0" w:right="0" w:firstLine="0"/>
        <w:jc w:val="both"/>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9</w:t>
      </w:r>
      <w:bookmarkEnd w:id="713"/>
      <w:r>
        <w:rPr>
          <w:color w:val="000000"/>
          <w:spacing w:val="0"/>
          <w:w w:val="100"/>
          <w:position w:val="0"/>
        </w:rPr>
        <w:t>、</w:t>
        <w:tab/>
        <w:t>外币业务和外币报表折算</w:t>
      </w:r>
      <w:bookmarkEnd w:id="711"/>
      <w:bookmarkEnd w:id="712"/>
      <w:bookmarkEnd w:id="714"/>
    </w:p>
    <w:p>
      <w:pPr>
        <w:pStyle w:val="Style18"/>
        <w:keepNext w:val="0"/>
        <w:keepLines w:val="0"/>
        <w:widowControl w:val="0"/>
        <w:shd w:val="clear" w:color="auto" w:fill="auto"/>
        <w:bidi w:val="0"/>
        <w:spacing w:before="0" w:after="320" w:line="240" w:lineRule="auto"/>
        <w:ind w:left="0" w:right="0" w:firstLine="0"/>
        <w:jc w:val="both"/>
      </w:pPr>
      <w:bookmarkStart w:id="715" w:name="bookmark715"/>
      <w:r>
        <w:rPr>
          <w:color w:val="000000"/>
          <w:spacing w:val="0"/>
          <w:w w:val="100"/>
          <w:position w:val="0"/>
        </w:rPr>
        <w:t>（</w:t>
      </w:r>
      <w:bookmarkEnd w:id="715"/>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）外币交易</w:t>
      </w:r>
    </w:p>
    <w:p>
      <w:pPr>
        <w:pStyle w:val="Style1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本公司外币交易按交易发生日的即期汇率将外币金额折算为人民币金额。于资产负债表日，外币货币性项目采用资产负 债表日的即期汇率折算为人民币，所产生的折算差额除了为购建或生产符合资本化条件的资产而借入的外币专门借款产生的 汇兑差额按资本化的原则处理外，直接计入当期损益。</w:t>
      </w:r>
    </w:p>
    <w:p>
      <w:pPr>
        <w:pStyle w:val="Style18"/>
        <w:keepNext w:val="0"/>
        <w:keepLines w:val="0"/>
        <w:widowControl w:val="0"/>
        <w:shd w:val="clear" w:color="auto" w:fill="auto"/>
        <w:bidi w:val="0"/>
        <w:spacing w:before="0" w:after="0" w:line="311" w:lineRule="exact"/>
        <w:ind w:left="0" w:right="0" w:firstLine="0"/>
        <w:jc w:val="left"/>
      </w:pPr>
      <w:bookmarkStart w:id="716" w:name="bookmark716"/>
      <w:r>
        <w:rPr>
          <w:color w:val="000000"/>
          <w:spacing w:val="0"/>
          <w:w w:val="100"/>
          <w:position w:val="0"/>
        </w:rPr>
        <w:t>（</w:t>
      </w:r>
      <w:bookmarkEnd w:id="716"/>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）外币财务报表的折算</w:t>
      </w:r>
    </w:p>
    <w:p>
      <w:pPr>
        <w:pStyle w:val="Style18"/>
        <w:keepNext w:val="0"/>
        <w:keepLines w:val="0"/>
        <w:widowControl w:val="0"/>
        <w:shd w:val="clear" w:color="auto" w:fill="auto"/>
        <w:bidi w:val="0"/>
        <w:spacing w:before="0" w:after="400" w:line="311" w:lineRule="exact"/>
        <w:ind w:left="0" w:right="0" w:firstLine="380"/>
        <w:jc w:val="both"/>
      </w:pPr>
      <w:r>
        <w:rPr>
          <w:color w:val="000000"/>
          <w:spacing w:val="0"/>
          <w:w w:val="100"/>
          <w:position w:val="0"/>
        </w:rPr>
        <w:t>外币资产负债表中资产、负债类项目采用资产负债表日的即期汇率折算；所有者权益类项目除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外，均按业 务发生时的即期汇率折算；利润表中的收入与费用项目，采用交易发生日的即期汇率折算。上述折算产生的外币报表折算差 额，在其他综合收益项目中列示。外币现金流量采用现金流量发生日的即期汇率折算。汇率变动对现金的影响额，在现金流 量表中单独列示。</w:t>
      </w:r>
    </w:p>
    <w:p>
      <w:pPr>
        <w:pStyle w:val="Style32"/>
        <w:keepNext/>
        <w:keepLines/>
        <w:widowControl w:val="0"/>
        <w:shd w:val="clear" w:color="auto" w:fill="auto"/>
        <w:bidi w:val="0"/>
        <w:spacing w:before="0" w:after="280" w:line="240" w:lineRule="auto"/>
        <w:ind w:left="0" w:right="0" w:firstLine="0"/>
        <w:jc w:val="left"/>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1</w:t>
      </w:r>
      <w:bookmarkEnd w:id="719"/>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17"/>
      <w:bookmarkEnd w:id="718"/>
      <w:bookmarkEnd w:id="720"/>
    </w:p>
    <w:p>
      <w:pPr>
        <w:pStyle w:val="Style18"/>
        <w:keepNext w:val="0"/>
        <w:keepLines w:val="0"/>
        <w:widowControl w:val="0"/>
        <w:shd w:val="clear" w:color="auto" w:fill="auto"/>
        <w:bidi w:val="0"/>
        <w:spacing w:before="0" w:after="220" w:line="314" w:lineRule="exact"/>
        <w:ind w:left="0" w:right="0" w:firstLine="380"/>
        <w:jc w:val="both"/>
      </w:pPr>
      <w:r>
        <w:rPr>
          <w:color w:val="000000"/>
          <w:spacing w:val="0"/>
          <w:w w:val="100"/>
          <w:position w:val="0"/>
        </w:rPr>
        <w:t>本公司成为金融工具合同的一方时确认一项金融资产或金融负债。</w:t>
      </w:r>
    </w:p>
    <w:p>
      <w:pPr>
        <w:pStyle w:val="Style18"/>
        <w:keepNext w:val="0"/>
        <w:keepLines w:val="0"/>
        <w:widowControl w:val="0"/>
        <w:shd w:val="clear" w:color="auto" w:fill="auto"/>
        <w:tabs>
          <w:tab w:pos="407" w:val="left"/>
        </w:tabs>
        <w:bidi w:val="0"/>
        <w:spacing w:before="0" w:after="0" w:line="314" w:lineRule="exact"/>
        <w:ind w:left="0" w:right="0" w:firstLine="0"/>
        <w:jc w:val="left"/>
      </w:pPr>
      <w:bookmarkStart w:id="721" w:name="bookmark721"/>
      <w:r>
        <w:rPr>
          <w:color w:val="000000"/>
          <w:spacing w:val="0"/>
          <w:w w:val="100"/>
          <w:position w:val="0"/>
        </w:rPr>
        <w:t>（</w:t>
      </w:r>
      <w:bookmarkEnd w:id="72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金融资产</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金融资产分类、确认依据和计量方法</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本公司根据管理金融资产的业务模式和金融资产的合同现金流特征，将金融资产分类为以摊余成本计量的金融资产、以 公允价值计量且其变动计入其他综合收益的金融资产、以公允价值计量且其变动计入当期损益的金融资产。</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金融资产在初始确认时以公允价值计量。对于以公允价值计量且其变动计入当期损益的金融资产，相关交易费用直接计 入当期损益；对于其他类别的金融资产，相关交易费用计入初始确认金额。因销售产品或提供劳务而产生的、未包含或不考 虑重大融资成分的应收账款或应收票据，本公司按照预期有权收取的对价金额作为初始确认金额。</w:t>
      </w:r>
    </w:p>
    <w:p>
      <w:pPr>
        <w:pStyle w:val="Style18"/>
        <w:keepNext w:val="0"/>
        <w:keepLines w:val="0"/>
        <w:widowControl w:val="0"/>
        <w:numPr>
          <w:ilvl w:val="0"/>
          <w:numId w:val="9"/>
        </w:numPr>
        <w:shd w:val="clear" w:color="auto" w:fill="auto"/>
        <w:tabs>
          <w:tab w:pos="715" w:val="left"/>
        </w:tabs>
        <w:bidi w:val="0"/>
        <w:spacing w:before="0" w:after="0" w:line="314" w:lineRule="exact"/>
        <w:ind w:left="0" w:right="0" w:firstLine="380"/>
        <w:jc w:val="both"/>
      </w:pPr>
      <w:bookmarkStart w:id="722" w:name="bookmark722"/>
      <w:bookmarkEnd w:id="722"/>
      <w:r>
        <w:rPr>
          <w:color w:val="000000"/>
          <w:spacing w:val="0"/>
          <w:w w:val="100"/>
          <w:position w:val="0"/>
        </w:rPr>
        <w:t>以摊余成本计量的金融资产</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本公司管理以摊余成本计量的金融资产的业务模式为以收取合同现金流量为目标，且此类金融资产的合同现金流量特征 与基本借贷安排相一致，即在特定日期产生的现金流量，仅为对本金和以未偿付本金金额为基础的利息的支付。本公司对于 此类金融资产，采用实际利率法，按照摊余成本进行后续计量，其摊销或减值产生的利得或损失，计入当期损益。</w:t>
      </w:r>
    </w:p>
    <w:p>
      <w:pPr>
        <w:pStyle w:val="Style18"/>
        <w:keepNext w:val="0"/>
        <w:keepLines w:val="0"/>
        <w:widowControl w:val="0"/>
        <w:numPr>
          <w:ilvl w:val="0"/>
          <w:numId w:val="9"/>
        </w:numPr>
        <w:shd w:val="clear" w:color="auto" w:fill="auto"/>
        <w:tabs>
          <w:tab w:pos="715" w:val="left"/>
        </w:tabs>
        <w:bidi w:val="0"/>
        <w:spacing w:before="0" w:after="0" w:line="314" w:lineRule="exact"/>
        <w:ind w:left="0" w:right="0" w:firstLine="380"/>
        <w:jc w:val="both"/>
      </w:pPr>
      <w:bookmarkStart w:id="723" w:name="bookmark723"/>
      <w:bookmarkEnd w:id="723"/>
      <w:r>
        <w:rPr>
          <w:color w:val="000000"/>
          <w:spacing w:val="0"/>
          <w:w w:val="100"/>
          <w:position w:val="0"/>
        </w:rPr>
        <w:t>以公允价值计量且其变动计入其他综合收益的金融资产</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本公司管理此类金融资产的业务模式为既以收取合同现金流量为目标又以出售为目标，且此类金融资产的合同现金流量 特征与基本借贷安排相一致。本公司对此类金融资产按照公允价值计量且其变动计入其他综合收益，但减值损失或利得、汇 兑损益和按照实际利率法计算的利息收入计入当期损益。</w:t>
      </w:r>
    </w:p>
    <w:p>
      <w:pPr>
        <w:pStyle w:val="Style18"/>
        <w:keepNext w:val="0"/>
        <w:keepLines w:val="0"/>
        <w:widowControl w:val="0"/>
        <w:shd w:val="clear" w:color="auto" w:fill="auto"/>
        <w:bidi w:val="0"/>
        <w:spacing w:before="0" w:after="0" w:line="319" w:lineRule="exact"/>
        <w:ind w:left="0" w:right="0" w:firstLine="380"/>
        <w:jc w:val="both"/>
      </w:pPr>
      <w:r>
        <w:rPr>
          <w:color w:val="000000"/>
          <w:spacing w:val="0"/>
          <w:w w:val="100"/>
          <w:position w:val="0"/>
        </w:rPr>
        <w:t>此外，本公司将部分非交易性权益工具投资指定为以公允价值计量且其变动计入其他综合收益的金融资产。本公司将该 类金融资产的相关股利收入计入当期损益，公允价值变动计入其他综合收益。当该金融资产终止确认时，之前计入其他综合 收益的累计利得或损失将从其他综合收益转入留存收益，不计入当期损益。</w:t>
      </w:r>
    </w:p>
    <w:p>
      <w:pPr>
        <w:pStyle w:val="Style18"/>
        <w:keepNext w:val="0"/>
        <w:keepLines w:val="0"/>
        <w:widowControl w:val="0"/>
        <w:numPr>
          <w:ilvl w:val="0"/>
          <w:numId w:val="9"/>
        </w:numPr>
        <w:shd w:val="clear" w:color="auto" w:fill="auto"/>
        <w:tabs>
          <w:tab w:pos="715" w:val="left"/>
        </w:tabs>
        <w:bidi w:val="0"/>
        <w:spacing w:before="0" w:after="0" w:line="319" w:lineRule="exact"/>
        <w:ind w:left="0" w:right="0" w:firstLine="380"/>
        <w:jc w:val="both"/>
      </w:pPr>
      <w:bookmarkStart w:id="724" w:name="bookmark724"/>
      <w:bookmarkEnd w:id="724"/>
      <w:r>
        <w:rPr>
          <w:color w:val="000000"/>
          <w:spacing w:val="0"/>
          <w:w w:val="100"/>
          <w:position w:val="0"/>
        </w:rPr>
        <w:t>以公允价值计量且其变动计入当期损益的金融资产</w:t>
      </w:r>
    </w:p>
    <w:p>
      <w:pPr>
        <w:pStyle w:val="Style18"/>
        <w:keepNext w:val="0"/>
        <w:keepLines w:val="0"/>
        <w:widowControl w:val="0"/>
        <w:shd w:val="clear" w:color="auto" w:fill="auto"/>
        <w:bidi w:val="0"/>
        <w:spacing w:before="0" w:after="220" w:line="319" w:lineRule="exact"/>
        <w:ind w:left="0" w:right="0" w:firstLine="380"/>
        <w:jc w:val="both"/>
      </w:pPr>
      <w:r>
        <w:rPr>
          <w:color w:val="000000"/>
          <w:spacing w:val="0"/>
          <w:w w:val="100"/>
          <w:position w:val="0"/>
        </w:rPr>
        <w:t>本公司将上述以摊余成本计量的金融资产和以公允价值计量且其变动计入其他综合收益的金融资产之外的金融资产，分 类为以公允价值计量且其变动计入当期损益的金融资产。此外，在初始确认时，本公司为了消除或显著减少会计错配，将部 分金融资产指定为以公允价值计量且其变动计入当期损益的金融资产。对于此类金融资产，本公司采用公允价值进行后续计 量，公允价值变动计入当期损益。</w:t>
      </w:r>
    </w:p>
    <w:p>
      <w:pPr>
        <w:pStyle w:val="Style18"/>
        <w:keepNext w:val="0"/>
        <w:keepLines w:val="0"/>
        <w:widowControl w:val="0"/>
        <w:shd w:val="clear" w:color="auto" w:fill="auto"/>
        <w:tabs>
          <w:tab w:pos="407" w:val="left"/>
        </w:tabs>
        <w:bidi w:val="0"/>
        <w:spacing w:before="0" w:after="0" w:line="312" w:lineRule="exact"/>
        <w:ind w:left="0" w:right="0" w:firstLine="0"/>
        <w:jc w:val="left"/>
      </w:pPr>
      <w:bookmarkStart w:id="725" w:name="bookmark725"/>
      <w:r>
        <w:rPr>
          <w:color w:val="000000"/>
          <w:spacing w:val="0"/>
          <w:w w:val="100"/>
          <w:position w:val="0"/>
        </w:rPr>
        <w:t>（</w:t>
      </w:r>
      <w:bookmarkEnd w:id="72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金融资产转移的确认依据和计量方法</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本公司将满足下列条件之一的金融资产予以终止确认：①收取该金融资产现金流量的合同权利终止；②金融资产发生转 移，本公司转移了金融资产所有权上几乎所有风险和报酬；③金融资产发生转移，本公司既没有转移也没有保留金融资产所 有权上几乎所有风险和报酬，且未保留对该金融资产控制的。</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金融资产整体转移满足终止确认条件的，将所转移金融资产的账面价值，与因转移而收到的对价及原直接计入其他综合 收益的公允价值变动累计额中对应终止确认部分的金额（涉及转移的金融资产的合同条款规定，在特定日期产生的现金流量， 仅为对本金和以未偿付本金金额为基础的利息的支付）之和的差额计入当期损益。</w:t>
      </w:r>
    </w:p>
    <w:p>
      <w:pPr>
        <w:pStyle w:val="Style18"/>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 xml:space="preserve">金融资产部分转移满足终止确认条件的，将所转移金融资产整体的账面价值，在终止确认部分和未终止确认部分之间， </w:t>
      </w:r>
      <w:r>
        <w:rPr>
          <w:color w:val="000000"/>
          <w:spacing w:val="0"/>
          <w:w w:val="100"/>
          <w:position w:val="0"/>
        </w:rPr>
        <w:t>按照各自的相对公允价值进行分摊，并将因转移而收到的对价及应分摊至终止确认部分的原计入其他综合收益的公允价值变 动累计额中对应终止确认部分的金额（涉及转移的金融资产的合同条款规定，在特定日期产生的现金流量，仅为对本金和以 未偿付本金金额为基础的利息的支付）之和，与分摊的前述金融资产整体账面价值的差额计入当期损益。</w:t>
      </w:r>
    </w:p>
    <w:p>
      <w:pPr>
        <w:pStyle w:val="Style18"/>
        <w:keepNext w:val="0"/>
        <w:keepLines w:val="0"/>
        <w:widowControl w:val="0"/>
        <w:shd w:val="clear" w:color="auto" w:fill="auto"/>
        <w:bidi w:val="0"/>
        <w:spacing w:before="0" w:after="340" w:line="312" w:lineRule="exact"/>
        <w:ind w:left="0" w:right="0" w:firstLine="0"/>
        <w:jc w:val="both"/>
      </w:pPr>
      <w:bookmarkStart w:id="726" w:name="bookmark726"/>
      <w:r>
        <w:rPr>
          <w:color w:val="000000"/>
          <w:spacing w:val="0"/>
          <w:w w:val="100"/>
          <w:position w:val="0"/>
        </w:rPr>
        <w:t>（</w:t>
      </w:r>
      <w:bookmarkEnd w:id="726"/>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）金融负债</w:t>
      </w:r>
    </w:p>
    <w:p>
      <w:pPr>
        <w:pStyle w:val="Style18"/>
        <w:keepNext w:val="0"/>
        <w:keepLines w:val="0"/>
        <w:widowControl w:val="0"/>
        <w:shd w:val="clear" w:color="auto" w:fill="auto"/>
        <w:bidi w:val="0"/>
        <w:spacing w:before="0" w:after="0" w:line="360" w:lineRule="auto"/>
        <w:ind w:left="0" w:right="0" w:firstLine="280"/>
        <w:jc w:val="both"/>
      </w:pPr>
      <w:bookmarkStart w:id="727" w:name="bookmark727"/>
      <w:r>
        <w:rPr>
          <w:rFonts w:ascii="Times New Roman" w:eastAsia="Times New Roman" w:hAnsi="Times New Roman" w:cs="Times New Roman"/>
          <w:color w:val="000000"/>
          <w:spacing w:val="0"/>
          <w:w w:val="100"/>
          <w:position w:val="0"/>
          <w:sz w:val="18"/>
          <w:szCs w:val="18"/>
        </w:rPr>
        <w:t>1</w:t>
      </w:r>
      <w:bookmarkEnd w:id="727"/>
      <w:r>
        <w:rPr>
          <w:color w:val="000000"/>
          <w:spacing w:val="0"/>
          <w:w w:val="100"/>
          <w:position w:val="0"/>
        </w:rPr>
        <w:t>）金融负债分类、确认依据和计量方法</w:t>
      </w:r>
    </w:p>
    <w:p>
      <w:pPr>
        <w:pStyle w:val="Style18"/>
        <w:keepNext w:val="0"/>
        <w:keepLines w:val="0"/>
        <w:widowControl w:val="0"/>
        <w:shd w:val="clear" w:color="auto" w:fill="auto"/>
        <w:bidi w:val="0"/>
        <w:spacing w:before="0" w:after="0" w:line="311" w:lineRule="exact"/>
        <w:ind w:left="0" w:right="0" w:firstLine="380"/>
        <w:jc w:val="left"/>
      </w:pPr>
      <w:r>
        <w:rPr>
          <w:color w:val="000000"/>
          <w:spacing w:val="0"/>
          <w:w w:val="100"/>
          <w:position w:val="0"/>
        </w:rPr>
        <w:t>本公司的金融负债于初始确认时分类为以公允价值计量且其变动计入当期损益的金融负债和其他金融负债。</w:t>
      </w:r>
    </w:p>
    <w:p>
      <w:pPr>
        <w:pStyle w:val="Style1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金融负债于初始确认时分类为以公允价值计量且其变动计入当期损益的金融负债和其他金融负债。对于以公允价值计量 且其变动计入当期损益的金融负债，相关交易费用直接计入当期损益，其他金融负债的相关交易费用计入其初始确认金额。</w:t>
      </w:r>
    </w:p>
    <w:p>
      <w:pPr>
        <w:pStyle w:val="Style18"/>
        <w:keepNext w:val="0"/>
        <w:keepLines w:val="0"/>
        <w:widowControl w:val="0"/>
        <w:numPr>
          <w:ilvl w:val="0"/>
          <w:numId w:val="11"/>
        </w:numPr>
        <w:shd w:val="clear" w:color="auto" w:fill="auto"/>
        <w:tabs>
          <w:tab w:pos="704" w:val="left"/>
        </w:tabs>
        <w:bidi w:val="0"/>
        <w:spacing w:before="0" w:after="0" w:line="311" w:lineRule="exact"/>
        <w:ind w:left="0" w:right="0" w:firstLine="380"/>
        <w:jc w:val="both"/>
      </w:pPr>
      <w:bookmarkStart w:id="728" w:name="bookmark728"/>
      <w:bookmarkEnd w:id="728"/>
      <w:r>
        <w:rPr>
          <w:color w:val="000000"/>
          <w:spacing w:val="0"/>
          <w:w w:val="100"/>
          <w:position w:val="0"/>
        </w:rPr>
        <w:t>以公允价值计量且其变动计入当期损益的金融负债</w:t>
      </w:r>
    </w:p>
    <w:p>
      <w:pPr>
        <w:pStyle w:val="Style1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以公允价值计量且其变动计入当期损益的金融负债，包括交易性金融负债（含属于金融负债的衍生工具）和初始确认时 指定为以公允价值计量且其变动计入当期损益的金融负债。</w:t>
      </w:r>
    </w:p>
    <w:p>
      <w:pPr>
        <w:pStyle w:val="Style1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交易性金融负债（含属于金融负债的衍生工具），按照公允价值进行后续计量，除与套期会计有关外，公允价值变动计 入当期损益。</w:t>
      </w:r>
    </w:p>
    <w:p>
      <w:pPr>
        <w:pStyle w:val="Style1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被指定为以公允价值计量且其变动计入当期损益的金融负债，该负债由本公司自身信用风险变动引起的公允价值变动计 入其他综合收益，且终止确认该负债时，计入其他综合收益的自身信用风险变动引起的其公允价值累计变动额转入留存收益。 其余公允价值变动计入当期损益。若按上述方式对该等金融负债的自身信用风险变动的影响进行处理会造成或扩大损益中的 会计错配的，本公司将该金融负债的全部利得或损失（包括企业自身信用风险变动的影响金额）计入当期损益。</w:t>
      </w:r>
    </w:p>
    <w:p>
      <w:pPr>
        <w:pStyle w:val="Style18"/>
        <w:keepNext w:val="0"/>
        <w:keepLines w:val="0"/>
        <w:widowControl w:val="0"/>
        <w:numPr>
          <w:ilvl w:val="0"/>
          <w:numId w:val="11"/>
        </w:numPr>
        <w:shd w:val="clear" w:color="auto" w:fill="auto"/>
        <w:tabs>
          <w:tab w:pos="704" w:val="left"/>
        </w:tabs>
        <w:bidi w:val="0"/>
        <w:spacing w:before="0" w:after="0" w:line="311" w:lineRule="exact"/>
        <w:ind w:left="0" w:right="0" w:firstLine="380"/>
        <w:jc w:val="both"/>
      </w:pPr>
      <w:bookmarkStart w:id="729" w:name="bookmark729"/>
      <w:bookmarkEnd w:id="729"/>
      <w:r>
        <w:rPr>
          <w:color w:val="000000"/>
          <w:spacing w:val="0"/>
          <w:w w:val="100"/>
          <w:position w:val="0"/>
        </w:rPr>
        <w:t>其他金融负债</w:t>
      </w:r>
    </w:p>
    <w:p>
      <w:pPr>
        <w:pStyle w:val="Style18"/>
        <w:keepNext w:val="0"/>
        <w:keepLines w:val="0"/>
        <w:widowControl w:val="0"/>
        <w:shd w:val="clear" w:color="auto" w:fill="auto"/>
        <w:bidi w:val="0"/>
        <w:spacing w:before="0" w:after="340" w:line="311" w:lineRule="exact"/>
        <w:ind w:left="0" w:right="0" w:firstLine="380"/>
        <w:jc w:val="both"/>
      </w:pPr>
      <w:r>
        <w:rPr>
          <w:color w:val="000000"/>
          <w:spacing w:val="0"/>
          <w:w w:val="100"/>
          <w:position w:val="0"/>
        </w:rPr>
        <w:t>除金融资产转移不符合终止确认条件或继续涉入被转移金融资产所形成的金融负债、财务担保合同外的其他金融负债分 类为以摊余成本计量的金融负债，按摊余成本进行后续计量，终止确认或摊销产生的利得或损失计入当期损益。</w:t>
      </w:r>
    </w:p>
    <w:p>
      <w:pPr>
        <w:pStyle w:val="Style18"/>
        <w:keepNext w:val="0"/>
        <w:keepLines w:val="0"/>
        <w:widowControl w:val="0"/>
        <w:shd w:val="clear" w:color="auto" w:fill="auto"/>
        <w:bidi w:val="0"/>
        <w:spacing w:before="0" w:after="0" w:line="360" w:lineRule="auto"/>
        <w:ind w:left="0" w:right="0" w:firstLine="0"/>
        <w:jc w:val="left"/>
      </w:pPr>
      <w:bookmarkStart w:id="730" w:name="bookmark730"/>
      <w:r>
        <w:rPr>
          <w:rFonts w:ascii="Times New Roman" w:eastAsia="Times New Roman" w:hAnsi="Times New Roman" w:cs="Times New Roman"/>
          <w:color w:val="000000"/>
          <w:spacing w:val="0"/>
          <w:w w:val="100"/>
          <w:position w:val="0"/>
          <w:sz w:val="18"/>
          <w:szCs w:val="18"/>
        </w:rPr>
        <w:t>2</w:t>
      </w:r>
      <w:bookmarkEnd w:id="730"/>
      <w:r>
        <w:rPr>
          <w:color w:val="000000"/>
          <w:spacing w:val="0"/>
          <w:w w:val="100"/>
          <w:position w:val="0"/>
        </w:rPr>
        <w:t>）金融负债终止确认条件</w:t>
      </w:r>
    </w:p>
    <w:p>
      <w:pPr>
        <w:pStyle w:val="Style18"/>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当金融负债的现时义务全部或部分已经解除时，终止确认该金融负债或义务已解除的部分。本公司与债权人之间签订协 议，以承担新金融负债方式替换现存金融负债，且新金融负债与现存金融负债的合同条款实质上不同的，终止确认现存金融 负债，并同时确认新金融负债。本公司对现存金融负债全部或部分的合同条款作出实质性修改的，终止确认现存金融负债或 其一部分，同时将修改条款后的金融负债确认为一项新金融负债。终止确认部分的账面价值与支付的对价之间的差额，计入 当期损益。</w:t>
      </w:r>
    </w:p>
    <w:p>
      <w:pPr>
        <w:pStyle w:val="Style18"/>
        <w:keepNext w:val="0"/>
        <w:keepLines w:val="0"/>
        <w:widowControl w:val="0"/>
        <w:shd w:val="clear" w:color="auto" w:fill="auto"/>
        <w:tabs>
          <w:tab w:pos="396" w:val="left"/>
        </w:tabs>
        <w:bidi w:val="0"/>
        <w:spacing w:before="0" w:after="0" w:line="312" w:lineRule="exact"/>
        <w:ind w:left="0" w:right="0" w:firstLine="0"/>
        <w:jc w:val="left"/>
      </w:pPr>
      <w:bookmarkStart w:id="731" w:name="bookmark731"/>
      <w:r>
        <w:rPr>
          <w:color w:val="000000"/>
          <w:spacing w:val="0"/>
          <w:w w:val="100"/>
          <w:position w:val="0"/>
        </w:rPr>
        <w:t>（</w:t>
      </w:r>
      <w:bookmarkEnd w:id="73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金融资产和金融负债的公允价值确定方法</w:t>
      </w:r>
    </w:p>
    <w:p>
      <w:pPr>
        <w:pStyle w:val="Style18"/>
        <w:keepNext w:val="0"/>
        <w:keepLines w:val="0"/>
        <w:widowControl w:val="0"/>
        <w:shd w:val="clear" w:color="auto" w:fill="auto"/>
        <w:bidi w:val="0"/>
        <w:spacing w:before="0" w:after="220" w:line="312" w:lineRule="exact"/>
        <w:ind w:left="0" w:right="0" w:firstLine="380"/>
        <w:jc w:val="left"/>
      </w:pPr>
      <w:r>
        <w:rPr>
          <w:color w:val="000000"/>
          <w:spacing w:val="0"/>
          <w:w w:val="100"/>
          <w:position w:val="0"/>
        </w:rPr>
        <w:t>公允价值，是指市场参与者在计量日发生的有序交易中，出售一项资产所能收到或者转移一项负债所需支付的价格。金 融工具存在活跃市场的，本公司采用活跃市场中的报价确定其公允价值。活跃市场中的报价是指易于定期从交易所、经纪商、 行业协会、定价服务机构等获得的价格，且代表了在公平交易中实际发生的市场交易的价格。金融工具不存在活跃市场的， 本公司采用估值技术确定其公允价值。估值技术包括参考熟悉情况并自愿交易的各方最近进行的市场交易中使用的价格、参 照实质上相同的其他金融工具当前的公允价值、现金流量折现法和期权定价模型等。在估值时，公司采用在当前情况下适用 并且有足够可利用数据和其他信息支持的估值技术，选择与市场参与者在相关资产或负债的交易中所考虑的资产或负债特征 相一致的输入值，并尽可能优先使用相关可观察输入值。在相关可观察输入值无法取得或取得不切实可行的情况下，使用不 可输入值。</w:t>
      </w:r>
    </w:p>
    <w:p>
      <w:pPr>
        <w:pStyle w:val="Style18"/>
        <w:keepNext w:val="0"/>
        <w:keepLines w:val="0"/>
        <w:widowControl w:val="0"/>
        <w:shd w:val="clear" w:color="auto" w:fill="auto"/>
        <w:tabs>
          <w:tab w:pos="396" w:val="left"/>
        </w:tabs>
        <w:bidi w:val="0"/>
        <w:spacing w:before="0" w:after="0" w:line="314" w:lineRule="exact"/>
        <w:ind w:left="0" w:right="0" w:firstLine="0"/>
        <w:jc w:val="left"/>
      </w:pPr>
      <w:bookmarkStart w:id="732" w:name="bookmark732"/>
      <w:r>
        <w:rPr>
          <w:color w:val="000000"/>
          <w:spacing w:val="0"/>
          <w:w w:val="100"/>
          <w:position w:val="0"/>
        </w:rPr>
        <w:t>（</w:t>
      </w:r>
      <w:bookmarkEnd w:id="732"/>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金融资产和金融负债的抵销</w:t>
      </w:r>
    </w:p>
    <w:p>
      <w:pPr>
        <w:pStyle w:val="Style18"/>
        <w:keepNext w:val="0"/>
        <w:keepLines w:val="0"/>
        <w:widowControl w:val="0"/>
        <w:shd w:val="clear" w:color="auto" w:fill="auto"/>
        <w:bidi w:val="0"/>
        <w:spacing w:before="0" w:after="340" w:line="314" w:lineRule="exact"/>
        <w:ind w:left="0" w:right="0" w:firstLine="380"/>
        <w:jc w:val="both"/>
      </w:pPr>
      <w:r>
        <w:rPr>
          <w:color w:val="000000"/>
          <w:spacing w:val="0"/>
          <w:w w:val="100"/>
          <w:position w:val="0"/>
        </w:rPr>
        <w:t>本公司的金融资产和金融负债在资产负债表内分别列示，不相互抵销。但同时满足下列条件时，以相互抵销后的净额在 资产负债表内列示：（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）本公司具有抵销已确认金额的法定权利，且该种法定权利是当前可执行的；（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）本公司计划以净 额结算，或同时变现该金融资产和清偿该金融负债。</w:t>
      </w:r>
    </w:p>
    <w:p>
      <w:pPr>
        <w:pStyle w:val="Style18"/>
        <w:keepNext w:val="0"/>
        <w:keepLines w:val="0"/>
        <w:widowControl w:val="0"/>
        <w:shd w:val="clear" w:color="auto" w:fill="auto"/>
        <w:bidi w:val="0"/>
        <w:spacing w:before="0" w:after="220" w:line="240" w:lineRule="auto"/>
        <w:ind w:left="0" w:right="0" w:firstLine="0"/>
        <w:jc w:val="left"/>
      </w:pPr>
      <w:bookmarkStart w:id="733" w:name="bookmark733"/>
      <w:r>
        <w:rPr>
          <w:color w:val="000000"/>
          <w:spacing w:val="0"/>
          <w:w w:val="100"/>
          <w:position w:val="0"/>
        </w:rPr>
        <w:t>（</w:t>
      </w:r>
      <w:bookmarkEnd w:id="733"/>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）金融负债与权益工具的区分及相关处理方法</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本公司按照以下原则区分金融负债与权益工具：（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）如果本公司不能无条件地避免以交付现金或其他金融资产来履行 一项合同义务，则该合同义务符合金融负债的定义。有些金融工具虽然没有明确地包含交付现金或其他金融资产义务的条款 和条件，但有可能通过其他条款和条件间接地形成合同义务。（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）如果一项金融工具须用或可用本公司自身权益工具进行 结算，需要考虑用于结算该工具的本公司自身权益工具，是作为现金或其他金融资产的替代品，还是为了使该工具持有方享 有在发行方扣除所有负债后的资产中的剩余权益。如果是前者，该工具是发行方的金融负债；如果是后者，该工具是发行方 的权益工具。在某些情况下，一项金融工具合同规定本公司须用或可用自身权益工具结算该金融工具，其中合同权利或合同 义务的金额等于可获取或需交付的自身权益工具的数量乘以其结算时的公允价值，则无论该合同权利或义务的金额是固定 的，还是完全或部分地基于除本公司自身权益工具的市场价格以外的变量（例如利率、某种商品的价格或某项金融工具的价 格）的变动而变动，该合同分类为金融负债。</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本公司在合并报表中对金融工具（或其组成部分）进行分类时，考虑了公司成员和金融工具持有方之间达成的所有条款 和条件。如果公司作为一个整体由于该工具而承担了交付现金、其他金融资产或者以其他导致该工具成为金融负债的方式进 行结算的义务，则该工具应当分类为金融负债。</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金融工具或其组成部分属于金融负债的，相关利息、股利（或股息）、利得或损失，以及赎回或再融资产生的利得或损 失等，本公司计入当期损益。</w:t>
      </w:r>
    </w:p>
    <w:p>
      <w:pPr>
        <w:pStyle w:val="Style18"/>
        <w:keepNext w:val="0"/>
        <w:keepLines w:val="0"/>
        <w:widowControl w:val="0"/>
        <w:shd w:val="clear" w:color="auto" w:fill="auto"/>
        <w:bidi w:val="0"/>
        <w:spacing w:before="0" w:after="220" w:line="312" w:lineRule="exact"/>
        <w:ind w:left="0" w:right="0" w:firstLine="300"/>
        <w:jc w:val="both"/>
      </w:pPr>
      <w:r>
        <w:rPr>
          <w:color w:val="000000"/>
          <w:spacing w:val="0"/>
          <w:w w:val="100"/>
          <w:position w:val="0"/>
        </w:rPr>
        <w:t>金融工具或其组成部分属于权益工具的，其发行（含再融资）、回购、出售或注销时，本公司作为权益的变动处理，不 确认权益工具的公允价值变动。</w:t>
      </w:r>
    </w:p>
    <w:p>
      <w:pPr>
        <w:pStyle w:val="Style18"/>
        <w:keepNext w:val="0"/>
        <w:keepLines w:val="0"/>
        <w:widowControl w:val="0"/>
        <w:shd w:val="clear" w:color="auto" w:fill="auto"/>
        <w:bidi w:val="0"/>
        <w:spacing w:before="0" w:after="0" w:line="313" w:lineRule="exact"/>
        <w:ind w:left="0" w:right="0" w:firstLine="0"/>
        <w:jc w:val="both"/>
      </w:pPr>
      <w:bookmarkStart w:id="734" w:name="bookmark734"/>
      <w:r>
        <w:rPr>
          <w:color w:val="000000"/>
          <w:spacing w:val="0"/>
          <w:w w:val="100"/>
          <w:position w:val="0"/>
        </w:rPr>
        <w:t>（</w:t>
      </w:r>
      <w:bookmarkEnd w:id="734"/>
      <w:r>
        <w:rPr>
          <w:rFonts w:ascii="Times New Roman" w:eastAsia="Times New Roman" w:hAnsi="Times New Roman" w:cs="Times New Roman"/>
          <w:color w:val="000000"/>
          <w:spacing w:val="0"/>
          <w:w w:val="100"/>
          <w:position w:val="0"/>
          <w:sz w:val="18"/>
          <w:szCs w:val="18"/>
        </w:rPr>
        <w:t>7</w:t>
      </w:r>
      <w:r>
        <w:rPr>
          <w:color w:val="000000"/>
          <w:spacing w:val="0"/>
          <w:w w:val="100"/>
          <w:position w:val="0"/>
        </w:rPr>
        <w:t>）金融资产减值</w:t>
      </w:r>
    </w:p>
    <w:p>
      <w:pPr>
        <w:pStyle w:val="Style18"/>
        <w:keepNext w:val="0"/>
        <w:keepLines w:val="0"/>
        <w:widowControl w:val="0"/>
        <w:shd w:val="clear" w:color="auto" w:fill="auto"/>
        <w:bidi w:val="0"/>
        <w:spacing w:before="0" w:after="100" w:line="313" w:lineRule="exact"/>
        <w:ind w:left="0" w:right="0"/>
        <w:jc w:val="both"/>
      </w:pPr>
      <w:r>
        <w:rPr>
          <w:color w:val="000000"/>
          <w:spacing w:val="0"/>
          <w:w w:val="100"/>
          <w:position w:val="0"/>
        </w:rPr>
        <w:t>本公司需确认减值损失的金融资产系以摊余成本计量的金融资产、以公允价值计量且其变动计入其他综合收益的债务工 具投资、租赁应收款，主要包括应收票据、应收账款、其他应收款、债权投资、其他债权投资等。此外，对合同资产也按照 本部分所述会计政策计提减值准备。</w:t>
      </w:r>
    </w:p>
    <w:p>
      <w:pPr>
        <w:pStyle w:val="Style18"/>
        <w:keepNext w:val="0"/>
        <w:keepLines w:val="0"/>
        <w:widowControl w:val="0"/>
        <w:shd w:val="clear" w:color="auto" w:fill="auto"/>
        <w:tabs>
          <w:tab w:pos="589" w:val="left"/>
        </w:tabs>
        <w:bidi w:val="0"/>
        <w:spacing w:before="0" w:after="0" w:line="360" w:lineRule="auto"/>
        <w:ind w:left="0" w:right="0" w:firstLine="300"/>
        <w:jc w:val="both"/>
      </w:pPr>
      <w:bookmarkStart w:id="735" w:name="bookmark735"/>
      <w:r>
        <w:rPr>
          <w:rFonts w:ascii="Times New Roman" w:eastAsia="Times New Roman" w:hAnsi="Times New Roman" w:cs="Times New Roman"/>
          <w:color w:val="000000"/>
          <w:spacing w:val="0"/>
          <w:w w:val="100"/>
          <w:position w:val="0"/>
          <w:sz w:val="18"/>
          <w:szCs w:val="18"/>
        </w:rPr>
        <w:t>1</w:t>
      </w:r>
      <w:bookmarkEnd w:id="735"/>
      <w:r>
        <w:rPr>
          <w:color w:val="000000"/>
          <w:spacing w:val="0"/>
          <w:w w:val="100"/>
          <w:position w:val="0"/>
        </w:rPr>
        <w:t>）</w:t>
        <w:tab/>
        <w:t>减值准备的确认方法</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本公司以预期信用损失为基础，对上述各项目按照其适用的预期信用损失计量方法（一般方法或简化方法）计提减值准 备并确认信用减值损失。</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信用损失，是指本公司按照原实际利率折现的、根据合同应收的所有合同现金流量与预期收取的所有现金流量之间的差 额，即全部现金短缺的现值。其中，对于购买或源生的已发生信用减值的金融资产，本公司按照该金融资产经信用调整的实 际利率折现。</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预期信用损失计量的一般方法是指，本公司在每个资产负债表日评估金融资产（含合同资产等其他适用项目，下同）的 信用风险自初始确认后是否已经显著增加，如果信用风险自初始确认后已显著增加，本公司按照相当于整个存续期内预期信 用损失的金额计量损失准备；如果信用风险自初始确认后未显著增加，本公司按照相当于未来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个月内预期信用损失的金额 计量损失准备。本公司在评估预期信用损失时，考虑所有合理且有依据的信息，包括前瞻性信息。</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对于在资产负债表日具有较低信用风险的金融工具，本公司假设其信用风险自初始确认后并未显著增加，选择按照未来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个月内的预期信用损失计量损失准备。</w:t>
      </w:r>
    </w:p>
    <w:p>
      <w:pPr>
        <w:pStyle w:val="Style18"/>
        <w:keepNext w:val="0"/>
        <w:keepLines w:val="0"/>
        <w:widowControl w:val="0"/>
        <w:shd w:val="clear" w:color="auto" w:fill="auto"/>
        <w:tabs>
          <w:tab w:pos="608" w:val="left"/>
        </w:tabs>
        <w:bidi w:val="0"/>
        <w:spacing w:before="0" w:after="0" w:line="313" w:lineRule="exact"/>
        <w:ind w:left="0" w:right="0" w:firstLine="300"/>
        <w:jc w:val="both"/>
      </w:pPr>
      <w:bookmarkStart w:id="736" w:name="bookmark736"/>
      <w:r>
        <w:rPr>
          <w:rFonts w:ascii="Times New Roman" w:eastAsia="Times New Roman" w:hAnsi="Times New Roman" w:cs="Times New Roman"/>
          <w:color w:val="000000"/>
          <w:spacing w:val="0"/>
          <w:w w:val="100"/>
          <w:position w:val="0"/>
          <w:sz w:val="18"/>
          <w:szCs w:val="18"/>
        </w:rPr>
        <w:t>2</w:t>
      </w:r>
      <w:bookmarkEnd w:id="736"/>
      <w:r>
        <w:rPr>
          <w:color w:val="000000"/>
          <w:spacing w:val="0"/>
          <w:w w:val="100"/>
          <w:position w:val="0"/>
        </w:rPr>
        <w:t>）</w:t>
        <w:tab/>
        <w:t>信用风险自初始确认后是否显著增加的判断标准</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如果某项金融资产在资产负债表日确定的预计存续期内的违约概率显著高于在初始确认时确定的预计存续期内的违约 概率，则表明该项金融资产的信用风险显著增加。除特殊情况外，本公司采用未来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个月内发生的违约风险的变化作为整个 存续期内发生违约风险变化的合理估计，来确定自初始确认后信用风险是否显著增加。</w:t>
      </w:r>
    </w:p>
    <w:p>
      <w:pPr>
        <w:pStyle w:val="Style18"/>
        <w:keepNext w:val="0"/>
        <w:keepLines w:val="0"/>
        <w:widowControl w:val="0"/>
        <w:shd w:val="clear" w:color="auto" w:fill="auto"/>
        <w:tabs>
          <w:tab w:pos="608" w:val="left"/>
        </w:tabs>
        <w:bidi w:val="0"/>
        <w:spacing w:before="0" w:after="0" w:line="313" w:lineRule="exact"/>
        <w:ind w:left="0" w:right="0" w:firstLine="300"/>
        <w:jc w:val="both"/>
      </w:pPr>
      <w:bookmarkStart w:id="737" w:name="bookmark737"/>
      <w:r>
        <w:rPr>
          <w:rFonts w:ascii="Times New Roman" w:eastAsia="Times New Roman" w:hAnsi="Times New Roman" w:cs="Times New Roman"/>
          <w:color w:val="000000"/>
          <w:spacing w:val="0"/>
          <w:w w:val="100"/>
          <w:position w:val="0"/>
          <w:sz w:val="18"/>
          <w:szCs w:val="18"/>
        </w:rPr>
        <w:t>3</w:t>
      </w:r>
      <w:bookmarkEnd w:id="737"/>
      <w:r>
        <w:rPr>
          <w:color w:val="000000"/>
          <w:spacing w:val="0"/>
          <w:w w:val="100"/>
          <w:position w:val="0"/>
        </w:rPr>
        <w:t>）</w:t>
        <w:tab/>
        <w:t>以组合为基础评估预期信用风险的组合方法</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本公司对信用风险显著不同的金融资产单项评价信用风险，如：应收关联方款项；与对方存在争议或涉及诉讼、仲裁的 应收款项；已有明显迹象表明债务人很可能无法履行还款义务的应收款项等。</w:t>
      </w:r>
    </w:p>
    <w:p>
      <w:pPr>
        <w:pStyle w:val="Style18"/>
        <w:keepNext w:val="0"/>
        <w:keepLines w:val="0"/>
        <w:widowControl w:val="0"/>
        <w:shd w:val="clear" w:color="auto" w:fill="auto"/>
        <w:bidi w:val="0"/>
        <w:spacing w:before="0" w:after="100" w:line="313" w:lineRule="exact"/>
        <w:ind w:left="0" w:right="0"/>
        <w:jc w:val="both"/>
      </w:pPr>
      <w:r>
        <w:rPr>
          <w:color w:val="000000"/>
          <w:spacing w:val="0"/>
          <w:w w:val="100"/>
          <w:position w:val="0"/>
        </w:rPr>
        <w:t>除了单项评估信用风险的金融资产外，本公司基于共同风险特征将金融资产划分为不同的组别，在组合的基础上评估信 用风险。</w:t>
      </w:r>
    </w:p>
    <w:p>
      <w:pPr>
        <w:pStyle w:val="Style18"/>
        <w:keepNext w:val="0"/>
        <w:keepLines w:val="0"/>
        <w:widowControl w:val="0"/>
        <w:shd w:val="clear" w:color="auto" w:fill="auto"/>
        <w:bidi w:val="0"/>
        <w:spacing w:before="0" w:after="0" w:line="360" w:lineRule="auto"/>
        <w:ind w:left="0" w:right="0" w:firstLine="160"/>
        <w:jc w:val="both"/>
      </w:pPr>
      <w:bookmarkStart w:id="738" w:name="bookmark738"/>
      <w:r>
        <w:rPr>
          <w:rFonts w:ascii="Times New Roman" w:eastAsia="Times New Roman" w:hAnsi="Times New Roman" w:cs="Times New Roman"/>
          <w:color w:val="000000"/>
          <w:spacing w:val="0"/>
          <w:w w:val="100"/>
          <w:position w:val="0"/>
          <w:sz w:val="18"/>
          <w:szCs w:val="18"/>
        </w:rPr>
        <w:t>3</w:t>
      </w:r>
      <w:bookmarkEnd w:id="738"/>
      <w:r>
        <w:rPr>
          <w:color w:val="000000"/>
          <w:spacing w:val="0"/>
          <w:w w:val="100"/>
          <w:position w:val="0"/>
        </w:rPr>
        <w:t>）金融资产减值的会计处理方法</w:t>
      </w:r>
    </w:p>
    <w:p>
      <w:pPr>
        <w:pStyle w:val="Style18"/>
        <w:keepNext w:val="0"/>
        <w:keepLines w:val="0"/>
        <w:widowControl w:val="0"/>
        <w:shd w:val="clear" w:color="auto" w:fill="auto"/>
        <w:bidi w:val="0"/>
        <w:spacing w:before="0" w:line="313" w:lineRule="exact"/>
        <w:ind w:left="0" w:right="0"/>
        <w:jc w:val="both"/>
      </w:pPr>
      <w:r>
        <w:rPr>
          <w:color w:val="000000"/>
          <w:spacing w:val="0"/>
          <w:w w:val="100"/>
          <w:position w:val="0"/>
        </w:rPr>
        <w:t>期末，本公司计算各类金融资产的预计信用损失，如果该预计信用损失大于其当前减值准备的账面金额，将其差额确认 为减值损失；如果小于当前减值准备的账面金额，则将差额确认为减值利得。</w:t>
      </w:r>
      <w:r>
        <w:br w:type="page"/>
      </w:r>
    </w:p>
    <w:p>
      <w:pPr>
        <w:pStyle w:val="Style32"/>
        <w:keepNext/>
        <w:keepLines/>
        <w:widowControl w:val="0"/>
        <w:shd w:val="clear" w:color="auto" w:fill="auto"/>
        <w:bidi w:val="0"/>
        <w:spacing w:before="0" w:after="260" w:line="240" w:lineRule="auto"/>
        <w:ind w:left="0" w:right="0" w:firstLine="0"/>
        <w:jc w:val="both"/>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1</w:t>
      </w:r>
      <w:bookmarkEnd w:id="741"/>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739"/>
      <w:bookmarkEnd w:id="740"/>
      <w:bookmarkEnd w:id="742"/>
    </w:p>
    <w:p>
      <w:pPr>
        <w:pStyle w:val="Style25"/>
        <w:keepNext w:val="0"/>
        <w:keepLines w:val="0"/>
        <w:widowControl w:val="0"/>
        <w:shd w:val="clear" w:color="auto" w:fill="auto"/>
        <w:bidi w:val="0"/>
        <w:spacing w:before="0" w:after="0" w:line="317" w:lineRule="exact"/>
        <w:ind w:left="350" w:right="0" w:firstLine="0"/>
        <w:jc w:val="left"/>
      </w:pPr>
      <w:r>
        <w:rPr>
          <w:color w:val="000000"/>
          <w:spacing w:val="0"/>
          <w:w w:val="100"/>
          <w:position w:val="0"/>
        </w:rPr>
        <w:t>公司对于应收票据按照相当于整个存续期内的预期信用损失金额计量损失准备。 基于应收票据的信用风险特征，将其划分为不同组合：</w:t>
      </w:r>
    </w:p>
    <w:tbl>
      <w:tblPr>
        <w:tblOverlap w:val="never"/>
        <w:jc w:val="center"/>
        <w:tblLayout w:type="fixed"/>
      </w:tblPr>
      <w:tblGrid>
        <w:gridCol w:w="2774"/>
        <w:gridCol w:w="6317"/>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确定组合的依据</w:t>
            </w:r>
          </w:p>
        </w:tc>
      </w:tr>
      <w:tr>
        <w:trPr>
          <w:trHeight w:val="667"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根据承兑人的信用风险划分，与</w:t>
            </w:r>
            <w:r>
              <w:rPr>
                <w:color w:val="000000"/>
                <w:spacing w:val="0"/>
                <w:w w:val="100"/>
                <w:position w:val="0"/>
                <w:sz w:val="18"/>
                <w:szCs w:val="18"/>
              </w:rPr>
              <w:t>“</w:t>
            </w:r>
            <w:r>
              <w:rPr>
                <w:rFonts w:ascii="SimSun" w:eastAsia="SimSun" w:hAnsi="SimSun" w:cs="SimSun"/>
                <w:color w:val="000000"/>
                <w:spacing w:val="0"/>
                <w:w w:val="100"/>
                <w:position w:val="0"/>
                <w:sz w:val="17"/>
                <w:szCs w:val="17"/>
              </w:rPr>
              <w:t>应收账款</w:t>
            </w:r>
            <w:r>
              <w:rPr>
                <w:color w:val="000000"/>
                <w:spacing w:val="0"/>
                <w:w w:val="100"/>
                <w:position w:val="0"/>
                <w:sz w:val="18"/>
                <w:szCs w:val="18"/>
              </w:rPr>
              <w:t>”</w:t>
            </w:r>
            <w:r>
              <w:rPr>
                <w:rFonts w:ascii="SimSun" w:eastAsia="SimSun" w:hAnsi="SimSun" w:cs="SimSun"/>
                <w:color w:val="000000"/>
                <w:spacing w:val="0"/>
                <w:w w:val="100"/>
                <w:position w:val="0"/>
                <w:sz w:val="17"/>
                <w:szCs w:val="17"/>
              </w:rPr>
              <w:t>组合划分相同，详见四、</w:t>
            </w:r>
            <w:r>
              <w:rPr>
                <w:color w:val="000000"/>
                <w:spacing w:val="0"/>
                <w:w w:val="100"/>
                <w:position w:val="0"/>
                <w:sz w:val="18"/>
                <w:szCs w:val="18"/>
              </w:rPr>
              <w:t>11</w:t>
            </w:r>
            <w:r>
              <w:rPr>
                <w:rFonts w:ascii="SimSun" w:eastAsia="SimSun" w:hAnsi="SimSun" w:cs="SimSun"/>
                <w:color w:val="000000"/>
                <w:spacing w:val="0"/>
                <w:w w:val="100"/>
                <w:position w:val="0"/>
                <w:sz w:val="17"/>
                <w:szCs w:val="17"/>
              </w:rPr>
              <w:t>、（</w:t>
            </w:r>
            <w:r>
              <w:rPr>
                <w:color w:val="000000"/>
                <w:spacing w:val="0"/>
                <w:w w:val="100"/>
                <w:position w:val="0"/>
                <w:sz w:val="18"/>
                <w:szCs w:val="18"/>
              </w:rPr>
              <w:t>5</w:t>
            </w:r>
            <w:r>
              <w:rPr>
                <w:rFonts w:ascii="SimSun" w:eastAsia="SimSun" w:hAnsi="SimSun" w:cs="SimSun"/>
                <w:color w:val="000000"/>
                <w:spacing w:val="0"/>
                <w:w w:val="100"/>
                <w:position w:val="0"/>
                <w:sz w:val="17"/>
                <w:szCs w:val="17"/>
              </w:rPr>
              <w:t>）② 应收账款</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1</w:t>
      </w:r>
      <w:bookmarkEnd w:id="745"/>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743"/>
      <w:bookmarkEnd w:id="744"/>
      <w:bookmarkEnd w:id="746"/>
    </w:p>
    <w:p>
      <w:pPr>
        <w:pStyle w:val="Style18"/>
        <w:keepNext w:val="0"/>
        <w:keepLines w:val="0"/>
        <w:widowControl w:val="0"/>
        <w:shd w:val="clear" w:color="auto" w:fill="auto"/>
        <w:bidi w:val="0"/>
        <w:spacing w:before="0" w:after="100" w:line="240" w:lineRule="auto"/>
        <w:ind w:left="0" w:right="0"/>
        <w:jc w:val="left"/>
      </w:pPr>
      <w:r>
        <w:rPr>
          <w:color w:val="000000"/>
          <w:spacing w:val="0"/>
          <w:w w:val="100"/>
          <w:position w:val="0"/>
        </w:rPr>
        <w:t>对于不含重大融资成分的应收款项和合同资产，本公司按照相当于整个存续期内的预期信用损失金额计量损失准备。</w:t>
      </w:r>
    </w:p>
    <w:p>
      <w:pPr>
        <w:pStyle w:val="Style18"/>
        <w:keepNext w:val="0"/>
        <w:keepLines w:val="0"/>
        <w:widowControl w:val="0"/>
        <w:shd w:val="clear" w:color="auto" w:fill="auto"/>
        <w:bidi w:val="0"/>
        <w:spacing w:before="0" w:after="100" w:line="240" w:lineRule="auto"/>
        <w:ind w:left="0" w:right="0"/>
        <w:jc w:val="left"/>
      </w:pPr>
      <w:r>
        <w:rPr>
          <w:color w:val="000000"/>
          <w:spacing w:val="0"/>
          <w:w w:val="100"/>
          <w:position w:val="0"/>
        </w:rPr>
        <w:t>对于包含重大融资成分的应收款项、合同资产和租赁应收款，本公司选择始终按照相当于存续期内预期信用损失的金额</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计量损失准备。</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除了单项评估信用风险的应收账款、合同资产外，基于其信用风险特征，将其划分为不同组合:</w:t>
      </w:r>
    </w:p>
    <w:tbl>
      <w:tblPr>
        <w:tblOverlap w:val="never"/>
        <w:jc w:val="center"/>
        <w:tblLayout w:type="fixed"/>
      </w:tblPr>
      <w:tblGrid>
        <w:gridCol w:w="2770"/>
        <w:gridCol w:w="6317"/>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20" w:right="0" w:firstLine="0"/>
              <w:jc w:val="left"/>
              <w:rPr>
                <w:sz w:val="17"/>
                <w:szCs w:val="17"/>
              </w:rPr>
            </w:pPr>
            <w:r>
              <w:rPr>
                <w:rFonts w:ascii="SimSun" w:eastAsia="SimSun" w:hAnsi="SimSun" w:cs="SimSun"/>
                <w:b/>
                <w:bCs/>
                <w:color w:val="000000"/>
                <w:spacing w:val="0"/>
                <w:w w:val="100"/>
                <w:position w:val="0"/>
                <w:sz w:val="17"/>
                <w:szCs w:val="17"/>
              </w:rPr>
              <w:t>确定组合的依据</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（账龄组合）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以应收款项、合同资产的账龄作为信用风险特征。</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tabs>
                <w:tab w:pos="523"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2</w:t>
              <w:tab/>
            </w:r>
            <w:r>
              <w:rPr>
                <w:rFonts w:ascii="SimSun" w:eastAsia="SimSun" w:hAnsi="SimSun" w:cs="SimSun"/>
                <w:color w:val="000000"/>
                <w:spacing w:val="0"/>
                <w:w w:val="100"/>
                <w:position w:val="0"/>
                <w:sz w:val="17"/>
                <w:szCs w:val="17"/>
              </w:rPr>
              <w:t>（关联方组合）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合并范围内的关联方之间具有类似信用风险特征</w:t>
            </w:r>
          </w:p>
        </w:tc>
      </w:tr>
    </w:tbl>
    <w:p>
      <w:pPr>
        <w:widowControl w:val="0"/>
        <w:spacing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各组合预期信用损失率如下列示：</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（账龄组合）：预期信用损失率</w:t>
      </w:r>
    </w:p>
    <w:tbl>
      <w:tblPr>
        <w:tblOverlap w:val="never"/>
        <w:jc w:val="center"/>
        <w:tblLayout w:type="fixed"/>
      </w:tblPr>
      <w:tblGrid>
        <w:gridCol w:w="2674"/>
        <w:gridCol w:w="3115"/>
        <w:gridCol w:w="3101"/>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应收账款预期信用损失率（</w:t>
            </w:r>
            <w:r>
              <w:rPr>
                <w:rFonts w:ascii="SimSun" w:eastAsia="SimSun" w:hAnsi="SimSun" w:cs="SimSun"/>
                <w:b/>
                <w:bCs/>
                <w:color w:val="000000"/>
                <w:spacing w:val="0"/>
                <w:w w:val="100"/>
                <w:position w:val="0"/>
                <w:sz w:val="19"/>
                <w:szCs w:val="19"/>
              </w:rPr>
              <w:t>％</w:t>
            </w:r>
            <w:r>
              <w:rPr>
                <w:rFonts w:ascii="SimSun" w:eastAsia="SimSun" w:hAnsi="SimSun" w:cs="SimSun"/>
                <w:b/>
                <w:bCs/>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合同资产预期信用损失率（</w:t>
            </w:r>
            <w:r>
              <w:rPr>
                <w:rFonts w:ascii="SimSun" w:eastAsia="SimSun" w:hAnsi="SimSun" w:cs="SimSun"/>
                <w:b/>
                <w:bCs/>
                <w:color w:val="000000"/>
                <w:spacing w:val="0"/>
                <w:w w:val="100"/>
                <w:position w:val="0"/>
                <w:sz w:val="19"/>
                <w:szCs w:val="19"/>
              </w:rPr>
              <w:t>％</w:t>
            </w:r>
            <w:r>
              <w:rPr>
                <w:rFonts w:ascii="SimSun" w:eastAsia="SimSun" w:hAnsi="SimSun" w:cs="SimSun"/>
                <w:b/>
                <w:bCs/>
                <w:color w:val="000000"/>
                <w:spacing w:val="0"/>
                <w:w w:val="100"/>
                <w:position w:val="0"/>
                <w:sz w:val="17"/>
                <w:szCs w:val="17"/>
              </w:rPr>
              <w:t>）</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年，下同）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1</w:t>
      </w:r>
      <w:bookmarkEnd w:id="749"/>
      <w:r>
        <w:rPr>
          <w:rFonts w:ascii="Times New Roman" w:eastAsia="Times New Roman" w:hAnsi="Times New Roman" w:cs="Times New Roman"/>
          <w:color w:val="000000"/>
          <w:spacing w:val="0"/>
          <w:w w:val="100"/>
          <w:position w:val="0"/>
        </w:rPr>
        <w:t>3</w:t>
      </w:r>
      <w:r>
        <w:rPr>
          <w:color w:val="000000"/>
          <w:spacing w:val="0"/>
          <w:w w:val="100"/>
          <w:position w:val="0"/>
        </w:rPr>
        <w:t>、应收款项融资</w:t>
      </w:r>
      <w:bookmarkEnd w:id="747"/>
      <w:bookmarkEnd w:id="748"/>
      <w:bookmarkEnd w:id="750"/>
    </w:p>
    <w:p>
      <w:pPr>
        <w:pStyle w:val="Style18"/>
        <w:keepNext w:val="0"/>
        <w:keepLines w:val="0"/>
        <w:widowControl w:val="0"/>
        <w:shd w:val="clear" w:color="auto" w:fill="auto"/>
        <w:bidi w:val="0"/>
        <w:spacing w:before="0" w:after="100" w:line="240" w:lineRule="auto"/>
        <w:ind w:left="0" w:right="0"/>
        <w:jc w:val="both"/>
      </w:pPr>
      <w:r>
        <w:rPr>
          <w:color w:val="000000"/>
          <w:spacing w:val="0"/>
          <w:w w:val="100"/>
          <w:position w:val="0"/>
        </w:rPr>
        <w:t>本公司对于应收款项融资按照相当于整个存续期内的预期信用损失金额计量损失准备。基于应收款项融资的信用风险特</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征，将其划分为不同组合：</w:t>
      </w:r>
    </w:p>
    <w:tbl>
      <w:tblPr>
        <w:tblOverlap w:val="never"/>
        <w:jc w:val="center"/>
        <w:tblLayout w:type="fixed"/>
      </w:tblPr>
      <w:tblGrid>
        <w:gridCol w:w="2770"/>
        <w:gridCol w:w="6317"/>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确定组合的依据</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银行承兑汇票组合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承兑人为信用风险较小的银行或财务公司</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结合历史违约损失经验及目前经济状况、考虑前瞻性信息，对银行承兑汇票组合单独进行测试，如不存在减值的，不计提。</w:t>
      </w:r>
    </w:p>
    <w:p>
      <w:pPr>
        <w:widowControl w:val="0"/>
        <w:spacing w:after="319" w:line="1" w:lineRule="exact"/>
      </w:pPr>
    </w:p>
    <w:p>
      <w:pPr>
        <w:pStyle w:val="Style32"/>
        <w:keepNext/>
        <w:keepLines/>
        <w:widowControl w:val="0"/>
        <w:shd w:val="clear" w:color="auto" w:fill="auto"/>
        <w:bidi w:val="0"/>
        <w:spacing w:before="0" w:after="260" w:line="240" w:lineRule="auto"/>
        <w:ind w:left="0" w:right="0" w:firstLine="0"/>
        <w:jc w:val="left"/>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1</w:t>
      </w:r>
      <w:bookmarkEnd w:id="753"/>
      <w:r>
        <w:rPr>
          <w:rFonts w:ascii="Times New Roman" w:eastAsia="Times New Roman" w:hAnsi="Times New Roman" w:cs="Times New Roman"/>
          <w:color w:val="000000"/>
          <w:spacing w:val="0"/>
          <w:w w:val="100"/>
          <w:position w:val="0"/>
        </w:rPr>
        <w:t>4</w:t>
      </w:r>
      <w:r>
        <w:rPr>
          <w:color w:val="000000"/>
          <w:spacing w:val="0"/>
          <w:w w:val="100"/>
          <w:position w:val="0"/>
        </w:rPr>
        <w:t>、其他应收款</w:t>
      </w:r>
      <w:bookmarkEnd w:id="751"/>
      <w:bookmarkEnd w:id="752"/>
      <w:bookmarkEnd w:id="754"/>
    </w:p>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其他应收款的预期信用损失的确定方法及会计处理方法</w:t>
      </w:r>
    </w:p>
    <w:p>
      <w:pPr>
        <w:pStyle w:val="Style18"/>
        <w:keepNext w:val="0"/>
        <w:keepLines w:val="0"/>
        <w:widowControl w:val="0"/>
        <w:shd w:val="clear" w:color="auto" w:fill="auto"/>
        <w:bidi w:val="0"/>
        <w:spacing w:before="0" w:after="0" w:line="322" w:lineRule="exact"/>
        <w:ind w:left="0" w:right="0"/>
        <w:jc w:val="both"/>
      </w:pPr>
      <w:r>
        <w:rPr>
          <w:color w:val="000000"/>
          <w:spacing w:val="0"/>
          <w:w w:val="100"/>
          <w:position w:val="0"/>
        </w:rPr>
        <w:t>本公司依据其他应收款信用风险自初始确认后是否已经显著增加，采用相当于未来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个月内、或整个存续期的预期信用 损失的金额计量减值损失。除了单项评估信用风险的其他应收款外，基于其信用风险特征，将其划分为不同组合：</w:t>
      </w:r>
    </w:p>
    <w:tbl>
      <w:tblPr>
        <w:tblOverlap w:val="never"/>
        <w:jc w:val="center"/>
        <w:tblLayout w:type="fixed"/>
      </w:tblPr>
      <w:tblGrid>
        <w:gridCol w:w="2770"/>
        <w:gridCol w:w="6317"/>
      </w:tblGrid>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20" w:right="0" w:firstLine="0"/>
              <w:jc w:val="left"/>
              <w:rPr>
                <w:sz w:val="17"/>
                <w:szCs w:val="17"/>
              </w:rPr>
            </w:pPr>
            <w:r>
              <w:rPr>
                <w:rFonts w:ascii="SimSun" w:eastAsia="SimSun" w:hAnsi="SimSun" w:cs="SimSun"/>
                <w:b/>
                <w:bCs/>
                <w:color w:val="000000"/>
                <w:spacing w:val="0"/>
                <w:w w:val="100"/>
                <w:position w:val="0"/>
                <w:sz w:val="17"/>
                <w:szCs w:val="17"/>
              </w:rPr>
              <w:t>确定组合的依据</w:t>
            </w:r>
          </w:p>
        </w:tc>
      </w:tr>
    </w:tbl>
    <w:p>
      <w:pPr>
        <w:widowControl w:val="0"/>
        <w:spacing w:line="1" w:lineRule="exact"/>
      </w:pPr>
    </w:p>
    <w:tbl>
      <w:tblPr>
        <w:tblOverlap w:val="never"/>
        <w:jc w:val="center"/>
        <w:tblLayout w:type="fixed"/>
      </w:tblPr>
      <w:tblGrid>
        <w:gridCol w:w="2770"/>
        <w:gridCol w:w="6317"/>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（账龄组合）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以其他应收款的账龄作为信用风险特征。</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tabs>
                <w:tab w:pos="523"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2</w:t>
              <w:tab/>
            </w:r>
            <w:r>
              <w:rPr>
                <w:rFonts w:ascii="SimSun" w:eastAsia="SimSun" w:hAnsi="SimSun" w:cs="SimSun"/>
                <w:color w:val="000000"/>
                <w:spacing w:val="0"/>
                <w:w w:val="100"/>
                <w:position w:val="0"/>
                <w:sz w:val="17"/>
                <w:szCs w:val="17"/>
              </w:rPr>
              <w:t>（关联方组合）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合并范围内的关联方之间具有类似信用风险特征</w:t>
            </w:r>
          </w:p>
        </w:tc>
      </w:tr>
    </w:tbl>
    <w:p>
      <w:pPr>
        <w:pStyle w:val="Style25"/>
        <w:keepNext w:val="0"/>
        <w:keepLines w:val="0"/>
        <w:widowControl w:val="0"/>
        <w:shd w:val="clear" w:color="auto" w:fill="auto"/>
        <w:bidi w:val="0"/>
        <w:spacing w:before="0" w:after="120" w:line="240" w:lineRule="auto"/>
        <w:ind w:left="62" w:right="0" w:firstLine="0"/>
        <w:jc w:val="left"/>
      </w:pPr>
      <w:r>
        <w:rPr>
          <w:color w:val="000000"/>
          <w:spacing w:val="0"/>
          <w:w w:val="100"/>
          <w:position w:val="0"/>
        </w:rPr>
        <w:t>各组合预期信用损失率如下列示：</w:t>
      </w:r>
    </w:p>
    <w:p>
      <w:pPr>
        <w:pStyle w:val="Style25"/>
        <w:keepNext w:val="0"/>
        <w:keepLines w:val="0"/>
        <w:widowControl w:val="0"/>
        <w:shd w:val="clear" w:color="auto" w:fill="auto"/>
        <w:tabs>
          <w:tab w:pos="605" w:val="left"/>
        </w:tabs>
        <w:bidi w:val="0"/>
        <w:spacing w:before="0" w:after="0" w:line="240" w:lineRule="auto"/>
        <w:ind w:left="62"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（账龄组合）：预期信用损失率</w:t>
      </w:r>
    </w:p>
    <w:p>
      <w:pPr>
        <w:widowControl w:val="0"/>
        <w:spacing w:line="1" w:lineRule="exact"/>
      </w:pPr>
    </w:p>
    <w:tbl>
      <w:tblPr>
        <w:tblOverlap w:val="never"/>
        <w:jc w:val="center"/>
        <w:tblLayout w:type="fixed"/>
      </w:tblPr>
      <w:tblGrid>
        <w:gridCol w:w="2707"/>
        <w:gridCol w:w="6254"/>
      </w:tblGrid>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账龄</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其他应收款预期信用损失率（</w:t>
            </w:r>
            <w:r>
              <w:rPr>
                <w:rFonts w:ascii="SimSun" w:eastAsia="SimSun" w:hAnsi="SimSun" w:cs="SimSun"/>
                <w:b/>
                <w:bCs/>
                <w:color w:val="000000"/>
                <w:spacing w:val="0"/>
                <w:w w:val="100"/>
                <w:position w:val="0"/>
                <w:sz w:val="19"/>
                <w:szCs w:val="19"/>
              </w:rPr>
              <w:t>％</w:t>
            </w:r>
            <w:r>
              <w:rPr>
                <w:rFonts w:ascii="SimSun" w:eastAsia="SimSun" w:hAnsi="SimSun" w:cs="SimSun"/>
                <w:b/>
                <w:bCs/>
                <w:color w:val="000000"/>
                <w:spacing w:val="0"/>
                <w:w w:val="100"/>
                <w:position w:val="0"/>
                <w:sz w:val="17"/>
                <w:szCs w:val="17"/>
              </w:rPr>
              <w:t>）</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年，下同）</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w:t>
            </w:r>
          </w:p>
        </w:tc>
      </w:tr>
    </w:tbl>
    <w:p>
      <w:pPr>
        <w:widowControl w:val="0"/>
        <w:spacing w:after="319" w:line="1" w:lineRule="exact"/>
      </w:pPr>
    </w:p>
    <w:p>
      <w:pPr>
        <w:pStyle w:val="Style32"/>
        <w:keepNext/>
        <w:keepLines/>
        <w:widowControl w:val="0"/>
        <w:shd w:val="clear" w:color="auto" w:fill="auto"/>
        <w:tabs>
          <w:tab w:pos="474" w:val="left"/>
        </w:tabs>
        <w:bidi w:val="0"/>
        <w:spacing w:before="0" w:after="260" w:line="240" w:lineRule="auto"/>
        <w:ind w:left="0" w:right="0" w:firstLine="0"/>
        <w:jc w:val="left"/>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1</w:t>
      </w:r>
      <w:bookmarkEnd w:id="757"/>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755"/>
      <w:bookmarkEnd w:id="756"/>
      <w:bookmarkEnd w:id="758"/>
    </w:p>
    <w:p>
      <w:pPr>
        <w:pStyle w:val="Style18"/>
        <w:keepNext w:val="0"/>
        <w:keepLines w:val="0"/>
        <w:widowControl w:val="0"/>
        <w:shd w:val="clear" w:color="auto" w:fill="auto"/>
        <w:tabs>
          <w:tab w:pos="805" w:val="left"/>
        </w:tabs>
        <w:bidi w:val="0"/>
        <w:spacing w:before="0" w:after="0" w:line="312" w:lineRule="exact"/>
        <w:ind w:left="0" w:right="0"/>
        <w:jc w:val="left"/>
      </w:pPr>
      <w:bookmarkStart w:id="759" w:name="bookmark759"/>
      <w:r>
        <w:rPr>
          <w:color w:val="000000"/>
          <w:spacing w:val="0"/>
          <w:w w:val="100"/>
          <w:position w:val="0"/>
        </w:rPr>
        <w:t>（</w:t>
      </w:r>
      <w:bookmarkEnd w:id="75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存货的分类</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存货主要包括原材料、辅助材料、在产品、库存商品、委托加工物资等。</w:t>
      </w:r>
    </w:p>
    <w:p>
      <w:pPr>
        <w:pStyle w:val="Style18"/>
        <w:keepNext w:val="0"/>
        <w:keepLines w:val="0"/>
        <w:widowControl w:val="0"/>
        <w:shd w:val="clear" w:color="auto" w:fill="auto"/>
        <w:tabs>
          <w:tab w:pos="805" w:val="left"/>
        </w:tabs>
        <w:bidi w:val="0"/>
        <w:spacing w:before="0" w:after="0" w:line="312" w:lineRule="exact"/>
        <w:ind w:left="0" w:right="0"/>
        <w:jc w:val="left"/>
      </w:pPr>
      <w:bookmarkStart w:id="760" w:name="bookmark760"/>
      <w:r>
        <w:rPr>
          <w:color w:val="000000"/>
          <w:spacing w:val="0"/>
          <w:w w:val="100"/>
          <w:position w:val="0"/>
        </w:rPr>
        <w:t>（</w:t>
      </w:r>
      <w:bookmarkEnd w:id="76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存货取得和发出的计价方法</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存货在取得时按实际成本计价，原材料成本包括采购成本、加工成本和其他成本。原材料以计划成本核算，对原材料的 计划成本和实际成本之间的差异，通过材料成本差异科目核算，并按期结转发出存货应负担的成本差异，将计划成本调整为 实际成本。</w:t>
      </w:r>
    </w:p>
    <w:p>
      <w:pPr>
        <w:pStyle w:val="Style18"/>
        <w:keepNext w:val="0"/>
        <w:keepLines w:val="0"/>
        <w:widowControl w:val="0"/>
        <w:shd w:val="clear" w:color="auto" w:fill="auto"/>
        <w:tabs>
          <w:tab w:pos="805" w:val="left"/>
        </w:tabs>
        <w:bidi w:val="0"/>
        <w:spacing w:before="0" w:after="0" w:line="312" w:lineRule="exact"/>
        <w:ind w:left="0" w:right="0"/>
        <w:jc w:val="both"/>
      </w:pPr>
      <w:bookmarkStart w:id="761" w:name="bookmark761"/>
      <w:r>
        <w:rPr>
          <w:color w:val="000000"/>
          <w:spacing w:val="0"/>
          <w:w w:val="100"/>
          <w:position w:val="0"/>
        </w:rPr>
        <w:t>（</w:t>
      </w:r>
      <w:bookmarkEnd w:id="76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存货可变现净值的确认和跌价准备的计提方法</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可变现净值是指在日常活动中，存货的估计售价减去至完工时估计将要发生的成本、估计的销售费用以及相关税费后的 金额。在确定存货的可变现净值时，以取得的确凿证据为基础，同时考虑持有存货的目的以及资产负债表日后事项的影响。</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在资产负债表日，存货按照成本与可变现净值孰低计量。当其可变现净值低于成本时，提取存货跌价准备。存货跌价准 备按单个存货项目的成本高于其可变现净值的差额提取。</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18"/>
        <w:keepNext w:val="0"/>
        <w:keepLines w:val="0"/>
        <w:widowControl w:val="0"/>
        <w:shd w:val="clear" w:color="auto" w:fill="auto"/>
        <w:tabs>
          <w:tab w:pos="805" w:val="left"/>
        </w:tabs>
        <w:bidi w:val="0"/>
        <w:spacing w:before="0" w:after="0" w:line="312" w:lineRule="exact"/>
        <w:ind w:left="0" w:right="0"/>
        <w:jc w:val="both"/>
      </w:pPr>
      <w:bookmarkStart w:id="762" w:name="bookmark762"/>
      <w:r>
        <w:rPr>
          <w:color w:val="000000"/>
          <w:spacing w:val="0"/>
          <w:w w:val="100"/>
          <w:position w:val="0"/>
        </w:rPr>
        <w:t>（</w:t>
      </w:r>
      <w:bookmarkEnd w:id="76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存货的盘存制度为永续盘存制。</w:t>
      </w:r>
    </w:p>
    <w:p>
      <w:pPr>
        <w:pStyle w:val="Style18"/>
        <w:keepNext w:val="0"/>
        <w:keepLines w:val="0"/>
        <w:widowControl w:val="0"/>
        <w:shd w:val="clear" w:color="auto" w:fill="auto"/>
        <w:tabs>
          <w:tab w:pos="805" w:val="left"/>
        </w:tabs>
        <w:bidi w:val="0"/>
        <w:spacing w:before="0" w:after="0" w:line="312" w:lineRule="exact"/>
        <w:ind w:left="0" w:right="0"/>
        <w:jc w:val="both"/>
      </w:pPr>
      <w:bookmarkStart w:id="763" w:name="bookmark763"/>
      <w:r>
        <w:rPr>
          <w:color w:val="000000"/>
          <w:spacing w:val="0"/>
          <w:w w:val="100"/>
          <w:position w:val="0"/>
        </w:rPr>
        <w:t>（</w:t>
      </w:r>
      <w:bookmarkEnd w:id="763"/>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低值易耗品和包装物的摊销方法</w:t>
      </w:r>
    </w:p>
    <w:p>
      <w:pPr>
        <w:pStyle w:val="Style18"/>
        <w:keepNext w:val="0"/>
        <w:keepLines w:val="0"/>
        <w:widowControl w:val="0"/>
        <w:shd w:val="clear" w:color="auto" w:fill="auto"/>
        <w:bidi w:val="0"/>
        <w:spacing w:before="0" w:after="380" w:line="312" w:lineRule="exact"/>
        <w:ind w:left="0" w:right="0" w:firstLine="280"/>
        <w:jc w:val="left"/>
      </w:pPr>
      <w:r>
        <w:rPr>
          <w:color w:val="000000"/>
          <w:spacing w:val="0"/>
          <w:w w:val="100"/>
          <w:position w:val="0"/>
        </w:rPr>
        <w:t>低值易耗品于领用时按一次摊销法摊销；包装物于领用时按一次摊销法摊销。</w:t>
      </w:r>
    </w:p>
    <w:p>
      <w:pPr>
        <w:pStyle w:val="Style32"/>
        <w:keepNext/>
        <w:keepLines/>
        <w:widowControl w:val="0"/>
        <w:shd w:val="clear" w:color="auto" w:fill="auto"/>
        <w:tabs>
          <w:tab w:pos="474" w:val="left"/>
        </w:tabs>
        <w:bidi w:val="0"/>
        <w:spacing w:before="0" w:after="260" w:line="240" w:lineRule="auto"/>
        <w:ind w:left="0" w:right="0" w:firstLine="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1</w:t>
      </w:r>
      <w:bookmarkEnd w:id="766"/>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764"/>
      <w:bookmarkEnd w:id="765"/>
      <w:bookmarkEnd w:id="767"/>
    </w:p>
    <w:p>
      <w:pPr>
        <w:pStyle w:val="Style18"/>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合同资产的确认方法及标准</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合同资产，是指本公司已向客户转让商品而有权收取对价的权利，且该权利取决于时间流逝之外的其他因素。如本公司 向客户销售两项可明确区分的商品，因已交付其中一项商品而有权收取款项，但收取该款项还取决于交付另一项商品的，本 公司将该收款权利作为合同资产。</w:t>
      </w:r>
    </w:p>
    <w:p>
      <w:pPr>
        <w:pStyle w:val="Style18"/>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合同资产的预期信用损失的确定方法及会计处理方法</w:t>
      </w:r>
    </w:p>
    <w:p>
      <w:pPr>
        <w:pStyle w:val="Style18"/>
        <w:keepNext w:val="0"/>
        <w:keepLines w:val="0"/>
        <w:widowControl w:val="0"/>
        <w:shd w:val="clear" w:color="auto" w:fill="auto"/>
        <w:bidi w:val="0"/>
        <w:spacing w:before="0" w:after="380" w:line="312" w:lineRule="exact"/>
        <w:ind w:left="0" w:right="0" w:firstLine="280"/>
        <w:jc w:val="left"/>
      </w:pPr>
      <w:r>
        <w:rPr>
          <w:color w:val="000000"/>
          <w:spacing w:val="0"/>
          <w:w w:val="100"/>
          <w:position w:val="0"/>
        </w:rPr>
        <w:t>合同资产的预期信用损失的确定方法及会计处理方法参见附注四、</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、金融资产减值。</w:t>
      </w:r>
    </w:p>
    <w:p>
      <w:pPr>
        <w:pStyle w:val="Style32"/>
        <w:keepNext/>
        <w:keepLines/>
        <w:widowControl w:val="0"/>
        <w:shd w:val="clear" w:color="auto" w:fill="auto"/>
        <w:tabs>
          <w:tab w:pos="474" w:val="left"/>
        </w:tabs>
        <w:bidi w:val="0"/>
        <w:spacing w:before="0" w:after="260" w:line="240" w:lineRule="auto"/>
        <w:ind w:left="0" w:right="0" w:firstLine="0"/>
        <w:jc w:val="left"/>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1</w:t>
      </w:r>
      <w:bookmarkEnd w:id="770"/>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768"/>
      <w:bookmarkEnd w:id="769"/>
      <w:bookmarkEnd w:id="771"/>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）与合同成本有关的资产金额的确定方法</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合同履约成本，即本公司为履行合同发生的成本，不属于其他企业会计准则规范范围且同时满足下列条件的，作为合同 </w:t>
      </w:r>
      <w:r>
        <w:rPr>
          <w:color w:val="000000"/>
          <w:spacing w:val="0"/>
          <w:w w:val="100"/>
          <w:position w:val="0"/>
        </w:rPr>
        <w:t>履约成本确认为一项资产：该成本与一份当前或预期取得的合同直接相关，包括直接人工、直接材料、制造费用（或类似费 用）、明确由客户承担的成本以及仅因该合同而发生的其他成本；该成本增加了本公司未来用于履行履约义务的资源；该成 本预期能够收回。</w:t>
      </w:r>
    </w:p>
    <w:p>
      <w:pPr>
        <w:pStyle w:val="Style18"/>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合同取得成本，即本公司为取得合同发生的增量成本预期能够收回的，作为合同取得成本确认为一项资产；该资产摊销 期限不超过一年的，在发生时计入当期损益。增量成本，是指本公司不取得合同就不会发生的成本（如销售佣金等）。本公 司为取得合同发生的、除预期能够收回的增量成本之外的其他支出（如无论是否取得合同均会发生的差旅费等），在发生时 计入当期损益，但是，明确由客户承担的除外。</w:t>
      </w:r>
    </w:p>
    <w:p>
      <w:pPr>
        <w:pStyle w:val="Style18"/>
        <w:keepNext w:val="0"/>
        <w:keepLines w:val="0"/>
        <w:widowControl w:val="0"/>
        <w:shd w:val="clear" w:color="auto" w:fill="auto"/>
        <w:tabs>
          <w:tab w:pos="625" w:val="left"/>
        </w:tabs>
        <w:bidi w:val="0"/>
        <w:spacing w:before="0" w:after="0" w:line="312" w:lineRule="exact"/>
        <w:ind w:left="0" w:right="0" w:firstLine="240"/>
        <w:jc w:val="both"/>
      </w:pPr>
      <w:bookmarkStart w:id="772" w:name="bookmark772"/>
      <w:r>
        <w:rPr>
          <w:color w:val="000000"/>
          <w:spacing w:val="0"/>
          <w:w w:val="100"/>
          <w:position w:val="0"/>
        </w:rPr>
        <w:t>（</w:t>
      </w:r>
      <w:bookmarkEnd w:id="77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与合同成本有关的资产的摊销</w:t>
      </w:r>
    </w:p>
    <w:p>
      <w:pPr>
        <w:pStyle w:val="Style1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本公司与合同成本有关的资产采用与该资产相关的商品收入确认相同的基础进行摊销，计入当期损益。</w:t>
      </w:r>
    </w:p>
    <w:p>
      <w:pPr>
        <w:pStyle w:val="Style18"/>
        <w:keepNext w:val="0"/>
        <w:keepLines w:val="0"/>
        <w:widowControl w:val="0"/>
        <w:shd w:val="clear" w:color="auto" w:fill="auto"/>
        <w:tabs>
          <w:tab w:pos="625" w:val="left"/>
        </w:tabs>
        <w:bidi w:val="0"/>
        <w:spacing w:before="0" w:after="0" w:line="312" w:lineRule="exact"/>
        <w:ind w:left="0" w:right="0" w:firstLine="240"/>
        <w:jc w:val="both"/>
      </w:pPr>
      <w:bookmarkStart w:id="773" w:name="bookmark773"/>
      <w:r>
        <w:rPr>
          <w:color w:val="000000"/>
          <w:spacing w:val="0"/>
          <w:w w:val="100"/>
          <w:position w:val="0"/>
        </w:rPr>
        <w:t>（</w:t>
      </w:r>
      <w:bookmarkEnd w:id="77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与合同成本有关的资产的减值</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本公司在确定与合同成本有关的资产的减值损失时，首先对按照其他相关企业会计准则确认的、与合同有关的其他资产 确定减值损失;然后根据其账面价值高于本公司因转让与该资产相关的商品预期能够取得的剩余对价以及为转让该相关商品 估计将要发生的成本这两项差额的，超出部分应当计提减值准备，并确认为资产减值损失。</w:t>
      </w:r>
    </w:p>
    <w:p>
      <w:pPr>
        <w:pStyle w:val="Style18"/>
        <w:keepNext w:val="0"/>
        <w:keepLines w:val="0"/>
        <w:widowControl w:val="0"/>
        <w:shd w:val="clear" w:color="auto" w:fill="auto"/>
        <w:bidi w:val="0"/>
        <w:spacing w:before="0" w:after="400" w:line="312" w:lineRule="exact"/>
        <w:ind w:left="0" w:right="0" w:firstLine="300"/>
        <w:jc w:val="both"/>
      </w:pPr>
      <w:r>
        <w:rPr>
          <w:color w:val="000000"/>
          <w:spacing w:val="0"/>
          <w:w w:val="100"/>
          <w:position w:val="0"/>
        </w:rPr>
        <w:t>以前期间减值的因素之后发生变化，使得前述差额高于该资产账面价值的，转回原已计提的资产减值准备，并计入当期 损益，但转回后的资产账面价值不应超过假定不计提减值准备情况下该资产在转回日的账面价值。</w:t>
      </w:r>
    </w:p>
    <w:p>
      <w:pPr>
        <w:pStyle w:val="Style32"/>
        <w:keepNext/>
        <w:keepLines/>
        <w:widowControl w:val="0"/>
        <w:shd w:val="clear" w:color="auto" w:fill="auto"/>
        <w:bidi w:val="0"/>
        <w:spacing w:before="0" w:after="260" w:line="240" w:lineRule="auto"/>
        <w:ind w:left="0" w:right="0" w:firstLine="0"/>
        <w:jc w:val="both"/>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1</w:t>
      </w:r>
      <w:bookmarkEnd w:id="776"/>
      <w:r>
        <w:rPr>
          <w:rFonts w:ascii="Times New Roman" w:eastAsia="Times New Roman" w:hAnsi="Times New Roman" w:cs="Times New Roman"/>
          <w:color w:val="000000"/>
          <w:spacing w:val="0"/>
          <w:w w:val="100"/>
          <w:position w:val="0"/>
        </w:rPr>
        <w:t>8</w:t>
      </w:r>
      <w:r>
        <w:rPr>
          <w:color w:val="000000"/>
          <w:spacing w:val="0"/>
          <w:w w:val="100"/>
          <w:position w:val="0"/>
        </w:rPr>
        <w:t>、长期股权投资</w:t>
      </w:r>
      <w:bookmarkEnd w:id="774"/>
      <w:bookmarkEnd w:id="775"/>
      <w:bookmarkEnd w:id="777"/>
    </w:p>
    <w:p>
      <w:pPr>
        <w:pStyle w:val="Style1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公司长期股权投资主要是对子公司的投资、对联营企业的投资和对合营企业的投资。</w:t>
      </w:r>
    </w:p>
    <w:p>
      <w:pPr>
        <w:pStyle w:val="Style1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本公司对共同控制的判断依据是所有参与方或参与方组合集体控制该安排，并且该安排相关活动的政策必须经过这些集 体控制该安排的参与方一致同意。</w:t>
      </w:r>
    </w:p>
    <w:p>
      <w:pPr>
        <w:pStyle w:val="Style1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本公司直接或通过子公司间接拥有被投资单位</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（含）以上但低于</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%的表决权时，通常认为对被投资单位具有重大 影响。持有被投资单位</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以下表决权的，还需要综合考虑在被投资单位的董事会或类似权力机构中派有代表、或参与被投 资单位财务和经营政策制定过程、或与被投资单位之间发生重要交易、或向被投资单位派出管理人员、或向被投资单位提供 关键技术资料等事实和情况判断对被投资单位具有重大影响。</w:t>
      </w:r>
    </w:p>
    <w:p>
      <w:pPr>
        <w:pStyle w:val="Style1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对被投资单位形成控制的，为本公司的子公司。通过同一控制下的企业合并取得的长期股权投资，在合并日按照取得被 合并方在最终控制方合并报表中净资产的账面价值的份额作为长期股权投资的初始投资成本。被合并方在合并日的净资产账 面价值为负数的，长期股权投资成本按零确定。</w:t>
      </w:r>
    </w:p>
    <w:p>
      <w:pPr>
        <w:pStyle w:val="Style1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通过多次交易分步取得同一控制下被投资单位的股权，最终形成企业合并的，应在取得控制权的报告期，补充披露在母 公司财务报表中的长期股权投资的处理方法。例如：通过多次交易分步取得同一控制下被投资单位的股权，最终形成企业合 并，属于一揽子交易的，本公司将各项交易作为一项取得控制权的交易进行会计处理。不属于一览交易的，在合并日，根据 合并后享有被合并方净资产在最终控制方合并财务报表中的账面价值的份额作为长期股权投资的的初始投资成本。初始投资 成本与达到合并前的长期股权投资账面价值加上合并日进一步取得股份新支付对价的账面价值之和的差额，调整资本公积， 资本公积不足冲减的，冲减留存收益。</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通过非同一控制下的企业合并取得的长期股权投资，以合并成本作为初始投资成本。</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通过多次交易分步取得非同一控制下被投资单位的股权，最终形成企业合并的，应在取得控制权的报告期，补充披露在 母公司财务报表中的长期股权投资成本处理方法。例如：通过多次交易分步取得非同一控制下被投资单位的股权，最终形成 企业合并，属于一揽子交易的，本公司将各项交易作为一项取得控制权的交易进行会计处理。不属于一览交易的，按照原持 有的股权投资账面价值加上新增投资成本之和，作为改按成本法核算的初始投资成本。购买日之前持有的股权采用权益法核 算的，原权益法核算的相关其他综合收益暂不做调整，在处置该项投资时采用与被投资单位直接处置相关资产或负债相同的 基础进行会计处理。购买日之前持有的股权在可供出售金融资产中采用公允价值核算的，原计入其他综合收益的累计公允价 值变动在合并日转入当期投资损益。</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 xml:space="preserve">除上述通过企业合并取得的长期股权投资外，以支付现金取得的长期股权投资，按照实际支付的购买价款作为投资成本； 以发行权益性证券取得的长期股权投资，按照发行权益性证券的公允价值作为投资成本；投资者投入的长期股权投资，按照 </w:t>
      </w:r>
      <w:r>
        <w:rPr>
          <w:color w:val="000000"/>
          <w:spacing w:val="0"/>
          <w:w w:val="100"/>
          <w:position w:val="0"/>
        </w:rPr>
        <w:t>投资合同或协议约定的价值作为投资成本；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公司如有以债务重组、非货币性资产交换等方式取得的长期股权投资，应根据 相关企业会计准则的规定并结合公司的实际情况披露确定投资成本的方法。</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本公司对子公司投资采用成本法核算，对合营企业及联营企业投资采用权益法核算。</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后续计量采用成本法核算的长期股权投资，在追加投资时，按照追加投资支付的成本额公允价值及发生的相关交易费用 增加长期股权投资成本的账面价值。被投资单位宣告分派的现金股利或利润，按照应享有的金额确认为当期投资收益。</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后续计量采用权益法核算的长期股权投资，随着被他投资单位所有者权益的变动相应调整增加或减少长期股权投资的账 面价值。其中在确认应享有被投资单位净损益的份额时，以取得投资时被投资单位各项可辨认资产等的公允价值为基础，按 照本公司的会计政策及会计期间，并抵销与联营企业及合营企业之间发生的内部交易损益按照持股比例计算归属于投资企业 的部分，对被投资单位的净利润进行调整后确认。</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处置长期股权投资，其账面价值与实际取得价款的差额，计入当期投资收益。采用权益法核算的长期股权投资，因被投 资单位除净损益以外所有者权益的其他变动而计入所有者权益的，处置该项投资时将原计入所有者权益的部分按相应比例转 入当期投资损益。</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因处置部分股权投资等原因丧失了对被投资单位的共同控制或重大影响的，处置后的剩余股权改按可供出售金融资产核 算，剩余股权在丧失共同控制或重大影响之日的公允价值与账面价值之间的差额计入当期损益。原股权投资因采用权益法核 算而确认的其他综合收益，在终止采用权益法核算时采用与被投资单位直接处置相关资产或负债相同的基础进行会计处理。</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因处置部分长期股权投资丧失了对被投资单位控制的，处置后的剩余股权能够对被投资单位实施共同控制或施加重大影 响的，改按权益法核算，处置股权账面价值和处置对价的差额计入投资收益，并对该剩余股权视同自取得时即采用权益法核 算进行调整；处置后的剩余股权不能对被投资单位实施共同控制或施加重大影响的，改按可供出售金融资产的有关规定进行 会计处理，处置股权账面价值和处置对价的差额计入投资收益，剩余股权在丧失控制之日的公允价值与账面价值间的差额计 入当期投资损益。</w:t>
      </w:r>
    </w:p>
    <w:p>
      <w:pPr>
        <w:pStyle w:val="Style18"/>
        <w:keepNext w:val="0"/>
        <w:keepLines w:val="0"/>
        <w:widowControl w:val="0"/>
        <w:shd w:val="clear" w:color="auto" w:fill="auto"/>
        <w:bidi w:val="0"/>
        <w:spacing w:before="0" w:after="380" w:line="312" w:lineRule="exact"/>
        <w:ind w:left="0" w:right="0" w:firstLine="300"/>
        <w:jc w:val="left"/>
      </w:pPr>
      <w:r>
        <w:rPr>
          <w:color w:val="000000"/>
          <w:spacing w:val="0"/>
          <w:w w:val="100"/>
          <w:position w:val="0"/>
        </w:rPr>
        <w:t>本公司对于分步处置股权至丧失控股权的各项交易不属于一揽子交易的，对每一项交易分别进行会计处理。属于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 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的，将各项交易作为一项处置子公司并丧失控制权的交易进行会计处理，但是，在丧失控制权之前每一次交易处置 价款与所处置的股权对应的长期股权投资账面价值之间的差额，确认为其他综合收益，到丧失控制权时再一并转入丧失控制 权的当期损益。</w:t>
      </w:r>
    </w:p>
    <w:p>
      <w:pPr>
        <w:pStyle w:val="Style32"/>
        <w:keepNext/>
        <w:keepLines/>
        <w:widowControl w:val="0"/>
        <w:shd w:val="clear" w:color="auto" w:fill="auto"/>
        <w:bidi w:val="0"/>
        <w:spacing w:before="0" w:after="280" w:line="240" w:lineRule="auto"/>
        <w:ind w:left="0" w:right="0" w:firstLine="0"/>
        <w:jc w:val="left"/>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1</w:t>
      </w:r>
      <w:bookmarkEnd w:id="780"/>
      <w:r>
        <w:rPr>
          <w:rFonts w:ascii="Times New Roman" w:eastAsia="Times New Roman" w:hAnsi="Times New Roman" w:cs="Times New Roman"/>
          <w:color w:val="000000"/>
          <w:spacing w:val="0"/>
          <w:w w:val="100"/>
          <w:position w:val="0"/>
        </w:rPr>
        <w:t>9</w:t>
      </w:r>
      <w:r>
        <w:rPr>
          <w:color w:val="000000"/>
          <w:spacing w:val="0"/>
          <w:w w:val="100"/>
          <w:position w:val="0"/>
        </w:rPr>
        <w:t>、投资性房地产</w:t>
      </w:r>
      <w:bookmarkEnd w:id="778"/>
      <w:bookmarkEnd w:id="779"/>
      <w:bookmarkEnd w:id="781"/>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投资性房地产计量模式</w:t>
      </w:r>
    </w:p>
    <w:p>
      <w:pPr>
        <w:pStyle w:val="Style18"/>
        <w:keepNext w:val="0"/>
        <w:keepLines w:val="0"/>
        <w:widowControl w:val="0"/>
        <w:shd w:val="clear" w:color="auto" w:fill="auto"/>
        <w:bidi w:val="0"/>
        <w:spacing w:before="0" w:line="312" w:lineRule="exact"/>
        <w:ind w:left="0" w:right="0" w:firstLine="0"/>
        <w:jc w:val="left"/>
      </w:pPr>
      <w:r>
        <w:rPr>
          <w:color w:val="000000"/>
          <w:spacing w:val="0"/>
          <w:w w:val="100"/>
          <w:position w:val="0"/>
        </w:rPr>
        <w:t>成本法计量</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折旧或摊销方法</w:t>
      </w:r>
    </w:p>
    <w:p>
      <w:pPr>
        <w:pStyle w:val="Style18"/>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转让的土地使用权、已出租的建筑物等。</w:t>
      </w:r>
    </w:p>
    <w:p>
      <w:pPr>
        <w:pStyle w:val="Style18"/>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投资性房地产按成本进行初始计量。与投资性房地产有关的后续支出，如果与该资产有关的经济利益很可能流入且其成 本能可靠地计量，则计入投资性房地产成本。其他后续支出，在发生时计入当期损益。</w:t>
      </w:r>
    </w:p>
    <w:p>
      <w:pPr>
        <w:pStyle w:val="Style18"/>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投资性房地产的用途改变为自用时，自改变之日起，将该投资性房地产转换为固定资产或无形资产。自用房地产的用途 改变为赚取租金或资本增值时，自改变之日起，将固定资产或无形资产转换为投资性房地产。发生转换时，转换为采用成本 模式计量的投资性房地产的，以转换前的账面价值作为转换后的入账价值；转换为以公允价值模式计量的投资性房地产的， 以转换日的公允价值作为转换后的入账价值。</w:t>
      </w:r>
    </w:p>
    <w:p>
      <w:pPr>
        <w:pStyle w:val="Style18"/>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当投资性房地产被处置、或者永久退出使用且预计不能从其处置中取得经济利益时，终止确认该项投资性房地产。投资 性房地产出售、转让、报废或毁损的处置收入扣除其账面价值和相关税费后计入当期损益。</w:t>
      </w:r>
    </w:p>
    <w:p>
      <w:pPr>
        <w:pStyle w:val="Style32"/>
        <w:keepNext/>
        <w:keepLines/>
        <w:widowControl w:val="0"/>
        <w:shd w:val="clear" w:color="auto" w:fill="auto"/>
        <w:bidi w:val="0"/>
        <w:spacing w:before="0" w:line="240" w:lineRule="auto"/>
        <w:ind w:left="0" w:right="0" w:firstLine="0"/>
        <w:jc w:val="left"/>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2</w:t>
      </w:r>
      <w:bookmarkEnd w:id="784"/>
      <w:r>
        <w:rPr>
          <w:rFonts w:ascii="Times New Roman" w:eastAsia="Times New Roman" w:hAnsi="Times New Roman" w:cs="Times New Roman"/>
          <w:color w:val="000000"/>
          <w:spacing w:val="0"/>
          <w:w w:val="100"/>
          <w:position w:val="0"/>
        </w:rPr>
        <w:t>0</w:t>
      </w:r>
      <w:r>
        <w:rPr>
          <w:color w:val="000000"/>
          <w:spacing w:val="0"/>
          <w:w w:val="100"/>
          <w:position w:val="0"/>
        </w:rPr>
        <w:t>、固定资产</w:t>
      </w:r>
      <w:bookmarkEnd w:id="782"/>
      <w:bookmarkEnd w:id="783"/>
      <w:bookmarkEnd w:id="785"/>
    </w:p>
    <w:p>
      <w:pPr>
        <w:pStyle w:val="Style36"/>
        <w:keepNext/>
        <w:keepLines/>
        <w:widowControl w:val="0"/>
        <w:shd w:val="clear" w:color="auto" w:fill="auto"/>
        <w:bidi w:val="0"/>
        <w:spacing w:before="0" w:after="280" w:line="240" w:lineRule="auto"/>
        <w:ind w:left="0" w:right="0" w:firstLine="0"/>
        <w:jc w:val="left"/>
      </w:pPr>
      <w:bookmarkStart w:id="786" w:name="bookmark786"/>
      <w:bookmarkStart w:id="787" w:name="bookmark787"/>
      <w:bookmarkStart w:id="788" w:name="bookmark788"/>
      <w:bookmarkStart w:id="789" w:name="bookmark789"/>
      <w:r>
        <w:rPr>
          <w:color w:val="000000"/>
          <w:spacing w:val="0"/>
          <w:w w:val="100"/>
          <w:position w:val="0"/>
        </w:rPr>
        <w:t>（</w:t>
      </w:r>
      <w:bookmarkEnd w:id="788"/>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786"/>
      <w:bookmarkEnd w:id="787"/>
      <w:bookmarkEnd w:id="789"/>
    </w:p>
    <w:p>
      <w:pPr>
        <w:pStyle w:val="Style18"/>
        <w:keepNext w:val="0"/>
        <w:keepLines w:val="0"/>
        <w:widowControl w:val="0"/>
        <w:shd w:val="clear" w:color="auto" w:fill="auto"/>
        <w:bidi w:val="0"/>
        <w:spacing w:before="0" w:after="380" w:line="312" w:lineRule="exact"/>
        <w:ind w:left="0" w:right="0" w:firstLine="480"/>
        <w:jc w:val="both"/>
      </w:pPr>
      <w:r>
        <w:rPr>
          <w:color w:val="000000"/>
          <w:spacing w:val="0"/>
          <w:w w:val="100"/>
          <w:position w:val="0"/>
        </w:rPr>
        <w:t>固定资产是指为生产商品、提供劳务、出租或经营管理而持有的，使用寿命超过一个会计年度的有形资产。固定资产 仅在与其有关的经济利益很可能流入本公司，且其成本能够可靠地计量时才予以确认。固定资产按成本并考虑预计弃置费用 因素的影响进行初始计量。</w:t>
      </w:r>
    </w:p>
    <w:p>
      <w:pPr>
        <w:pStyle w:val="Style36"/>
        <w:keepNext/>
        <w:keepLines/>
        <w:widowControl w:val="0"/>
        <w:shd w:val="clear" w:color="auto" w:fill="auto"/>
        <w:bidi w:val="0"/>
        <w:spacing w:before="0" w:after="320" w:line="240" w:lineRule="auto"/>
        <w:ind w:left="0" w:right="0" w:firstLine="0"/>
        <w:jc w:val="left"/>
      </w:pPr>
      <w:bookmarkStart w:id="790" w:name="bookmark790"/>
      <w:bookmarkStart w:id="791" w:name="bookmark791"/>
      <w:bookmarkStart w:id="792" w:name="bookmark792"/>
      <w:bookmarkStart w:id="793" w:name="bookmark793"/>
      <w:r>
        <w:rPr>
          <w:color w:val="000000"/>
          <w:spacing w:val="0"/>
          <w:w w:val="100"/>
          <w:position w:val="0"/>
        </w:rPr>
        <w:t>（</w:t>
      </w:r>
      <w:bookmarkEnd w:id="792"/>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790"/>
      <w:bookmarkEnd w:id="791"/>
      <w:bookmarkEnd w:id="793"/>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2.25-4.50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18.00</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办公设备及其他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2.25-18.00</w:t>
            </w:r>
          </w:p>
        </w:tc>
      </w:tr>
    </w:tbl>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预预计净残值是指假定固定资产预计使用寿命已满并处于使用寿命终了时的预期状态，本公司目前从该项资产处置中获 得的扣除预计处置费用后的金额。</w:t>
      </w:r>
    </w:p>
    <w:p>
      <w:pPr>
        <w:pStyle w:val="Style18"/>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固定资产的减值测试方法和减值准备计提方法详见附注四、</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与固定资产有关的后续支出，如果与该固定资产有关的经济利益很可能流入且其成本能可靠地计量，则计入固定资产成 本，并终止确认被替换部分的账面价值。除此以外的其他后续支出，在发生时计入当期损益。</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当固定资产处于处置状态或预期通过使用或处置不能产生经济利益时，终止确认该固定资产。固定资产出售、转让、报 废或毁损的处置收入扣除其账面价值和相关税费后的差额计入当期损益。</w:t>
      </w:r>
    </w:p>
    <w:p>
      <w:pPr>
        <w:pStyle w:val="Style18"/>
        <w:keepNext w:val="0"/>
        <w:keepLines w:val="0"/>
        <w:widowControl w:val="0"/>
        <w:shd w:val="clear" w:color="auto" w:fill="auto"/>
        <w:bidi w:val="0"/>
        <w:spacing w:before="0" w:after="380" w:line="312" w:lineRule="exact"/>
        <w:ind w:left="0" w:right="0" w:firstLine="240"/>
        <w:jc w:val="both"/>
      </w:pPr>
      <w:r>
        <w:rPr>
          <w:color w:val="000000"/>
          <w:spacing w:val="0"/>
          <w:w w:val="100"/>
          <w:position w:val="0"/>
        </w:rPr>
        <w:t>本公司至少于年度终了对固定资产的使用寿命、预计净残值和折旧方法进行复核，如发生改变则作为会计估计变更处理。</w:t>
      </w:r>
    </w:p>
    <w:p>
      <w:pPr>
        <w:pStyle w:val="Style36"/>
        <w:keepNext/>
        <w:keepLines/>
        <w:widowControl w:val="0"/>
        <w:shd w:val="clear" w:color="auto" w:fill="auto"/>
        <w:bidi w:val="0"/>
        <w:spacing w:before="0" w:after="280" w:line="240" w:lineRule="auto"/>
        <w:ind w:left="0" w:right="0" w:firstLine="0"/>
        <w:jc w:val="left"/>
      </w:pPr>
      <w:bookmarkStart w:id="794" w:name="bookmark794"/>
      <w:bookmarkStart w:id="795" w:name="bookmark795"/>
      <w:bookmarkStart w:id="796" w:name="bookmark796"/>
      <w:bookmarkStart w:id="797" w:name="bookmark797"/>
      <w:r>
        <w:rPr>
          <w:color w:val="000000"/>
          <w:spacing w:val="0"/>
          <w:w w:val="100"/>
          <w:position w:val="0"/>
        </w:rPr>
        <w:t>（</w:t>
      </w:r>
      <w:bookmarkEnd w:id="796"/>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794"/>
      <w:bookmarkEnd w:id="795"/>
      <w:bookmarkEnd w:id="797"/>
    </w:p>
    <w:p>
      <w:pPr>
        <w:pStyle w:val="Style1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融资租赁为实质上转移了与资产所有权有关的全部风险和报酬的租赁，其所有权最终可能转移，也可能不转移。以融资 租赁方式租入的固定资产采用与自有固定资产一致的政策计提租赁资产折旧。能够合理确定租赁期届满时取得租赁资产所有 权的，在租赁资产使用寿命内计提折旧；无法合理确定租赁期届满能够取得租赁资产所有权的，在租赁期与租赁资产使用寿 命两者中较短的期间内计提折旧。</w:t>
      </w:r>
    </w:p>
    <w:p>
      <w:pPr>
        <w:pStyle w:val="Style32"/>
        <w:keepNext/>
        <w:keepLines/>
        <w:widowControl w:val="0"/>
        <w:shd w:val="clear" w:color="auto" w:fill="auto"/>
        <w:tabs>
          <w:tab w:pos="471" w:val="left"/>
        </w:tabs>
        <w:bidi w:val="0"/>
        <w:spacing w:before="0" w:after="280" w:line="240" w:lineRule="auto"/>
        <w:ind w:left="0" w:right="0" w:firstLine="0"/>
        <w:jc w:val="left"/>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2</w:t>
      </w:r>
      <w:bookmarkEnd w:id="800"/>
      <w:r>
        <w:rPr>
          <w:rFonts w:ascii="Times New Roman" w:eastAsia="Times New Roman" w:hAnsi="Times New Roman" w:cs="Times New Roman"/>
          <w:color w:val="000000"/>
          <w:spacing w:val="0"/>
          <w:w w:val="100"/>
          <w:position w:val="0"/>
        </w:rPr>
        <w:t>1</w:t>
      </w:r>
      <w:r>
        <w:rPr>
          <w:color w:val="000000"/>
          <w:spacing w:val="0"/>
          <w:w w:val="100"/>
          <w:position w:val="0"/>
        </w:rPr>
        <w:t>、</w:t>
        <w:tab/>
        <w:t>在建工程</w:t>
      </w:r>
      <w:bookmarkEnd w:id="798"/>
      <w:bookmarkEnd w:id="799"/>
      <w:bookmarkEnd w:id="801"/>
    </w:p>
    <w:p>
      <w:pPr>
        <w:pStyle w:val="Style18"/>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在建工程在达到预定可使用状态之日起，根据工程预算、造价或工程实际成本等，按估计的价值结转固定资产，次月起 开始计提折旧，待办理了竣工决算手续后再对固定资产原值差异进行调整。</w:t>
      </w:r>
    </w:p>
    <w:p>
      <w:pPr>
        <w:pStyle w:val="Style32"/>
        <w:keepNext/>
        <w:keepLines/>
        <w:widowControl w:val="0"/>
        <w:shd w:val="clear" w:color="auto" w:fill="auto"/>
        <w:tabs>
          <w:tab w:pos="471" w:val="left"/>
        </w:tabs>
        <w:bidi w:val="0"/>
        <w:spacing w:before="0" w:after="280" w:line="240" w:lineRule="auto"/>
        <w:ind w:left="0" w:right="0" w:firstLine="0"/>
        <w:jc w:val="left"/>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2</w:t>
      </w:r>
      <w:bookmarkEnd w:id="804"/>
      <w:r>
        <w:rPr>
          <w:rFonts w:ascii="Times New Roman" w:eastAsia="Times New Roman" w:hAnsi="Times New Roman" w:cs="Times New Roman"/>
          <w:color w:val="000000"/>
          <w:spacing w:val="0"/>
          <w:w w:val="100"/>
          <w:position w:val="0"/>
        </w:rPr>
        <w:t>2</w:t>
      </w:r>
      <w:r>
        <w:rPr>
          <w:color w:val="000000"/>
          <w:spacing w:val="0"/>
          <w:w w:val="100"/>
          <w:position w:val="0"/>
        </w:rPr>
        <w:t>、</w:t>
        <w:tab/>
        <w:t>借款费用</w:t>
      </w:r>
      <w:bookmarkEnd w:id="802"/>
      <w:bookmarkEnd w:id="803"/>
      <w:bookmarkEnd w:id="805"/>
    </w:p>
    <w:p>
      <w:pPr>
        <w:pStyle w:val="Style18"/>
        <w:keepNext w:val="0"/>
        <w:keepLines w:val="0"/>
        <w:widowControl w:val="0"/>
        <w:shd w:val="clear" w:color="auto" w:fill="auto"/>
        <w:bidi w:val="0"/>
        <w:spacing w:before="0" w:after="360" w:line="311" w:lineRule="exact"/>
        <w:ind w:left="0" w:right="0" w:firstLine="300"/>
        <w:jc w:val="left"/>
      </w:pPr>
      <w:r>
        <w:rPr>
          <w:color w:val="000000"/>
          <w:spacing w:val="0"/>
          <w:w w:val="100"/>
          <w:position w:val="0"/>
        </w:rPr>
        <w:t>发生的可直接归属于需要经过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年以上的购建或者生产活动才能达到预定可使用或者可销售状态的固定资产、投资性房 地产和存货等的借款费用，在资产支出已经发生、借款费用已经发生、为使资产达到预定可使用或可销售状态所必要的购建 或生产活动已经开始时，开始资本化；当购建或生产符合资本化条件的资产达到预定可使用或可销售状态时，停止资本化， 其后发生的借款费用计入当期损益。如果符合资本化条件的资产在购建或者生产过程中发生非正常中断、且中断时间连续超 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个月，暂停借款费用的资本化，直至资产的购建或生产活动重新开始。</w:t>
      </w:r>
    </w:p>
    <w:p>
      <w:pPr>
        <w:pStyle w:val="Style32"/>
        <w:keepNext/>
        <w:keepLines/>
        <w:widowControl w:val="0"/>
        <w:shd w:val="clear" w:color="auto" w:fill="auto"/>
        <w:tabs>
          <w:tab w:pos="483" w:val="left"/>
        </w:tabs>
        <w:bidi w:val="0"/>
        <w:spacing w:before="0" w:after="280" w:line="240" w:lineRule="auto"/>
        <w:ind w:left="0" w:right="0" w:firstLine="0"/>
        <w:jc w:val="left"/>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2</w:t>
      </w:r>
      <w:bookmarkEnd w:id="808"/>
      <w:r>
        <w:rPr>
          <w:rFonts w:ascii="Times New Roman" w:eastAsia="Times New Roman" w:hAnsi="Times New Roman" w:cs="Times New Roman"/>
          <w:color w:val="000000"/>
          <w:spacing w:val="0"/>
          <w:w w:val="100"/>
          <w:position w:val="0"/>
        </w:rPr>
        <w:t>3</w:t>
      </w:r>
      <w:r>
        <w:rPr>
          <w:color w:val="000000"/>
          <w:spacing w:val="0"/>
          <w:w w:val="100"/>
          <w:position w:val="0"/>
        </w:rPr>
        <w:t>、</w:t>
        <w:tab/>
        <w:t>使用权资产</w:t>
      </w:r>
      <w:bookmarkEnd w:id="806"/>
      <w:bookmarkEnd w:id="807"/>
      <w:bookmarkEnd w:id="809"/>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使用权资产，是指本公司作为承租人可在租赁期内使用租赁资产的权利。</w:t>
      </w:r>
    </w:p>
    <w:p>
      <w:pPr>
        <w:pStyle w:val="Style18"/>
        <w:keepNext w:val="0"/>
        <w:keepLines w:val="0"/>
        <w:widowControl w:val="0"/>
        <w:shd w:val="clear" w:color="auto" w:fill="auto"/>
        <w:tabs>
          <w:tab w:pos="825" w:val="left"/>
        </w:tabs>
        <w:bidi w:val="0"/>
        <w:spacing w:before="0" w:after="0" w:line="312" w:lineRule="exact"/>
        <w:ind w:left="0" w:right="0" w:firstLine="380"/>
        <w:jc w:val="both"/>
      </w:pPr>
      <w:bookmarkStart w:id="810" w:name="bookmark810"/>
      <w:r>
        <w:rPr>
          <w:color w:val="000000"/>
          <w:spacing w:val="0"/>
          <w:w w:val="100"/>
          <w:position w:val="0"/>
        </w:rPr>
        <w:t>（</w:t>
      </w:r>
      <w:bookmarkEnd w:id="81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初始计量</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在租赁期开始日，本公司按照成本对使用权资产进行初始计量。该成本包括下列四项：①租赁负债的初始计量金额；② 在租赁期开始日或之前支付的租赁付款额，存在租赁激励的，扣除已享受的租赁激励相关金额；③发生的初始直接费用，即 为达成租赁所发生的增量成本；④为拆卸及移除租赁资产、复原租赁资产所在场地或将租赁资产恢复至租赁条款约定状态预 计将发生的成本，属于为生产存货而发生的除外。</w:t>
      </w:r>
    </w:p>
    <w:p>
      <w:pPr>
        <w:pStyle w:val="Style18"/>
        <w:keepNext w:val="0"/>
        <w:keepLines w:val="0"/>
        <w:widowControl w:val="0"/>
        <w:shd w:val="clear" w:color="auto" w:fill="auto"/>
        <w:tabs>
          <w:tab w:pos="825" w:val="left"/>
        </w:tabs>
        <w:bidi w:val="0"/>
        <w:spacing w:before="0" w:after="0" w:line="312" w:lineRule="exact"/>
        <w:ind w:left="0" w:right="0" w:firstLine="380"/>
        <w:jc w:val="both"/>
      </w:pPr>
      <w:bookmarkStart w:id="811" w:name="bookmark811"/>
      <w:r>
        <w:rPr>
          <w:color w:val="000000"/>
          <w:spacing w:val="0"/>
          <w:w w:val="100"/>
          <w:position w:val="0"/>
        </w:rPr>
        <w:t>（</w:t>
      </w:r>
      <w:bookmarkEnd w:id="81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后续计量</w:t>
      </w:r>
    </w:p>
    <w:p>
      <w:pPr>
        <w:pStyle w:val="Style18"/>
        <w:keepNext w:val="0"/>
        <w:keepLines w:val="0"/>
        <w:widowControl w:val="0"/>
        <w:shd w:val="clear" w:color="auto" w:fill="auto"/>
        <w:bidi w:val="0"/>
        <w:spacing w:before="0" w:after="0" w:line="278" w:lineRule="exact"/>
        <w:ind w:left="0" w:right="0" w:firstLine="380"/>
        <w:jc w:val="both"/>
      </w:pPr>
      <w:r>
        <w:rPr>
          <w:color w:val="000000"/>
          <w:spacing w:val="0"/>
          <w:w w:val="100"/>
          <w:position w:val="0"/>
        </w:rPr>
        <w:t>在租赁期开始日后，本公司采用成本模式对使用权资产进行后续计量，即以成本减累计折旧及累计减值损失计量使用权 资产，本公司按照租赁准则有关规定重新计量租赁负债的，相应调整使用权资产的账面价值。</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使用权资产的折旧</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自租赁期开始日起，本公司对使用权资产计提折旧。使用权资产通常自租赁期开始的当月计提折旧。计提的折旧金额根 据使用权资产的用途，计入相关资产的成本或者当期损益。</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本公司在确定使用权资产的折旧方法时，根据与使用权资产有关的经济利益的预期消耗方式做出决定，以直线法对使用 权资产计提折旧。</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本公司在确定使用权资产的折旧年限时，遵循以下原则：能够合理确定租赁期届满时取得租赁资产所有权的，在租赁资 产剩余使用寿命内计提折旧；无法合理确定租赁期届满时能够取得租赁资产所有权的，在租赁期与租赁资产剩余使用寿命两 者孰短的期间内计提折旧。</w:t>
      </w:r>
    </w:p>
    <w:p>
      <w:pPr>
        <w:pStyle w:val="Style18"/>
        <w:keepNext w:val="0"/>
        <w:keepLines w:val="0"/>
        <w:widowControl w:val="0"/>
        <w:shd w:val="clear" w:color="auto" w:fill="auto"/>
        <w:bidi w:val="0"/>
        <w:spacing w:before="0" w:after="0" w:line="314" w:lineRule="exact"/>
        <w:ind w:left="0" w:right="0" w:firstLine="380"/>
        <w:jc w:val="left"/>
      </w:pPr>
      <w:r>
        <w:rPr>
          <w:color w:val="000000"/>
          <w:spacing w:val="0"/>
          <w:w w:val="100"/>
          <w:position w:val="0"/>
        </w:rPr>
        <w:t>使用权资产的减值</w:t>
      </w:r>
    </w:p>
    <w:p>
      <w:pPr>
        <w:pStyle w:val="Style18"/>
        <w:keepNext w:val="0"/>
        <w:keepLines w:val="0"/>
        <w:widowControl w:val="0"/>
        <w:shd w:val="clear" w:color="auto" w:fill="auto"/>
        <w:bidi w:val="0"/>
        <w:spacing w:before="0" w:after="380" w:line="314" w:lineRule="exact"/>
        <w:ind w:left="0" w:right="0" w:firstLine="300"/>
        <w:jc w:val="left"/>
      </w:pPr>
      <w:r>
        <w:rPr>
          <w:color w:val="000000"/>
          <w:spacing w:val="0"/>
          <w:w w:val="100"/>
          <w:position w:val="0"/>
        </w:rPr>
        <w:t>如果使用权资产发生减值，本公司按照扣除减值损失之后的使用权资产的账面价值，进行后续折旧。</w:t>
      </w:r>
    </w:p>
    <w:p>
      <w:pPr>
        <w:pStyle w:val="Style32"/>
        <w:keepNext/>
        <w:keepLines/>
        <w:widowControl w:val="0"/>
        <w:shd w:val="clear" w:color="auto" w:fill="auto"/>
        <w:tabs>
          <w:tab w:pos="483" w:val="left"/>
        </w:tabs>
        <w:bidi w:val="0"/>
        <w:spacing w:before="0" w:line="240" w:lineRule="auto"/>
        <w:ind w:left="0" w:right="0" w:firstLine="0"/>
        <w:jc w:val="left"/>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2</w:t>
      </w:r>
      <w:bookmarkEnd w:id="814"/>
      <w:r>
        <w:rPr>
          <w:rFonts w:ascii="Times New Roman" w:eastAsia="Times New Roman" w:hAnsi="Times New Roman" w:cs="Times New Roman"/>
          <w:color w:val="000000"/>
          <w:spacing w:val="0"/>
          <w:w w:val="100"/>
          <w:position w:val="0"/>
        </w:rPr>
        <w:t>4</w:t>
      </w:r>
      <w:r>
        <w:rPr>
          <w:color w:val="000000"/>
          <w:spacing w:val="0"/>
          <w:w w:val="100"/>
          <w:position w:val="0"/>
        </w:rPr>
        <w:t>、</w:t>
        <w:tab/>
        <w:t>无形资产</w:t>
      </w:r>
      <w:bookmarkEnd w:id="812"/>
      <w:bookmarkEnd w:id="813"/>
      <w:bookmarkEnd w:id="815"/>
    </w:p>
    <w:p>
      <w:pPr>
        <w:pStyle w:val="Style36"/>
        <w:keepNext/>
        <w:keepLines/>
        <w:widowControl w:val="0"/>
        <w:shd w:val="clear" w:color="auto" w:fill="auto"/>
        <w:tabs>
          <w:tab w:pos="493" w:val="left"/>
        </w:tabs>
        <w:bidi w:val="0"/>
        <w:spacing w:before="0" w:after="280" w:line="240" w:lineRule="auto"/>
        <w:ind w:left="0" w:right="0" w:firstLine="0"/>
        <w:jc w:val="left"/>
      </w:pPr>
      <w:bookmarkStart w:id="816" w:name="bookmark816"/>
      <w:bookmarkStart w:id="817" w:name="bookmark817"/>
      <w:bookmarkStart w:id="818" w:name="bookmark818"/>
      <w:bookmarkStart w:id="819" w:name="bookmark819"/>
      <w:r>
        <w:rPr>
          <w:color w:val="000000"/>
          <w:spacing w:val="0"/>
          <w:w w:val="100"/>
          <w:position w:val="0"/>
        </w:rPr>
        <w:t>（</w:t>
      </w:r>
      <w:bookmarkEnd w:id="818"/>
      <w:r>
        <w:rPr>
          <w:rFonts w:ascii="Times New Roman" w:eastAsia="Times New Roman" w:hAnsi="Times New Roman" w:cs="Times New Roman"/>
          <w:color w:val="000000"/>
          <w:spacing w:val="0"/>
          <w:w w:val="100"/>
          <w:position w:val="0"/>
        </w:rPr>
        <w:t>1</w:t>
      </w:r>
      <w:r>
        <w:rPr>
          <w:color w:val="000000"/>
          <w:spacing w:val="0"/>
          <w:w w:val="100"/>
          <w:position w:val="0"/>
        </w:rPr>
        <w:t>）</w:t>
        <w:tab/>
        <w:t>计价方法、使用寿命、减值测试</w:t>
      </w:r>
      <w:bookmarkEnd w:id="816"/>
      <w:bookmarkEnd w:id="817"/>
      <w:bookmarkEnd w:id="819"/>
    </w:p>
    <w:p>
      <w:pPr>
        <w:pStyle w:val="Style18"/>
        <w:keepNext w:val="0"/>
        <w:keepLines w:val="0"/>
        <w:widowControl w:val="0"/>
        <w:shd w:val="clear" w:color="auto" w:fill="auto"/>
        <w:bidi w:val="0"/>
        <w:spacing w:before="0" w:after="0" w:line="312" w:lineRule="exact"/>
        <w:ind w:left="0" w:right="0" w:firstLine="380"/>
        <w:jc w:val="both"/>
      </w:pPr>
      <w:bookmarkStart w:id="820" w:name="bookmark820"/>
      <w:r>
        <w:rPr>
          <w:color w:val="000000"/>
          <w:spacing w:val="0"/>
          <w:w w:val="100"/>
          <w:position w:val="0"/>
        </w:rPr>
        <w:t>（</w:t>
      </w:r>
      <w:bookmarkEnd w:id="820"/>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）无形资产</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无形资产是指本公司拥有或者控制的没有实物形态的可辨认非货币性资产。</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无形资产按成本进行初始计量。与无形资产有关的支出，如果相关的经济利益很可能流入本公司且其成本能可靠地计量， 则计入无形资产成本。除此以外的其他项目的支出，在发生时计入当期损益。</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取得的土地使用权通常作为无形资产核算。自行开发建造厂房等建筑物，相关的土地使用权支出和建筑物建造成本则分 别作为无形资产和固定资产核算。如为外购的房屋及建筑物，则将有关价款在土地使用权和建筑物之间进行分配，难以合理 分配的，全部作为固定资产处理。</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使用寿命有限的无形资产自可供使用时起，对其原值在其预计使用寿命内采用直线法分期平均摊销。使用寿命不确定的 无形资产不予摊销。</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期末，对使用寿命有限的无形资产的使用寿命和摊销方法进行复核，如发生变更则作为会计估计变更处理。此外，还对使用 寿命不确定的无形资产的使用寿命进行复核，如果有证据表明该无形资产为企业带来经济利益的期限是可预见的，则估计其 使用寿命并按照使用寿命有限的无形资产的摊销政策进行摊销。</w:t>
      </w:r>
    </w:p>
    <w:p>
      <w:pPr>
        <w:pStyle w:val="Style18"/>
        <w:keepNext w:val="0"/>
        <w:keepLines w:val="0"/>
        <w:widowControl w:val="0"/>
        <w:shd w:val="clear" w:color="auto" w:fill="auto"/>
        <w:bidi w:val="0"/>
        <w:spacing w:before="0" w:after="380" w:line="312" w:lineRule="exact"/>
        <w:ind w:left="0" w:right="0" w:firstLine="300"/>
        <w:jc w:val="left"/>
      </w:pPr>
      <w:r>
        <w:rPr>
          <w:color w:val="000000"/>
          <w:spacing w:val="0"/>
          <w:w w:val="100"/>
          <w:position w:val="0"/>
        </w:rPr>
        <w:t>无形资产的减值测试方法和减值准备计提方法详见附注四、</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6"/>
        <w:keepNext/>
        <w:keepLines/>
        <w:widowControl w:val="0"/>
        <w:shd w:val="clear" w:color="auto" w:fill="auto"/>
        <w:tabs>
          <w:tab w:pos="493" w:val="left"/>
        </w:tabs>
        <w:bidi w:val="0"/>
        <w:spacing w:before="0" w:after="280" w:line="240" w:lineRule="auto"/>
        <w:ind w:left="0" w:right="0" w:firstLine="0"/>
        <w:jc w:val="left"/>
      </w:pPr>
      <w:bookmarkStart w:id="821" w:name="bookmark821"/>
      <w:bookmarkStart w:id="822" w:name="bookmark822"/>
      <w:bookmarkStart w:id="823" w:name="bookmark823"/>
      <w:bookmarkStart w:id="824" w:name="bookmark824"/>
      <w:r>
        <w:rPr>
          <w:color w:val="000000"/>
          <w:spacing w:val="0"/>
          <w:w w:val="100"/>
          <w:position w:val="0"/>
        </w:rPr>
        <w:t>（</w:t>
      </w:r>
      <w:bookmarkEnd w:id="823"/>
      <w:r>
        <w:rPr>
          <w:rFonts w:ascii="Times New Roman" w:eastAsia="Times New Roman" w:hAnsi="Times New Roman" w:cs="Times New Roman"/>
          <w:color w:val="000000"/>
          <w:spacing w:val="0"/>
          <w:w w:val="100"/>
          <w:position w:val="0"/>
        </w:rPr>
        <w:t>2</w:t>
      </w:r>
      <w:r>
        <w:rPr>
          <w:color w:val="000000"/>
          <w:spacing w:val="0"/>
          <w:w w:val="100"/>
          <w:position w:val="0"/>
        </w:rPr>
        <w:t>）</w:t>
        <w:tab/>
        <w:t>内部研究开发支出会计政策</w:t>
      </w:r>
      <w:bookmarkEnd w:id="821"/>
      <w:bookmarkEnd w:id="822"/>
      <w:bookmarkEnd w:id="824"/>
    </w:p>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本公司内部研究开发项目的支出分为研究阶段支出与开发阶段支出。</w:t>
      </w:r>
    </w:p>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研究阶段的支出，于发生时计入当期损益。</w:t>
      </w:r>
    </w:p>
    <w:p>
      <w:pPr>
        <w:pStyle w:val="Style18"/>
        <w:keepNext w:val="0"/>
        <w:keepLines w:val="0"/>
        <w:widowControl w:val="0"/>
        <w:shd w:val="clear" w:color="auto" w:fill="auto"/>
        <w:bidi w:val="0"/>
        <w:spacing w:before="0" w:after="280" w:line="312" w:lineRule="exact"/>
        <w:ind w:left="0" w:right="0" w:firstLine="380"/>
        <w:jc w:val="left"/>
      </w:pPr>
      <w:r>
        <w:rPr>
          <w:color w:val="000000"/>
          <w:spacing w:val="0"/>
          <w:w w:val="100"/>
          <w:position w:val="0"/>
        </w:rPr>
        <w:t>开发阶段的支出同时满足下列条件的，确认为无形资产，不能满足下述条件的开发阶段的支出计入当期损益：</w:t>
      </w:r>
    </w:p>
    <w:p>
      <w:pPr>
        <w:pStyle w:val="Style18"/>
        <w:keepNext w:val="0"/>
        <w:keepLines w:val="0"/>
        <w:widowControl w:val="0"/>
        <w:numPr>
          <w:ilvl w:val="0"/>
          <w:numId w:val="13"/>
        </w:numPr>
        <w:shd w:val="clear" w:color="auto" w:fill="auto"/>
        <w:tabs>
          <w:tab w:pos="727" w:val="left"/>
        </w:tabs>
        <w:bidi w:val="0"/>
        <w:spacing w:before="0" w:after="0" w:line="312" w:lineRule="exact"/>
        <w:ind w:left="0" w:right="0" w:firstLine="380"/>
        <w:jc w:val="both"/>
      </w:pPr>
      <w:bookmarkStart w:id="825" w:name="bookmark825"/>
      <w:bookmarkEnd w:id="825"/>
      <w:r>
        <w:rPr>
          <w:color w:val="000000"/>
          <w:spacing w:val="0"/>
          <w:w w:val="100"/>
          <w:position w:val="0"/>
        </w:rPr>
        <w:t>完成该无形资产以使其能够使用或出售在技术上具有可行性；</w:t>
      </w:r>
    </w:p>
    <w:p>
      <w:pPr>
        <w:pStyle w:val="Style18"/>
        <w:keepNext w:val="0"/>
        <w:keepLines w:val="0"/>
        <w:widowControl w:val="0"/>
        <w:numPr>
          <w:ilvl w:val="0"/>
          <w:numId w:val="13"/>
        </w:numPr>
        <w:shd w:val="clear" w:color="auto" w:fill="auto"/>
        <w:tabs>
          <w:tab w:pos="727" w:val="left"/>
        </w:tabs>
        <w:bidi w:val="0"/>
        <w:spacing w:before="0" w:after="0" w:line="312" w:lineRule="exact"/>
        <w:ind w:left="0" w:right="0" w:firstLine="380"/>
        <w:jc w:val="both"/>
      </w:pPr>
      <w:bookmarkStart w:id="826" w:name="bookmark826"/>
      <w:bookmarkEnd w:id="826"/>
      <w:r>
        <w:rPr>
          <w:color w:val="000000"/>
          <w:spacing w:val="0"/>
          <w:w w:val="100"/>
          <w:position w:val="0"/>
        </w:rPr>
        <w:t>具有完成该无形资产并使用或出售的意图；</w:t>
      </w:r>
    </w:p>
    <w:p>
      <w:pPr>
        <w:pStyle w:val="Style18"/>
        <w:keepNext w:val="0"/>
        <w:keepLines w:val="0"/>
        <w:widowControl w:val="0"/>
        <w:numPr>
          <w:ilvl w:val="0"/>
          <w:numId w:val="13"/>
        </w:numPr>
        <w:shd w:val="clear" w:color="auto" w:fill="auto"/>
        <w:tabs>
          <w:tab w:pos="697" w:val="left"/>
        </w:tabs>
        <w:bidi w:val="0"/>
        <w:spacing w:before="0" w:after="0" w:line="312" w:lineRule="exact"/>
        <w:ind w:left="0" w:right="0" w:firstLine="380"/>
        <w:jc w:val="both"/>
      </w:pPr>
      <w:bookmarkStart w:id="827" w:name="bookmark827"/>
      <w:bookmarkEnd w:id="827"/>
      <w:r>
        <w:rPr>
          <w:color w:val="000000"/>
          <w:spacing w:val="0"/>
          <w:w w:val="100"/>
          <w:position w:val="0"/>
        </w:rPr>
        <w:t>无形资产产生经济利益的方式，包括能够证明运用该无形资产生产的产品存在市场或无形资产自身存在市场，无形 资产将在内部使用的，能够证明其有用性；</w:t>
      </w:r>
    </w:p>
    <w:p>
      <w:pPr>
        <w:pStyle w:val="Style18"/>
        <w:keepNext w:val="0"/>
        <w:keepLines w:val="0"/>
        <w:widowControl w:val="0"/>
        <w:numPr>
          <w:ilvl w:val="0"/>
          <w:numId w:val="13"/>
        </w:numPr>
        <w:shd w:val="clear" w:color="auto" w:fill="auto"/>
        <w:tabs>
          <w:tab w:pos="727" w:val="left"/>
        </w:tabs>
        <w:bidi w:val="0"/>
        <w:spacing w:before="0" w:after="0" w:line="312" w:lineRule="exact"/>
        <w:ind w:left="0" w:right="0" w:firstLine="380"/>
        <w:jc w:val="both"/>
      </w:pPr>
      <w:bookmarkStart w:id="828" w:name="bookmark828"/>
      <w:bookmarkEnd w:id="828"/>
      <w:r>
        <w:rPr>
          <w:color w:val="000000"/>
          <w:spacing w:val="0"/>
          <w:w w:val="100"/>
          <w:position w:val="0"/>
        </w:rPr>
        <w:t>有足够的技术、财务资源和其他资源支持，以完成该无形资产的开发，并有能力使用或出售该无形资产；</w:t>
      </w:r>
    </w:p>
    <w:p>
      <w:pPr>
        <w:pStyle w:val="Style18"/>
        <w:keepNext w:val="0"/>
        <w:keepLines w:val="0"/>
        <w:widowControl w:val="0"/>
        <w:numPr>
          <w:ilvl w:val="0"/>
          <w:numId w:val="13"/>
        </w:numPr>
        <w:shd w:val="clear" w:color="auto" w:fill="auto"/>
        <w:tabs>
          <w:tab w:pos="727" w:val="left"/>
        </w:tabs>
        <w:bidi w:val="0"/>
        <w:spacing w:before="0" w:after="0" w:line="312" w:lineRule="exact"/>
        <w:ind w:left="0" w:right="0" w:firstLine="380"/>
        <w:jc w:val="both"/>
      </w:pPr>
      <w:bookmarkStart w:id="829" w:name="bookmark829"/>
      <w:bookmarkEnd w:id="829"/>
      <w:r>
        <w:rPr>
          <w:color w:val="000000"/>
          <w:spacing w:val="0"/>
          <w:w w:val="100"/>
          <w:position w:val="0"/>
        </w:rPr>
        <w:t>归属于该无形资产开发阶段的支出能够可靠地计量。</w:t>
      </w:r>
    </w:p>
    <w:p>
      <w:pPr>
        <w:pStyle w:val="Style18"/>
        <w:keepNext w:val="0"/>
        <w:keepLines w:val="0"/>
        <w:widowControl w:val="0"/>
        <w:shd w:val="clear" w:color="auto" w:fill="auto"/>
        <w:bidi w:val="0"/>
        <w:spacing w:before="0" w:after="400" w:line="312" w:lineRule="exact"/>
        <w:ind w:left="0" w:right="0" w:firstLine="300"/>
        <w:jc w:val="left"/>
      </w:pPr>
      <w:r>
        <w:rPr>
          <w:color w:val="000000"/>
          <w:spacing w:val="0"/>
          <w:w w:val="100"/>
          <w:position w:val="0"/>
        </w:rPr>
        <w:t>无法区分研究阶段支出和开发阶段支出的，将发生的研发支出全部计入当期损益。</w:t>
      </w:r>
    </w:p>
    <w:p>
      <w:pPr>
        <w:pStyle w:val="Style32"/>
        <w:keepNext/>
        <w:keepLines/>
        <w:widowControl w:val="0"/>
        <w:shd w:val="clear" w:color="auto" w:fill="auto"/>
        <w:tabs>
          <w:tab w:pos="457" w:val="left"/>
        </w:tabs>
        <w:bidi w:val="0"/>
        <w:spacing w:before="0" w:after="260" w:line="240" w:lineRule="auto"/>
        <w:ind w:left="0" w:right="0" w:firstLine="0"/>
        <w:jc w:val="left"/>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2</w:t>
      </w:r>
      <w:bookmarkEnd w:id="832"/>
      <w:r>
        <w:rPr>
          <w:rFonts w:ascii="Times New Roman" w:eastAsia="Times New Roman" w:hAnsi="Times New Roman" w:cs="Times New Roman"/>
          <w:color w:val="000000"/>
          <w:spacing w:val="0"/>
          <w:w w:val="100"/>
          <w:position w:val="0"/>
        </w:rPr>
        <w:t>5</w:t>
      </w:r>
      <w:r>
        <w:rPr>
          <w:color w:val="000000"/>
          <w:spacing w:val="0"/>
          <w:w w:val="100"/>
          <w:position w:val="0"/>
        </w:rPr>
        <w:t>、</w:t>
        <w:tab/>
        <w:t>长期资产减值</w:t>
      </w:r>
      <w:bookmarkEnd w:id="830"/>
      <w:bookmarkEnd w:id="831"/>
      <w:bookmarkEnd w:id="833"/>
    </w:p>
    <w:p>
      <w:pPr>
        <w:pStyle w:val="Style1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对于固定资产、在建工程、使用寿命有限的无形资产、以成本模式计量的使用权资产、投资性房地产及对子公司、合营 企业、联营企业的长期股权投资等非流动非金融资产，本公司于资产负债表日判断是否存在减值迹象。如存在减值迹象的， 则估计其可收回金额，进行减值测试。商誉、使用寿命不确定的无形资产和尚未达到可使用状态的无形资产，无论是否存在 减值迹象，每年均进行减值测试。</w:t>
      </w:r>
    </w:p>
    <w:p>
      <w:pPr>
        <w:pStyle w:val="Style1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金流入的最小资产组合。</w:t>
      </w:r>
    </w:p>
    <w:p>
      <w:pPr>
        <w:pStyle w:val="Style1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在财务报表中单独列示的商誉，在进行减值测试时，将商誉的账面价值分摊至预期从企业合并的协同效应中受益的资产 组或资产组组合。测试结果表明包含分摊的商誉的资产组或资产组组合的可收回金额低于其账面价值的，确认相应的减值损 失。减值损失金额先抵减分摊至该资产组或资产组组合的商誉的账面价值，再根据资产组或资产组组合中除商誉以外的其他 各项资产的账面价值所占比重，按比例抵减其他各项资产的账面价值。</w:t>
      </w:r>
    </w:p>
    <w:p>
      <w:pPr>
        <w:pStyle w:val="Style18"/>
        <w:keepNext w:val="0"/>
        <w:keepLines w:val="0"/>
        <w:widowControl w:val="0"/>
        <w:shd w:val="clear" w:color="auto" w:fill="auto"/>
        <w:bidi w:val="0"/>
        <w:spacing w:before="0" w:after="400" w:line="311" w:lineRule="exact"/>
        <w:ind w:left="0" w:right="0" w:firstLine="0"/>
        <w:jc w:val="left"/>
      </w:pPr>
      <w:r>
        <w:rPr>
          <w:color w:val="000000"/>
          <w:spacing w:val="0"/>
          <w:w w:val="100"/>
          <w:position w:val="0"/>
        </w:rPr>
        <w:t>上述资产减值损失一经确认，以后期间不予转回价值得以恢复的部分。</w:t>
      </w:r>
    </w:p>
    <w:p>
      <w:pPr>
        <w:pStyle w:val="Style32"/>
        <w:keepNext/>
        <w:keepLines/>
        <w:widowControl w:val="0"/>
        <w:shd w:val="clear" w:color="auto" w:fill="auto"/>
        <w:tabs>
          <w:tab w:pos="457" w:val="left"/>
        </w:tabs>
        <w:bidi w:val="0"/>
        <w:spacing w:before="0" w:after="260" w:line="240" w:lineRule="auto"/>
        <w:ind w:left="0" w:right="0" w:firstLine="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2</w:t>
      </w:r>
      <w:bookmarkEnd w:id="836"/>
      <w:r>
        <w:rPr>
          <w:rFonts w:ascii="Times New Roman" w:eastAsia="Times New Roman" w:hAnsi="Times New Roman" w:cs="Times New Roman"/>
          <w:color w:val="000000"/>
          <w:spacing w:val="0"/>
          <w:w w:val="100"/>
          <w:position w:val="0"/>
        </w:rPr>
        <w:t>6</w:t>
      </w:r>
      <w:r>
        <w:rPr>
          <w:color w:val="000000"/>
          <w:spacing w:val="0"/>
          <w:w w:val="100"/>
          <w:position w:val="0"/>
        </w:rPr>
        <w:t>、</w:t>
        <w:tab/>
        <w:t>长期待摊费用</w:t>
      </w:r>
      <w:bookmarkEnd w:id="834"/>
      <w:bookmarkEnd w:id="835"/>
      <w:bookmarkEnd w:id="837"/>
    </w:p>
    <w:p>
      <w:pPr>
        <w:pStyle w:val="Style18"/>
        <w:keepNext w:val="0"/>
        <w:keepLines w:val="0"/>
        <w:widowControl w:val="0"/>
        <w:shd w:val="clear" w:color="auto" w:fill="auto"/>
        <w:bidi w:val="0"/>
        <w:spacing w:before="0" w:after="400" w:line="307" w:lineRule="exact"/>
        <w:ind w:left="0" w:right="0" w:firstLine="380"/>
        <w:jc w:val="both"/>
      </w:pPr>
      <w:r>
        <w:rPr>
          <w:color w:val="000000"/>
          <w:spacing w:val="0"/>
          <w:w w:val="100"/>
          <w:position w:val="0"/>
        </w:rPr>
        <w:t>长期待摊费用为已经发生但应由报告期和以后各期负担的分摊期限在一年以上的各项费用。长期待摊费用在预计受益期 间按直线法摊销。</w:t>
      </w:r>
    </w:p>
    <w:p>
      <w:pPr>
        <w:pStyle w:val="Style32"/>
        <w:keepNext/>
        <w:keepLines/>
        <w:widowControl w:val="0"/>
        <w:shd w:val="clear" w:color="auto" w:fill="auto"/>
        <w:tabs>
          <w:tab w:pos="457" w:val="left"/>
        </w:tabs>
        <w:bidi w:val="0"/>
        <w:spacing w:before="0" w:after="260" w:line="240" w:lineRule="auto"/>
        <w:ind w:left="0" w:right="0" w:firstLine="0"/>
        <w:jc w:val="left"/>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2</w:t>
      </w:r>
      <w:bookmarkEnd w:id="840"/>
      <w:r>
        <w:rPr>
          <w:rFonts w:ascii="Times New Roman" w:eastAsia="Times New Roman" w:hAnsi="Times New Roman" w:cs="Times New Roman"/>
          <w:color w:val="000000"/>
          <w:spacing w:val="0"/>
          <w:w w:val="100"/>
          <w:position w:val="0"/>
        </w:rPr>
        <w:t>7</w:t>
      </w:r>
      <w:r>
        <w:rPr>
          <w:color w:val="000000"/>
          <w:spacing w:val="0"/>
          <w:w w:val="100"/>
          <w:position w:val="0"/>
        </w:rPr>
        <w:t>、</w:t>
        <w:tab/>
        <w:t>合同负债</w:t>
      </w:r>
      <w:bookmarkEnd w:id="838"/>
      <w:bookmarkEnd w:id="839"/>
      <w:bookmarkEnd w:id="841"/>
    </w:p>
    <w:p>
      <w:pPr>
        <w:pStyle w:val="Style18"/>
        <w:keepNext w:val="0"/>
        <w:keepLines w:val="0"/>
        <w:widowControl w:val="0"/>
        <w:shd w:val="clear" w:color="auto" w:fill="auto"/>
        <w:bidi w:val="0"/>
        <w:spacing w:before="0" w:after="400" w:line="314" w:lineRule="exact"/>
        <w:ind w:left="0" w:right="0" w:firstLine="300"/>
        <w:jc w:val="both"/>
      </w:pPr>
      <w:r>
        <w:rPr>
          <w:color w:val="000000"/>
          <w:spacing w:val="0"/>
          <w:w w:val="100"/>
          <w:position w:val="0"/>
        </w:rPr>
        <w:t>合同负债反映本公司已收或应收客户对价而应向客户转让商品的义务。本公司在向客户转让商品之前，客户已经支付了 合同对价或本公司已经取得了无条件收取合同对价权利的，在客户实际支付款项与到期应支付款项孰早时点，按照已收或应 收的金额确认合同负债。</w:t>
      </w:r>
    </w:p>
    <w:p>
      <w:pPr>
        <w:pStyle w:val="Style32"/>
        <w:keepNext/>
        <w:keepLines/>
        <w:widowControl w:val="0"/>
        <w:shd w:val="clear" w:color="auto" w:fill="auto"/>
        <w:tabs>
          <w:tab w:pos="457" w:val="left"/>
        </w:tabs>
        <w:bidi w:val="0"/>
        <w:spacing w:before="0" w:after="400" w:line="240" w:lineRule="auto"/>
        <w:ind w:left="0" w:right="0" w:firstLine="0"/>
        <w:jc w:val="left"/>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2</w:t>
      </w:r>
      <w:bookmarkEnd w:id="844"/>
      <w:r>
        <w:rPr>
          <w:rFonts w:ascii="Times New Roman" w:eastAsia="Times New Roman" w:hAnsi="Times New Roman" w:cs="Times New Roman"/>
          <w:color w:val="000000"/>
          <w:spacing w:val="0"/>
          <w:w w:val="100"/>
          <w:position w:val="0"/>
        </w:rPr>
        <w:t>8</w:t>
      </w:r>
      <w:r>
        <w:rPr>
          <w:color w:val="000000"/>
          <w:spacing w:val="0"/>
          <w:w w:val="100"/>
          <w:position w:val="0"/>
        </w:rPr>
        <w:t>、</w:t>
        <w:tab/>
        <w:t>职工薪酬</w:t>
      </w:r>
      <w:bookmarkEnd w:id="842"/>
      <w:bookmarkEnd w:id="843"/>
      <w:bookmarkEnd w:id="845"/>
    </w:p>
    <w:p>
      <w:pPr>
        <w:pStyle w:val="Style36"/>
        <w:keepNext/>
        <w:keepLines/>
        <w:widowControl w:val="0"/>
        <w:shd w:val="clear" w:color="auto" w:fill="auto"/>
        <w:bidi w:val="0"/>
        <w:spacing w:before="0" w:after="260" w:line="240" w:lineRule="auto"/>
        <w:ind w:left="0" w:right="0" w:firstLine="0"/>
        <w:jc w:val="left"/>
      </w:pPr>
      <w:bookmarkStart w:id="846" w:name="bookmark846"/>
      <w:bookmarkStart w:id="847" w:name="bookmark847"/>
      <w:bookmarkStart w:id="848" w:name="bookmark848"/>
      <w:bookmarkStart w:id="849" w:name="bookmark849"/>
      <w:r>
        <w:rPr>
          <w:color w:val="000000"/>
          <w:spacing w:val="0"/>
          <w:w w:val="100"/>
          <w:position w:val="0"/>
        </w:rPr>
        <w:t>（</w:t>
      </w:r>
      <w:bookmarkEnd w:id="848"/>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846"/>
      <w:bookmarkEnd w:id="847"/>
      <w:bookmarkEnd w:id="849"/>
    </w:p>
    <w:p>
      <w:pPr>
        <w:pStyle w:val="Style18"/>
        <w:keepNext w:val="0"/>
        <w:keepLines w:val="0"/>
        <w:widowControl w:val="0"/>
        <w:shd w:val="clear" w:color="auto" w:fill="auto"/>
        <w:bidi w:val="0"/>
        <w:spacing w:before="0" w:after="380" w:line="307" w:lineRule="exact"/>
        <w:ind w:left="0" w:right="0" w:firstLine="300"/>
        <w:jc w:val="both"/>
      </w:pPr>
      <w:r>
        <w:rPr>
          <w:color w:val="000000"/>
          <w:spacing w:val="0"/>
          <w:w w:val="100"/>
          <w:position w:val="0"/>
        </w:rPr>
        <w:t xml:space="preserve">短期薪酬主要包括工资、奖金、津贴和补贴、职工福利费、医疗保险费、生育保险费、工伤保险费、住房公积金、工会 经费和职工教育经费、非货币性福利等。本公司在职工为本公司提供服务的会计期间将实际发生的短期职工薪酬确认为负债， </w:t>
      </w:r>
      <w:r>
        <w:rPr>
          <w:color w:val="000000"/>
          <w:spacing w:val="0"/>
          <w:w w:val="100"/>
          <w:position w:val="0"/>
        </w:rPr>
        <w:t>并计入当期损益或相关资产成本。其中非货币性福利按公允价值计量。</w:t>
      </w:r>
    </w:p>
    <w:p>
      <w:pPr>
        <w:pStyle w:val="Style36"/>
        <w:keepNext/>
        <w:keepLines/>
        <w:widowControl w:val="0"/>
        <w:shd w:val="clear" w:color="auto" w:fill="auto"/>
        <w:tabs>
          <w:tab w:pos="458" w:val="left"/>
        </w:tabs>
        <w:bidi w:val="0"/>
        <w:spacing w:before="0" w:after="280" w:line="240" w:lineRule="auto"/>
        <w:ind w:left="0" w:right="0" w:firstLine="0"/>
        <w:jc w:val="left"/>
      </w:pPr>
      <w:bookmarkStart w:id="850" w:name="bookmark850"/>
      <w:bookmarkStart w:id="851" w:name="bookmark851"/>
      <w:bookmarkStart w:id="852" w:name="bookmark852"/>
      <w:bookmarkStart w:id="853" w:name="bookmark853"/>
      <w:r>
        <w:rPr>
          <w:color w:val="000000"/>
          <w:spacing w:val="0"/>
          <w:w w:val="100"/>
          <w:position w:val="0"/>
        </w:rPr>
        <w:t>（</w:t>
      </w:r>
      <w:bookmarkEnd w:id="852"/>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50"/>
      <w:bookmarkEnd w:id="851"/>
      <w:bookmarkEnd w:id="853"/>
    </w:p>
    <w:p>
      <w:pPr>
        <w:pStyle w:val="Style18"/>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离职后福利主要包括基本养老保险、失业保险。离职后福利计划包括设定提存计划。采用设定提存计划的，相应的应缴 存金额于发生时计入相关资产成本或当期损益。</w:t>
      </w:r>
    </w:p>
    <w:p>
      <w:pPr>
        <w:pStyle w:val="Style36"/>
        <w:keepNext/>
        <w:keepLines/>
        <w:widowControl w:val="0"/>
        <w:shd w:val="clear" w:color="auto" w:fill="auto"/>
        <w:tabs>
          <w:tab w:pos="458" w:val="left"/>
        </w:tabs>
        <w:bidi w:val="0"/>
        <w:spacing w:before="0" w:after="280" w:line="240" w:lineRule="auto"/>
        <w:ind w:left="0" w:right="0" w:firstLine="0"/>
        <w:jc w:val="left"/>
      </w:pPr>
      <w:bookmarkStart w:id="854" w:name="bookmark854"/>
      <w:bookmarkStart w:id="855" w:name="bookmark855"/>
      <w:bookmarkStart w:id="856" w:name="bookmark856"/>
      <w:bookmarkStart w:id="857" w:name="bookmark857"/>
      <w:r>
        <w:rPr>
          <w:color w:val="000000"/>
          <w:spacing w:val="0"/>
          <w:w w:val="100"/>
          <w:position w:val="0"/>
        </w:rPr>
        <w:t>（</w:t>
      </w:r>
      <w:bookmarkEnd w:id="856"/>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54"/>
      <w:bookmarkEnd w:id="855"/>
      <w:bookmarkEnd w:id="857"/>
    </w:p>
    <w:p>
      <w:pPr>
        <w:pStyle w:val="Style18"/>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在职工劳动合同到期之前解除与职工的劳动关系，或为鼓励职工自愿接受裁减而提出给予补偿的建议，在本公司不能单 方面撤回因解除劳动关系计划或裁减建议所提供的辞退福利时，和本公司确认与涉及支付辞退福利的重组相关的成本两者孰 早日，确认辞退福利产生的职工薪酬负债，并计入当期损益。但辞退福利预期在年度报告期结束后十二个月不能完全支付的， 按照其他长期职工薪酬处理。</w:t>
      </w:r>
    </w:p>
    <w:p>
      <w:pPr>
        <w:pStyle w:val="Style1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职工内部退休计划采用与上述辞退福利相同的原则处理。本公司将自职工停止提供服务日至正常退休日的期间拟支付的 内退人员工资和缴纳的社会保险费等，在符合预计负债确认条件时，计入当期损益（辞退福利）。</w:t>
      </w:r>
    </w:p>
    <w:p>
      <w:pPr>
        <w:pStyle w:val="Style36"/>
        <w:keepNext/>
        <w:keepLines/>
        <w:widowControl w:val="0"/>
        <w:shd w:val="clear" w:color="auto" w:fill="auto"/>
        <w:tabs>
          <w:tab w:pos="458" w:val="left"/>
        </w:tabs>
        <w:bidi w:val="0"/>
        <w:spacing w:before="0" w:after="280" w:line="240" w:lineRule="auto"/>
        <w:ind w:left="0" w:right="0" w:firstLine="0"/>
        <w:jc w:val="left"/>
      </w:pPr>
      <w:bookmarkStart w:id="858" w:name="bookmark858"/>
      <w:bookmarkStart w:id="859" w:name="bookmark859"/>
      <w:bookmarkStart w:id="860" w:name="bookmark860"/>
      <w:bookmarkStart w:id="861" w:name="bookmark861"/>
      <w:r>
        <w:rPr>
          <w:color w:val="000000"/>
          <w:spacing w:val="0"/>
          <w:w w:val="100"/>
          <w:position w:val="0"/>
        </w:rPr>
        <w:t>（</w:t>
      </w:r>
      <w:bookmarkEnd w:id="860"/>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858"/>
      <w:bookmarkEnd w:id="859"/>
      <w:bookmarkEnd w:id="861"/>
    </w:p>
    <w:p>
      <w:pPr>
        <w:pStyle w:val="Style18"/>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本公司向职工提供的其他长期职工福利，符合设定提存计划的，按照设定提存计划进行会计处理，除此之外按照设定受 益计划进行会计处理。</w:t>
      </w:r>
    </w:p>
    <w:p>
      <w:pPr>
        <w:pStyle w:val="Style32"/>
        <w:keepNext/>
        <w:keepLines/>
        <w:widowControl w:val="0"/>
        <w:shd w:val="clear" w:color="auto" w:fill="auto"/>
        <w:bidi w:val="0"/>
        <w:spacing w:before="0" w:after="280" w:line="240" w:lineRule="auto"/>
        <w:ind w:left="0" w:right="0" w:firstLine="0"/>
        <w:jc w:val="left"/>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2</w:t>
      </w:r>
      <w:bookmarkEnd w:id="864"/>
      <w:r>
        <w:rPr>
          <w:rFonts w:ascii="Times New Roman" w:eastAsia="Times New Roman" w:hAnsi="Times New Roman" w:cs="Times New Roman"/>
          <w:color w:val="000000"/>
          <w:spacing w:val="0"/>
          <w:w w:val="100"/>
          <w:position w:val="0"/>
        </w:rPr>
        <w:t>9</w:t>
      </w:r>
      <w:r>
        <w:rPr>
          <w:color w:val="000000"/>
          <w:spacing w:val="0"/>
          <w:w w:val="100"/>
          <w:position w:val="0"/>
        </w:rPr>
        <w:t>、租赁负债</w:t>
      </w:r>
      <w:bookmarkEnd w:id="862"/>
      <w:bookmarkEnd w:id="863"/>
      <w:bookmarkEnd w:id="865"/>
    </w:p>
    <w:p>
      <w:pPr>
        <w:pStyle w:val="Style18"/>
        <w:keepNext w:val="0"/>
        <w:keepLines w:val="0"/>
        <w:widowControl w:val="0"/>
        <w:shd w:val="clear" w:color="auto" w:fill="auto"/>
        <w:tabs>
          <w:tab w:pos="790" w:val="left"/>
        </w:tabs>
        <w:bidi w:val="0"/>
        <w:spacing w:before="0" w:after="0" w:line="312" w:lineRule="exact"/>
        <w:ind w:left="0" w:right="0" w:firstLine="380"/>
        <w:jc w:val="left"/>
      </w:pPr>
      <w:bookmarkStart w:id="866" w:name="bookmark866"/>
      <w:r>
        <w:rPr>
          <w:color w:val="000000"/>
          <w:spacing w:val="0"/>
          <w:w w:val="100"/>
          <w:position w:val="0"/>
        </w:rPr>
        <w:t>（</w:t>
      </w:r>
      <w:bookmarkEnd w:id="86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初始计量</w:t>
      </w:r>
    </w:p>
    <w:p>
      <w:pPr>
        <w:pStyle w:val="Style18"/>
        <w:keepNext w:val="0"/>
        <w:keepLines w:val="0"/>
        <w:widowControl w:val="0"/>
        <w:shd w:val="clear" w:color="auto" w:fill="auto"/>
        <w:bidi w:val="0"/>
        <w:spacing w:before="0" w:after="120" w:line="312" w:lineRule="exact"/>
        <w:ind w:left="0" w:right="0" w:firstLine="380"/>
        <w:jc w:val="left"/>
      </w:pPr>
      <w:r>
        <w:rPr>
          <w:color w:val="000000"/>
          <w:spacing w:val="0"/>
          <w:w w:val="100"/>
          <w:position w:val="0"/>
        </w:rPr>
        <w:t>本公司按照租赁期开始日尚未支付的租赁付款额的现值对租赁负债进行初始计量。</w:t>
      </w:r>
    </w:p>
    <w:p>
      <w:pPr>
        <w:pStyle w:val="Style18"/>
        <w:keepNext w:val="0"/>
        <w:keepLines w:val="0"/>
        <w:widowControl w:val="0"/>
        <w:shd w:val="clear" w:color="auto" w:fill="auto"/>
        <w:tabs>
          <w:tab w:pos="712" w:val="left"/>
        </w:tabs>
        <w:bidi w:val="0"/>
        <w:spacing w:before="0" w:after="0" w:line="360" w:lineRule="auto"/>
        <w:ind w:left="0" w:right="0" w:firstLine="380"/>
        <w:jc w:val="both"/>
      </w:pPr>
      <w:bookmarkStart w:id="867" w:name="bookmark867"/>
      <w:r>
        <w:rPr>
          <w:rFonts w:ascii="Times New Roman" w:eastAsia="Times New Roman" w:hAnsi="Times New Roman" w:cs="Times New Roman"/>
          <w:color w:val="000000"/>
          <w:spacing w:val="0"/>
          <w:w w:val="100"/>
          <w:position w:val="0"/>
          <w:sz w:val="18"/>
          <w:szCs w:val="18"/>
        </w:rPr>
        <w:t>1</w:t>
      </w:r>
      <w:bookmarkEnd w:id="867"/>
      <w:r>
        <w:rPr>
          <w:color w:val="000000"/>
          <w:spacing w:val="0"/>
          <w:w w:val="100"/>
          <w:position w:val="0"/>
        </w:rPr>
        <w:t>）</w:t>
        <w:tab/>
        <w:t>租赁付款额</w:t>
      </w:r>
    </w:p>
    <w:p>
      <w:pPr>
        <w:pStyle w:val="Style18"/>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租赁付款额，是指本公司向出租人支付的与在租赁期内使用租赁资产的权利相关的款项，包括：①固定付款额及实质固 定付款额，存在租赁激励的，扣除租赁激励相关金额；②取决于指数或比率的可变租赁付款额，该款额在初始计量时根据租 赁期开始日的指数或比率确定；③本公司合理确定将行使购买选择权时，购买选择权的行权价格；④租赁期反映出本公司将 行使终止租赁选择权时，行使终止租赁选择权需支付的款项；⑤根据本公司提供的担保余值预计应支付的款项。</w:t>
      </w:r>
    </w:p>
    <w:p>
      <w:pPr>
        <w:pStyle w:val="Style18"/>
        <w:keepNext w:val="0"/>
        <w:keepLines w:val="0"/>
        <w:widowControl w:val="0"/>
        <w:shd w:val="clear" w:color="auto" w:fill="auto"/>
        <w:tabs>
          <w:tab w:pos="714" w:val="left"/>
        </w:tabs>
        <w:bidi w:val="0"/>
        <w:spacing w:before="0" w:after="0" w:line="360" w:lineRule="auto"/>
        <w:ind w:left="0" w:right="0" w:firstLine="380"/>
        <w:jc w:val="both"/>
      </w:pPr>
      <w:bookmarkStart w:id="868" w:name="bookmark868"/>
      <w:r>
        <w:rPr>
          <w:rFonts w:ascii="Times New Roman" w:eastAsia="Times New Roman" w:hAnsi="Times New Roman" w:cs="Times New Roman"/>
          <w:color w:val="000000"/>
          <w:spacing w:val="0"/>
          <w:w w:val="100"/>
          <w:position w:val="0"/>
          <w:sz w:val="18"/>
          <w:szCs w:val="18"/>
        </w:rPr>
        <w:t>2</w:t>
      </w:r>
      <w:bookmarkEnd w:id="868"/>
      <w:r>
        <w:rPr>
          <w:color w:val="000000"/>
          <w:spacing w:val="0"/>
          <w:w w:val="100"/>
          <w:position w:val="0"/>
        </w:rPr>
        <w:t>）</w:t>
        <w:tab/>
        <w:t>折现率</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在计算租赁付款额的现值时，本公司采用租赁内含利率作为折现率，该利率是指使出租人的租赁收款额的现值与未担保 余值的现值之和等于租赁资产公允价值与出租人的初始直接费用之和的利率。本公司因无法确定租赁内含利率的，采用增量 借款利率作为折现率。该增量借款利率，是指本公司在类似经济环境下为获得与使用权资产价值接近的资产，在类似期间以 类似抵押条件借入资金须支付的利率。该利率与下列事项相关：①本公司自身情况，即公司的偿债能力和信用状况；②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借 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的期限，即租赁期；③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借入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资金的金额，即租赁负债的金额；④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抵押条件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，即标的资产的性质和质量；⑤经济环境， 包括承租人所处的司法管辖区、计价货币、合同签订时间等。本集团以银行贷款利率为基础，考虑上述因素进行调整而得出 该增量借款利率。</w:t>
      </w:r>
    </w:p>
    <w:p>
      <w:pPr>
        <w:pStyle w:val="Style18"/>
        <w:keepNext w:val="0"/>
        <w:keepLines w:val="0"/>
        <w:widowControl w:val="0"/>
        <w:shd w:val="clear" w:color="auto" w:fill="auto"/>
        <w:tabs>
          <w:tab w:pos="790" w:val="left"/>
        </w:tabs>
        <w:bidi w:val="0"/>
        <w:spacing w:before="0" w:after="0" w:line="312" w:lineRule="exact"/>
        <w:ind w:left="0" w:right="0" w:firstLine="380"/>
        <w:jc w:val="both"/>
      </w:pPr>
      <w:bookmarkStart w:id="869" w:name="bookmark869"/>
      <w:r>
        <w:rPr>
          <w:color w:val="000000"/>
          <w:spacing w:val="0"/>
          <w:w w:val="100"/>
          <w:position w:val="0"/>
        </w:rPr>
        <w:t>（</w:t>
      </w:r>
      <w:bookmarkEnd w:id="86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后续计量</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在租赁期开始日后，本公司按以下原则对租赁负债进行后续计量：①确认租赁负债的利息时，增加租赁负债的账面金额; ②支付租赁付款额时，减少租赁负债的账面金额；③因重估或租赁变更等原因导致租赁付款额发生变动时，重新计量租赁负 债的账面价值。</w:t>
      </w:r>
    </w:p>
    <w:p>
      <w:pPr>
        <w:pStyle w:val="Style18"/>
        <w:keepNext w:val="0"/>
        <w:keepLines w:val="0"/>
        <w:widowControl w:val="0"/>
        <w:shd w:val="clear" w:color="auto" w:fill="auto"/>
        <w:bidi w:val="0"/>
        <w:spacing w:before="0" w:after="280" w:line="312" w:lineRule="exact"/>
        <w:ind w:left="0" w:right="0" w:firstLine="380"/>
        <w:jc w:val="both"/>
      </w:pPr>
      <w:r>
        <w:rPr>
          <w:color w:val="000000"/>
          <w:spacing w:val="0"/>
          <w:w w:val="100"/>
          <w:position w:val="0"/>
        </w:rPr>
        <w:t>本公司按照固定的周期性利率计算租赁负债在租赁期内各期间的利息费用，并计入当期损益，但应当资本化的除外。周 期性利率是指本公司对租赁负债进行初始计量时所采用的折现率，或者因租赁付款额发生变动或因租赁变更而需按照修订后 的折现率对租赁负债进行重新计量时，本公司所采用的修订后的折现率。</w:t>
      </w:r>
    </w:p>
    <w:p>
      <w:pPr>
        <w:pStyle w:val="Style18"/>
        <w:keepNext w:val="0"/>
        <w:keepLines w:val="0"/>
        <w:widowControl w:val="0"/>
        <w:shd w:val="clear" w:color="auto" w:fill="auto"/>
        <w:bidi w:val="0"/>
        <w:spacing w:before="0" w:after="0" w:line="312" w:lineRule="exact"/>
        <w:ind w:left="0" w:right="0" w:firstLine="380"/>
        <w:jc w:val="both"/>
      </w:pPr>
      <w:bookmarkStart w:id="870" w:name="bookmark870"/>
      <w:r>
        <w:rPr>
          <w:color w:val="000000"/>
          <w:spacing w:val="0"/>
          <w:w w:val="100"/>
          <w:position w:val="0"/>
        </w:rPr>
        <w:t>（</w:t>
      </w:r>
      <w:bookmarkEnd w:id="870"/>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）重新计量</w:t>
      </w:r>
    </w:p>
    <w:p>
      <w:pPr>
        <w:pStyle w:val="Style18"/>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在租赁期开始日后，发生下列情形时，本公司按照变动后租赁付款额的现值重新计量租赁负债，并相应调整使用权资产 的账面价值。使用权资产的账面价值已调减至零，但租赁负债仍需进一步调减的，本公司将剩余金额计入当期损益。①实质 固定付款额发生变动（该情形下，采用原折现率折现）；②保余值预计的应付金额发生变动（该情形下，采用原折现率折现）； ③用于确定租赁付款额的指数或比率发生变动（该情形下，采用修订后的折现率折现）；④购买选择权的评估结果发生变化 （该情形下，采用修订后的折现率折现）；⑤续租选择权或终止租赁选择权的评估结果或实际行使情况发生变化（该情形下， 采用修订后的折现率折现）。</w:t>
      </w:r>
    </w:p>
    <w:p>
      <w:pPr>
        <w:pStyle w:val="Style32"/>
        <w:keepNext/>
        <w:keepLines/>
        <w:widowControl w:val="0"/>
        <w:shd w:val="clear" w:color="auto" w:fill="auto"/>
        <w:tabs>
          <w:tab w:pos="454" w:val="left"/>
        </w:tabs>
        <w:bidi w:val="0"/>
        <w:spacing w:before="0" w:after="280" w:line="240" w:lineRule="auto"/>
        <w:ind w:left="0" w:right="0" w:firstLine="0"/>
        <w:jc w:val="left"/>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3</w:t>
      </w:r>
      <w:bookmarkEnd w:id="873"/>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871"/>
      <w:bookmarkEnd w:id="872"/>
      <w:bookmarkEnd w:id="874"/>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当与或有事项相关的义务同时符合以下条件，确认为预计负债：（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）该义务是本公司承担的现时义务；（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）履行该义 务很可能导致经济利益流出；（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）该义务的金额能够可靠地计量。</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在资产负债表日，考虑与或有事项有关的风险、不确定性和货币时间价值等因素，按照履行相关现时义务所需支出的最 佳估计数对预计负债进行计量。</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如果清偿预计负债所需支出全部或部分预期由第三方补偿的，补偿金额在基本确定能够收到时，作为资产单独确认，且 确认的补偿金额不超过预计负债的账面价值。</w:t>
      </w:r>
    </w:p>
    <w:p>
      <w:pPr>
        <w:pStyle w:val="Style18"/>
        <w:keepNext w:val="0"/>
        <w:keepLines w:val="0"/>
        <w:widowControl w:val="0"/>
        <w:shd w:val="clear" w:color="auto" w:fill="auto"/>
        <w:tabs>
          <w:tab w:pos="795" w:val="left"/>
        </w:tabs>
        <w:bidi w:val="0"/>
        <w:spacing w:before="0" w:after="0" w:line="312" w:lineRule="exact"/>
        <w:ind w:left="0" w:right="0" w:firstLine="380"/>
        <w:jc w:val="both"/>
      </w:pPr>
      <w:bookmarkStart w:id="875" w:name="bookmark875"/>
      <w:r>
        <w:rPr>
          <w:color w:val="000000"/>
          <w:spacing w:val="0"/>
          <w:w w:val="100"/>
          <w:position w:val="0"/>
        </w:rPr>
        <w:t>（</w:t>
      </w:r>
      <w:bookmarkEnd w:id="87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亏损合同</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亏损合同是履行合同义务不可避免会发生的成本超过预期经济利益的合同。待执行合同变成亏损合同，且该亏损合同产 生的义务满足上述预计负债的确认条件的，将合同预计损失超过合同标的资产已确认的减值损失（如有）的部分，确认为预 计负债。</w:t>
      </w:r>
    </w:p>
    <w:p>
      <w:pPr>
        <w:pStyle w:val="Style18"/>
        <w:keepNext w:val="0"/>
        <w:keepLines w:val="0"/>
        <w:widowControl w:val="0"/>
        <w:shd w:val="clear" w:color="auto" w:fill="auto"/>
        <w:tabs>
          <w:tab w:pos="795" w:val="left"/>
        </w:tabs>
        <w:bidi w:val="0"/>
        <w:spacing w:before="0" w:after="0" w:line="312" w:lineRule="exact"/>
        <w:ind w:left="0" w:right="0" w:firstLine="380"/>
        <w:jc w:val="both"/>
      </w:pPr>
      <w:bookmarkStart w:id="876" w:name="bookmark876"/>
      <w:r>
        <w:rPr>
          <w:color w:val="000000"/>
          <w:spacing w:val="0"/>
          <w:w w:val="100"/>
          <w:position w:val="0"/>
        </w:rPr>
        <w:t>（</w:t>
      </w:r>
      <w:bookmarkEnd w:id="87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重组义务</w:t>
      </w:r>
    </w:p>
    <w:p>
      <w:pPr>
        <w:pStyle w:val="Style18"/>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对于有详细、正式并且已经对外公告的重组计划，在满足前述预计负债的确认条件的情况下，按照与重组有关的直接支 出确定预计负债金额。</w:t>
      </w:r>
    </w:p>
    <w:p>
      <w:pPr>
        <w:pStyle w:val="Style32"/>
        <w:keepNext/>
        <w:keepLines/>
        <w:widowControl w:val="0"/>
        <w:shd w:val="clear" w:color="auto" w:fill="auto"/>
        <w:tabs>
          <w:tab w:pos="454" w:val="left"/>
        </w:tabs>
        <w:bidi w:val="0"/>
        <w:spacing w:before="0" w:after="280" w:line="240" w:lineRule="auto"/>
        <w:ind w:left="0" w:right="0" w:firstLine="0"/>
        <w:jc w:val="left"/>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3</w:t>
      </w:r>
      <w:bookmarkEnd w:id="879"/>
      <w:r>
        <w:rPr>
          <w:rFonts w:ascii="Times New Roman" w:eastAsia="Times New Roman" w:hAnsi="Times New Roman" w:cs="Times New Roman"/>
          <w:color w:val="000000"/>
          <w:spacing w:val="0"/>
          <w:w w:val="100"/>
          <w:position w:val="0"/>
        </w:rPr>
        <w:t>1</w:t>
      </w:r>
      <w:r>
        <w:rPr>
          <w:color w:val="000000"/>
          <w:spacing w:val="0"/>
          <w:w w:val="100"/>
          <w:position w:val="0"/>
        </w:rPr>
        <w:t>、</w:t>
        <w:tab/>
        <w:t>股份支付</w:t>
      </w:r>
      <w:bookmarkEnd w:id="877"/>
      <w:bookmarkEnd w:id="878"/>
      <w:bookmarkEnd w:id="880"/>
    </w:p>
    <w:p>
      <w:pPr>
        <w:pStyle w:val="Style18"/>
        <w:keepNext w:val="0"/>
        <w:keepLines w:val="0"/>
        <w:widowControl w:val="0"/>
        <w:shd w:val="clear" w:color="auto" w:fill="auto"/>
        <w:tabs>
          <w:tab w:pos="795" w:val="left"/>
        </w:tabs>
        <w:bidi w:val="0"/>
        <w:spacing w:before="0" w:after="0" w:line="312" w:lineRule="exact"/>
        <w:ind w:left="0" w:right="0" w:firstLine="380"/>
        <w:jc w:val="both"/>
      </w:pPr>
      <w:bookmarkStart w:id="881" w:name="bookmark881"/>
      <w:r>
        <w:rPr>
          <w:color w:val="000000"/>
          <w:spacing w:val="0"/>
          <w:w w:val="100"/>
          <w:position w:val="0"/>
        </w:rPr>
        <w:t>（</w:t>
      </w:r>
      <w:bookmarkEnd w:id="88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股份支付的会计处理方法</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股份支付是为了获取职工或其他方提供服务而授予权益工具或者承担以权益工具为基础确定的负债的交易。股份支付分 为以权益结算的股份支付和以现金结算的股份支付。</w:t>
      </w:r>
    </w:p>
    <w:p>
      <w:pPr>
        <w:pStyle w:val="Style18"/>
        <w:keepNext w:val="0"/>
        <w:keepLines w:val="0"/>
        <w:widowControl w:val="0"/>
        <w:numPr>
          <w:ilvl w:val="0"/>
          <w:numId w:val="15"/>
        </w:numPr>
        <w:shd w:val="clear" w:color="auto" w:fill="auto"/>
        <w:tabs>
          <w:tab w:pos="723" w:val="left"/>
        </w:tabs>
        <w:bidi w:val="0"/>
        <w:spacing w:before="0" w:after="0" w:line="312" w:lineRule="exact"/>
        <w:ind w:left="0" w:right="0" w:firstLine="380"/>
        <w:jc w:val="both"/>
      </w:pPr>
      <w:bookmarkStart w:id="882" w:name="bookmark882"/>
      <w:bookmarkEnd w:id="882"/>
      <w:r>
        <w:rPr>
          <w:color w:val="000000"/>
          <w:spacing w:val="0"/>
          <w:w w:val="100"/>
          <w:position w:val="0"/>
        </w:rPr>
        <w:t>以权益结算的股份支付</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用以换取职工提供的服务的权益结算的股份支付，以授予职工权益工具在授予日的公允价值计量。该公允价值的金额在 完成等待期内的服务或达到规定业绩条件才可行权的情况下，在等待期内以对可行权权益工具数量的最佳估计为基础，按直 线法计算计入相关成本或费用，相应增加资本公积。</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在等待期内每个资产负债表日，本公司根据最新取得的可行权职工人数变动等后续信息做出最佳估计，修正预计可行权 的权益工具数量。上述估计的影响计入当期相关成本或费用，并相应调整资本公积。</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用以换取其他方服务的权益结算的股份支付，如果其他方服务的公允价值能够可靠计量，按照其他方服务在取得日的公 允价值计量，如果其他方服务的公允价值不能可靠计量，但权益工具的公允价值能够可靠计量的，按照权益工具在服务取得 日的公允价值计量，计入相关成本或费用，相应增加股东权益。</w:t>
      </w:r>
    </w:p>
    <w:p>
      <w:pPr>
        <w:pStyle w:val="Style18"/>
        <w:keepNext w:val="0"/>
        <w:keepLines w:val="0"/>
        <w:widowControl w:val="0"/>
        <w:numPr>
          <w:ilvl w:val="0"/>
          <w:numId w:val="15"/>
        </w:numPr>
        <w:shd w:val="clear" w:color="auto" w:fill="auto"/>
        <w:tabs>
          <w:tab w:pos="723" w:val="left"/>
        </w:tabs>
        <w:bidi w:val="0"/>
        <w:spacing w:before="0" w:after="0" w:line="312" w:lineRule="exact"/>
        <w:ind w:left="0" w:right="0" w:firstLine="380"/>
        <w:jc w:val="both"/>
      </w:pPr>
      <w:bookmarkStart w:id="883" w:name="bookmark883"/>
      <w:bookmarkEnd w:id="883"/>
      <w:r>
        <w:rPr>
          <w:color w:val="000000"/>
          <w:spacing w:val="0"/>
          <w:w w:val="100"/>
          <w:position w:val="0"/>
        </w:rPr>
        <w:t>以现金结算的股份支付</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以现金结算的股份支付，按照本公司承担的以股份或其他权益工具为基础确定的负债的公允价值计量。如授予后立即可 行权，在授予日计入相关成本或费用，相应增加负债；如须完成等待期内的服务或达到规定业绩条件以后才可行权，在等待 期的每个资产负债表日，以对可行权情况的最佳估计为基础，按照本公司承担负债的公允价值金额，将当期取得的服务计入 成本或费用，相应增加负债。</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在相关负债结算前的每个资产负债表日以及结算日，对负债的公允价值重新计量，其变动计入当期损益。</w:t>
      </w:r>
    </w:p>
    <w:p>
      <w:pPr>
        <w:pStyle w:val="Style18"/>
        <w:keepNext w:val="0"/>
        <w:keepLines w:val="0"/>
        <w:widowControl w:val="0"/>
        <w:shd w:val="clear" w:color="auto" w:fill="auto"/>
        <w:tabs>
          <w:tab w:pos="795" w:val="left"/>
        </w:tabs>
        <w:bidi w:val="0"/>
        <w:spacing w:before="0" w:after="140" w:line="312" w:lineRule="exact"/>
        <w:ind w:left="0" w:right="0" w:firstLine="380"/>
        <w:jc w:val="both"/>
      </w:pPr>
      <w:bookmarkStart w:id="884" w:name="bookmark884"/>
      <w:r>
        <w:rPr>
          <w:color w:val="000000"/>
          <w:spacing w:val="0"/>
          <w:w w:val="100"/>
          <w:position w:val="0"/>
        </w:rPr>
        <w:t>（</w:t>
      </w:r>
      <w:bookmarkEnd w:id="88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修改、终止股份支付计划的相关会计处理</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本公司对股份支付计划进行修改时，若修改增加了所授予权益工具的公允价值，按照权益工具公允价值的增加相应确认 取得服务的增加。权益工具公允价值的增加是指修改前后的权益工具在修改日的公允价值之间的差额。若修改减少了股份支 付公允价值总额或采用了其他不利于职工的方式，则仍继续对取得的服务进行会计处理，视同该变更从未发生，除非本公司 取消了部分或全部已授予的权益工具。</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在等待期内，如果取消了授予的权益工具，本公司对取消所授予的权益性工具作为加速行权处理，将剩余等待期内应确 认的金额立即计入当期损益，同时确认资本公积。职工或其他方能够选择满足非可行权条件但在等待期内未满足的，本公司 将其作为授予权益工具的取消处理。</w:t>
      </w:r>
    </w:p>
    <w:p>
      <w:pPr>
        <w:pStyle w:val="Style18"/>
        <w:keepNext w:val="0"/>
        <w:keepLines w:val="0"/>
        <w:widowControl w:val="0"/>
        <w:shd w:val="clear" w:color="auto" w:fill="auto"/>
        <w:bidi w:val="0"/>
        <w:spacing w:before="0" w:after="0" w:line="314" w:lineRule="exact"/>
        <w:ind w:left="0" w:right="0" w:firstLine="380"/>
        <w:jc w:val="both"/>
      </w:pPr>
      <w:bookmarkStart w:id="885" w:name="bookmark885"/>
      <w:r>
        <w:rPr>
          <w:color w:val="000000"/>
          <w:spacing w:val="0"/>
          <w:w w:val="100"/>
          <w:position w:val="0"/>
        </w:rPr>
        <w:t>（</w:t>
      </w:r>
      <w:bookmarkEnd w:id="885"/>
      <w:r>
        <w:rPr>
          <w:rFonts w:ascii="Times New Roman" w:eastAsia="Times New Roman" w:hAnsi="Times New Roman" w:cs="Times New Roman"/>
          <w:color w:val="000000"/>
          <w:spacing w:val="0"/>
          <w:w w:val="100"/>
          <w:position w:val="0"/>
          <w:sz w:val="18"/>
          <w:szCs w:val="18"/>
        </w:rPr>
        <w:t>3</w:t>
      </w:r>
      <w:r>
        <w:rPr>
          <w:color w:val="000000"/>
          <w:spacing w:val="0"/>
          <w:w w:val="100"/>
          <w:position w:val="0"/>
        </w:rPr>
        <w:t>）涉及本公司与本公司股东或实际控制人的股份支付交易的会计处理</w:t>
      </w:r>
    </w:p>
    <w:p>
      <w:pPr>
        <w:pStyle w:val="Style1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涉及本公司与本公司股东或实际控制人的股份支付交易，结算企业与接受服务企业中其一在本公司内，另一在本公司外 的，在本公司合并财务报表中按照以下规定进行会计处理：</w:t>
      </w:r>
    </w:p>
    <w:p>
      <w:pPr>
        <w:pStyle w:val="Style18"/>
        <w:keepNext w:val="0"/>
        <w:keepLines w:val="0"/>
        <w:widowControl w:val="0"/>
        <w:numPr>
          <w:ilvl w:val="0"/>
          <w:numId w:val="17"/>
        </w:numPr>
        <w:shd w:val="clear" w:color="auto" w:fill="auto"/>
        <w:tabs>
          <w:tab w:pos="711" w:val="left"/>
        </w:tabs>
        <w:bidi w:val="0"/>
        <w:spacing w:before="0" w:after="0" w:line="314" w:lineRule="exact"/>
        <w:ind w:left="0" w:right="0" w:firstLine="380"/>
        <w:jc w:val="both"/>
      </w:pPr>
      <w:bookmarkStart w:id="886" w:name="bookmark886"/>
      <w:bookmarkEnd w:id="886"/>
      <w:r>
        <w:rPr>
          <w:color w:val="000000"/>
          <w:spacing w:val="0"/>
          <w:w w:val="100"/>
          <w:position w:val="0"/>
        </w:rPr>
        <w:t>结算企业以其本身权益工具结算的，将该股份支付交易作为权益结算的股份支付处理；除此之外，作为现金结算的 股份支付处理。</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结算企业是接受服务企业的投资者的，按照授予日权益工具的公允价值或应承担负债的公允价值确认为对接受服务企业 的长期股权投资，同时确认资本公积（其他资本公积）或负债。</w:t>
      </w:r>
    </w:p>
    <w:p>
      <w:pPr>
        <w:pStyle w:val="Style18"/>
        <w:keepNext w:val="0"/>
        <w:keepLines w:val="0"/>
        <w:widowControl w:val="0"/>
        <w:numPr>
          <w:ilvl w:val="0"/>
          <w:numId w:val="17"/>
        </w:numPr>
        <w:shd w:val="clear" w:color="auto" w:fill="auto"/>
        <w:tabs>
          <w:tab w:pos="711" w:val="left"/>
        </w:tabs>
        <w:bidi w:val="0"/>
        <w:spacing w:before="0" w:after="0" w:line="314" w:lineRule="exact"/>
        <w:ind w:left="0" w:right="0" w:firstLine="380"/>
        <w:jc w:val="both"/>
      </w:pPr>
      <w:bookmarkStart w:id="887" w:name="bookmark887"/>
      <w:bookmarkEnd w:id="887"/>
      <w:r>
        <w:rPr>
          <w:color w:val="000000"/>
          <w:spacing w:val="0"/>
          <w:w w:val="100"/>
          <w:position w:val="0"/>
        </w:rPr>
        <w:t>接受服务企业没有结算义务或授予本企业职工的是其本身权益工具的，将该股份支付交易作为权益结算的股份支付 处理；接受服务企业具有结算义务且授予本企业职工的并非其本身权益工具的，将该股份支付交易作为现金结算的股份支付 处理。</w:t>
      </w:r>
    </w:p>
    <w:p>
      <w:pPr>
        <w:pStyle w:val="Style18"/>
        <w:keepNext w:val="0"/>
        <w:keepLines w:val="0"/>
        <w:widowControl w:val="0"/>
        <w:shd w:val="clear" w:color="auto" w:fill="auto"/>
        <w:bidi w:val="0"/>
        <w:spacing w:before="0" w:after="400" w:line="314" w:lineRule="exact"/>
        <w:ind w:left="0" w:right="0" w:firstLine="380"/>
        <w:jc w:val="both"/>
      </w:pPr>
      <w:r>
        <w:rPr>
          <w:color w:val="000000"/>
          <w:spacing w:val="0"/>
          <w:w w:val="100"/>
          <w:position w:val="0"/>
        </w:rPr>
        <w:t>本公司内各企业之间发生的股份支付交易，接受服务企业和结算企业不是同一企业的，在接受服务企业和结算企业各自 的个别财务报表中对该股份支付交易的确认和计量，比照上述原则处理。</w:t>
      </w:r>
    </w:p>
    <w:p>
      <w:pPr>
        <w:pStyle w:val="Style32"/>
        <w:keepNext/>
        <w:keepLines/>
        <w:widowControl w:val="0"/>
        <w:shd w:val="clear" w:color="auto" w:fill="auto"/>
        <w:tabs>
          <w:tab w:pos="466" w:val="left"/>
        </w:tabs>
        <w:bidi w:val="0"/>
        <w:spacing w:before="0" w:after="280" w:line="240" w:lineRule="auto"/>
        <w:ind w:left="0" w:right="0" w:firstLine="0"/>
        <w:jc w:val="left"/>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3</w:t>
      </w:r>
      <w:bookmarkEnd w:id="890"/>
      <w:r>
        <w:rPr>
          <w:rFonts w:ascii="Times New Roman" w:eastAsia="Times New Roman" w:hAnsi="Times New Roman" w:cs="Times New Roman"/>
          <w:color w:val="000000"/>
          <w:spacing w:val="0"/>
          <w:w w:val="100"/>
          <w:position w:val="0"/>
        </w:rPr>
        <w:t>2</w:t>
      </w:r>
      <w:r>
        <w:rPr>
          <w:color w:val="000000"/>
          <w:spacing w:val="0"/>
          <w:w w:val="100"/>
          <w:position w:val="0"/>
        </w:rPr>
        <w:t>、</w:t>
        <w:tab/>
        <w:t>优先股、永续债等其他金融工具</w:t>
      </w:r>
      <w:bookmarkEnd w:id="888"/>
      <w:bookmarkEnd w:id="889"/>
      <w:bookmarkEnd w:id="891"/>
    </w:p>
    <w:p>
      <w:pPr>
        <w:pStyle w:val="Style18"/>
        <w:keepNext w:val="0"/>
        <w:keepLines w:val="0"/>
        <w:widowControl w:val="0"/>
        <w:shd w:val="clear" w:color="auto" w:fill="auto"/>
        <w:tabs>
          <w:tab w:pos="808" w:val="left"/>
        </w:tabs>
        <w:bidi w:val="0"/>
        <w:spacing w:before="0" w:after="0" w:line="314" w:lineRule="exact"/>
        <w:ind w:left="0" w:right="0" w:firstLine="380"/>
        <w:jc w:val="both"/>
      </w:pPr>
      <w:bookmarkStart w:id="892" w:name="bookmark892"/>
      <w:r>
        <w:rPr>
          <w:color w:val="000000"/>
          <w:spacing w:val="0"/>
          <w:w w:val="100"/>
          <w:position w:val="0"/>
        </w:rPr>
        <w:t>（</w:t>
      </w:r>
      <w:bookmarkEnd w:id="89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永续债和优先股等的区分</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本公司发行的永续债和优先股等金融工具，同时符合以下条件的，作为权益工具：</w:t>
      </w:r>
    </w:p>
    <w:p>
      <w:pPr>
        <w:pStyle w:val="Style18"/>
        <w:keepNext w:val="0"/>
        <w:keepLines w:val="0"/>
        <w:widowControl w:val="0"/>
        <w:numPr>
          <w:ilvl w:val="0"/>
          <w:numId w:val="19"/>
        </w:numPr>
        <w:shd w:val="clear" w:color="auto" w:fill="auto"/>
        <w:tabs>
          <w:tab w:pos="711" w:val="left"/>
        </w:tabs>
        <w:bidi w:val="0"/>
        <w:spacing w:before="0" w:after="0" w:line="314" w:lineRule="exact"/>
        <w:ind w:left="0" w:right="0" w:firstLine="380"/>
        <w:jc w:val="both"/>
      </w:pPr>
      <w:bookmarkStart w:id="893" w:name="bookmark893"/>
      <w:bookmarkEnd w:id="893"/>
      <w:r>
        <w:rPr>
          <w:color w:val="000000"/>
          <w:spacing w:val="0"/>
          <w:w w:val="100"/>
          <w:position w:val="0"/>
        </w:rPr>
        <w:t>该金融工具不包括交付现金或其他金融资产给其他方，或在潜在不利条件下与其他方交换金融资产或金融负债的合同 义务；</w:t>
      </w:r>
    </w:p>
    <w:p>
      <w:pPr>
        <w:pStyle w:val="Style18"/>
        <w:keepNext w:val="0"/>
        <w:keepLines w:val="0"/>
        <w:widowControl w:val="0"/>
        <w:numPr>
          <w:ilvl w:val="0"/>
          <w:numId w:val="19"/>
        </w:numPr>
        <w:shd w:val="clear" w:color="auto" w:fill="auto"/>
        <w:tabs>
          <w:tab w:pos="711" w:val="left"/>
        </w:tabs>
        <w:bidi w:val="0"/>
        <w:spacing w:before="0" w:after="0" w:line="314" w:lineRule="exact"/>
        <w:ind w:left="0" w:right="0" w:firstLine="380"/>
        <w:jc w:val="both"/>
      </w:pPr>
      <w:bookmarkStart w:id="894" w:name="bookmark894"/>
      <w:bookmarkEnd w:id="894"/>
      <w:r>
        <w:rPr>
          <w:color w:val="000000"/>
          <w:spacing w:val="0"/>
          <w:w w:val="100"/>
          <w:position w:val="0"/>
        </w:rPr>
        <w:t>如将来须用或可用企业自身权益工具结算该金融工具的，如该金融工具为非衍生工具，则不包括交付可变数量的自身 权益工具进行结算的合同义务；如为衍生工具，则本公司只能通过以固定数量的自身权益工具交换固定金额的现金或其他金 融资产结算该金融工具。</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除按上述条件可归类为权益工具的金融工具以外，本公司发行的其他金融工具应归类为金融负债。</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本公司发行的金融工具为复合金融工具的，按照负债成分的公允价值确认为一项负债，按实际收到的金额扣除负债成分 的公允价值后的金额，确认为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其他权益工具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。发行复合金融工具发生的交易费用，在负债成分和权益成分之间按照各自占 总发行价款的比例进行分摊。</w:t>
      </w:r>
    </w:p>
    <w:p>
      <w:pPr>
        <w:pStyle w:val="Style18"/>
        <w:keepNext w:val="0"/>
        <w:keepLines w:val="0"/>
        <w:widowControl w:val="0"/>
        <w:shd w:val="clear" w:color="auto" w:fill="auto"/>
        <w:tabs>
          <w:tab w:pos="808" w:val="left"/>
        </w:tabs>
        <w:bidi w:val="0"/>
        <w:spacing w:before="0" w:after="0" w:line="314" w:lineRule="exact"/>
        <w:ind w:left="0" w:right="0" w:firstLine="380"/>
        <w:jc w:val="both"/>
      </w:pPr>
      <w:bookmarkStart w:id="895" w:name="bookmark895"/>
      <w:r>
        <w:rPr>
          <w:color w:val="000000"/>
          <w:spacing w:val="0"/>
          <w:w w:val="100"/>
          <w:position w:val="0"/>
        </w:rPr>
        <w:t>（</w:t>
      </w:r>
      <w:bookmarkEnd w:id="89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永续债和优先股等的会计处理方法</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归类为金融负债的永续债和优先股等金融工具，其相关利息、股利（或股息）、利得或损失，以及赎回或再融资产生的 利得或损失等，除符合资本化条件的借款费用（参见本附注四、</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借款费用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）以外，均计入当期损益。</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归类为权益工具的永续债和优先股等金融工具，其发行（含再融资）、回购、出售或注销时，本公司作为权益的变动处 理，相关交易费用亦从权益中扣减。本公司对权益工具持有方的分配作为利润分配处理。</w:t>
      </w:r>
    </w:p>
    <w:p>
      <w:pPr>
        <w:pStyle w:val="Style18"/>
        <w:keepNext w:val="0"/>
        <w:keepLines w:val="0"/>
        <w:widowControl w:val="0"/>
        <w:shd w:val="clear" w:color="auto" w:fill="auto"/>
        <w:bidi w:val="0"/>
        <w:spacing w:before="0" w:after="400" w:line="314" w:lineRule="exact"/>
        <w:ind w:left="0" w:right="0" w:firstLine="300"/>
        <w:jc w:val="both"/>
      </w:pPr>
      <w:r>
        <w:rPr>
          <w:color w:val="000000"/>
          <w:spacing w:val="0"/>
          <w:w w:val="100"/>
          <w:position w:val="0"/>
        </w:rPr>
        <w:t>本公司不确认权益工具的公允价值变动。</w:t>
      </w:r>
    </w:p>
    <w:p>
      <w:pPr>
        <w:pStyle w:val="Style32"/>
        <w:keepNext/>
        <w:keepLines/>
        <w:widowControl w:val="0"/>
        <w:shd w:val="clear" w:color="auto" w:fill="auto"/>
        <w:tabs>
          <w:tab w:pos="466" w:val="left"/>
        </w:tabs>
        <w:bidi w:val="0"/>
        <w:spacing w:before="0" w:after="280" w:line="240" w:lineRule="auto"/>
        <w:ind w:left="0" w:right="0" w:firstLine="0"/>
        <w:jc w:val="both"/>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3</w:t>
      </w:r>
      <w:bookmarkEnd w:id="898"/>
      <w:r>
        <w:rPr>
          <w:rFonts w:ascii="Times New Roman" w:eastAsia="Times New Roman" w:hAnsi="Times New Roman" w:cs="Times New Roman"/>
          <w:color w:val="000000"/>
          <w:spacing w:val="0"/>
          <w:w w:val="100"/>
          <w:position w:val="0"/>
        </w:rPr>
        <w:t>3</w:t>
      </w:r>
      <w:r>
        <w:rPr>
          <w:color w:val="000000"/>
          <w:spacing w:val="0"/>
          <w:w w:val="100"/>
          <w:position w:val="0"/>
        </w:rPr>
        <w:t>、</w:t>
        <w:tab/>
        <w:t>收入</w:t>
      </w:r>
      <w:bookmarkEnd w:id="896"/>
      <w:bookmarkEnd w:id="897"/>
      <w:bookmarkEnd w:id="899"/>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收入确认和计量所采用的会计政策</w:t>
      </w:r>
    </w:p>
    <w:p>
      <w:pPr>
        <w:pStyle w:val="Style18"/>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（一）一般原则</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本公司与客户之间的合同同时满足下列条件时，在客户取得相关商品控制权时确认收入。</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合同中包含两项或多项履约义务的，本公司在合同开始时，按照各单项履约义务所承</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诺商品或服务的单独售价的相对比例，将交易价格分摊至各单项履约义务，按照分摊至各</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单项履约义务的交易价格计量收入。</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交易价格是本公司因向客户转让商品或服务而预期有权收取的对价金额，不包括代第三方收取的款项。本公司确认的交 易价格不超过在相关不确定性消除时累计已确认收入极可能不会发生重大转回的金额。预期将退还给客户的款项作为负债不 计入交易价格。合同中存在重大融资成分的，本公司按照假定客户在取得商品或服务控制权时即以现金支付的应付金额确定 交易价格。该交易价格与合同对价之间的差额，在合同期间内采用实际利率法摊销。合同开始日，本公司预计客户取得商品 或服务控制权与客户支付价款间隔不超过一年的，不考虑合同中存在的重大融资成分。</w:t>
      </w:r>
    </w:p>
    <w:p>
      <w:pPr>
        <w:pStyle w:val="Style18"/>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满足下列条件之一时，本公司属于在某一时段内履行履约义务；否则，属于在某一时点履行履约义务：</w:t>
      </w:r>
    </w:p>
    <w:p>
      <w:pPr>
        <w:pStyle w:val="Style18"/>
        <w:keepNext w:val="0"/>
        <w:keepLines w:val="0"/>
        <w:widowControl w:val="0"/>
        <w:shd w:val="clear" w:color="auto" w:fill="auto"/>
        <w:tabs>
          <w:tab w:pos="729" w:val="left"/>
        </w:tabs>
        <w:bidi w:val="0"/>
        <w:spacing w:before="0" w:after="0" w:line="360" w:lineRule="auto"/>
        <w:ind w:left="0" w:right="0" w:firstLine="380"/>
        <w:jc w:val="both"/>
      </w:pPr>
      <w:bookmarkStart w:id="900" w:name="bookmark900"/>
      <w:r>
        <w:rPr>
          <w:rFonts w:ascii="Times New Roman" w:eastAsia="Times New Roman" w:hAnsi="Times New Roman" w:cs="Times New Roman"/>
          <w:color w:val="000000"/>
          <w:spacing w:val="0"/>
          <w:w w:val="100"/>
          <w:position w:val="0"/>
          <w:sz w:val="18"/>
          <w:szCs w:val="18"/>
        </w:rPr>
        <w:t>1</w:t>
      </w:r>
      <w:bookmarkEnd w:id="900"/>
      <w:r>
        <w:rPr>
          <w:color w:val="000000"/>
          <w:spacing w:val="0"/>
          <w:w w:val="100"/>
          <w:position w:val="0"/>
        </w:rPr>
        <w:t>）</w:t>
        <w:tab/>
        <w:t>客户在本公司履约的同时即取得并消耗本公司履约所带来的经济利益。</w:t>
      </w:r>
    </w:p>
    <w:p>
      <w:pPr>
        <w:pStyle w:val="Style18"/>
        <w:keepNext w:val="0"/>
        <w:keepLines w:val="0"/>
        <w:widowControl w:val="0"/>
        <w:shd w:val="clear" w:color="auto" w:fill="auto"/>
        <w:tabs>
          <w:tab w:pos="748" w:val="left"/>
        </w:tabs>
        <w:bidi w:val="0"/>
        <w:spacing w:before="0" w:after="0" w:line="360" w:lineRule="auto"/>
        <w:ind w:left="0" w:right="0" w:firstLine="380"/>
        <w:jc w:val="both"/>
      </w:pPr>
      <w:bookmarkStart w:id="901" w:name="bookmark901"/>
      <w:r>
        <w:rPr>
          <w:rFonts w:ascii="Times New Roman" w:eastAsia="Times New Roman" w:hAnsi="Times New Roman" w:cs="Times New Roman"/>
          <w:color w:val="000000"/>
          <w:spacing w:val="0"/>
          <w:w w:val="100"/>
          <w:position w:val="0"/>
          <w:sz w:val="18"/>
          <w:szCs w:val="18"/>
        </w:rPr>
        <w:t>2</w:t>
      </w:r>
      <w:bookmarkEnd w:id="901"/>
      <w:r>
        <w:rPr>
          <w:color w:val="000000"/>
          <w:spacing w:val="0"/>
          <w:w w:val="100"/>
          <w:position w:val="0"/>
        </w:rPr>
        <w:t>）</w:t>
        <w:tab/>
        <w:t>客户能够控制本公司履约过程中在建的商品。</w:t>
      </w:r>
    </w:p>
    <w:p>
      <w:pPr>
        <w:pStyle w:val="Style18"/>
        <w:keepNext w:val="0"/>
        <w:keepLines w:val="0"/>
        <w:widowControl w:val="0"/>
        <w:shd w:val="clear" w:color="auto" w:fill="auto"/>
        <w:tabs>
          <w:tab w:pos="728" w:val="left"/>
        </w:tabs>
        <w:bidi w:val="0"/>
        <w:spacing w:before="0" w:after="0" w:line="319" w:lineRule="exact"/>
        <w:ind w:left="0" w:right="0" w:firstLine="380"/>
        <w:jc w:val="both"/>
      </w:pPr>
      <w:bookmarkStart w:id="902" w:name="bookmark902"/>
      <w:r>
        <w:rPr>
          <w:rFonts w:ascii="Times New Roman" w:eastAsia="Times New Roman" w:hAnsi="Times New Roman" w:cs="Times New Roman"/>
          <w:color w:val="000000"/>
          <w:spacing w:val="0"/>
          <w:w w:val="100"/>
          <w:position w:val="0"/>
          <w:sz w:val="18"/>
          <w:szCs w:val="18"/>
        </w:rPr>
        <w:t>3</w:t>
      </w:r>
      <w:bookmarkEnd w:id="902"/>
      <w:r>
        <w:rPr>
          <w:color w:val="000000"/>
          <w:spacing w:val="0"/>
          <w:w w:val="100"/>
          <w:position w:val="0"/>
        </w:rPr>
        <w:t>）</w:t>
        <w:tab/>
        <w:t>在本公司履约过程中所产出的商品具有不可替代用途，且本公司在整个合同期间内有权就累计至今已完成的履约部 分收取款项。</w:t>
      </w:r>
    </w:p>
    <w:p>
      <w:pPr>
        <w:pStyle w:val="Style18"/>
        <w:keepNext w:val="0"/>
        <w:keepLines w:val="0"/>
        <w:widowControl w:val="0"/>
        <w:shd w:val="clear" w:color="auto" w:fill="auto"/>
        <w:bidi w:val="0"/>
        <w:spacing w:before="0" w:after="0" w:line="319" w:lineRule="exact"/>
        <w:ind w:left="0" w:right="0" w:firstLine="380"/>
        <w:jc w:val="both"/>
      </w:pPr>
      <w:r>
        <w:rPr>
          <w:color w:val="000000"/>
          <w:spacing w:val="0"/>
          <w:w w:val="100"/>
          <w:position w:val="0"/>
        </w:rPr>
        <w:t>对于在某一时段内履行的履约义务，本公司在该段时间内按照履约进度确认收入。履约进度不能合理确定时，本公司已 经发生的成本预计能够得到补偿的，按照已经发生的成本金额确认收入，直到履约进度能够合理确定为止。</w:t>
      </w:r>
    </w:p>
    <w:p>
      <w:pPr>
        <w:pStyle w:val="Style18"/>
        <w:keepNext w:val="0"/>
        <w:keepLines w:val="0"/>
        <w:widowControl w:val="0"/>
        <w:shd w:val="clear" w:color="auto" w:fill="auto"/>
        <w:bidi w:val="0"/>
        <w:spacing w:before="0" w:after="100" w:line="319" w:lineRule="exact"/>
        <w:ind w:left="0" w:right="0" w:firstLine="380"/>
        <w:jc w:val="both"/>
      </w:pPr>
      <w:r>
        <w:rPr>
          <w:color w:val="000000"/>
          <w:spacing w:val="0"/>
          <w:w w:val="100"/>
          <w:position w:val="0"/>
        </w:rPr>
        <w:t>对于在某一时点履行的履约义务，本公司在客户取得相关商品或服务控制权时点确认收入。在判断客户是否已取得商品 或服务控制权时，本公司考虑下列迹象：</w:t>
      </w:r>
    </w:p>
    <w:p>
      <w:pPr>
        <w:pStyle w:val="Style18"/>
        <w:keepNext w:val="0"/>
        <w:keepLines w:val="0"/>
        <w:widowControl w:val="0"/>
        <w:shd w:val="clear" w:color="auto" w:fill="auto"/>
        <w:tabs>
          <w:tab w:pos="729" w:val="left"/>
        </w:tabs>
        <w:bidi w:val="0"/>
        <w:spacing w:before="0" w:after="0" w:line="360" w:lineRule="auto"/>
        <w:ind w:left="0" w:right="0" w:firstLine="380"/>
        <w:jc w:val="both"/>
      </w:pPr>
      <w:bookmarkStart w:id="903" w:name="bookmark903"/>
      <w:r>
        <w:rPr>
          <w:rFonts w:ascii="Times New Roman" w:eastAsia="Times New Roman" w:hAnsi="Times New Roman" w:cs="Times New Roman"/>
          <w:color w:val="000000"/>
          <w:spacing w:val="0"/>
          <w:w w:val="100"/>
          <w:position w:val="0"/>
          <w:sz w:val="18"/>
          <w:szCs w:val="18"/>
        </w:rPr>
        <w:t>1</w:t>
      </w:r>
      <w:bookmarkEnd w:id="903"/>
      <w:r>
        <w:rPr>
          <w:color w:val="000000"/>
          <w:spacing w:val="0"/>
          <w:w w:val="100"/>
          <w:position w:val="0"/>
        </w:rPr>
        <w:t>）</w:t>
        <w:tab/>
        <w:t>本公司就该商品或服务享有现时收款权利。</w:t>
      </w:r>
    </w:p>
    <w:p>
      <w:pPr>
        <w:pStyle w:val="Style18"/>
        <w:keepNext w:val="0"/>
        <w:keepLines w:val="0"/>
        <w:widowControl w:val="0"/>
        <w:shd w:val="clear" w:color="auto" w:fill="auto"/>
        <w:tabs>
          <w:tab w:pos="748" w:val="left"/>
        </w:tabs>
        <w:bidi w:val="0"/>
        <w:spacing w:before="0" w:after="0" w:line="360" w:lineRule="auto"/>
        <w:ind w:left="0" w:right="0" w:firstLine="380"/>
        <w:jc w:val="both"/>
      </w:pPr>
      <w:bookmarkStart w:id="904" w:name="bookmark904"/>
      <w:r>
        <w:rPr>
          <w:rFonts w:ascii="Times New Roman" w:eastAsia="Times New Roman" w:hAnsi="Times New Roman" w:cs="Times New Roman"/>
          <w:color w:val="000000"/>
          <w:spacing w:val="0"/>
          <w:w w:val="100"/>
          <w:position w:val="0"/>
          <w:sz w:val="18"/>
          <w:szCs w:val="18"/>
        </w:rPr>
        <w:t>2</w:t>
      </w:r>
      <w:bookmarkEnd w:id="904"/>
      <w:r>
        <w:rPr>
          <w:color w:val="000000"/>
          <w:spacing w:val="0"/>
          <w:w w:val="100"/>
          <w:position w:val="0"/>
        </w:rPr>
        <w:t>）</w:t>
        <w:tab/>
        <w:t>本公司已将该商品的法定所有权转移给客户。</w:t>
      </w:r>
    </w:p>
    <w:p>
      <w:pPr>
        <w:pStyle w:val="Style18"/>
        <w:keepNext w:val="0"/>
        <w:keepLines w:val="0"/>
        <w:widowControl w:val="0"/>
        <w:shd w:val="clear" w:color="auto" w:fill="auto"/>
        <w:tabs>
          <w:tab w:pos="748" w:val="left"/>
        </w:tabs>
        <w:bidi w:val="0"/>
        <w:spacing w:before="0" w:after="0" w:line="360" w:lineRule="auto"/>
        <w:ind w:left="0" w:right="0" w:firstLine="380"/>
        <w:jc w:val="both"/>
      </w:pPr>
      <w:bookmarkStart w:id="905" w:name="bookmark905"/>
      <w:r>
        <w:rPr>
          <w:rFonts w:ascii="Times New Roman" w:eastAsia="Times New Roman" w:hAnsi="Times New Roman" w:cs="Times New Roman"/>
          <w:color w:val="000000"/>
          <w:spacing w:val="0"/>
          <w:w w:val="100"/>
          <w:position w:val="0"/>
          <w:sz w:val="18"/>
          <w:szCs w:val="18"/>
        </w:rPr>
        <w:t>3</w:t>
      </w:r>
      <w:bookmarkEnd w:id="905"/>
      <w:r>
        <w:rPr>
          <w:color w:val="000000"/>
          <w:spacing w:val="0"/>
          <w:w w:val="100"/>
          <w:position w:val="0"/>
        </w:rPr>
        <w:t>）</w:t>
        <w:tab/>
        <w:t>本公司已将该商品的实物转移给客户。</w:t>
      </w:r>
    </w:p>
    <w:p>
      <w:pPr>
        <w:pStyle w:val="Style18"/>
        <w:keepNext w:val="0"/>
        <w:keepLines w:val="0"/>
        <w:widowControl w:val="0"/>
        <w:shd w:val="clear" w:color="auto" w:fill="auto"/>
        <w:tabs>
          <w:tab w:pos="748" w:val="left"/>
        </w:tabs>
        <w:bidi w:val="0"/>
        <w:spacing w:before="0" w:after="0" w:line="360" w:lineRule="auto"/>
        <w:ind w:left="0" w:right="0" w:firstLine="380"/>
        <w:jc w:val="both"/>
      </w:pPr>
      <w:bookmarkStart w:id="906" w:name="bookmark906"/>
      <w:r>
        <w:rPr>
          <w:rFonts w:ascii="Times New Roman" w:eastAsia="Times New Roman" w:hAnsi="Times New Roman" w:cs="Times New Roman"/>
          <w:color w:val="000000"/>
          <w:spacing w:val="0"/>
          <w:w w:val="100"/>
          <w:position w:val="0"/>
          <w:sz w:val="18"/>
          <w:szCs w:val="18"/>
        </w:rPr>
        <w:t>4</w:t>
      </w:r>
      <w:bookmarkEnd w:id="906"/>
      <w:r>
        <w:rPr>
          <w:color w:val="000000"/>
          <w:spacing w:val="0"/>
          <w:w w:val="100"/>
          <w:position w:val="0"/>
        </w:rPr>
        <w:t>）</w:t>
        <w:tab/>
        <w:t>本公司已将该商品所有权上的主要风险和报酬转移给客户。</w:t>
      </w:r>
    </w:p>
    <w:p>
      <w:pPr>
        <w:pStyle w:val="Style18"/>
        <w:keepNext w:val="0"/>
        <w:keepLines w:val="0"/>
        <w:widowControl w:val="0"/>
        <w:shd w:val="clear" w:color="auto" w:fill="auto"/>
        <w:tabs>
          <w:tab w:pos="748" w:val="left"/>
        </w:tabs>
        <w:bidi w:val="0"/>
        <w:spacing w:before="0" w:after="0" w:line="360" w:lineRule="auto"/>
        <w:ind w:left="0" w:right="0" w:firstLine="380"/>
        <w:jc w:val="both"/>
      </w:pPr>
      <w:bookmarkStart w:id="907" w:name="bookmark907"/>
      <w:r>
        <w:rPr>
          <w:rFonts w:ascii="Times New Roman" w:eastAsia="Times New Roman" w:hAnsi="Times New Roman" w:cs="Times New Roman"/>
          <w:color w:val="000000"/>
          <w:spacing w:val="0"/>
          <w:w w:val="100"/>
          <w:position w:val="0"/>
          <w:sz w:val="18"/>
          <w:szCs w:val="18"/>
        </w:rPr>
        <w:t>5</w:t>
      </w:r>
      <w:bookmarkEnd w:id="907"/>
      <w:r>
        <w:rPr>
          <w:color w:val="000000"/>
          <w:spacing w:val="0"/>
          <w:w w:val="100"/>
          <w:position w:val="0"/>
        </w:rPr>
        <w:t>）</w:t>
        <w:tab/>
        <w:t>客户已接受该商品或服务等。</w:t>
      </w:r>
    </w:p>
    <w:p>
      <w:pPr>
        <w:pStyle w:val="Style18"/>
        <w:keepNext w:val="0"/>
        <w:keepLines w:val="0"/>
        <w:widowControl w:val="0"/>
        <w:shd w:val="clear" w:color="auto" w:fill="auto"/>
        <w:bidi w:val="0"/>
        <w:spacing w:before="0" w:after="0" w:line="319" w:lineRule="exact"/>
        <w:ind w:left="0" w:right="0" w:firstLine="380"/>
        <w:jc w:val="both"/>
      </w:pPr>
      <w:r>
        <w:rPr>
          <w:color w:val="000000"/>
          <w:spacing w:val="0"/>
          <w:w w:val="100"/>
          <w:position w:val="0"/>
        </w:rPr>
        <w:t>本公司已向客户转让商品或服务而有权收取对价的权利作为合同资产列示，合同资产以预期信用损失为基础计提减值。 本公司拥有的无条件向客户收取对价的权利作为应收款项列示。本公司已收货应收客户对价而应向客户转让商品或服务的义 务作为合同负债列示。</w:t>
      </w:r>
    </w:p>
    <w:p>
      <w:pPr>
        <w:pStyle w:val="Style18"/>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同类业务采用不同经营模式导致收入确认会计政策存在差异的情况</w:t>
      </w:r>
    </w:p>
    <w:p>
      <w:pPr>
        <w:pStyle w:val="Style18"/>
        <w:keepNext w:val="0"/>
        <w:keepLines w:val="0"/>
        <w:widowControl w:val="0"/>
        <w:shd w:val="clear" w:color="auto" w:fill="auto"/>
        <w:tabs>
          <w:tab w:pos="729" w:val="left"/>
        </w:tabs>
        <w:bidi w:val="0"/>
        <w:spacing w:before="0" w:after="0" w:line="360" w:lineRule="auto"/>
        <w:ind w:left="0" w:right="0" w:firstLine="380"/>
        <w:jc w:val="both"/>
      </w:pPr>
      <w:bookmarkStart w:id="908" w:name="bookmark908"/>
      <w:r>
        <w:rPr>
          <w:rFonts w:ascii="Times New Roman" w:eastAsia="Times New Roman" w:hAnsi="Times New Roman" w:cs="Times New Roman"/>
          <w:color w:val="000000"/>
          <w:spacing w:val="0"/>
          <w:w w:val="100"/>
          <w:position w:val="0"/>
          <w:sz w:val="18"/>
          <w:szCs w:val="18"/>
        </w:rPr>
        <w:t>1</w:t>
      </w:r>
      <w:bookmarkEnd w:id="908"/>
      <w:r>
        <w:rPr>
          <w:color w:val="000000"/>
          <w:spacing w:val="0"/>
          <w:w w:val="100"/>
          <w:position w:val="0"/>
        </w:rPr>
        <w:t>）</w:t>
        <w:tab/>
        <w:t>产品销售类</w:t>
      </w:r>
    </w:p>
    <w:p>
      <w:pPr>
        <w:pStyle w:val="Style1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公司产品销售类业务属于在某一时点履行的履约义务，在公司将产品运送至合同约定交货地点并由客户签收、已收取价 款或取得收款权利且相关的经济利益很可能流入时确认。</w:t>
      </w:r>
    </w:p>
    <w:p>
      <w:pPr>
        <w:pStyle w:val="Style18"/>
        <w:keepNext w:val="0"/>
        <w:keepLines w:val="0"/>
        <w:widowControl w:val="0"/>
        <w:shd w:val="clear" w:color="auto" w:fill="auto"/>
        <w:tabs>
          <w:tab w:pos="748" w:val="left"/>
        </w:tabs>
        <w:bidi w:val="0"/>
        <w:spacing w:before="0" w:after="0" w:line="360" w:lineRule="auto"/>
        <w:ind w:left="0" w:right="0" w:firstLine="380"/>
        <w:jc w:val="both"/>
      </w:pPr>
      <w:bookmarkStart w:id="909" w:name="bookmark909"/>
      <w:r>
        <w:rPr>
          <w:rFonts w:ascii="Times New Roman" w:eastAsia="Times New Roman" w:hAnsi="Times New Roman" w:cs="Times New Roman"/>
          <w:color w:val="000000"/>
          <w:spacing w:val="0"/>
          <w:w w:val="100"/>
          <w:position w:val="0"/>
          <w:sz w:val="18"/>
          <w:szCs w:val="18"/>
        </w:rPr>
        <w:t>2</w:t>
      </w:r>
      <w:bookmarkEnd w:id="909"/>
      <w:r>
        <w:rPr>
          <w:color w:val="000000"/>
          <w:spacing w:val="0"/>
          <w:w w:val="100"/>
          <w:position w:val="0"/>
        </w:rPr>
        <w:t>）</w:t>
        <w:tab/>
        <w:t>技术服务类</w:t>
      </w:r>
    </w:p>
    <w:p>
      <w:pPr>
        <w:pStyle w:val="Style18"/>
        <w:keepNext w:val="0"/>
        <w:keepLines w:val="0"/>
        <w:widowControl w:val="0"/>
        <w:shd w:val="clear" w:color="auto" w:fill="auto"/>
        <w:bidi w:val="0"/>
        <w:spacing w:before="0" w:after="400" w:line="312" w:lineRule="exact"/>
        <w:ind w:left="0" w:right="0" w:firstLine="240"/>
        <w:jc w:val="both"/>
      </w:pPr>
      <w:r>
        <w:rPr>
          <w:color w:val="000000"/>
          <w:spacing w:val="0"/>
          <w:w w:val="100"/>
          <w:position w:val="0"/>
        </w:rPr>
        <w:t>公司提供技术服务类业务属于在某一时段内履行的履约义务，根据已经完成的工作量与客户确定履约进度，并按履约进 度确认收入。</w:t>
      </w:r>
    </w:p>
    <w:p>
      <w:pPr>
        <w:pStyle w:val="Style32"/>
        <w:keepNext/>
        <w:keepLines/>
        <w:widowControl w:val="0"/>
        <w:shd w:val="clear" w:color="auto" w:fill="auto"/>
        <w:bidi w:val="0"/>
        <w:spacing w:before="0" w:after="280" w:line="240" w:lineRule="auto"/>
        <w:ind w:left="0" w:right="0" w:firstLine="0"/>
        <w:jc w:val="left"/>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3</w:t>
      </w:r>
      <w:bookmarkEnd w:id="912"/>
      <w:r>
        <w:rPr>
          <w:rFonts w:ascii="Times New Roman" w:eastAsia="Times New Roman" w:hAnsi="Times New Roman" w:cs="Times New Roman"/>
          <w:color w:val="000000"/>
          <w:spacing w:val="0"/>
          <w:w w:val="100"/>
          <w:position w:val="0"/>
        </w:rPr>
        <w:t>4</w:t>
      </w:r>
      <w:r>
        <w:rPr>
          <w:color w:val="000000"/>
          <w:spacing w:val="0"/>
          <w:w w:val="100"/>
          <w:position w:val="0"/>
        </w:rPr>
        <w:t>、政府补助</w:t>
      </w:r>
      <w:bookmarkEnd w:id="910"/>
      <w:bookmarkEnd w:id="911"/>
      <w:bookmarkEnd w:id="913"/>
    </w:p>
    <w:p>
      <w:pPr>
        <w:pStyle w:val="Style1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本政府补助是指本公司从政府无偿取得货币性资产和非货币性资产，不包括政府以投资者身份并享有相应所有者权益而 投入的资本。政府补助分为与资产相关的政府补助和与收益相关的政府补助。</w:t>
      </w:r>
    </w:p>
    <w:p>
      <w:pPr>
        <w:pStyle w:val="Style1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本公司将所取得的用于购建或以其他方式形成长期资产的政府补助界定为与资产相关的政府补助;其余政府补助界定为 与收益相关的政府补助。若政府文件未明确规定补助对象，则采用以下方式将补助款划分为与收益相关的政府补助和与资产 相关的政府补助：（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）政府文件明确了补助所针对的特定项目的，根据该特定项目的预算中将形成资产的支出金额和计入 费用的支出金额的相对比例进行划分，对该划分比例需在每个资产负债表日进行复核，必要时进行变更；（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）政府文件中 对用途仅作一般性表述，没有指明特定项目的，作为与收益相关的政府补助。</w:t>
      </w:r>
    </w:p>
    <w:p>
      <w:pPr>
        <w:pStyle w:val="Style1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 xml:space="preserve">政府补助为货币性资产的，按照收到或应收的金额计量。政府补助为非货币性资产的，按照公允价值计量；公允价值不 </w:t>
      </w:r>
      <w:r>
        <w:rPr>
          <w:color w:val="000000"/>
          <w:spacing w:val="0"/>
          <w:w w:val="100"/>
          <w:position w:val="0"/>
        </w:rPr>
        <w:t>能够可靠取得的，按照名义金额计量。按照名义金额计量的政府补助，直接计入当期损益。</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本公司对于政府补助通常在实际收到时，按照实收金额予以确认和计量。但对于期末有确凿证据表明能够符合财政扶持 政策规定的相关条件预计能够收到财政扶持资金，按照应收的金额计量。按照应收金额计量的政府补助应同时符合以下条件：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）应收补助款的金额已经过有权政府部门发文确认，或者可根据正式发布的财政资金管理办法的有关规定自行合理测算， 且预计其金额不存在重大不确定性；（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）所依据的是当地财政部门正式发布并按照《政府信息公开条例》的规定予以主动 公开的财政扶持项目及其财政资金管理办法，且该管理办法应当是普惠性的（任何符合规定条件的企业均可申请），而不是 专门针对特定企业制定的；（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）相关的补助款批文中已明确承诺了拨付期限，且该款项的拨付是有相应财政预算作为保障 的，因而可以合理保证其可在规定期限内收到；（</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）根据本公司和该补助事项的具体情况，应满足的其他相关条件（如有）。</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与资产相关的政府补助，确认为递延收益，并在相关资产的使用寿命内按照合理、系统的方法分期计入当期损益。与收 益相关的政府补助，用于补偿以后期间的相关成本费用或损失的，确认为递延收益，并在确认相关成本费用或损失的期间计 入当期损益；用于补偿已经发生的相关成本费用或损失的，直接计入当期损益。</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同时包含与资产相关部分和与收益相关部分的政府补助，区分不同部分分别进行会计处理；难以区分的，将其整体归类 为与收益相关的政府补助。</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与本公司日常活动相关的政府补助，按照经济业务的实质，计入其他收益或冲减相关成本费用；与日常活动无关的政府 补助，计入营业外收支。</w:t>
      </w:r>
    </w:p>
    <w:p>
      <w:pPr>
        <w:pStyle w:val="Style18"/>
        <w:keepNext w:val="0"/>
        <w:keepLines w:val="0"/>
        <w:widowControl w:val="0"/>
        <w:shd w:val="clear" w:color="auto" w:fill="auto"/>
        <w:bidi w:val="0"/>
        <w:spacing w:before="0" w:after="380" w:line="313" w:lineRule="exact"/>
        <w:ind w:left="0" w:right="0" w:firstLine="300"/>
        <w:jc w:val="both"/>
      </w:pPr>
      <w:r>
        <w:rPr>
          <w:color w:val="000000"/>
          <w:spacing w:val="0"/>
          <w:w w:val="100"/>
          <w:position w:val="0"/>
        </w:rPr>
        <w:t>已确认的政府补助需要退回时，存在相关递延收益余额的，冲减相关递延收益账面余额，超出部分计入当期损益；属于 其他情况的，直接计入当期损益。</w:t>
      </w:r>
    </w:p>
    <w:p>
      <w:pPr>
        <w:pStyle w:val="Style32"/>
        <w:keepNext/>
        <w:keepLines/>
        <w:widowControl w:val="0"/>
        <w:shd w:val="clear" w:color="auto" w:fill="auto"/>
        <w:bidi w:val="0"/>
        <w:spacing w:before="0" w:after="280" w:line="240" w:lineRule="auto"/>
        <w:ind w:left="0" w:right="0" w:firstLine="0"/>
        <w:jc w:val="both"/>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3</w:t>
      </w:r>
      <w:bookmarkEnd w:id="916"/>
      <w:r>
        <w:rPr>
          <w:rFonts w:ascii="Times New Roman" w:eastAsia="Times New Roman" w:hAnsi="Times New Roman" w:cs="Times New Roman"/>
          <w:color w:val="000000"/>
          <w:spacing w:val="0"/>
          <w:w w:val="100"/>
          <w:position w:val="0"/>
        </w:rPr>
        <w:t>5</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14"/>
      <w:bookmarkEnd w:id="915"/>
      <w:bookmarkEnd w:id="917"/>
    </w:p>
    <w:p>
      <w:pPr>
        <w:pStyle w:val="Style18"/>
        <w:keepNext w:val="0"/>
        <w:keepLines w:val="0"/>
        <w:widowControl w:val="0"/>
        <w:shd w:val="clear" w:color="auto" w:fill="auto"/>
        <w:tabs>
          <w:tab w:pos="765" w:val="left"/>
        </w:tabs>
        <w:bidi w:val="0"/>
        <w:spacing w:before="0" w:after="0" w:line="312" w:lineRule="exact"/>
        <w:ind w:left="0" w:right="0" w:firstLine="380"/>
        <w:jc w:val="both"/>
      </w:pPr>
      <w:bookmarkStart w:id="918" w:name="bookmark918"/>
      <w:r>
        <w:rPr>
          <w:color w:val="000000"/>
          <w:spacing w:val="0"/>
          <w:w w:val="100"/>
          <w:position w:val="0"/>
        </w:rPr>
        <w:t>（</w:t>
      </w:r>
      <w:bookmarkEnd w:id="91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当期所得税</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资产负债表日，对于当期和以前期间形成的当期所得税负债（或资产），以按照税法规定计算的预期应交纳（或返还） 的所得税金额计量。计算当期所得税费用所依据的应纳税所得额系根据有关税法规定对本年度税前会计利润作相应调整后计 算得出。</w:t>
      </w:r>
    </w:p>
    <w:p>
      <w:pPr>
        <w:pStyle w:val="Style18"/>
        <w:keepNext w:val="0"/>
        <w:keepLines w:val="0"/>
        <w:widowControl w:val="0"/>
        <w:shd w:val="clear" w:color="auto" w:fill="auto"/>
        <w:tabs>
          <w:tab w:pos="765" w:val="left"/>
        </w:tabs>
        <w:bidi w:val="0"/>
        <w:spacing w:before="0" w:after="0" w:line="312" w:lineRule="exact"/>
        <w:ind w:left="0" w:right="0" w:firstLine="380"/>
        <w:jc w:val="both"/>
      </w:pPr>
      <w:bookmarkStart w:id="919" w:name="bookmark919"/>
      <w:r>
        <w:rPr>
          <w:color w:val="000000"/>
          <w:spacing w:val="0"/>
          <w:w w:val="100"/>
          <w:position w:val="0"/>
        </w:rPr>
        <w:t>（</w:t>
      </w:r>
      <w:bookmarkEnd w:id="91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递延所得税资产及递延所得税负债</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某些资产、负债项目的账面价值与其计税基础之间的差额，以及未作为资产和负债确认但按照税法规定可以确定其计税 基础的项目的账面价值与计税基础之间的差额产生的暂时性差异，采用资产负债表债务法确认递延所得税资产及递延所得税 负债。</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与商誉的初始确认有关，以及与既不是企业合并、发生时也不影响会计利润和应纳税所得额（或可抵扣亏损）的交易中 产生的资产或负债的初始确认有关的应纳税暂时性差异，不予确认有关的递延所得税负债。此外，对与子公司、联营企业及 合营企业投资相关的应纳税暂时性差异，如果本公司能够控制暂时性差异转回的时间，而且该暂时性差异在可预见的未来很 可能不会转回，也不予确认有关的递延所得税负债。除上述例外情况，本公司确认其他所有应纳税暂时性差异产生的递延所 得税负债。</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与既不是企业合并、发生时也不影响会计利润和应纳税所得额（或可抵扣亏损）的交易中产生的资产或负债的初始确认 有关的可抵扣暂时性差异，不予确认有关的递延所得税资产。此外，对与子公司、联营企业及合营企业投资相关的可抵扣暂 时性差异，如果暂时性差异在可预见的未来不是很可能转回，或者未来不是很可能获得用来抵扣可抵扣暂时性差异的应纳税 所得额，不予确认有关的递延所得税资产。除上述例外情况，本公司以很可能取得用来抵扣可抵扣暂时性差异的应纳税所得 额为限，确认其他可抵扣暂时性差异产生的递延所得税资产。</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对于能够结转以后年度的可抵扣亏损和税款抵减，以很可能获得用来抵扣可抵扣亏损和税款抵减的未来应纳税所得额为 限，确认相应的递延所得税资产。</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18"/>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于资产负债表日，对递延所得税资产的账面价值进行复核，如果未来很可能无法获得足够的应纳税所得额用以抵扣递延 所得税资产的利益，则减记递延所得税资产的账面价值。在很可能获得足够的应纳税所得额时，减记的金额予以转回。</w:t>
      </w:r>
    </w:p>
    <w:p>
      <w:pPr>
        <w:pStyle w:val="Style18"/>
        <w:keepNext w:val="0"/>
        <w:keepLines w:val="0"/>
        <w:widowControl w:val="0"/>
        <w:shd w:val="clear" w:color="auto" w:fill="auto"/>
        <w:tabs>
          <w:tab w:pos="789" w:val="left"/>
        </w:tabs>
        <w:bidi w:val="0"/>
        <w:spacing w:before="0" w:after="0" w:line="312" w:lineRule="exact"/>
        <w:ind w:left="0" w:right="0" w:firstLine="380"/>
        <w:jc w:val="both"/>
      </w:pPr>
      <w:bookmarkStart w:id="920" w:name="bookmark920"/>
      <w:r>
        <w:rPr>
          <w:color w:val="000000"/>
          <w:spacing w:val="0"/>
          <w:w w:val="100"/>
          <w:position w:val="0"/>
        </w:rPr>
        <w:t>（</w:t>
      </w:r>
      <w:bookmarkEnd w:id="92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所得税费用</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所得税费用包括当期所得税和递延所得税。</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Style18"/>
        <w:keepNext w:val="0"/>
        <w:keepLines w:val="0"/>
        <w:widowControl w:val="0"/>
        <w:shd w:val="clear" w:color="auto" w:fill="auto"/>
        <w:tabs>
          <w:tab w:pos="789" w:val="left"/>
        </w:tabs>
        <w:bidi w:val="0"/>
        <w:spacing w:before="0" w:after="0" w:line="312" w:lineRule="exact"/>
        <w:ind w:left="0" w:right="0" w:firstLine="380"/>
        <w:jc w:val="both"/>
      </w:pPr>
      <w:bookmarkStart w:id="921" w:name="bookmark921"/>
      <w:r>
        <w:rPr>
          <w:color w:val="000000"/>
          <w:spacing w:val="0"/>
          <w:w w:val="100"/>
          <w:position w:val="0"/>
        </w:rPr>
        <w:t>（</w:t>
      </w:r>
      <w:bookmarkEnd w:id="92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所得税的抵销</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当拥有以净额结算的法定权利，且意图以净额结算或取得资产、清偿负债同时进行时，本公司当期所得税资产及当期所 得税负债以抵销后的净额列报。</w:t>
      </w:r>
    </w:p>
    <w:p>
      <w:pPr>
        <w:pStyle w:val="Style18"/>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转回的期间内，涉及的纳税主体意图以净额结算当期所得税资产和负债或是同时取得资产、清偿负债时，本公司递延所得税 资产及递延所得税负债以抵销后的净额列报。</w:t>
      </w:r>
    </w:p>
    <w:p>
      <w:pPr>
        <w:pStyle w:val="Style32"/>
        <w:keepNext/>
        <w:keepLines/>
        <w:widowControl w:val="0"/>
        <w:shd w:val="clear" w:color="auto" w:fill="auto"/>
        <w:bidi w:val="0"/>
        <w:spacing w:before="0" w:line="240" w:lineRule="auto"/>
        <w:ind w:left="0" w:right="0" w:firstLine="0"/>
        <w:jc w:val="left"/>
      </w:pPr>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36</w:t>
      </w:r>
      <w:r>
        <w:rPr>
          <w:color w:val="000000"/>
          <w:spacing w:val="0"/>
          <w:w w:val="100"/>
          <w:position w:val="0"/>
        </w:rPr>
        <w:t>、租赁</w:t>
      </w:r>
      <w:bookmarkEnd w:id="922"/>
      <w:bookmarkEnd w:id="923"/>
      <w:bookmarkEnd w:id="924"/>
    </w:p>
    <w:p>
      <w:pPr>
        <w:pStyle w:val="Style36"/>
        <w:keepNext/>
        <w:keepLines/>
        <w:widowControl w:val="0"/>
        <w:shd w:val="clear" w:color="auto" w:fill="auto"/>
        <w:bidi w:val="0"/>
        <w:spacing w:before="0" w:after="280" w:line="240" w:lineRule="auto"/>
        <w:ind w:left="0" w:right="0" w:firstLine="0"/>
        <w:jc w:val="left"/>
      </w:pPr>
      <w:bookmarkStart w:id="925" w:name="bookmark925"/>
      <w:bookmarkStart w:id="926" w:name="bookmark926"/>
      <w:bookmarkStart w:id="927" w:name="bookmark927"/>
      <w:bookmarkStart w:id="928" w:name="bookmark928"/>
      <w:r>
        <w:rPr>
          <w:color w:val="000000"/>
          <w:spacing w:val="0"/>
          <w:w w:val="100"/>
          <w:position w:val="0"/>
        </w:rPr>
        <w:t>（</w:t>
      </w:r>
      <w:bookmarkEnd w:id="927"/>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25"/>
      <w:bookmarkEnd w:id="926"/>
      <w:bookmarkEnd w:id="928"/>
    </w:p>
    <w:p>
      <w:pPr>
        <w:pStyle w:val="Style18"/>
        <w:keepNext w:val="0"/>
        <w:keepLines w:val="0"/>
        <w:widowControl w:val="0"/>
        <w:shd w:val="clear" w:color="auto" w:fill="auto"/>
        <w:tabs>
          <w:tab w:pos="789" w:val="left"/>
        </w:tabs>
        <w:bidi w:val="0"/>
        <w:spacing w:before="0" w:after="0" w:line="313" w:lineRule="exact"/>
        <w:ind w:left="0" w:right="0" w:firstLine="380"/>
        <w:jc w:val="both"/>
      </w:pPr>
      <w:bookmarkStart w:id="929" w:name="bookmark929"/>
      <w:r>
        <w:rPr>
          <w:color w:val="000000"/>
          <w:spacing w:val="0"/>
          <w:w w:val="100"/>
          <w:position w:val="0"/>
        </w:rPr>
        <w:t>（</w:t>
      </w:r>
      <w:bookmarkEnd w:id="92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租赁的识别</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租赁，是指在一定期间内，出租人将资产的使用权让与承租人以获取对价的合同。在合同开始日，本公司评估合同是否 为租赁或者包含租赁。如果合同一方让渡了在一定期间内控制一项或多项已识别资产使用的权利以换取对价，则该合同为租 赁或者包含租赁。为确定合同是否让渡了在一定期间内控制已识别资产使用的权利，本公司评估合同中的客户是否有权获得 在使用期间内因使用已识别资产所产生的几乎全部经济利益，并有权在该使用期间主导已识别资产的使用。</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合同中同时包含多项单独租赁的，本公司将合同予以分拆，并分别各项单独租赁进行会计处理。合同中同时包含租赁和 非租赁部分的，本公司将租赁和非租赁部分分拆后进行会计处理。</w:t>
      </w:r>
    </w:p>
    <w:p>
      <w:pPr>
        <w:pStyle w:val="Style18"/>
        <w:keepNext w:val="0"/>
        <w:keepLines w:val="0"/>
        <w:widowControl w:val="0"/>
        <w:shd w:val="clear" w:color="auto" w:fill="auto"/>
        <w:tabs>
          <w:tab w:pos="789" w:val="left"/>
        </w:tabs>
        <w:bidi w:val="0"/>
        <w:spacing w:before="0" w:after="0" w:line="313" w:lineRule="exact"/>
        <w:ind w:left="0" w:right="0" w:firstLine="380"/>
        <w:jc w:val="both"/>
      </w:pPr>
      <w:bookmarkStart w:id="930" w:name="bookmark930"/>
      <w:r>
        <w:rPr>
          <w:color w:val="000000"/>
          <w:spacing w:val="0"/>
          <w:w w:val="100"/>
          <w:position w:val="0"/>
        </w:rPr>
        <w:t>（</w:t>
      </w:r>
      <w:bookmarkEnd w:id="93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本集团作为承租人</w:t>
      </w:r>
    </w:p>
    <w:p>
      <w:pPr>
        <w:pStyle w:val="Style18"/>
        <w:keepNext w:val="0"/>
        <w:keepLines w:val="0"/>
        <w:widowControl w:val="0"/>
        <w:shd w:val="clear" w:color="auto" w:fill="auto"/>
        <w:tabs>
          <w:tab w:pos="695" w:val="left"/>
        </w:tabs>
        <w:bidi w:val="0"/>
        <w:spacing w:before="0" w:after="0" w:line="313" w:lineRule="exact"/>
        <w:ind w:left="0" w:right="0" w:firstLine="380"/>
        <w:jc w:val="both"/>
      </w:pPr>
      <w:bookmarkStart w:id="931" w:name="bookmark931"/>
      <w:r>
        <w:rPr>
          <w:rFonts w:ascii="Times New Roman" w:eastAsia="Times New Roman" w:hAnsi="Times New Roman" w:cs="Times New Roman"/>
          <w:color w:val="000000"/>
          <w:spacing w:val="0"/>
          <w:w w:val="100"/>
          <w:position w:val="0"/>
          <w:sz w:val="18"/>
          <w:szCs w:val="18"/>
        </w:rPr>
        <w:t>1</w:t>
      </w:r>
      <w:bookmarkEnd w:id="931"/>
      <w:r>
        <w:rPr>
          <w:color w:val="000000"/>
          <w:spacing w:val="0"/>
          <w:w w:val="100"/>
          <w:position w:val="0"/>
        </w:rPr>
        <w:t>）</w:t>
        <w:tab/>
        <w:t>租赁确认</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在租赁期开始日，本集团对租赁确认使用权资产和租赁负债。使用权资产和租赁负债的确认和计量参见附注四</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使用 权资产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w:t>
      </w:r>
      <w:r>
        <w:rPr>
          <w:rFonts w:ascii="Times New Roman" w:eastAsia="Times New Roman" w:hAnsi="Times New Roman" w:cs="Times New Roman"/>
          <w:color w:val="000000"/>
          <w:spacing w:val="0"/>
          <w:w w:val="100"/>
          <w:position w:val="0"/>
          <w:sz w:val="18"/>
          <w:szCs w:val="18"/>
        </w:rPr>
        <w:t>“26 .</w:t>
      </w:r>
      <w:r>
        <w:rPr>
          <w:color w:val="000000"/>
          <w:spacing w:val="0"/>
          <w:w w:val="100"/>
          <w:position w:val="0"/>
        </w:rPr>
        <w:t>租赁负债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8"/>
        <w:keepNext w:val="0"/>
        <w:keepLines w:val="0"/>
        <w:widowControl w:val="0"/>
        <w:shd w:val="clear" w:color="auto" w:fill="auto"/>
        <w:tabs>
          <w:tab w:pos="712" w:val="left"/>
        </w:tabs>
        <w:bidi w:val="0"/>
        <w:spacing w:before="0" w:after="0" w:line="313" w:lineRule="exact"/>
        <w:ind w:left="0" w:right="0" w:firstLine="380"/>
        <w:jc w:val="both"/>
      </w:pPr>
      <w:bookmarkStart w:id="932" w:name="bookmark932"/>
      <w:r>
        <w:rPr>
          <w:rFonts w:ascii="Times New Roman" w:eastAsia="Times New Roman" w:hAnsi="Times New Roman" w:cs="Times New Roman"/>
          <w:color w:val="000000"/>
          <w:spacing w:val="0"/>
          <w:w w:val="100"/>
          <w:position w:val="0"/>
          <w:sz w:val="18"/>
          <w:szCs w:val="18"/>
        </w:rPr>
        <w:t>2</w:t>
      </w:r>
      <w:bookmarkEnd w:id="932"/>
      <w:r>
        <w:rPr>
          <w:color w:val="000000"/>
          <w:spacing w:val="0"/>
          <w:w w:val="100"/>
          <w:position w:val="0"/>
        </w:rPr>
        <w:t>）</w:t>
        <w:tab/>
        <w:t>租赁变更</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租赁变更，是指原合同条款之外的租赁范围、租赁对价、租赁期限的变更，包括增加或终止一项或多项租赁资产的使用 权，延长或缩短合同规定的租赁期等。租赁变更生效日，是指双方就租赁变更达成一致的日期。</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租赁发生变更且同时符合下列条件的，本公司将该租赁变更作为一项单独租赁进行会计处理：①该租赁变更通过增加一 项或多项租赁资产的使用权而扩大了租赁范围或延长了租赁期限;②增加的对价与租赁范围扩大部分或租赁期限延长部分的 单独价格按该合同情况调整后的金额相当。</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租赁变更未作为一项单独租赁进行会计处理的，在租赁变更生效日，本公司按照租赁准则有关规定对变更后合同的对价 进行分摊，重新确定变更后的租赁期；并采用修订后的折现率对变更后的租赁付款额进行折现，以重新计量租赁负债。在计 算变更后租赁付款额的现值时，本公司采用剩余租赁期间的租赁内含利率作为折现率；无法确定剩余租赁期间的租赁内含利 率的，本公司采用租赁变更生效日的承租人增量借款利率作为折现率。就上述租赁负债调整的影响，本集团区分以下情形进 行会计处理：①租赁变更导致租赁范围缩小或租赁期缩短的，承租人应当调减使用权资产的账面价值，并将部分终止或完全 终止租赁的相关利得或损失计入当期损益。②其他租赁变更导致租赁负债重新计量的，承租人相应调整使用权资产的账面价 值。</w:t>
      </w:r>
    </w:p>
    <w:p>
      <w:pPr>
        <w:pStyle w:val="Style18"/>
        <w:keepNext w:val="0"/>
        <w:keepLines w:val="0"/>
        <w:widowControl w:val="0"/>
        <w:shd w:val="clear" w:color="auto" w:fill="auto"/>
        <w:tabs>
          <w:tab w:pos="702" w:val="left"/>
        </w:tabs>
        <w:bidi w:val="0"/>
        <w:spacing w:before="0" w:after="0" w:line="313" w:lineRule="exact"/>
        <w:ind w:left="0" w:right="0" w:firstLine="380"/>
        <w:jc w:val="both"/>
      </w:pPr>
      <w:bookmarkStart w:id="933" w:name="bookmark933"/>
      <w:r>
        <w:rPr>
          <w:rFonts w:ascii="Times New Roman" w:eastAsia="Times New Roman" w:hAnsi="Times New Roman" w:cs="Times New Roman"/>
          <w:color w:val="000000"/>
          <w:spacing w:val="0"/>
          <w:w w:val="100"/>
          <w:position w:val="0"/>
          <w:sz w:val="18"/>
          <w:szCs w:val="18"/>
        </w:rPr>
        <w:t>3</w:t>
      </w:r>
      <w:bookmarkEnd w:id="933"/>
      <w:r>
        <w:rPr>
          <w:color w:val="000000"/>
          <w:spacing w:val="0"/>
          <w:w w:val="100"/>
          <w:position w:val="0"/>
        </w:rPr>
        <w:t>）</w:t>
        <w:tab/>
        <w:t>短期租赁和低价值资产租赁</w:t>
      </w:r>
    </w:p>
    <w:p>
      <w:pPr>
        <w:pStyle w:val="Style18"/>
        <w:keepNext w:val="0"/>
        <w:keepLines w:val="0"/>
        <w:widowControl w:val="0"/>
        <w:shd w:val="clear" w:color="auto" w:fill="auto"/>
        <w:bidi w:val="0"/>
        <w:spacing w:before="0" w:after="140" w:line="313" w:lineRule="exact"/>
        <w:ind w:left="0" w:right="0" w:firstLine="380"/>
        <w:jc w:val="both"/>
      </w:pPr>
      <w:r>
        <w:rPr>
          <w:color w:val="000000"/>
          <w:spacing w:val="0"/>
          <w:w w:val="100"/>
          <w:position w:val="0"/>
        </w:rPr>
        <w:t>对于租赁期不超过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个月的短期租赁和单项租赁资产为全新资产时价值较低的低价值资产租赁，本公司选择不确认使用 权资产和租赁负债。本公司将短期租赁和低价值资产租赁的租赁付款额，在租赁期内各个期间按照直线法计入相关资产成本 或当期损益。</w:t>
      </w:r>
    </w:p>
    <w:p>
      <w:pPr>
        <w:pStyle w:val="Style18"/>
        <w:keepNext w:val="0"/>
        <w:keepLines w:val="0"/>
        <w:widowControl w:val="0"/>
        <w:shd w:val="clear" w:color="auto" w:fill="auto"/>
        <w:tabs>
          <w:tab w:pos="814" w:val="left"/>
        </w:tabs>
        <w:bidi w:val="0"/>
        <w:spacing w:before="0" w:after="0" w:line="313" w:lineRule="exact"/>
        <w:ind w:left="0" w:right="0" w:firstLine="380"/>
        <w:jc w:val="both"/>
      </w:pPr>
      <w:bookmarkStart w:id="934" w:name="bookmark934"/>
      <w:r>
        <w:rPr>
          <w:color w:val="000000"/>
          <w:spacing w:val="0"/>
          <w:w w:val="100"/>
          <w:position w:val="0"/>
        </w:rPr>
        <w:t>（</w:t>
      </w:r>
      <w:bookmarkEnd w:id="93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本公司为出租人</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）评估的该合同为租赁或包含租赁的基础上，本公司作为出租人，在租赁开始日，将租赁分为融资租赁和经营租 赁。</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如果一项租赁实质上转移了与租赁资产所有权有关的几乎全部风险和报酬，出租人将该项租赁分类为融资租赁，除融资 租赁以外的其他租赁分类为经营租赁。</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一项租赁存在下列一种或多种情形的，本公司通常将其分类为融资租赁：①在租赁期届满时，租赁资产的所有权转移给 承租人；②承租人有购买租赁资产的选择权，所订立的购买价款与预计行使选择权时租赁资产的公允价值相比足够低，因而 在租赁开始日就可以合理确定承租人将行使该选择权；③资产的所有权虽然不转移，但租赁期占租赁资产使用寿命的大部分 （不低于租赁资产使用寿命的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）；④在租赁开始日，租赁收款额的现值几乎相当于租赁资产的公允价值（不低于租赁资 产公允价值的</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。）；⑤租赁资产性质特殊，如果不作较大改造，只有承租人才能使用。一项租赁存在下列一项或多项迹 象的，本集团也可能将其分类为融资租赁：①若承租人撤销租赁，撤销租赁对出租人造成的损失由承租人承担；②资产余值 的公允价值波动所产生的利得或损失归属于承租人；③承租人有能力以远低于市场水平的租金继续租赁至下一期间。</w:t>
      </w:r>
    </w:p>
    <w:p>
      <w:pPr>
        <w:pStyle w:val="Style18"/>
        <w:keepNext w:val="0"/>
        <w:keepLines w:val="0"/>
        <w:widowControl w:val="0"/>
        <w:shd w:val="clear" w:color="auto" w:fill="auto"/>
        <w:tabs>
          <w:tab w:pos="814" w:val="left"/>
        </w:tabs>
        <w:bidi w:val="0"/>
        <w:spacing w:before="0" w:after="0" w:line="313" w:lineRule="exact"/>
        <w:ind w:left="0" w:right="0" w:firstLine="380"/>
        <w:jc w:val="both"/>
      </w:pPr>
      <w:bookmarkStart w:id="935" w:name="bookmark935"/>
      <w:r>
        <w:rPr>
          <w:color w:val="000000"/>
          <w:spacing w:val="0"/>
          <w:w w:val="100"/>
          <w:position w:val="0"/>
        </w:rPr>
        <w:t>（</w:t>
      </w:r>
      <w:bookmarkEnd w:id="93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经营租赁的会计处理</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租金的处理</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在租赁期内各个期间，本集团采用直线法将经营租赁的租赁收款额确认为租金收入。</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提供的激励措施</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提供免租期的，本集团将租金总额在不扣除免租期的整个租赁期内，按直线法进行分配，免租期内应当确认租金收入。 本集团承担了承租人某些费用的，将该费用自租金收入总额中扣除，按扣除后的租金收入余额在租赁期内进行分配。</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初始直接费用</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本集团发生的与经营租赁有关的初始直接费用应当资本化至租赁标的资产的成本，在租赁期内按照与租金收入相同的确 认基础分期计入当期损益。</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折旧</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对于经营租赁资产中的固定资产，本集团采用类似资产的折旧政策计提折旧；对于其他经营租赁资产，采用系统合理的 方法进行摊销。</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可变租赁付款额</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本集团取得的与经营租赁有关的未计入租赁收款额的可变租赁付款额</w:t>
      </w:r>
      <w:r>
        <w:rPr>
          <w:color w:val="000000"/>
          <w:spacing w:val="0"/>
          <w:w w:val="100"/>
          <w:position w:val="0"/>
          <w:sz w:val="18"/>
          <w:szCs w:val="18"/>
        </w:rPr>
        <w:t>，</w:t>
      </w:r>
      <w:r>
        <w:rPr>
          <w:color w:val="000000"/>
          <w:spacing w:val="0"/>
          <w:w w:val="100"/>
          <w:position w:val="0"/>
        </w:rPr>
        <w:t>在实际发生时计入当期损益。</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经营租赁的变更</w:t>
      </w:r>
    </w:p>
    <w:p>
      <w:pPr>
        <w:pStyle w:val="Style18"/>
        <w:keepNext w:val="0"/>
        <w:keepLines w:val="0"/>
        <w:widowControl w:val="0"/>
        <w:shd w:val="clear" w:color="auto" w:fill="auto"/>
        <w:bidi w:val="0"/>
        <w:spacing w:before="0" w:after="680" w:line="313" w:lineRule="exact"/>
        <w:ind w:left="0" w:right="0" w:firstLine="300"/>
        <w:jc w:val="both"/>
      </w:pPr>
      <w:r>
        <w:rPr>
          <w:color w:val="000000"/>
          <w:spacing w:val="0"/>
          <w:w w:val="100"/>
          <w:position w:val="0"/>
        </w:rPr>
        <w:t>经营租赁发生变更的，本集团自变更生效日开始，将其作为一项新的租赁进行会计处理，与变更前租赁有关的预收或应 收租赁收款额视为新租赁的收款额。</w:t>
      </w:r>
    </w:p>
    <w:p>
      <w:pPr>
        <w:pStyle w:val="Style36"/>
        <w:keepNext/>
        <w:keepLines/>
        <w:widowControl w:val="0"/>
        <w:shd w:val="clear" w:color="auto" w:fill="auto"/>
        <w:bidi w:val="0"/>
        <w:spacing w:before="0" w:after="280" w:line="240" w:lineRule="auto"/>
        <w:ind w:left="0" w:right="0" w:firstLine="0"/>
        <w:jc w:val="left"/>
      </w:pPr>
      <w:bookmarkStart w:id="936" w:name="bookmark936"/>
      <w:bookmarkStart w:id="937" w:name="bookmark937"/>
      <w:bookmarkStart w:id="938" w:name="bookmark938"/>
      <w:bookmarkStart w:id="939" w:name="bookmark939"/>
      <w:r>
        <w:rPr>
          <w:color w:val="000000"/>
          <w:spacing w:val="0"/>
          <w:w w:val="100"/>
          <w:position w:val="0"/>
        </w:rPr>
        <w:t>（</w:t>
      </w:r>
      <w:bookmarkEnd w:id="938"/>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936"/>
      <w:bookmarkEnd w:id="937"/>
      <w:bookmarkEnd w:id="939"/>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初始计量</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在租赁期开始日，本集团对融资租赁确认应收融资租赁款，并终止确认融资租赁资产。本集团对应收融资租赁款进行初 始计量时，以租赁投资净额作为应收融资租赁款的入账价值。</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租赁投资净额为未担保余值和租赁期开始日尚未收到的租赁收款额按照租赁内含利率折现的现值之和。租赁收款额，是 指出租人因让渡在租赁期内使用租赁资产的权利而应向承租人收取的款项，包括：①承租人需支付的固定付款额及实质固定 付款额；存在租赁激励的，扣除租赁激励相关金额；②取决于指数或比率的可变租赁付款额，该款项在初始计量时根据租赁 期开始日的指数或比率确定；③购买选择权的行权价格，前提是合理确定承租人将行使该选择权；④承租人行使终止租赁选 择权需支付的款项，前提是租赁期反映出承租人将行使终止租赁选择权；⑤由承租人、与承租人有关的一方以及有经济能力 履行担保义务的独立第三方向出租人提供的担保余值。</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后续计量</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 xml:space="preserve">本集团按照固定的周期性利率计算并确认租赁期内各个期间的利息收入。该周期性利率，是指确定租赁投资净额采用内 </w:t>
      </w:r>
      <w:r>
        <w:rPr>
          <w:color w:val="000000"/>
          <w:spacing w:val="0"/>
          <w:w w:val="100"/>
          <w:position w:val="0"/>
        </w:rPr>
        <w:t>含折现率（转租情况下，若转租的租赁内含利率无法确定，采用原租赁的折现率（根据与转租有关的初始直接费用进行调整））， 或者融资租赁的变更未作为一项单独租赁进行会计处理，且满足假如变更在租赁开始日生效，该租赁会被分类为融资租赁条 件时按相关规定确定的修订后的折现率。</w:t>
      </w:r>
    </w:p>
    <w:p>
      <w:pPr>
        <w:pStyle w:val="Style18"/>
        <w:keepNext w:val="0"/>
        <w:keepLines w:val="0"/>
        <w:widowControl w:val="0"/>
        <w:shd w:val="clear" w:color="auto" w:fill="auto"/>
        <w:bidi w:val="0"/>
        <w:spacing w:before="0" w:after="0" w:line="313" w:lineRule="exact"/>
        <w:ind w:left="0" w:right="0"/>
        <w:jc w:val="left"/>
      </w:pPr>
      <w:r>
        <w:rPr>
          <w:color w:val="000000"/>
          <w:spacing w:val="0"/>
          <w:w w:val="100"/>
          <w:position w:val="0"/>
        </w:rPr>
        <w:t>租赁变更的会计处理</w:t>
      </w:r>
    </w:p>
    <w:p>
      <w:pPr>
        <w:pStyle w:val="Style1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融资租赁发生变更且同时符合下列条件的，本集团将该变更作为一项单独租赁进行会计处理：①该变更通过增加一项或 多项租赁资产的使用权而扩大了租赁范围；②增加的对价与租赁范围扩大部分的单独价格按该合同情况调整后的金额相当。</w:t>
      </w:r>
    </w:p>
    <w:p>
      <w:pPr>
        <w:pStyle w:val="Style18"/>
        <w:keepNext w:val="0"/>
        <w:keepLines w:val="0"/>
        <w:widowControl w:val="0"/>
        <w:shd w:val="clear" w:color="auto" w:fill="auto"/>
        <w:bidi w:val="0"/>
        <w:spacing w:before="0" w:after="380" w:line="313" w:lineRule="exact"/>
        <w:ind w:left="0" w:right="0" w:firstLine="300"/>
        <w:jc w:val="both"/>
      </w:pPr>
      <w:r>
        <w:rPr>
          <w:color w:val="000000"/>
          <w:spacing w:val="0"/>
          <w:w w:val="100"/>
          <w:position w:val="0"/>
        </w:rPr>
        <w:t>如果融资租赁的变更未作为一项单独租赁进行会计处理，且满足假如变更在租赁开始日生效，该租赁会被分类为经营租 赁条件的，本集团自租赁变更生效日开始将其作为一项新租赁进行会计处理，并以租赁变更生效日前的租赁投资净额作为租 赁资产的账面价值。</w:t>
      </w:r>
    </w:p>
    <w:p>
      <w:pPr>
        <w:pStyle w:val="Style32"/>
        <w:keepNext/>
        <w:keepLines/>
        <w:widowControl w:val="0"/>
        <w:shd w:val="clear" w:color="auto" w:fill="auto"/>
        <w:tabs>
          <w:tab w:pos="483" w:val="left"/>
        </w:tabs>
        <w:bidi w:val="0"/>
        <w:spacing w:before="0" w:after="280" w:line="240" w:lineRule="auto"/>
        <w:ind w:left="0" w:right="0" w:firstLine="0"/>
        <w:jc w:val="left"/>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3</w:t>
      </w:r>
      <w:bookmarkEnd w:id="942"/>
      <w:r>
        <w:rPr>
          <w:rFonts w:ascii="Times New Roman" w:eastAsia="Times New Roman" w:hAnsi="Times New Roman" w:cs="Times New Roman"/>
          <w:color w:val="000000"/>
          <w:spacing w:val="0"/>
          <w:w w:val="100"/>
          <w:position w:val="0"/>
        </w:rPr>
        <w:t>7</w:t>
      </w:r>
      <w:r>
        <w:rPr>
          <w:color w:val="000000"/>
          <w:spacing w:val="0"/>
          <w:w w:val="100"/>
          <w:position w:val="0"/>
        </w:rPr>
        <w:t>、</w:t>
        <w:tab/>
        <w:t>其他重要的会计政策和会计估计</w:t>
      </w:r>
      <w:bookmarkEnd w:id="940"/>
      <w:bookmarkEnd w:id="941"/>
      <w:bookmarkEnd w:id="943"/>
    </w:p>
    <w:p>
      <w:pPr>
        <w:pStyle w:val="Style18"/>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无</w:t>
      </w:r>
    </w:p>
    <w:p>
      <w:pPr>
        <w:pStyle w:val="Style32"/>
        <w:keepNext/>
        <w:keepLines/>
        <w:widowControl w:val="0"/>
        <w:shd w:val="clear" w:color="auto" w:fill="auto"/>
        <w:tabs>
          <w:tab w:pos="483" w:val="left"/>
        </w:tabs>
        <w:bidi w:val="0"/>
        <w:spacing w:before="0" w:line="240" w:lineRule="auto"/>
        <w:ind w:left="0" w:right="0" w:firstLine="0"/>
        <w:jc w:val="left"/>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3</w:t>
      </w:r>
      <w:bookmarkEnd w:id="946"/>
      <w:r>
        <w:rPr>
          <w:rFonts w:ascii="Times New Roman" w:eastAsia="Times New Roman" w:hAnsi="Times New Roman" w:cs="Times New Roman"/>
          <w:color w:val="000000"/>
          <w:spacing w:val="0"/>
          <w:w w:val="100"/>
          <w:position w:val="0"/>
        </w:rPr>
        <w:t>8</w:t>
      </w:r>
      <w:r>
        <w:rPr>
          <w:color w:val="000000"/>
          <w:spacing w:val="0"/>
          <w:w w:val="100"/>
          <w:position w:val="0"/>
        </w:rPr>
        <w:t>、</w:t>
        <w:tab/>
        <w:t>重要会计政策和会计估计变更</w:t>
      </w:r>
      <w:bookmarkEnd w:id="944"/>
      <w:bookmarkEnd w:id="945"/>
      <w:bookmarkEnd w:id="947"/>
    </w:p>
    <w:p>
      <w:pPr>
        <w:pStyle w:val="Style36"/>
        <w:keepNext/>
        <w:keepLines/>
        <w:widowControl w:val="0"/>
        <w:shd w:val="clear" w:color="auto" w:fill="auto"/>
        <w:bidi w:val="0"/>
        <w:spacing w:before="0" w:line="240" w:lineRule="auto"/>
        <w:ind w:left="0" w:right="0" w:firstLine="0"/>
        <w:jc w:val="left"/>
      </w:pPr>
      <w:bookmarkStart w:id="948" w:name="bookmark948"/>
      <w:bookmarkStart w:id="949" w:name="bookmark949"/>
      <w:bookmarkStart w:id="950" w:name="bookmark950"/>
      <w:bookmarkStart w:id="951" w:name="bookmark951"/>
      <w:r>
        <w:rPr>
          <w:color w:val="000000"/>
          <w:spacing w:val="0"/>
          <w:w w:val="100"/>
          <w:position w:val="0"/>
        </w:rPr>
        <w:t>（</w:t>
      </w:r>
      <w:bookmarkEnd w:id="950"/>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48"/>
      <w:bookmarkEnd w:id="949"/>
      <w:bookmarkEnd w:id="951"/>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046"/>
        <w:gridCol w:w="2410"/>
        <w:gridCol w:w="2491"/>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财政部于</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日修订发布了《关于修 订印发</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企业会计准则第</w:t>
            </w:r>
            <w:r>
              <w:rPr>
                <w:color w:val="000000"/>
                <w:spacing w:val="0"/>
                <w:w w:val="100"/>
                <w:position w:val="0"/>
                <w:sz w:val="18"/>
                <w:szCs w:val="18"/>
              </w:rPr>
              <w:t>21</w:t>
            </w:r>
            <w:r>
              <w:rPr>
                <w:rFonts w:ascii="SimSun" w:eastAsia="SimSun" w:hAnsi="SimSun" w:cs="SimSun"/>
                <w:color w:val="000000"/>
                <w:spacing w:val="0"/>
                <w:w w:val="100"/>
                <w:position w:val="0"/>
                <w:sz w:val="17"/>
                <w:szCs w:val="17"/>
              </w:rPr>
              <w:t>号——租赁</w:t>
            </w:r>
            <w:r>
              <w:rPr>
                <w:color w:val="000000"/>
                <w:spacing w:val="0"/>
                <w:w w:val="100"/>
                <w:position w:val="0"/>
                <w:sz w:val="18"/>
                <w:szCs w:val="18"/>
              </w:rPr>
              <w:t>＞</w:t>
            </w:r>
            <w:r>
              <w:rPr>
                <w:rFonts w:ascii="SimSun" w:eastAsia="SimSun" w:hAnsi="SimSun" w:cs="SimSun"/>
                <w:color w:val="000000"/>
                <w:spacing w:val="0"/>
                <w:w w:val="100"/>
                <w:position w:val="0"/>
                <w:sz w:val="17"/>
                <w:szCs w:val="17"/>
              </w:rPr>
              <w:t>的通知》</w:t>
            </w:r>
          </w:p>
          <w:p>
            <w:pPr>
              <w:pStyle w:val="Style20"/>
              <w:keepNext w:val="0"/>
              <w:keepLines w:val="0"/>
              <w:widowControl w:val="0"/>
              <w:shd w:val="clear" w:color="auto" w:fill="auto"/>
              <w:tabs>
                <w:tab w:pos="1162" w:val="left"/>
              </w:tabs>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（财会〔</w:t>
            </w:r>
            <w:r>
              <w:rPr>
                <w:color w:val="000000"/>
                <w:spacing w:val="0"/>
                <w:w w:val="100"/>
                <w:position w:val="0"/>
                <w:sz w:val="18"/>
                <w:szCs w:val="18"/>
              </w:rPr>
              <w:t>2018</w:t>
            </w:r>
            <w:r>
              <w:rPr>
                <w:rFonts w:ascii="SimSun" w:eastAsia="SimSun" w:hAnsi="SimSun" w:cs="SimSun"/>
                <w:color w:val="000000"/>
                <w:spacing w:val="0"/>
                <w:w w:val="100"/>
                <w:position w:val="0"/>
                <w:sz w:val="17"/>
                <w:szCs w:val="17"/>
              </w:rPr>
              <w:t>）</w:t>
              <w:tab/>
            </w:r>
            <w:r>
              <w:rPr>
                <w:color w:val="000000"/>
                <w:spacing w:val="0"/>
                <w:w w:val="100"/>
                <w:position w:val="0"/>
                <w:sz w:val="18"/>
                <w:szCs w:val="18"/>
              </w:rPr>
              <w:t>35</w:t>
            </w:r>
            <w:r>
              <w:rPr>
                <w:rFonts w:ascii="SimSun" w:eastAsia="SimSun" w:hAnsi="SimSun" w:cs="SimSun"/>
                <w:color w:val="000000"/>
                <w:spacing w:val="0"/>
                <w:w w:val="100"/>
                <w:position w:val="0"/>
                <w:sz w:val="17"/>
                <w:szCs w:val="17"/>
              </w:rPr>
              <w:t>号）（以下简称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新租赁准则</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8"/>
        <w:keepNext w:val="0"/>
        <w:keepLines w:val="0"/>
        <w:widowControl w:val="0"/>
        <w:shd w:val="clear" w:color="auto" w:fill="auto"/>
        <w:tabs>
          <w:tab w:pos="1236" w:val="left"/>
        </w:tabs>
        <w:bidi w:val="0"/>
        <w:spacing w:before="0" w:after="100" w:line="240" w:lineRule="auto"/>
        <w:ind w:left="0" w:right="0" w:firstLine="900"/>
        <w:jc w:val="left"/>
      </w:pPr>
      <w:r>
        <w:rPr>
          <w:rFonts w:ascii="Courier New" w:eastAsia="Courier New" w:hAnsi="Courier New" w:cs="Courier New"/>
          <w:color w:val="000000"/>
          <w:spacing w:val="0"/>
          <w:w w:val="100"/>
          <w:position w:val="0"/>
          <w:sz w:val="16"/>
          <w:szCs w:val="16"/>
        </w:rPr>
        <w:t>1.</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年起（首次）执行新租赁准则调整执行当年年初财务报表相关项目情况：</w:t>
      </w:r>
    </w:p>
    <w:p>
      <w:pPr>
        <w:pStyle w:val="Style18"/>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合并资产负债表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1944"/>
        <w:gridCol w:w="1944"/>
        <w:gridCol w:w="1622"/>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2020</w:t>
            </w:r>
            <w:r>
              <w:rPr>
                <w:rFonts w:ascii="SimSun" w:eastAsia="SimSun" w:hAnsi="SimSun" w:cs="SimSun"/>
                <w:b/>
                <w:bCs/>
                <w:color w:val="000000"/>
                <w:spacing w:val="0"/>
                <w:w w:val="100"/>
                <w:position w:val="0"/>
                <w:sz w:val="17"/>
                <w:szCs w:val="17"/>
              </w:rPr>
              <w:t>年</w:t>
            </w:r>
            <w:r>
              <w:rPr>
                <w:b/>
                <w:bCs/>
                <w:color w:val="000000"/>
                <w:spacing w:val="0"/>
                <w:w w:val="100"/>
                <w:position w:val="0"/>
                <w:sz w:val="18"/>
                <w:szCs w:val="18"/>
              </w:rPr>
              <w:t>12</w:t>
            </w:r>
            <w:r>
              <w:rPr>
                <w:rFonts w:ascii="SimSun" w:eastAsia="SimSun" w:hAnsi="SimSun" w:cs="SimSun"/>
                <w:b/>
                <w:bCs/>
                <w:color w:val="000000"/>
                <w:spacing w:val="0"/>
                <w:w w:val="100"/>
                <w:position w:val="0"/>
                <w:sz w:val="17"/>
                <w:szCs w:val="17"/>
              </w:rPr>
              <w:t>月</w:t>
            </w:r>
            <w:r>
              <w:rPr>
                <w:b/>
                <w:bCs/>
                <w:color w:val="000000"/>
                <w:spacing w:val="0"/>
                <w:w w:val="100"/>
                <w:position w:val="0"/>
                <w:sz w:val="18"/>
                <w:szCs w:val="18"/>
              </w:rPr>
              <w:t>31</w:t>
            </w:r>
            <w:r>
              <w:rPr>
                <w:rFonts w:ascii="SimSun" w:eastAsia="SimSun" w:hAnsi="SimSun" w:cs="SimSun"/>
                <w:b/>
                <w:bCs/>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2021</w:t>
            </w:r>
            <w:r>
              <w:rPr>
                <w:rFonts w:ascii="SimSun" w:eastAsia="SimSun" w:hAnsi="SimSun" w:cs="SimSun"/>
                <w:b/>
                <w:bCs/>
                <w:color w:val="000000"/>
                <w:spacing w:val="0"/>
                <w:w w:val="100"/>
                <w:position w:val="0"/>
                <w:sz w:val="17"/>
                <w:szCs w:val="17"/>
              </w:rPr>
              <w:t>年</w:t>
            </w:r>
            <w:r>
              <w:rPr>
                <w:b/>
                <w:bCs/>
                <w:color w:val="000000"/>
                <w:spacing w:val="0"/>
                <w:w w:val="100"/>
                <w:position w:val="0"/>
                <w:sz w:val="18"/>
                <w:szCs w:val="18"/>
              </w:rPr>
              <w:t>1</w:t>
            </w:r>
            <w:r>
              <w:rPr>
                <w:rFonts w:ascii="SimSun" w:eastAsia="SimSun" w:hAnsi="SimSun" w:cs="SimSun"/>
                <w:b/>
                <w:bCs/>
                <w:color w:val="000000"/>
                <w:spacing w:val="0"/>
                <w:w w:val="100"/>
                <w:position w:val="0"/>
                <w:sz w:val="17"/>
                <w:szCs w:val="17"/>
              </w:rPr>
              <w:t>月</w:t>
            </w:r>
            <w:r>
              <w:rPr>
                <w:b/>
                <w:bCs/>
                <w:color w:val="000000"/>
                <w:spacing w:val="0"/>
                <w:w w:val="100"/>
                <w:position w:val="0"/>
                <w:sz w:val="18"/>
                <w:szCs w:val="18"/>
              </w:rPr>
              <w:t>1</w:t>
            </w:r>
            <w:r>
              <w:rPr>
                <w:rFonts w:ascii="SimSun" w:eastAsia="SimSun" w:hAnsi="SimSun" w:cs="SimSun"/>
                <w:b/>
                <w:bCs/>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b/>
                <w:bCs/>
                <w:color w:val="000000"/>
                <w:spacing w:val="0"/>
                <w:w w:val="100"/>
                <w:position w:val="0"/>
                <w:sz w:val="17"/>
                <w:szCs w:val="17"/>
              </w:rPr>
              <w:t>调整数</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15,551,622.22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15,551,622.22</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23,252,628.56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21,306,567.73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-1,946,060.83</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5,458,397.40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5,458,397.40</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8,147,163.99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8,147,163.99</w:t>
            </w:r>
          </w:p>
        </w:tc>
      </w:tr>
    </w:tbl>
    <w:p>
      <w:pPr>
        <w:pStyle w:val="Style18"/>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年起首次执行新租赁准则对母公司财务报表无影响。</w:t>
      </w:r>
    </w:p>
    <w:p>
      <w:pPr>
        <w:pStyle w:val="Style18"/>
        <w:keepNext w:val="0"/>
        <w:keepLines w:val="0"/>
        <w:widowControl w:val="0"/>
        <w:shd w:val="clear" w:color="auto" w:fill="auto"/>
        <w:bidi w:val="0"/>
        <w:spacing w:before="0" w:after="380" w:line="322" w:lineRule="exact"/>
        <w:ind w:left="0" w:right="0" w:firstLine="380"/>
        <w:jc w:val="left"/>
      </w:pPr>
      <w:r>
        <w:rPr>
          <w:color w:val="000000"/>
          <w:spacing w:val="0"/>
          <w:w w:val="100"/>
          <w:position w:val="0"/>
        </w:rPr>
        <w:t>说明：本公司自</w:t>
      </w:r>
      <w:r>
        <w:rPr>
          <w:rFonts w:ascii="Courier New" w:eastAsia="Courier New" w:hAnsi="Courier New" w:cs="Courier New"/>
          <w:color w:val="000000"/>
          <w:spacing w:val="0"/>
          <w:w w:val="100"/>
          <w:position w:val="0"/>
          <w:sz w:val="16"/>
          <w:szCs w:val="16"/>
        </w:rPr>
        <w:t>2021</w:t>
      </w:r>
      <w:r>
        <w:rPr>
          <w:color w:val="000000"/>
          <w:spacing w:val="0"/>
          <w:w w:val="100"/>
          <w:position w:val="0"/>
        </w:rPr>
        <w:t>年</w:t>
      </w:r>
      <w:r>
        <w:rPr>
          <w:rFonts w:ascii="Courier New" w:eastAsia="Courier New" w:hAnsi="Courier New" w:cs="Courier New"/>
          <w:color w:val="000000"/>
          <w:spacing w:val="0"/>
          <w:w w:val="100"/>
          <w:position w:val="0"/>
          <w:sz w:val="16"/>
          <w:szCs w:val="16"/>
        </w:rPr>
        <w:t>1</w:t>
      </w:r>
      <w:r>
        <w:rPr>
          <w:color w:val="000000"/>
          <w:spacing w:val="0"/>
          <w:w w:val="100"/>
          <w:position w:val="0"/>
        </w:rPr>
        <w:t>月</w:t>
      </w:r>
      <w:r>
        <w:rPr>
          <w:rFonts w:ascii="Courier New" w:eastAsia="Courier New" w:hAnsi="Courier New" w:cs="Courier New"/>
          <w:color w:val="000000"/>
          <w:spacing w:val="0"/>
          <w:w w:val="100"/>
          <w:position w:val="0"/>
          <w:sz w:val="16"/>
          <w:szCs w:val="16"/>
        </w:rPr>
        <w:t>1</w:t>
      </w:r>
      <w:r>
        <w:rPr>
          <w:color w:val="000000"/>
          <w:spacing w:val="0"/>
          <w:w w:val="100"/>
          <w:position w:val="0"/>
        </w:rPr>
        <w:t>日起实施新租赁准则。公司根据首次执行该准则的累计影响数，采用调整首次执行该准则当 年年初留存收益及财务报表其他相关项目金额，对可比期间信息不予调整。</w:t>
      </w:r>
    </w:p>
    <w:p>
      <w:pPr>
        <w:pStyle w:val="Style36"/>
        <w:keepNext/>
        <w:keepLines/>
        <w:widowControl w:val="0"/>
        <w:shd w:val="clear" w:color="auto" w:fill="auto"/>
        <w:tabs>
          <w:tab w:pos="493" w:val="left"/>
        </w:tabs>
        <w:bidi w:val="0"/>
        <w:spacing w:before="0" w:after="280" w:line="240" w:lineRule="auto"/>
        <w:ind w:left="0" w:right="0" w:firstLine="0"/>
        <w:jc w:val="left"/>
      </w:pPr>
      <w:bookmarkStart w:id="952" w:name="bookmark952"/>
      <w:bookmarkStart w:id="953" w:name="bookmark953"/>
      <w:bookmarkStart w:id="954" w:name="bookmark954"/>
      <w:bookmarkStart w:id="955" w:name="bookmark955"/>
      <w:r>
        <w:rPr>
          <w:color w:val="000000"/>
          <w:spacing w:val="0"/>
          <w:w w:val="100"/>
          <w:position w:val="0"/>
        </w:rPr>
        <w:t>（</w:t>
      </w:r>
      <w:bookmarkEnd w:id="954"/>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952"/>
      <w:bookmarkEnd w:id="953"/>
      <w:bookmarkEnd w:id="955"/>
    </w:p>
    <w:p>
      <w:pPr>
        <w:pStyle w:val="Style18"/>
        <w:keepNext w:val="0"/>
        <w:keepLines w:val="0"/>
        <w:widowControl w:val="0"/>
        <w:shd w:val="clear" w:color="auto" w:fill="auto"/>
        <w:bidi w:val="0"/>
        <w:spacing w:before="0" w:after="38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after="280" w:line="240" w:lineRule="auto"/>
        <w:ind w:left="0" w:right="0" w:firstLine="0"/>
        <w:jc w:val="left"/>
      </w:pPr>
      <w:bookmarkStart w:id="956" w:name="bookmark956"/>
      <w:bookmarkStart w:id="957" w:name="bookmark957"/>
      <w:bookmarkStart w:id="958" w:name="bookmark958"/>
      <w:bookmarkStart w:id="959" w:name="bookmark959"/>
      <w:r>
        <w:rPr>
          <w:color w:val="000000"/>
          <w:spacing w:val="0"/>
          <w:w w:val="100"/>
          <w:position w:val="0"/>
        </w:rPr>
        <w:t>（</w:t>
      </w:r>
      <w:bookmarkEnd w:id="958"/>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956"/>
      <w:bookmarkEnd w:id="957"/>
      <w:bookmarkEnd w:id="959"/>
    </w:p>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320" w:line="322" w:lineRule="exact"/>
        <w:ind w:left="0" w:right="0" w:firstLine="0"/>
        <w:jc w:val="left"/>
      </w:pPr>
      <w:r>
        <w:rPr>
          <w:color w:val="000000"/>
          <w:spacing w:val="0"/>
          <w:w w:val="100"/>
          <w:position w:val="0"/>
        </w:rPr>
        <w:t>是否需要调整年初资产负债表科目</w:t>
      </w:r>
      <w:r>
        <w:br w:type="page"/>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712,276,110.35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712,276,110.35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693,235.47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693,235.47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220,287,693.15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220,287,693.15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422,093.43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422,093.43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10,848,628.10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10,848,628.10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24,904,504.62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24,904,504.62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115,654,405.03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115,654,405.03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13,182,677.03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13,182,677.03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23,252,628.56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21,306,567.73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-1,946,060.83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1,321,521,975.74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1,321,521,975.74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38,845,030.72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38,845,030.72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800,678,248.15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800,678,248.15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5,109,816.16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5,109,816.16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15,551,622.22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15,551,622.22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82,616,905.71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82,616,905.71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15,190,033.76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15,190,033.76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2,485,097.93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2,485,097.93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14,981,608.20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14,981,608.20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5,941,086.01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5,941,086.01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965,847,826.64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965,847,826.64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2,287,369,802.38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2,287,369,802.38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114,464,429.35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114,464,429.35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155,030,715.35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155,030,715.35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2,230,063.69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2,230,063.69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266,438,938.51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266,438,938.51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55,082,420.83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55,082,420.83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22,647,349.13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22,647,349.13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56,297,725.55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56,297,725.55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5,458,397.40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5,458,397.40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563,485.22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563,485.22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672,755,127.63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672,755,127.63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8,147,163.99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8,147,163.99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6,329,204.32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6,329,204.32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21,212,906.83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21,212,906.83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27,542,111.15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27,542,111.15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700,297,238.78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700,297,238.78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545,666,421.00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545,666,421.00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249,782,710.21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249,782,710.21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300,990,141.76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300,990,141.76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487,333,691.60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487,333,691.60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1,583,772,964.57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3,299,599.03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3,299,599.03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1,587,072,563.60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1,587,072,563.60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2,287,369,802.38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2,287,369,802.38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625,837,977.16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625,837,977.16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693,235.47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693,235.47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144,372,774.76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144,372,774.76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422,093.43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422,093.43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3,332,359.80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3,332,359.80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32,974,044.17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32,974,044.17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54,305,728.19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54,305,728.19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7,762,141.31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7,762,141.31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1,069,700,354.29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1,069,700,354.29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583,226,791.39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583,226,791.39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5,033,698.80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5,033,698.80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496,216,247.39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496,216,247.39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3,574,624.69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3,574,624.69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47,291,269.78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47,291,269.78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11,870,586.23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11,870,586.23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2,681,652.97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2,681,652.97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3,786,087.81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3,786,087.81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1,153,680,959.06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1,153,680,959.06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2,223,381,313.35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2,223,381,313.35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114,464,429.35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114,464,429.35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73,027,585.99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73,027,585.99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158,358,933.56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158,358,933.56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24,789,783.00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24,789,783.00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11,020,244.47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11,020,244.47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380,514,847.30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380,514,847.30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386,276.48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386,276.48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762,562,100.15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762,562,100.15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548,820.00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548,820.00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548,820.00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548,820.00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763,110,920.15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763,110,920.15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545,666,421.00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545,666,421.00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378,000,186.04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378,000,186.04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300,990,141.76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300,990,141.76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235,613,644.40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235,613,644.40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1,460,270,393.20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1,460,270,393.20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2,223,381,313.35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2,223,381,313.35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调整情况说明</w:t>
      </w:r>
    </w:p>
    <w:p>
      <w:pPr>
        <w:pStyle w:val="Style36"/>
        <w:keepNext/>
        <w:keepLines/>
        <w:widowControl w:val="0"/>
        <w:shd w:val="clear" w:color="auto" w:fill="auto"/>
        <w:tabs>
          <w:tab w:pos="493" w:val="left"/>
        </w:tabs>
        <w:bidi w:val="0"/>
        <w:spacing w:before="0" w:line="240" w:lineRule="auto"/>
        <w:ind w:left="0" w:right="0" w:firstLine="0"/>
        <w:jc w:val="left"/>
      </w:pPr>
      <w:bookmarkStart w:id="960" w:name="bookmark960"/>
      <w:bookmarkStart w:id="961" w:name="bookmark961"/>
      <w:bookmarkStart w:id="962" w:name="bookmark962"/>
      <w:bookmarkStart w:id="963" w:name="bookmark963"/>
      <w:r>
        <w:rPr>
          <w:color w:val="000000"/>
          <w:spacing w:val="0"/>
          <w:w w:val="100"/>
          <w:position w:val="0"/>
          <w:shd w:val="clear" w:color="auto" w:fill="FFFFFF"/>
        </w:rPr>
        <w:t>（</w:t>
      </w:r>
      <w:bookmarkEnd w:id="962"/>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960"/>
      <w:bookmarkEnd w:id="961"/>
      <w:bookmarkEnd w:id="963"/>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260" w:line="240" w:lineRule="auto"/>
        <w:ind w:left="0" w:right="0"/>
        <w:jc w:val="left"/>
        <w:sectPr>
          <w:footnotePr>
            <w:pos w:val="pageBottom"/>
            <w:numFmt w:val="decimal"/>
            <w:numRestart w:val="continuous"/>
          </w:footnotePr>
          <w:pgSz w:w="11900" w:h="16840"/>
          <w:pgMar w:top="1378" w:right="1062" w:bottom="1436" w:left="1061" w:header="0" w:footer="3" w:gutter="0"/>
          <w:cols w:space="720"/>
          <w:noEndnote/>
          <w:rtlGutter w:val="0"/>
          <w:docGrid w:linePitch="360"/>
        </w:sectPr>
      </w:pPr>
      <w:r>
        <w:rPr>
          <w:rFonts w:ascii="Courier New" w:eastAsia="Courier New" w:hAnsi="Courier New" w:cs="Courier New"/>
          <w:color w:val="000000"/>
          <w:spacing w:val="0"/>
          <w:w w:val="100"/>
          <w:position w:val="0"/>
          <w:sz w:val="16"/>
          <w:szCs w:val="16"/>
        </w:rPr>
        <w:t>2021</w:t>
      </w:r>
      <w:r>
        <w:rPr>
          <w:color w:val="000000"/>
          <w:spacing w:val="0"/>
          <w:w w:val="100"/>
          <w:position w:val="0"/>
        </w:rPr>
        <w:t>年起首次执行新租赁准则对合并财务报表及母公司财务报表无影响。</w:t>
      </w:r>
    </w:p>
    <w:p>
      <w:pPr>
        <w:pStyle w:val="Style32"/>
        <w:keepNext/>
        <w:keepLines/>
        <w:widowControl w:val="0"/>
        <w:shd w:val="clear" w:color="auto" w:fill="auto"/>
        <w:bidi w:val="0"/>
        <w:spacing w:before="0" w:after="360" w:line="240" w:lineRule="auto"/>
        <w:ind w:left="0" w:right="0" w:firstLine="0"/>
        <w:jc w:val="left"/>
      </w:pPr>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39</w:t>
      </w:r>
      <w:r>
        <w:rPr>
          <w:color w:val="000000"/>
          <w:spacing w:val="0"/>
          <w:w w:val="100"/>
          <w:position w:val="0"/>
        </w:rPr>
        <w:t>、其他</w:t>
      </w:r>
      <w:bookmarkEnd w:id="964"/>
      <w:bookmarkEnd w:id="965"/>
      <w:bookmarkEnd w:id="966"/>
    </w:p>
    <w:p>
      <w:pPr>
        <w:pStyle w:val="Style23"/>
        <w:keepNext/>
        <w:keepLines/>
        <w:widowControl w:val="0"/>
        <w:shd w:val="clear" w:color="auto" w:fill="auto"/>
        <w:bidi w:val="0"/>
        <w:spacing w:before="0" w:line="240" w:lineRule="auto"/>
        <w:ind w:left="0" w:right="0" w:firstLine="0"/>
        <w:jc w:val="left"/>
      </w:pPr>
      <w:bookmarkStart w:id="967" w:name="bookmark967"/>
      <w:bookmarkStart w:id="968" w:name="bookmark968"/>
      <w:bookmarkStart w:id="969" w:name="bookmark969"/>
      <w:bookmarkStart w:id="970" w:name="bookmark970"/>
      <w:r>
        <w:rPr>
          <w:color w:val="000000"/>
          <w:spacing w:val="0"/>
          <w:w w:val="100"/>
          <w:position w:val="0"/>
        </w:rPr>
        <w:t>六</w:t>
      </w:r>
      <w:bookmarkEnd w:id="969"/>
      <w:r>
        <w:rPr>
          <w:color w:val="000000"/>
          <w:spacing w:val="0"/>
          <w:w w:val="100"/>
          <w:position w:val="0"/>
        </w:rPr>
        <w:t>、税项</w:t>
      </w:r>
      <w:bookmarkEnd w:id="967"/>
      <w:bookmarkEnd w:id="968"/>
      <w:bookmarkEnd w:id="970"/>
    </w:p>
    <w:p>
      <w:pPr>
        <w:pStyle w:val="Style32"/>
        <w:keepNext/>
        <w:keepLines/>
        <w:widowControl w:val="0"/>
        <w:shd w:val="clear" w:color="auto" w:fill="auto"/>
        <w:bidi w:val="0"/>
        <w:spacing w:before="0" w:after="300" w:line="240" w:lineRule="auto"/>
        <w:ind w:left="0" w:right="0" w:firstLine="0"/>
        <w:jc w:val="left"/>
      </w:pPr>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71"/>
      <w:bookmarkEnd w:id="972"/>
      <w:bookmarkEnd w:id="973"/>
    </w:p>
    <w:tbl>
      <w:tblPr>
        <w:tblOverlap w:val="never"/>
        <w:jc w:val="center"/>
        <w:tblLayout w:type="fixed"/>
      </w:tblPr>
      <w:tblGrid>
        <w:gridCol w:w="3197"/>
        <w:gridCol w:w="3898"/>
        <w:gridCol w:w="2491"/>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按应税收入计算销项税，并按扣除当期允许抵扣 的进项税额后的差额计缴增值税。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sz w:val="17"/>
                <w:szCs w:val="17"/>
              </w:rPr>
              <w:t>、</w:t>
            </w:r>
            <w:r>
              <w:rPr>
                <w:color w:val="000000"/>
                <w:spacing w:val="0"/>
                <w:w w:val="100"/>
                <w:position w:val="0"/>
              </w:rPr>
              <w:t>9%</w:t>
            </w:r>
            <w:r>
              <w:rPr>
                <w:rFonts w:ascii="SimSun" w:eastAsia="SimSun" w:hAnsi="SimSun" w:cs="SimSun"/>
                <w:color w:val="000000"/>
                <w:spacing w:val="0"/>
                <w:w w:val="100"/>
                <w:position w:val="0"/>
                <w:sz w:val="17"/>
                <w:szCs w:val="17"/>
              </w:rPr>
              <w:t>、</w:t>
            </w:r>
            <w:r>
              <w:rPr>
                <w:color w:val="000000"/>
                <w:spacing w:val="0"/>
                <w:w w:val="100"/>
                <w:position w:val="0"/>
              </w:rPr>
              <w:t>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按实际缴纳的流转税计缴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sz w:val="17"/>
                <w:szCs w:val="17"/>
              </w:rPr>
              <w:t>、</w:t>
            </w:r>
            <w:r>
              <w:rPr>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按应纳税所得额计缴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按实际缴纳的流转税计缴</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sz w:val="17"/>
                <w:szCs w:val="17"/>
              </w:rPr>
              <w:t>、</w:t>
            </w:r>
            <w:r>
              <w:rPr>
                <w:color w:val="000000"/>
                <w:spacing w:val="0"/>
                <w:w w:val="100"/>
                <w:position w:val="0"/>
              </w:rPr>
              <w:t>2%</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974"/>
      <w:bookmarkEnd w:id="975"/>
      <w:bookmarkEnd w:id="976"/>
    </w:p>
    <w:p>
      <w:pPr>
        <w:pStyle w:val="Style18"/>
        <w:keepNext w:val="0"/>
        <w:keepLines w:val="0"/>
        <w:widowControl w:val="0"/>
        <w:shd w:val="clear" w:color="auto" w:fill="auto"/>
        <w:bidi w:val="0"/>
        <w:spacing w:before="0" w:after="0" w:line="309" w:lineRule="exact"/>
        <w:ind w:left="0" w:right="0" w:firstLine="380"/>
        <w:jc w:val="both"/>
      </w:pPr>
      <w:r>
        <w:rPr>
          <w:color w:val="000000"/>
          <w:spacing w:val="0"/>
          <w:w w:val="100"/>
          <w:position w:val="0"/>
        </w:rPr>
        <w:t>本公司取得了编号为</w:t>
      </w:r>
      <w:r>
        <w:rPr>
          <w:rFonts w:ascii="Times New Roman" w:eastAsia="Times New Roman" w:hAnsi="Times New Roman" w:cs="Times New Roman"/>
          <w:color w:val="000000"/>
          <w:spacing w:val="0"/>
          <w:w w:val="100"/>
          <w:position w:val="0"/>
          <w:sz w:val="18"/>
          <w:szCs w:val="18"/>
        </w:rPr>
        <w:t>GR202037002543</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18"/>
        <w:keepNext w:val="0"/>
        <w:keepLines w:val="0"/>
        <w:widowControl w:val="0"/>
        <w:shd w:val="clear" w:color="auto" w:fill="auto"/>
        <w:bidi w:val="0"/>
        <w:spacing w:before="0" w:after="0" w:line="309" w:lineRule="exact"/>
        <w:ind w:left="0" w:right="0" w:firstLine="380"/>
        <w:jc w:val="both"/>
      </w:pPr>
      <w:r>
        <w:rPr>
          <w:color w:val="000000"/>
          <w:spacing w:val="0"/>
          <w:w w:val="100"/>
          <w:position w:val="0"/>
        </w:rPr>
        <w:t>本公司之全资子公司上海东港安全印刷有限公司取得了编号为</w:t>
      </w:r>
      <w:r>
        <w:rPr>
          <w:rFonts w:ascii="Times New Roman" w:eastAsia="Times New Roman" w:hAnsi="Times New Roman" w:cs="Times New Roman"/>
          <w:color w:val="000000"/>
          <w:spacing w:val="0"/>
          <w:w w:val="100"/>
          <w:position w:val="0"/>
          <w:sz w:val="18"/>
          <w:szCs w:val="18"/>
        </w:rPr>
        <w:t>GR202031000537</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年度减按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18"/>
        <w:keepNext w:val="0"/>
        <w:keepLines w:val="0"/>
        <w:widowControl w:val="0"/>
        <w:shd w:val="clear" w:color="auto" w:fill="auto"/>
        <w:bidi w:val="0"/>
        <w:spacing w:before="0" w:after="0" w:line="309" w:lineRule="exact"/>
        <w:ind w:left="0" w:right="0" w:firstLine="380"/>
        <w:jc w:val="both"/>
      </w:pPr>
      <w:r>
        <w:rPr>
          <w:color w:val="000000"/>
          <w:spacing w:val="0"/>
          <w:w w:val="100"/>
          <w:position w:val="0"/>
        </w:rPr>
        <w:t>本公司之全资子公司上海东港数据处理有限公司取得了编号为</w:t>
      </w:r>
      <w:r>
        <w:rPr>
          <w:rFonts w:ascii="Times New Roman" w:eastAsia="Times New Roman" w:hAnsi="Times New Roman" w:cs="Times New Roman"/>
          <w:color w:val="000000"/>
          <w:spacing w:val="0"/>
          <w:w w:val="100"/>
          <w:position w:val="0"/>
          <w:sz w:val="18"/>
          <w:szCs w:val="18"/>
        </w:rPr>
        <w:t>GR202131001792</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年度减按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18"/>
        <w:keepNext w:val="0"/>
        <w:keepLines w:val="0"/>
        <w:widowControl w:val="0"/>
        <w:shd w:val="clear" w:color="auto" w:fill="auto"/>
        <w:bidi w:val="0"/>
        <w:spacing w:before="0" w:after="0" w:line="309" w:lineRule="exact"/>
        <w:ind w:left="0" w:right="0" w:firstLine="380"/>
        <w:jc w:val="both"/>
      </w:pPr>
      <w:r>
        <w:rPr>
          <w:color w:val="000000"/>
          <w:spacing w:val="0"/>
          <w:w w:val="100"/>
          <w:position w:val="0"/>
        </w:rPr>
        <w:t>本公司之全资子公司郑州东港安全印刷有限公司取得了编号为</w:t>
      </w:r>
      <w:r>
        <w:rPr>
          <w:rFonts w:ascii="Times New Roman" w:eastAsia="Times New Roman" w:hAnsi="Times New Roman" w:cs="Times New Roman"/>
          <w:color w:val="000000"/>
          <w:spacing w:val="0"/>
          <w:w w:val="100"/>
          <w:position w:val="0"/>
          <w:sz w:val="18"/>
          <w:szCs w:val="18"/>
        </w:rPr>
        <w:t>GR201941000861</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年度减按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18"/>
        <w:keepNext w:val="0"/>
        <w:keepLines w:val="0"/>
        <w:widowControl w:val="0"/>
        <w:shd w:val="clear" w:color="auto" w:fill="auto"/>
        <w:bidi w:val="0"/>
        <w:spacing w:before="0" w:after="0" w:line="309" w:lineRule="exact"/>
        <w:ind w:left="0" w:right="0" w:firstLine="380"/>
        <w:jc w:val="both"/>
      </w:pPr>
      <w:r>
        <w:rPr>
          <w:color w:val="000000"/>
          <w:spacing w:val="0"/>
          <w:w w:val="100"/>
          <w:position w:val="0"/>
        </w:rPr>
        <w:t>本公司之全资子公司北京东港安全印刷有限公司取得了编号为</w:t>
      </w:r>
      <w:r>
        <w:rPr>
          <w:rFonts w:ascii="Times New Roman" w:eastAsia="Times New Roman" w:hAnsi="Times New Roman" w:cs="Times New Roman"/>
          <w:color w:val="000000"/>
          <w:spacing w:val="0"/>
          <w:w w:val="100"/>
          <w:position w:val="0"/>
          <w:sz w:val="18"/>
          <w:szCs w:val="18"/>
        </w:rPr>
        <w:t>GR201911005423</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年度减按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18"/>
        <w:keepNext w:val="0"/>
        <w:keepLines w:val="0"/>
        <w:widowControl w:val="0"/>
        <w:shd w:val="clear" w:color="auto" w:fill="auto"/>
        <w:bidi w:val="0"/>
        <w:spacing w:before="0" w:after="0" w:line="309" w:lineRule="exact"/>
        <w:ind w:left="0" w:right="0" w:firstLine="380"/>
        <w:jc w:val="both"/>
      </w:pPr>
      <w:r>
        <w:rPr>
          <w:color w:val="000000"/>
          <w:spacing w:val="0"/>
          <w:w w:val="100"/>
          <w:position w:val="0"/>
        </w:rPr>
        <w:t>本公司之全资子公司北京东港嘉华安全信息技术有限公司取得了编号为</w:t>
      </w:r>
      <w:r>
        <w:rPr>
          <w:rFonts w:ascii="Times New Roman" w:eastAsia="Times New Roman" w:hAnsi="Times New Roman" w:cs="Times New Roman"/>
          <w:color w:val="000000"/>
          <w:spacing w:val="0"/>
          <w:w w:val="100"/>
          <w:position w:val="0"/>
          <w:sz w:val="18"/>
          <w:szCs w:val="18"/>
        </w:rPr>
        <w:t>GR201911004884</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度减按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18"/>
        <w:keepNext w:val="0"/>
        <w:keepLines w:val="0"/>
        <w:widowControl w:val="0"/>
        <w:shd w:val="clear" w:color="auto" w:fill="auto"/>
        <w:bidi w:val="0"/>
        <w:spacing w:before="0" w:after="0" w:line="309" w:lineRule="exact"/>
        <w:ind w:left="0" w:right="0" w:firstLine="380"/>
        <w:jc w:val="both"/>
      </w:pPr>
      <w:r>
        <w:rPr>
          <w:color w:val="000000"/>
          <w:spacing w:val="0"/>
          <w:w w:val="100"/>
          <w:position w:val="0"/>
        </w:rPr>
        <w:t>本公司之全资子公司广州东港安全印刷限公司取得了编号为</w:t>
      </w:r>
      <w:r>
        <w:rPr>
          <w:rFonts w:ascii="Times New Roman" w:eastAsia="Times New Roman" w:hAnsi="Times New Roman" w:cs="Times New Roman"/>
          <w:color w:val="000000"/>
          <w:spacing w:val="0"/>
          <w:w w:val="100"/>
          <w:position w:val="0"/>
          <w:sz w:val="18"/>
          <w:szCs w:val="18"/>
        </w:rPr>
        <w:t>GR202044001594</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的税率缴纳企业所得税。</w:t>
      </w:r>
    </w:p>
    <w:p>
      <w:pPr>
        <w:pStyle w:val="Style18"/>
        <w:keepNext w:val="0"/>
        <w:keepLines w:val="0"/>
        <w:widowControl w:val="0"/>
        <w:shd w:val="clear" w:color="auto" w:fill="auto"/>
        <w:bidi w:val="0"/>
        <w:spacing w:before="0" w:after="360" w:line="309" w:lineRule="exact"/>
        <w:ind w:left="0" w:right="0" w:firstLine="380"/>
        <w:jc w:val="both"/>
      </w:pPr>
      <w:r>
        <w:rPr>
          <w:color w:val="000000"/>
          <w:spacing w:val="0"/>
          <w:w w:val="100"/>
          <w:position w:val="0"/>
        </w:rPr>
        <w:t>本公司之全资子公司山东东港彩意网络科技有限公司取得了编号为</w:t>
      </w:r>
      <w:r>
        <w:rPr>
          <w:rFonts w:ascii="Times New Roman" w:eastAsia="Times New Roman" w:hAnsi="Times New Roman" w:cs="Times New Roman"/>
          <w:color w:val="000000"/>
          <w:spacing w:val="0"/>
          <w:w w:val="100"/>
          <w:position w:val="0"/>
          <w:sz w:val="18"/>
          <w:szCs w:val="18"/>
        </w:rPr>
        <w:t>GR2020037003508</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年度减 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23"/>
        <w:keepNext/>
        <w:keepLines/>
        <w:widowControl w:val="0"/>
        <w:shd w:val="clear" w:color="auto" w:fill="auto"/>
        <w:bidi w:val="0"/>
        <w:spacing w:before="0" w:line="240" w:lineRule="auto"/>
        <w:ind w:left="0" w:right="0" w:firstLine="0"/>
        <w:jc w:val="left"/>
      </w:pPr>
      <w:bookmarkStart w:id="977" w:name="bookmark977"/>
      <w:bookmarkStart w:id="978" w:name="bookmark978"/>
      <w:bookmarkStart w:id="979" w:name="bookmark979"/>
      <w:bookmarkStart w:id="980" w:name="bookmark980"/>
      <w:r>
        <w:rPr>
          <w:color w:val="000000"/>
          <w:spacing w:val="0"/>
          <w:w w:val="100"/>
          <w:position w:val="0"/>
        </w:rPr>
        <w:t>七</w:t>
      </w:r>
      <w:bookmarkEnd w:id="979"/>
      <w:r>
        <w:rPr>
          <w:color w:val="000000"/>
          <w:spacing w:val="0"/>
          <w:w w:val="100"/>
          <w:position w:val="0"/>
        </w:rPr>
        <w:t>、合并财务报表项目注释</w:t>
      </w:r>
      <w:bookmarkEnd w:id="977"/>
      <w:bookmarkEnd w:id="978"/>
      <w:bookmarkEnd w:id="980"/>
    </w:p>
    <w:p>
      <w:pPr>
        <w:pStyle w:val="Style32"/>
        <w:keepNext/>
        <w:keepLines/>
        <w:widowControl w:val="0"/>
        <w:shd w:val="clear" w:color="auto" w:fill="auto"/>
        <w:bidi w:val="0"/>
        <w:spacing w:before="0" w:after="360" w:line="240" w:lineRule="auto"/>
        <w:ind w:left="0" w:right="0" w:firstLine="0"/>
        <w:jc w:val="left"/>
      </w:pPr>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81"/>
      <w:bookmarkEnd w:id="982"/>
      <w:bookmarkEnd w:id="983"/>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599,645.22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1,082,879.35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726,650,531.50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677,741,999.18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27,651,173.43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33,451,231.82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754,901,350.15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712,276,110.35</w:t>
            </w:r>
          </w:p>
        </w:tc>
      </w:tr>
    </w:tbl>
    <w:p>
      <w:pPr>
        <w:spacing w:lineRule="exact" w:line="1"/>
        <w:rPr>
          <w:sz w:val="2"/>
          <w:szCs w:val="2"/>
        </w:rPr>
      </w:pPr>
      <w:r>
        <w:br w:type="page"/>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i w:val="0"/>
          <w:iCs w:val="0"/>
          <w:color w:val="000000"/>
          <w:spacing w:val="0"/>
          <w:w w:val="100"/>
          <w:position w:val="0"/>
          <w:sz w:val="19"/>
          <w:szCs w:val="19"/>
        </w:rPr>
        <w:t>抵押、质押或冻结等对使用有限制的货币资金详见附注</w:t>
      </w:r>
      <w:r>
        <w:rPr>
          <w:rFonts w:ascii="Times New Roman" w:eastAsia="Times New Roman" w:hAnsi="Times New Roman" w:cs="Times New Roman"/>
          <w:i w:val="0"/>
          <w:iCs w:val="0"/>
          <w:color w:val="000000"/>
          <w:spacing w:val="0"/>
          <w:w w:val="100"/>
          <w:position w:val="0"/>
          <w:sz w:val="20"/>
          <w:szCs w:val="20"/>
        </w:rPr>
        <w:t>“</w:t>
      </w:r>
      <w:r>
        <w:rPr>
          <w:i w:val="0"/>
          <w:iCs w:val="0"/>
          <w:color w:val="000000"/>
          <w:spacing w:val="0"/>
          <w:w w:val="100"/>
          <w:position w:val="0"/>
          <w:sz w:val="19"/>
          <w:szCs w:val="19"/>
        </w:rPr>
        <w:t>六、</w:t>
      </w:r>
      <w:r>
        <w:rPr>
          <w:rFonts w:ascii="Times New Roman" w:eastAsia="Times New Roman" w:hAnsi="Times New Roman" w:cs="Times New Roman"/>
          <w:i w:val="0"/>
          <w:iCs w:val="0"/>
          <w:color w:val="000000"/>
          <w:spacing w:val="0"/>
          <w:w w:val="100"/>
          <w:position w:val="0"/>
          <w:sz w:val="20"/>
          <w:szCs w:val="20"/>
        </w:rPr>
        <w:t>55</w:t>
      </w:r>
      <w:r>
        <w:rPr>
          <w:i w:val="0"/>
          <w:iCs w:val="0"/>
          <w:color w:val="000000"/>
          <w:spacing w:val="0"/>
          <w:w w:val="100"/>
          <w:position w:val="0"/>
          <w:sz w:val="19"/>
          <w:szCs w:val="19"/>
        </w:rPr>
        <w:t>所有权或使用权受限制的资产</w:t>
      </w:r>
      <w:r>
        <w:rPr>
          <w:rFonts w:ascii="Times New Roman" w:eastAsia="Times New Roman" w:hAnsi="Times New Roman" w:cs="Times New Roman"/>
          <w:i w:val="0"/>
          <w:iCs w:val="0"/>
          <w:color w:val="000000"/>
          <w:spacing w:val="0"/>
          <w:w w:val="100"/>
          <w:position w:val="0"/>
          <w:sz w:val="20"/>
          <w:szCs w:val="20"/>
        </w:rPr>
        <w:t>”</w:t>
      </w:r>
      <w:r>
        <w:rPr>
          <w:i w:val="0"/>
          <w:iCs w:val="0"/>
          <w:color w:val="000000"/>
          <w:spacing w:val="0"/>
          <w:w w:val="100"/>
          <w:position w:val="0"/>
          <w:sz w:val="19"/>
          <w:szCs w:val="19"/>
        </w:rPr>
        <w:t>。</w:t>
      </w:r>
    </w:p>
    <w:p>
      <w:pPr>
        <w:pStyle w:val="Style32"/>
        <w:keepNext/>
        <w:keepLines/>
        <w:widowControl w:val="0"/>
        <w:shd w:val="clear" w:color="auto" w:fill="auto"/>
        <w:bidi w:val="0"/>
        <w:spacing w:before="0" w:line="240" w:lineRule="auto"/>
        <w:ind w:left="0" w:right="0" w:firstLine="0"/>
        <w:jc w:val="left"/>
      </w:pPr>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984"/>
      <w:bookmarkEnd w:id="985"/>
      <w:bookmarkEnd w:id="986"/>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以公允价值计量且其变动计入当期损益</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117,249,145.86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200,000,000.00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其中：理财产品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117,249,145.86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200,000,000.00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117,249,145.86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200,000,000.00</w:t>
            </w:r>
          </w:p>
        </w:tc>
      </w:tr>
    </w:tbl>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280" w:line="326" w:lineRule="exact"/>
        <w:ind w:left="0" w:right="0" w:firstLine="0"/>
        <w:jc w:val="left"/>
      </w:pPr>
      <w:r>
        <w:rPr>
          <w:i w:val="0"/>
          <w:iCs w:val="0"/>
          <w:color w:val="000000"/>
          <w:spacing w:val="0"/>
          <w:w w:val="100"/>
          <w:position w:val="0"/>
          <w:sz w:val="19"/>
          <w:szCs w:val="19"/>
        </w:rPr>
        <w:t>注：于</w:t>
      </w:r>
      <w:r>
        <w:rPr>
          <w:rFonts w:ascii="Tahoma" w:eastAsia="Tahoma" w:hAnsi="Tahoma" w:cs="Tahoma"/>
          <w:i w:val="0"/>
          <w:iCs w:val="0"/>
          <w:color w:val="000000"/>
          <w:spacing w:val="0"/>
          <w:w w:val="100"/>
          <w:position w:val="0"/>
          <w:sz w:val="18"/>
          <w:szCs w:val="18"/>
        </w:rPr>
        <w:t>2021</w:t>
      </w:r>
      <w:r>
        <w:rPr>
          <w:i w:val="0"/>
          <w:iCs w:val="0"/>
          <w:color w:val="000000"/>
          <w:spacing w:val="0"/>
          <w:w w:val="100"/>
          <w:position w:val="0"/>
          <w:sz w:val="19"/>
          <w:szCs w:val="19"/>
        </w:rPr>
        <w:t>年</w:t>
      </w:r>
      <w:r>
        <w:rPr>
          <w:rFonts w:ascii="Tahoma" w:eastAsia="Tahoma" w:hAnsi="Tahoma" w:cs="Tahoma"/>
          <w:i w:val="0"/>
          <w:iCs w:val="0"/>
          <w:color w:val="000000"/>
          <w:spacing w:val="0"/>
          <w:w w:val="100"/>
          <w:position w:val="0"/>
          <w:sz w:val="18"/>
          <w:szCs w:val="18"/>
        </w:rPr>
        <w:t>12</w:t>
      </w:r>
      <w:r>
        <w:rPr>
          <w:i w:val="0"/>
          <w:iCs w:val="0"/>
          <w:color w:val="000000"/>
          <w:spacing w:val="0"/>
          <w:w w:val="100"/>
          <w:position w:val="0"/>
          <w:sz w:val="19"/>
          <w:szCs w:val="19"/>
        </w:rPr>
        <w:t>月</w:t>
      </w:r>
      <w:r>
        <w:rPr>
          <w:rFonts w:ascii="Tahoma" w:eastAsia="Tahoma" w:hAnsi="Tahoma" w:cs="Tahoma"/>
          <w:i w:val="0"/>
          <w:iCs w:val="0"/>
          <w:color w:val="000000"/>
          <w:spacing w:val="0"/>
          <w:w w:val="100"/>
          <w:position w:val="0"/>
          <w:sz w:val="18"/>
          <w:szCs w:val="18"/>
        </w:rPr>
        <w:t>31</w:t>
      </w:r>
      <w:r>
        <w:rPr>
          <w:i w:val="0"/>
          <w:iCs w:val="0"/>
          <w:color w:val="000000"/>
          <w:spacing w:val="0"/>
          <w:w w:val="100"/>
          <w:position w:val="0"/>
          <w:sz w:val="19"/>
          <w:szCs w:val="19"/>
        </w:rPr>
        <w:t>日，本公司持有的银行理财产品为民生银行、光大银行、招商银行等机构发行的非保本浮 动收益的理财产品。</w:t>
      </w:r>
    </w:p>
    <w:p>
      <w:pPr>
        <w:pStyle w:val="Style32"/>
        <w:keepNext/>
        <w:keepLines/>
        <w:widowControl w:val="0"/>
        <w:shd w:val="clear" w:color="auto" w:fill="auto"/>
        <w:bidi w:val="0"/>
        <w:spacing w:before="0" w:after="280" w:line="326" w:lineRule="exact"/>
        <w:ind w:left="0" w:right="0" w:firstLine="0"/>
        <w:jc w:val="left"/>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3</w:t>
      </w:r>
      <w:bookmarkEnd w:id="989"/>
      <w:r>
        <w:rPr>
          <w:color w:val="000000"/>
          <w:spacing w:val="0"/>
          <w:w w:val="100"/>
          <w:position w:val="0"/>
        </w:rPr>
        <w:t>、应收票据</w:t>
      </w:r>
      <w:bookmarkEnd w:id="987"/>
      <w:bookmarkEnd w:id="988"/>
      <w:bookmarkEnd w:id="990"/>
    </w:p>
    <w:p>
      <w:pPr>
        <w:pStyle w:val="Style36"/>
        <w:keepNext/>
        <w:keepLines/>
        <w:widowControl w:val="0"/>
        <w:shd w:val="clear" w:color="auto" w:fill="auto"/>
        <w:bidi w:val="0"/>
        <w:spacing w:before="0" w:line="326" w:lineRule="exact"/>
        <w:ind w:left="0" w:right="0" w:firstLine="0"/>
        <w:jc w:val="left"/>
      </w:pPr>
      <w:bookmarkStart w:id="991" w:name="bookmark991"/>
      <w:bookmarkStart w:id="992" w:name="bookmark992"/>
      <w:bookmarkStart w:id="993" w:name="bookmark9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991"/>
      <w:bookmarkEnd w:id="992"/>
      <w:bookmarkEnd w:id="993"/>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295,209.65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693,235.47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295,209.65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693,235.47</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备的应收票据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310,747.</w:t>
            </w:r>
          </w:p>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15,537.3</w:t>
            </w:r>
          </w:p>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295,209.6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729,721.5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36,486.08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693,235.4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以账龄特征为基础 的预期信用损失组 合的应收票据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310,747.</w:t>
            </w:r>
          </w:p>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15,537.3</w:t>
            </w:r>
          </w:p>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295,209.6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729,721.5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36,486.08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693,235.4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310,747.</w:t>
            </w:r>
          </w:p>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15,537.3</w:t>
            </w:r>
          </w:p>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295,209.6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729,721.5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36,486.08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693,235.4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bl>
    <w:p>
      <w:pPr>
        <w:spacing w:lineRule="exact" w:line="1"/>
        <w:rPr>
          <w:sz w:val="2"/>
          <w:szCs w:val="2"/>
        </w:rPr>
      </w:pPr>
      <w:r>
        <w:br w:type="page"/>
      </w:r>
    </w:p>
    <w:p>
      <w:pPr>
        <w:pStyle w:val="Style36"/>
        <w:keepNext/>
        <w:keepLines/>
        <w:widowControl w:val="0"/>
        <w:shd w:val="clear" w:color="auto" w:fill="auto"/>
        <w:bidi w:val="0"/>
        <w:spacing w:before="0" w:line="240" w:lineRule="auto"/>
        <w:ind w:left="0" w:right="0" w:firstLine="0"/>
        <w:jc w:val="left"/>
      </w:pPr>
      <w:bookmarkStart w:id="994" w:name="bookmark994"/>
      <w:bookmarkStart w:id="995" w:name="bookmark995"/>
      <w:bookmarkStart w:id="996" w:name="bookmark99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994"/>
      <w:bookmarkEnd w:id="995"/>
      <w:bookmarkEnd w:id="996"/>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应收票据坏账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36,486.08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20,948.73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15,537.35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36,486.08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20,948.73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15,537.35</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其中本期坏账准备收回或转回金额重要的:</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4</w:t>
      </w:r>
      <w:bookmarkEnd w:id="999"/>
      <w:r>
        <w:rPr>
          <w:color w:val="000000"/>
          <w:spacing w:val="0"/>
          <w:w w:val="100"/>
          <w:position w:val="0"/>
        </w:rPr>
        <w:t>、应收账款</w:t>
      </w:r>
      <w:bookmarkEnd w:id="1000"/>
      <w:bookmarkEnd w:id="997"/>
      <w:bookmarkEnd w:id="998"/>
    </w:p>
    <w:p>
      <w:pPr>
        <w:pStyle w:val="Style36"/>
        <w:keepNext/>
        <w:keepLines/>
        <w:widowControl w:val="0"/>
        <w:shd w:val="clear" w:color="auto" w:fill="auto"/>
        <w:bidi w:val="0"/>
        <w:spacing w:before="0" w:line="240" w:lineRule="auto"/>
        <w:ind w:left="0" w:right="0" w:firstLine="0"/>
        <w:jc w:val="left"/>
      </w:pPr>
      <w:bookmarkStart w:id="1001" w:name="bookmark1001"/>
      <w:bookmarkStart w:id="1002" w:name="bookmark1002"/>
      <w:bookmarkStart w:id="1003" w:name="bookmark10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01"/>
      <w:bookmarkEnd w:id="1002"/>
      <w:bookmarkEnd w:id="1003"/>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185,095, </w:t>
            </w:r>
            <w:r>
              <w:rPr>
                <w:color w:val="000000"/>
                <w:spacing w:val="0"/>
                <w:w w:val="100"/>
                <w:position w:val="0"/>
              </w:rPr>
              <w:t>653.67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13,222,8</w:t>
            </w:r>
          </w:p>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85.38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7.14%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171,872,7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235,073,9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14,786,26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220,287,69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185,095, </w:t>
            </w:r>
            <w:r>
              <w:rPr>
                <w:color w:val="000000"/>
                <w:spacing w:val="0"/>
                <w:w w:val="100"/>
                <w:position w:val="0"/>
              </w:rPr>
              <w:t>653.67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13,222,8</w:t>
            </w:r>
          </w:p>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85.38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7.14%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171,872,7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235,073,9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14,786,26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220,287,69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按账龄披露</w:t>
      </w:r>
    </w:p>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155,719,098.23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16,207,584.50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00" w:right="0" w:firstLine="0"/>
              <w:jc w:val="both"/>
            </w:pPr>
            <w:r>
              <w:rPr>
                <w:color w:val="000000"/>
                <w:spacing w:val="0"/>
                <w:w w:val="100"/>
                <w:position w:val="0"/>
              </w:rPr>
              <w:t>9,227,711.52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00" w:right="0" w:firstLine="0"/>
              <w:jc w:val="both"/>
            </w:pPr>
            <w:r>
              <w:rPr>
                <w:color w:val="000000"/>
                <w:spacing w:val="0"/>
                <w:w w:val="100"/>
                <w:position w:val="0"/>
              </w:rPr>
              <w:t>3,941,259.42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00" w:right="0" w:firstLine="0"/>
              <w:jc w:val="both"/>
            </w:pPr>
            <w:r>
              <w:rPr>
                <w:color w:val="000000"/>
                <w:spacing w:val="0"/>
                <w:w w:val="100"/>
                <w:position w:val="0"/>
              </w:rPr>
              <w:t>1,186,479.95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00" w:right="0" w:firstLine="0"/>
              <w:jc w:val="both"/>
            </w:pPr>
            <w:r>
              <w:rPr>
                <w:color w:val="000000"/>
                <w:spacing w:val="0"/>
                <w:w w:val="100"/>
                <w:position w:val="0"/>
              </w:rPr>
              <w:t>1,545,181.38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00" w:right="0" w:firstLine="0"/>
              <w:jc w:val="both"/>
            </w:pPr>
            <w:r>
              <w:rPr>
                <w:color w:val="000000"/>
                <w:spacing w:val="0"/>
                <w:w w:val="100"/>
                <w:position w:val="0"/>
              </w:rPr>
              <w:t>1,209,598.09</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185,095,653.67</w:t>
            </w:r>
          </w:p>
        </w:tc>
      </w:tr>
    </w:tbl>
    <w:p>
      <w:pPr>
        <w:spacing w:lineRule="exact" w:line="1"/>
        <w:rPr>
          <w:sz w:val="2"/>
          <w:szCs w:val="2"/>
        </w:rPr>
      </w:pPr>
      <w:r>
        <w:br w:type="page"/>
      </w:r>
    </w:p>
    <w:p>
      <w:pPr>
        <w:pStyle w:val="Style36"/>
        <w:keepNext/>
        <w:keepLines/>
        <w:widowControl w:val="0"/>
        <w:shd w:val="clear" w:color="auto" w:fill="auto"/>
        <w:bidi w:val="0"/>
        <w:spacing w:before="0" w:line="240" w:lineRule="auto"/>
        <w:ind w:left="0" w:right="0" w:firstLine="0"/>
        <w:jc w:val="left"/>
      </w:pPr>
      <w:bookmarkStart w:id="1004" w:name="bookmark1004"/>
      <w:bookmarkStart w:id="1005" w:name="bookmark1005"/>
      <w:bookmarkStart w:id="1006" w:name="bookmark10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04"/>
      <w:bookmarkEnd w:id="1005"/>
      <w:bookmarkEnd w:id="1006"/>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应收账款坏账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14,786,262.20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1,550,832.46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12,544.36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13,222,885.38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14,786,262.20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1,550,832.46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12,544.36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13,222,885.38</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007" w:name="bookmark1007"/>
      <w:bookmarkStart w:id="1008" w:name="bookmark1008"/>
      <w:bookmarkStart w:id="1009" w:name="bookmark1009"/>
      <w:bookmarkStart w:id="1010" w:name="bookmark1010"/>
      <w:r>
        <w:rPr>
          <w:color w:val="000000"/>
          <w:spacing w:val="0"/>
          <w:w w:val="100"/>
          <w:position w:val="0"/>
        </w:rPr>
        <w:t>（</w:t>
      </w:r>
      <w:bookmarkEnd w:id="1009"/>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007"/>
      <w:bookmarkEnd w:id="1008"/>
      <w:bookmarkEnd w:id="1010"/>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占应收账款期末余额合计数的 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坏账准备期末余额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A</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11,373,229.27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568,661.46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B</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pPr>
            <w:r>
              <w:rPr>
                <w:color w:val="000000"/>
                <w:spacing w:val="0"/>
                <w:w w:val="100"/>
                <w:position w:val="0"/>
              </w:rPr>
              <w:t>5,269,156.58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793,244.68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pPr>
            <w:r>
              <w:rPr>
                <w:color w:val="000000"/>
                <w:spacing w:val="0"/>
                <w:w w:val="100"/>
                <w:position w:val="0"/>
              </w:rPr>
              <w:t>4,122,825.30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334,050.03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pPr>
            <w:r>
              <w:rPr>
                <w:color w:val="000000"/>
                <w:spacing w:val="0"/>
                <w:w w:val="100"/>
                <w:position w:val="0"/>
              </w:rPr>
              <w:t>3,770,000.00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754,000.00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E</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pPr>
            <w:r>
              <w:rPr>
                <w:color w:val="000000"/>
                <w:spacing w:val="0"/>
                <w:w w:val="100"/>
                <w:position w:val="0"/>
              </w:rPr>
              <w:t>3,649,658.39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182,482.92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28,184,869.54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15.23%</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5</w:t>
      </w:r>
      <w:bookmarkEnd w:id="1013"/>
      <w:r>
        <w:rPr>
          <w:color w:val="000000"/>
          <w:spacing w:val="0"/>
          <w:w w:val="100"/>
          <w:position w:val="0"/>
        </w:rPr>
        <w:t>、应收款项融资</w:t>
      </w:r>
      <w:bookmarkEnd w:id="1011"/>
      <w:bookmarkEnd w:id="1012"/>
      <w:bookmarkEnd w:id="1014"/>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477,886.21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422,093.43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477,886.21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422,093.43</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应收款项融资本期增减变动及公允价值变动情况</w:t>
      </w:r>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015" w:name="bookmark1015"/>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rPr>
        <w:t>6</w:t>
      </w:r>
      <w:bookmarkEnd w:id="1017"/>
      <w:r>
        <w:rPr>
          <w:color w:val="000000"/>
          <w:spacing w:val="0"/>
          <w:w w:val="100"/>
          <w:position w:val="0"/>
        </w:rPr>
        <w:t>、预付款项</w:t>
      </w:r>
      <w:bookmarkEnd w:id="1015"/>
      <w:bookmarkEnd w:id="1016"/>
      <w:bookmarkEnd w:id="1018"/>
    </w:p>
    <w:p>
      <w:pPr>
        <w:pStyle w:val="Style36"/>
        <w:keepNext/>
        <w:keepLines/>
        <w:widowControl w:val="0"/>
        <w:shd w:val="clear" w:color="auto" w:fill="auto"/>
        <w:bidi w:val="0"/>
        <w:spacing w:before="0" w:line="240" w:lineRule="auto"/>
        <w:ind w:left="0" w:right="0" w:firstLine="0"/>
        <w:jc w:val="left"/>
      </w:pPr>
      <w:bookmarkStart w:id="1019" w:name="bookmark1019"/>
      <w:bookmarkStart w:id="1020" w:name="bookmark1020"/>
      <w:bookmarkStart w:id="1021" w:name="bookmark10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19"/>
      <w:bookmarkEnd w:id="1020"/>
      <w:bookmarkEnd w:id="1021"/>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22,125,014.88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10,143,732.75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27,953.66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657,155.35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48,033.46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22,740.00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22,226,002.00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10,848,628.10</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6"/>
        <w:keepNext/>
        <w:keepLines/>
        <w:widowControl w:val="0"/>
        <w:shd w:val="clear" w:color="auto" w:fill="auto"/>
        <w:bidi w:val="0"/>
        <w:spacing w:before="0" w:after="360" w:line="240" w:lineRule="auto"/>
        <w:ind w:left="0" w:right="0" w:firstLine="0"/>
        <w:jc w:val="both"/>
      </w:pPr>
      <w:bookmarkStart w:id="1022" w:name="bookmark1022"/>
      <w:bookmarkStart w:id="1023" w:name="bookmark1023"/>
      <w:bookmarkStart w:id="1024" w:name="bookmark102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22"/>
      <w:bookmarkEnd w:id="1023"/>
      <w:bookmarkEnd w:id="1024"/>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本年按预付对象归集的年末余额前五名预付款项汇总金额</w:t>
      </w:r>
      <w:r>
        <w:rPr>
          <w:rFonts w:ascii="Times New Roman" w:eastAsia="Times New Roman" w:hAnsi="Times New Roman" w:cs="Times New Roman"/>
          <w:color w:val="000000"/>
          <w:spacing w:val="0"/>
          <w:w w:val="100"/>
          <w:position w:val="0"/>
          <w:sz w:val="18"/>
          <w:szCs w:val="18"/>
        </w:rPr>
        <w:t>15,150,134.5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元，占预付款项年末余额合计数的比例</w:t>
      </w:r>
      <w:r>
        <w:rPr>
          <w:rFonts w:ascii="Times New Roman" w:eastAsia="Times New Roman" w:hAnsi="Times New Roman" w:cs="Times New Roman"/>
          <w:color w:val="000000"/>
          <w:spacing w:val="0"/>
          <w:w w:val="100"/>
          <w:position w:val="0"/>
          <w:sz w:val="18"/>
          <w:szCs w:val="18"/>
        </w:rPr>
        <w:t>68.16%</w:t>
      </w:r>
      <w:r>
        <w:rPr>
          <w:color w:val="000000"/>
          <w:spacing w:val="0"/>
          <w:w w:val="100"/>
          <w:position w:val="0"/>
        </w:rPr>
        <w:t>。</w:t>
      </w:r>
    </w:p>
    <w:p>
      <w:pPr>
        <w:pStyle w:val="Style32"/>
        <w:keepNext/>
        <w:keepLines/>
        <w:widowControl w:val="0"/>
        <w:shd w:val="clear" w:color="auto" w:fill="auto"/>
        <w:bidi w:val="0"/>
        <w:spacing w:before="0" w:after="360" w:line="240" w:lineRule="auto"/>
        <w:ind w:left="0" w:right="0" w:firstLine="0"/>
        <w:jc w:val="both"/>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7</w:t>
      </w:r>
      <w:bookmarkEnd w:id="1027"/>
      <w:r>
        <w:rPr>
          <w:color w:val="000000"/>
          <w:spacing w:val="0"/>
          <w:w w:val="100"/>
          <w:position w:val="0"/>
        </w:rPr>
        <w:t>、其他应收款</w:t>
      </w:r>
      <w:bookmarkEnd w:id="1025"/>
      <w:bookmarkEnd w:id="1026"/>
      <w:bookmarkEnd w:id="1028"/>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24,175,204.53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24,904,504.62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24,175,204.53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24,904,504.62</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1029" w:name="bookmark1029"/>
      <w:bookmarkStart w:id="1030" w:name="bookmark1030"/>
      <w:bookmarkStart w:id="1031" w:name="bookmark10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029"/>
      <w:bookmarkEnd w:id="1030"/>
      <w:bookmarkEnd w:id="1031"/>
    </w:p>
    <w:p>
      <w:pPr>
        <w:pStyle w:val="Style57"/>
        <w:keepNext/>
        <w:keepLines/>
        <w:widowControl w:val="0"/>
        <w:shd w:val="clear" w:color="auto" w:fill="auto"/>
        <w:bidi w:val="0"/>
        <w:spacing w:before="0" w:after="360" w:line="240" w:lineRule="auto"/>
        <w:ind w:left="0" w:right="0" w:firstLine="0"/>
        <w:jc w:val="left"/>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1</w:t>
      </w:r>
      <w:bookmarkEnd w:id="1034"/>
      <w:r>
        <w:rPr>
          <w:color w:val="000000"/>
          <w:spacing w:val="0"/>
          <w:w w:val="100"/>
          <w:position w:val="0"/>
        </w:rPr>
        <w:t>）其他应收款按款项性质分类情况</w:t>
      </w:r>
      <w:bookmarkEnd w:id="1032"/>
      <w:bookmarkEnd w:id="1033"/>
      <w:bookmarkEnd w:id="1035"/>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23,488,971.71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22,100,984.58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4,925,364.88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4,796,223.37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751,550.46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1,183,858.78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581,018.58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1,162,872.28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29,746,905.63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29,243,939.01</w:t>
            </w:r>
          </w:p>
        </w:tc>
      </w:tr>
    </w:tbl>
    <w:p>
      <w:pPr>
        <w:widowControl w:val="0"/>
        <w:spacing w:after="359" w:line="1" w:lineRule="exact"/>
      </w:pPr>
    </w:p>
    <w:p>
      <w:pPr>
        <w:pStyle w:val="Style57"/>
        <w:keepNext/>
        <w:keepLines/>
        <w:widowControl w:val="0"/>
        <w:shd w:val="clear" w:color="auto" w:fill="auto"/>
        <w:bidi w:val="0"/>
        <w:spacing w:before="0" w:after="360" w:line="240" w:lineRule="auto"/>
        <w:ind w:left="0" w:right="0" w:firstLine="0"/>
        <w:jc w:val="left"/>
      </w:pPr>
      <w:bookmarkStart w:id="1036" w:name="bookmark1036"/>
      <w:bookmarkStart w:id="1037" w:name="bookmark1037"/>
      <w:bookmarkStart w:id="1038" w:name="bookmark1038"/>
      <w:bookmarkStart w:id="1039" w:name="bookmark1039"/>
      <w:r>
        <w:rPr>
          <w:rFonts w:ascii="Times New Roman" w:eastAsia="Times New Roman" w:hAnsi="Times New Roman" w:cs="Times New Roman"/>
          <w:color w:val="000000"/>
          <w:spacing w:val="0"/>
          <w:w w:val="100"/>
          <w:position w:val="0"/>
        </w:rPr>
        <w:t>2</w:t>
      </w:r>
      <w:bookmarkEnd w:id="1038"/>
      <w:r>
        <w:rPr>
          <w:color w:val="000000"/>
          <w:spacing w:val="0"/>
          <w:w w:val="100"/>
          <w:position w:val="0"/>
        </w:rPr>
        <w:t>）坏账准备计提情况</w:t>
      </w:r>
      <w:bookmarkEnd w:id="1036"/>
      <w:bookmarkEnd w:id="1037"/>
      <w:bookmarkEnd w:id="1039"/>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4,339,434.39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4,339,434.39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1925"/>
        <w:gridCol w:w="1651"/>
        <w:gridCol w:w="2098"/>
        <w:gridCol w:w="2098"/>
        <w:gridCol w:w="1814"/>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1,232,266.71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1,232,266.71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5,571,701.10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5,571,701.10</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12,526,925.13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00" w:right="0" w:firstLine="0"/>
              <w:jc w:val="both"/>
            </w:pPr>
            <w:r>
              <w:rPr>
                <w:color w:val="000000"/>
                <w:spacing w:val="0"/>
                <w:w w:val="100"/>
                <w:position w:val="0"/>
              </w:rPr>
              <w:t>6,261,813.89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00" w:right="0" w:firstLine="0"/>
              <w:jc w:val="both"/>
            </w:pPr>
            <w:r>
              <w:rPr>
                <w:color w:val="000000"/>
                <w:spacing w:val="0"/>
                <w:w w:val="100"/>
                <w:position w:val="0"/>
              </w:rPr>
              <w:t>3,866,366.12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00" w:right="0" w:firstLine="0"/>
              <w:jc w:val="both"/>
            </w:pPr>
            <w:r>
              <w:rPr>
                <w:color w:val="000000"/>
                <w:spacing w:val="0"/>
                <w:w w:val="100"/>
                <w:position w:val="0"/>
              </w:rPr>
              <w:t>7,091,800.49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00" w:right="0" w:firstLine="0"/>
              <w:jc w:val="both"/>
            </w:pPr>
            <w:r>
              <w:rPr>
                <w:color w:val="000000"/>
                <w:spacing w:val="0"/>
                <w:w w:val="100"/>
                <w:position w:val="0"/>
              </w:rPr>
              <w:t>3,717,501.75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560,415.21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00" w:right="0" w:firstLine="0"/>
              <w:jc w:val="both"/>
            </w:pPr>
            <w:r>
              <w:rPr>
                <w:color w:val="000000"/>
                <w:spacing w:val="0"/>
                <w:w w:val="100"/>
                <w:position w:val="0"/>
              </w:rPr>
              <w:t>2,813,883.53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29,746,905.63</w:t>
            </w:r>
          </w:p>
        </w:tc>
      </w:tr>
    </w:tbl>
    <w:p>
      <w:pPr>
        <w:widowControl w:val="0"/>
        <w:spacing w:after="319" w:line="1" w:lineRule="exact"/>
      </w:pPr>
    </w:p>
    <w:p>
      <w:pPr>
        <w:pStyle w:val="Style57"/>
        <w:keepNext/>
        <w:keepLines/>
        <w:widowControl w:val="0"/>
        <w:shd w:val="clear" w:color="auto" w:fill="auto"/>
        <w:bidi w:val="0"/>
        <w:spacing w:before="0" w:line="240" w:lineRule="auto"/>
        <w:ind w:left="0" w:right="0" w:firstLine="0"/>
        <w:jc w:val="left"/>
      </w:pPr>
      <w:bookmarkStart w:id="1040" w:name="bookmark1040"/>
      <w:bookmarkStart w:id="1041" w:name="bookmark1041"/>
      <w:bookmarkStart w:id="1042" w:name="bookmark1042"/>
      <w:bookmarkStart w:id="1043" w:name="bookmark1043"/>
      <w:r>
        <w:rPr>
          <w:rFonts w:ascii="Times New Roman" w:eastAsia="Times New Roman" w:hAnsi="Times New Roman" w:cs="Times New Roman"/>
          <w:color w:val="000000"/>
          <w:spacing w:val="0"/>
          <w:w w:val="100"/>
          <w:position w:val="0"/>
        </w:rPr>
        <w:t>3</w:t>
      </w:r>
      <w:bookmarkEnd w:id="1042"/>
      <w:r>
        <w:rPr>
          <w:color w:val="000000"/>
          <w:spacing w:val="0"/>
          <w:w w:val="100"/>
          <w:position w:val="0"/>
        </w:rPr>
        <w:t>）本期计提、收回或转回的坏账准备情况</w:t>
      </w:r>
      <w:bookmarkEnd w:id="1040"/>
      <w:bookmarkEnd w:id="1041"/>
      <w:bookmarkEnd w:id="1043"/>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426"/>
        <w:gridCol w:w="1094"/>
        <w:gridCol w:w="1195"/>
        <w:gridCol w:w="1306"/>
        <w:gridCol w:w="1090"/>
        <w:gridCol w:w="1738"/>
        <w:gridCol w:w="173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按信用风险特征 组合计提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4,339,434.39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1,232,266.71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5,571,701.10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4,339,434.39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1,232,266.71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5,571,701.10</w:t>
            </w:r>
          </w:p>
        </w:tc>
      </w:tr>
    </w:tbl>
    <w:p>
      <w:pPr>
        <w:widowControl w:val="0"/>
        <w:spacing w:after="319" w:line="1" w:lineRule="exact"/>
      </w:pPr>
    </w:p>
    <w:p>
      <w:pPr>
        <w:pStyle w:val="Style57"/>
        <w:keepNext/>
        <w:keepLines/>
        <w:widowControl w:val="0"/>
        <w:shd w:val="clear" w:color="auto" w:fill="auto"/>
        <w:bidi w:val="0"/>
        <w:spacing w:before="0" w:line="240" w:lineRule="auto"/>
        <w:ind w:left="0" w:right="0" w:firstLine="0"/>
        <w:jc w:val="left"/>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4</w:t>
      </w:r>
      <w:bookmarkEnd w:id="1046"/>
      <w:r>
        <w:rPr>
          <w:color w:val="000000"/>
          <w:spacing w:val="0"/>
          <w:w w:val="100"/>
          <w:position w:val="0"/>
        </w:rPr>
        <w:t>）按欠款方归集的期末余额前五名的其他应收款情况</w:t>
      </w:r>
      <w:bookmarkEnd w:id="1044"/>
      <w:bookmarkEnd w:id="1045"/>
      <w:bookmarkEnd w:id="1047"/>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842"/>
        <w:gridCol w:w="1560"/>
        <w:gridCol w:w="1138"/>
        <w:gridCol w:w="845"/>
        <w:gridCol w:w="1594"/>
        <w:gridCol w:w="160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北京邮票厂有限公司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中国人民财产保险股份有限公司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1,960,017.73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236,001.77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甘肃省体育彩票管理中心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1,389,325.40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99,266.27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四川省政府采购中心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1,341,120.00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670,560.00</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新疆维吾尔自治区福利彩票发行中</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1,011,255.76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年以内</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3.40%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102,546.89</w:t>
            </w:r>
          </w:p>
        </w:tc>
      </w:tr>
    </w:tbl>
    <w:p>
      <w:pPr>
        <w:spacing w:lineRule="exact" w:line="1"/>
        <w:rPr>
          <w:sz w:val="2"/>
          <w:szCs w:val="2"/>
        </w:rPr>
      </w:pPr>
      <w:r>
        <w:br w:type="page"/>
      </w:r>
    </w:p>
    <w:tbl>
      <w:tblPr>
        <w:tblOverlap w:val="never"/>
        <w:jc w:val="center"/>
        <w:tblLayout w:type="fixed"/>
      </w:tblPr>
      <w:tblGrid>
        <w:gridCol w:w="2842"/>
        <w:gridCol w:w="1560"/>
        <w:gridCol w:w="1138"/>
        <w:gridCol w:w="845"/>
        <w:gridCol w:w="1594"/>
        <w:gridCol w:w="1608"/>
      </w:tblGrid>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7,701,718.89</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2,108,374.93</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1048" w:name="bookmark1048"/>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8</w:t>
      </w:r>
      <w:bookmarkEnd w:id="1050"/>
      <w:r>
        <w:rPr>
          <w:color w:val="000000"/>
          <w:spacing w:val="0"/>
          <w:w w:val="100"/>
          <w:position w:val="0"/>
        </w:rPr>
        <w:t>、存货</w:t>
      </w:r>
      <w:bookmarkEnd w:id="1048"/>
      <w:bookmarkEnd w:id="1049"/>
      <w:bookmarkEnd w:id="1051"/>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6"/>
        <w:keepNext/>
        <w:keepLines/>
        <w:widowControl w:val="0"/>
        <w:shd w:val="clear" w:color="auto" w:fill="auto"/>
        <w:bidi w:val="0"/>
        <w:spacing w:before="0" w:after="340" w:line="240" w:lineRule="auto"/>
        <w:ind w:left="0" w:right="0" w:firstLine="0"/>
        <w:jc w:val="left"/>
      </w:pPr>
      <w:bookmarkStart w:id="1052" w:name="bookmark1052"/>
      <w:bookmarkStart w:id="1053" w:name="bookmark1053"/>
      <w:bookmarkStart w:id="1054" w:name="bookmark10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52"/>
      <w:bookmarkEnd w:id="1053"/>
      <w:bookmarkEnd w:id="105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176"/>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存货跌价准备或</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合同履约成本减</w:t>
            </w:r>
          </w:p>
          <w:p>
            <w:pPr>
              <w:pStyle w:val="Style2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存货跌价准备或</w:t>
            </w:r>
          </w:p>
          <w:p>
            <w:pPr>
              <w:pStyle w:val="Style2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合同履约成本减</w:t>
            </w:r>
          </w:p>
          <w:p>
            <w:pPr>
              <w:pStyle w:val="Style2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63,658,343.34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63,658,343.34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44,148,323.08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44,148,323.08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3,801,563.37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3,801,563.37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4,928,802.61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4,928,802.61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70,045,431.82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70,045,431.82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65,950,339.28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65,950,339.28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16,319,803.10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16,319,803.10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委托加工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74,981.41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74,981.41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626,940.06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626,940.06</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153,900,123.0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153,900,123.04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115,654,405.03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115,654,405.03</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9</w:t>
      </w:r>
      <w:bookmarkEnd w:id="1057"/>
      <w:r>
        <w:rPr>
          <w:color w:val="000000"/>
          <w:spacing w:val="0"/>
          <w:w w:val="100"/>
          <w:position w:val="0"/>
        </w:rPr>
        <w:t>、合同资产</w:t>
      </w:r>
      <w:bookmarkEnd w:id="1055"/>
      <w:bookmarkEnd w:id="1056"/>
      <w:bookmarkEnd w:id="105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25,241,789.89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1,341,339.97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23,900,449.92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13,877,645.73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694,968.70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13,182,677.03</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计入其他非流动资产（附注 六、</w:t>
            </w:r>
            <w:r>
              <w:rPr>
                <w:color w:val="000000"/>
                <w:spacing w:val="0"/>
                <w:w w:val="100"/>
                <w:position w:val="0"/>
                <w:sz w:val="18"/>
                <w:szCs w:val="18"/>
              </w:rPr>
              <w:t>20</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-496,215.76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-104,061.26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-392,154.50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24,745,574.13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1,237,278.71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23,508,295.42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13,877,645.73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694,968.70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13,182,677.03</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本期转销</w:t>
            </w:r>
            <w:r>
              <w:rPr>
                <w:color w:val="000000"/>
                <w:spacing w:val="0"/>
                <w:w w:val="100"/>
                <w:position w:val="0"/>
                <w:sz w:val="18"/>
                <w:szCs w:val="18"/>
              </w:rPr>
              <w:t>/</w:t>
            </w:r>
            <w:r>
              <w:rPr>
                <w:rFonts w:ascii="SimSun" w:eastAsia="SimSun" w:hAnsi="SimSun" w:cs="SimSun"/>
                <w:color w:val="000000"/>
                <w:spacing w:val="0"/>
                <w:w w:val="100"/>
                <w:position w:val="0"/>
                <w:sz w:val="17"/>
                <w:szCs w:val="17"/>
              </w:rPr>
              <w:t>核销</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542,310.01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542,310.01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1</w:t>
      </w:r>
      <w:bookmarkEnd w:id="1061"/>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059"/>
      <w:bookmarkEnd w:id="1060"/>
      <w:bookmarkEnd w:id="106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待抵及预缴税金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2,448,161.57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17,166,973.51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2,850,933.56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4,139,594.22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5,299,095.13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21,306,567.73</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both"/>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1</w:t>
      </w:r>
      <w:bookmarkEnd w:id="1065"/>
      <w:r>
        <w:rPr>
          <w:rFonts w:ascii="Times New Roman" w:eastAsia="Times New Roman" w:hAnsi="Times New Roman" w:cs="Times New Roman"/>
          <w:color w:val="000000"/>
          <w:spacing w:val="0"/>
          <w:w w:val="100"/>
          <w:position w:val="0"/>
        </w:rPr>
        <w:t>1</w:t>
      </w:r>
      <w:r>
        <w:rPr>
          <w:color w:val="000000"/>
          <w:spacing w:val="0"/>
          <w:w w:val="100"/>
          <w:position w:val="0"/>
        </w:rPr>
        <w:t>、投资性房地产</w:t>
      </w:r>
      <w:bookmarkEnd w:id="1063"/>
      <w:bookmarkEnd w:id="1064"/>
      <w:bookmarkEnd w:id="1066"/>
    </w:p>
    <w:p>
      <w:pPr>
        <w:pStyle w:val="Style36"/>
        <w:keepNext/>
        <w:keepLines/>
        <w:widowControl w:val="0"/>
        <w:shd w:val="clear" w:color="auto" w:fill="auto"/>
        <w:bidi w:val="0"/>
        <w:spacing w:before="0" w:line="240" w:lineRule="auto"/>
        <w:ind w:left="0" w:right="0" w:firstLine="0"/>
        <w:jc w:val="both"/>
      </w:pPr>
      <w:bookmarkStart w:id="1067" w:name="bookmark1067"/>
      <w:bookmarkStart w:id="1068" w:name="bookmark1068"/>
      <w:bookmarkStart w:id="1069" w:name="bookmark10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067"/>
      <w:bookmarkEnd w:id="1068"/>
      <w:bookmarkEnd w:id="1069"/>
    </w:p>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53,119,091.78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11,221,783.57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64,340,875.35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11,141,022.50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517,011.52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11,658,034.02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）存货</w:t>
            </w:r>
            <w:r>
              <w:rPr>
                <w:color w:val="000000"/>
                <w:spacing w:val="0"/>
                <w:w w:val="100"/>
                <w:position w:val="0"/>
                <w:sz w:val="18"/>
                <w:szCs w:val="18"/>
              </w:rPr>
              <w:t>'</w:t>
            </w:r>
            <w:r>
              <w:rPr>
                <w:rFonts w:ascii="SimSun" w:eastAsia="SimSun" w:hAnsi="SimSun" w:cs="SimSun"/>
                <w:color w:val="000000"/>
                <w:spacing w:val="0"/>
                <w:w w:val="100"/>
                <w:position w:val="0"/>
                <w:sz w:val="17"/>
                <w:szCs w:val="17"/>
              </w:rPr>
              <w:t>固定资产</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11,141,022.50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517,011.52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11,658,034.02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653,247.68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653,247.68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653,247.68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653,247.68</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64,260,114.28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11,085,547.41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75,345,661.69</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22,708,405.13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2,787,439.50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25,495,844.63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5,558,816.13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402,702.88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5,961,519.01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2,189,299.30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237,836.19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2,427,135.49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）其他转入（折旧）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3,369,516.83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164,866.69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3,534,383.52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77,231.14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77,231.14</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77,231.14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77,231.14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28,267,221.26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3,112,911.24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31,380,132.50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35,992,893.02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7,972,636.17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43,965,529.19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30,410,686.65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8,434,344.07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38,845,030.72</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both"/>
      </w:pPr>
      <w:bookmarkStart w:id="1070" w:name="bookmark1070"/>
      <w:bookmarkStart w:id="1071" w:name="bookmark1071"/>
      <w:bookmarkStart w:id="1072" w:name="bookmark10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070"/>
      <w:bookmarkEnd w:id="1071"/>
      <w:bookmarkEnd w:id="1072"/>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both"/>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1</w:t>
      </w:r>
      <w:bookmarkEnd w:id="1075"/>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1073"/>
      <w:bookmarkEnd w:id="1074"/>
      <w:bookmarkEnd w:id="107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742,851,414.16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800,678,248.15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742,851,414.16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800,678,248.15</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both"/>
      </w:pPr>
      <w:bookmarkStart w:id="1077" w:name="bookmark1077"/>
      <w:bookmarkStart w:id="1078" w:name="bookmark1078"/>
      <w:bookmarkStart w:id="1079" w:name="bookmark10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077"/>
      <w:bookmarkEnd w:id="1078"/>
      <w:bookmarkEnd w:id="107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办公设备及其他</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701,766,415.89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759,434,641.83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22,045,569.60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184,109,843.11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1,667,356,470.43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1,945,862.83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375,594.16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6,635,787.57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8,957,244.56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1,945,862.83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375,594.16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6,635,787.57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8,957,244.56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）在建工程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17,181,111.75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9,691,299.76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1,808,511.48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1,178,547.95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29,859,470.94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6,040,089.25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9,691,299.76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1,808,511.48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1,178,547.95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18,718,448.44</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）其他减少（原 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11,141,022.50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11,141,022.50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684,585,304.14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751,689,204.90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20,612,652.28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189,567,082.73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1,646,454,244.05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177,510,484.41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587,791,995.59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18,328,092.34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83,014,537.46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866,645,109.80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20,586,590.67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25,503,255.17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676,143.13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8,449,887.59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55,215,846.56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20,586,590.67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25,503,225.17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676,143.13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8,449,887.59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55,215,846.56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）带入（折旧）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8,798,158.23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6,842,154.81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1,592,465.48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1,058,460.43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18,291,238.95</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5,428,641.40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6,842,154.81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1,592,465.48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1,058,460.43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14,921,722.12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3,369,516.83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3,369,516.83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189,298,916.85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606,453,065.95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17,411,769.99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90,405,964.62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903,569,717.41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33,112.48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33,112.48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33,112.48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33,112.48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495,286,387.29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145,203,026.47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3,200,882.29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99,161,118.11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742,851,414.16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524,255,931.48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171,609,533.76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3,717,477.26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101,095,305.65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800,678,248.15</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080" w:name="bookmark1080"/>
      <w:bookmarkStart w:id="1081" w:name="bookmark1081"/>
      <w:bookmarkStart w:id="1082" w:name="bookmark108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）通过经营租赁租出的固定资产</w:t>
      </w:r>
      <w:bookmarkEnd w:id="1080"/>
      <w:bookmarkEnd w:id="1081"/>
      <w:bookmarkEnd w:id="108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8,422,806.56</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083" w:name="bookmark1083"/>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1</w:t>
      </w:r>
      <w:bookmarkEnd w:id="1085"/>
      <w:r>
        <w:rPr>
          <w:rFonts w:ascii="Times New Roman" w:eastAsia="Times New Roman" w:hAnsi="Times New Roman" w:cs="Times New Roman"/>
          <w:color w:val="000000"/>
          <w:spacing w:val="0"/>
          <w:w w:val="100"/>
          <w:position w:val="0"/>
        </w:rPr>
        <w:t>3</w:t>
      </w:r>
      <w:r>
        <w:rPr>
          <w:color w:val="000000"/>
          <w:spacing w:val="0"/>
          <w:w w:val="100"/>
          <w:position w:val="0"/>
        </w:rPr>
        <w:t>、在建工程</w:t>
      </w:r>
      <w:bookmarkEnd w:id="1083"/>
      <w:bookmarkEnd w:id="1084"/>
      <w:bookmarkEnd w:id="108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1,806,275.76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5,109,816.16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1,806,275.76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5,109,816.16</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087" w:name="bookmark1087"/>
      <w:bookmarkStart w:id="1088" w:name="bookmark1088"/>
      <w:bookmarkStart w:id="1089" w:name="bookmark10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087"/>
      <w:bookmarkEnd w:id="1088"/>
      <w:bookmarkEnd w:id="108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账面价值</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济南临港生产基 地（二期）基建 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142,220.00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142,220.00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山大北路项目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425,471.69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425,471.69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425,471.69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425,471.69</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济南临港生产基 地（三期）基建 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376,378.41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376,378.41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376,378.41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376,378.41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875,494.75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875,494.75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679,288.18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679,288.18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不需安装工程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1,334,670.33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1,334,670.33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楼房改造工程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128,930.91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128,930.91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2,151,787.55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2,151,787.55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1,806,275.76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1,806,275.76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5,109,816.16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5,109,816.16</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1</w:t>
      </w:r>
      <w:bookmarkEnd w:id="1092"/>
      <w:r>
        <w:rPr>
          <w:rFonts w:ascii="Times New Roman" w:eastAsia="Times New Roman" w:hAnsi="Times New Roman" w:cs="Times New Roman"/>
          <w:color w:val="000000"/>
          <w:spacing w:val="0"/>
          <w:w w:val="100"/>
          <w:position w:val="0"/>
        </w:rPr>
        <w:t>4</w:t>
      </w:r>
      <w:r>
        <w:rPr>
          <w:color w:val="000000"/>
          <w:spacing w:val="0"/>
          <w:w w:val="100"/>
          <w:position w:val="0"/>
        </w:rPr>
        <w:t>、使用权资产</w:t>
      </w:r>
      <w:bookmarkEnd w:id="1090"/>
      <w:bookmarkEnd w:id="1091"/>
      <w:bookmarkEnd w:id="109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15,551,622.22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15,551,622.22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27,572,152.38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27,572,152.38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）购置（原值）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27,572,152.38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27,572,152.38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43,123,774.60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43,123,774.60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9,397,490.84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9,397,490.84</w:t>
            </w: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9,397,490.84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9,397,490.84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9,397,490.84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9,397,490.84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33,726,283.76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33,726,283.76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15,551,622.22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15,551,622.22</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1</w:t>
      </w:r>
      <w:bookmarkEnd w:id="1096"/>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094"/>
      <w:bookmarkEnd w:id="1095"/>
      <w:bookmarkEnd w:id="1097"/>
    </w:p>
    <w:p>
      <w:pPr>
        <w:pStyle w:val="Style36"/>
        <w:keepNext/>
        <w:keepLines/>
        <w:widowControl w:val="0"/>
        <w:shd w:val="clear" w:color="auto" w:fill="auto"/>
        <w:bidi w:val="0"/>
        <w:spacing w:before="0" w:line="240" w:lineRule="auto"/>
        <w:ind w:left="0" w:right="0" w:firstLine="0"/>
        <w:jc w:val="left"/>
      </w:pPr>
      <w:bookmarkStart w:id="1098" w:name="bookmark1098"/>
      <w:bookmarkStart w:id="1099" w:name="bookmark1099"/>
      <w:bookmarkStart w:id="1100" w:name="bookmark11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098"/>
      <w:bookmarkEnd w:id="1099"/>
      <w:bookmarkEnd w:id="110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软件使用权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商标使用权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81,462,594.80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40,847,521.84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9,245,002.14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132,355,118.78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 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653,247.68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14,569,420.42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15,231,517.66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8,849.56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5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14,569,420.42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14,569,420.42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5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其他增加</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653,247.68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653,247.68</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2,662,011.52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2,662,011.52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2,145,000.00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2,145,000.00</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）转入投资性 房地产（原值）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517,011.52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517,011.52</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79,453,830.96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55,416,942.26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9,253,851.70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144,924,624.92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21,942,967.47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19,740,645.83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7,254,599.74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49,738,213.07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 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1,601,911.12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4,422,739.36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447,673.83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6,472,324.31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1,524,679.98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4,422,739.36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447,673.83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6,395,093.17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）其他增加</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77,231.14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77,231.14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 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1,133,691.69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1,133,691.69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968,825.00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968,825.00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）转入投资 性房地产（摊销）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164,866.69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164,866.69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22,411,186.90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24,163,385.19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7,702,273.60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55,076,845.69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 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57,042,644.06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31,253,557.07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1,551,578.10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89,847,779.23</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 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59,519,627.33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21,106,876.01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1,990,402.37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82,616,905.71</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34.64%</w:t>
      </w:r>
      <w:r>
        <w:rPr>
          <w:color w:val="000000"/>
          <w:spacing w:val="0"/>
          <w:w w:val="100"/>
          <w:position w:val="0"/>
        </w:rPr>
        <w:t>。</w:t>
      </w:r>
    </w:p>
    <w:p>
      <w:pPr>
        <w:pStyle w:val="Style32"/>
        <w:keepNext/>
        <w:keepLines/>
        <w:widowControl w:val="0"/>
        <w:shd w:val="clear" w:color="auto" w:fill="auto"/>
        <w:bidi w:val="0"/>
        <w:spacing w:before="0" w:line="240" w:lineRule="auto"/>
        <w:ind w:left="0" w:right="0" w:firstLine="0"/>
        <w:jc w:val="left"/>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1</w:t>
      </w:r>
      <w:bookmarkEnd w:id="1103"/>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101"/>
      <w:bookmarkEnd w:id="1102"/>
      <w:bookmarkEnd w:id="110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内部开发支 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确认为无形</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转入当期损 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拟申请专利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15,190,033.7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571,359.27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14,569,420.4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1,191,972.61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技术的研发</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其他研发支 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74,000,511.4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74,000,511.4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15,190,033.7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74,571,870.7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14,569,420.4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74,000,511.4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1,191,972.61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17</w:t>
      </w:r>
      <w:r>
        <w:rPr>
          <w:color w:val="000000"/>
          <w:spacing w:val="0"/>
          <w:w w:val="100"/>
          <w:position w:val="0"/>
        </w:rPr>
        <w:t>、商誉</w:t>
      </w:r>
      <w:bookmarkEnd w:id="1105"/>
      <w:bookmarkEnd w:id="1106"/>
      <w:bookmarkEnd w:id="1107"/>
    </w:p>
    <w:p>
      <w:pPr>
        <w:pStyle w:val="Style36"/>
        <w:keepNext/>
        <w:keepLines/>
        <w:widowControl w:val="0"/>
        <w:shd w:val="clear" w:color="auto" w:fill="auto"/>
        <w:bidi w:val="0"/>
        <w:spacing w:before="0" w:line="240" w:lineRule="auto"/>
        <w:ind w:left="0" w:right="0" w:firstLine="0"/>
        <w:jc w:val="both"/>
      </w:pPr>
      <w:bookmarkStart w:id="1108" w:name="bookmark1108"/>
      <w:bookmarkStart w:id="1109" w:name="bookmark1109"/>
      <w:bookmarkStart w:id="1110" w:name="bookmark11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108"/>
      <w:bookmarkEnd w:id="1109"/>
      <w:bookmarkEnd w:id="1110"/>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或形成商誉的事 项</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北京东港瑞宏科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1,245,159.28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1,245,159.28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山东东港彩意网 络科技有限公司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1,239,938.65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1,239,938.65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2,485,097.93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2,485,097.93</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1111" w:name="bookmark1111"/>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1</w:t>
      </w:r>
      <w:bookmarkEnd w:id="1113"/>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111"/>
      <w:bookmarkEnd w:id="1112"/>
      <w:bookmarkEnd w:id="1114"/>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11,216,096.60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4,309,059.23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4,517,111.71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11,008,044.12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移库费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1,382,286.81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1,382,286.81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软件服务费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1,199,685.50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411,320.76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788,364.74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改造费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403,423.38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1,707,317.70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179,123.82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1,931,617.26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检测费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361,915.31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146,320.75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242,342.98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265,893.08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维护费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299,961.78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131,834.88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168,126.90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认证费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84,905.62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254,716.98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127,358.47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212,264.13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南开大学研发费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14,981,608.20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6,417,414.66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7,024,712.63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14,374,310.23</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115" w:name="bookmark1115"/>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1</w:t>
      </w:r>
      <w:bookmarkEnd w:id="1117"/>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15"/>
      <w:bookmarkEnd w:id="1116"/>
      <w:bookmarkEnd w:id="1118"/>
    </w:p>
    <w:p>
      <w:pPr>
        <w:pStyle w:val="Style36"/>
        <w:keepNext/>
        <w:keepLines/>
        <w:widowControl w:val="0"/>
        <w:shd w:val="clear" w:color="auto" w:fill="auto"/>
        <w:bidi w:val="0"/>
        <w:spacing w:before="0" w:line="240" w:lineRule="auto"/>
        <w:ind w:left="0" w:right="0" w:firstLine="0"/>
        <w:jc w:val="left"/>
      </w:pPr>
      <w:bookmarkStart w:id="1119" w:name="bookmark1119"/>
      <w:bookmarkStart w:id="1120" w:name="bookmark1120"/>
      <w:bookmarkStart w:id="1121" w:name="bookmark11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19"/>
      <w:bookmarkEnd w:id="1120"/>
      <w:bookmarkEnd w:id="112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20,184,576.28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3,026,319.67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19,890,263.85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2,980,995.29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573,190.36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85,978.55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562,883.82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84,432.57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17,835,895.70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2,675,384.35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12,841,850.00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1,926,277.50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5,051,167.32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757,675.10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6,329,204.32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949,380.65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租赁税会差异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1,079,444.07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161,916.61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44,724,273.73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6,707,274.28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39,624,201.99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5,941,086.01</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122" w:name="bookmark1122"/>
      <w:bookmarkStart w:id="1123" w:name="bookmark1123"/>
      <w:bookmarkStart w:id="1124" w:name="bookmark112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）以抵销后净额列示的递延所得税资产或负债</w:t>
      </w:r>
      <w:bookmarkEnd w:id="1122"/>
      <w:bookmarkEnd w:id="1123"/>
      <w:bookmarkEnd w:id="112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或负债期初余额</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6,707,274.28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5,941,086.01</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125" w:name="bookmark1125"/>
      <w:bookmarkStart w:id="1126" w:name="bookmark1126"/>
      <w:bookmarkStart w:id="1127" w:name="bookmark1127"/>
      <w:bookmarkStart w:id="1128" w:name="bookmark1128"/>
      <w:r>
        <w:rPr>
          <w:color w:val="000000"/>
          <w:spacing w:val="0"/>
          <w:w w:val="100"/>
          <w:position w:val="0"/>
        </w:rPr>
        <w:t>（</w:t>
      </w:r>
      <w:bookmarkEnd w:id="1127"/>
      <w:r>
        <w:rPr>
          <w:rFonts w:ascii="Times New Roman" w:eastAsia="Times New Roman" w:hAnsi="Times New Roman" w:cs="Times New Roman"/>
          <w:color w:val="000000"/>
          <w:spacing w:val="0"/>
          <w:w w:val="100"/>
          <w:position w:val="0"/>
        </w:rPr>
        <w:t>3</w:t>
      </w:r>
      <w:r>
        <w:rPr>
          <w:color w:val="000000"/>
          <w:spacing w:val="0"/>
          <w:w w:val="100"/>
          <w:position w:val="0"/>
        </w:rPr>
        <w:t>）未确认递延所得税资产明细</w:t>
      </w:r>
      <w:bookmarkEnd w:id="1125"/>
      <w:bookmarkEnd w:id="1126"/>
      <w:bookmarkEnd w:id="1128"/>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26,907,799.70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18,487,717.14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26,907,799.70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18,487,717.14</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129" w:name="bookmark1129"/>
      <w:bookmarkStart w:id="1130" w:name="bookmark1130"/>
      <w:bookmarkStart w:id="1131" w:name="bookmark1131"/>
      <w:bookmarkStart w:id="1132" w:name="bookmark1132"/>
      <w:r>
        <w:rPr>
          <w:color w:val="000000"/>
          <w:spacing w:val="0"/>
          <w:w w:val="100"/>
          <w:position w:val="0"/>
        </w:rPr>
        <w:t>（</w:t>
      </w:r>
      <w:bookmarkEnd w:id="1131"/>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）未确认递延所得税资产的可抵扣亏损将于以下年度到期</w:t>
      </w:r>
      <w:bookmarkEnd w:id="1129"/>
      <w:bookmarkEnd w:id="1130"/>
      <w:bookmarkEnd w:id="1132"/>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7,082,351.76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7,082,351.76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4,166,087.12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4,166,087.12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5,600,367.03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5,600,367.03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1,638,911.23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1,638,911.23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8,420,082.56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26,907,799.70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18,487,717.14</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2</w:t>
      </w:r>
      <w:bookmarkEnd w:id="1135"/>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133"/>
      <w:bookmarkEnd w:id="1134"/>
      <w:bookmarkEnd w:id="1136"/>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496,215.76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104,061.26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392,154.50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待处置不动产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1,787,622.85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1,787,622.85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2,283,838.61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104,061.26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2,179,777.35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137" w:name="bookmark1137"/>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2</w:t>
      </w:r>
      <w:bookmarkEnd w:id="1139"/>
      <w:r>
        <w:rPr>
          <w:rFonts w:ascii="Times New Roman" w:eastAsia="Times New Roman" w:hAnsi="Times New Roman" w:cs="Times New Roman"/>
          <w:color w:val="000000"/>
          <w:spacing w:val="0"/>
          <w:w w:val="100"/>
          <w:position w:val="0"/>
        </w:rPr>
        <w:t>1</w:t>
      </w:r>
      <w:r>
        <w:rPr>
          <w:color w:val="000000"/>
          <w:spacing w:val="0"/>
          <w:w w:val="100"/>
          <w:position w:val="0"/>
        </w:rPr>
        <w:t>、应付票据</w:t>
      </w:r>
      <w:bookmarkEnd w:id="1137"/>
      <w:bookmarkEnd w:id="1138"/>
      <w:bookmarkEnd w:id="1140"/>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82,444,868.17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114,464,429.35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82,444,868.17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114,464,429.35</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32"/>
        <w:keepNext/>
        <w:keepLines/>
        <w:widowControl w:val="0"/>
        <w:shd w:val="clear" w:color="auto" w:fill="auto"/>
        <w:bidi w:val="0"/>
        <w:spacing w:before="0" w:line="240" w:lineRule="auto"/>
        <w:ind w:left="0" w:right="0" w:firstLine="0"/>
        <w:jc w:val="left"/>
      </w:pPr>
      <w:bookmarkStart w:id="1141" w:name="bookmark1141"/>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2</w:t>
      </w:r>
      <w:bookmarkEnd w:id="1143"/>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141"/>
      <w:bookmarkEnd w:id="1142"/>
      <w:bookmarkEnd w:id="1144"/>
    </w:p>
    <w:p>
      <w:pPr>
        <w:pStyle w:val="Style36"/>
        <w:keepNext/>
        <w:keepLines/>
        <w:widowControl w:val="0"/>
        <w:shd w:val="clear" w:color="auto" w:fill="auto"/>
        <w:bidi w:val="0"/>
        <w:spacing w:before="0" w:line="240" w:lineRule="auto"/>
        <w:ind w:left="0" w:right="0" w:firstLine="0"/>
        <w:jc w:val="left"/>
      </w:pPr>
      <w:bookmarkStart w:id="1145" w:name="bookmark1145"/>
      <w:bookmarkStart w:id="1146" w:name="bookmark1146"/>
      <w:bookmarkStart w:id="1147" w:name="bookmark11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145"/>
      <w:bookmarkEnd w:id="1146"/>
      <w:bookmarkEnd w:id="114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应付购货款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110,202,022.38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155,030,715.35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110,202,022.38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155,030,715.35</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2</w:t>
      </w:r>
      <w:bookmarkEnd w:id="1150"/>
      <w:r>
        <w:rPr>
          <w:rFonts w:ascii="Times New Roman" w:eastAsia="Times New Roman" w:hAnsi="Times New Roman" w:cs="Times New Roman"/>
          <w:color w:val="000000"/>
          <w:spacing w:val="0"/>
          <w:w w:val="100"/>
          <w:position w:val="0"/>
        </w:rPr>
        <w:t>3</w:t>
      </w:r>
      <w:r>
        <w:rPr>
          <w:color w:val="000000"/>
          <w:spacing w:val="0"/>
          <w:w w:val="100"/>
          <w:position w:val="0"/>
        </w:rPr>
        <w:t>、预收款项</w:t>
      </w:r>
      <w:bookmarkEnd w:id="1148"/>
      <w:bookmarkEnd w:id="1149"/>
      <w:bookmarkEnd w:id="1151"/>
    </w:p>
    <w:p>
      <w:pPr>
        <w:pStyle w:val="Style36"/>
        <w:keepNext/>
        <w:keepLines/>
        <w:widowControl w:val="0"/>
        <w:shd w:val="clear" w:color="auto" w:fill="auto"/>
        <w:bidi w:val="0"/>
        <w:spacing w:before="0" w:line="240" w:lineRule="auto"/>
        <w:ind w:left="0" w:right="0" w:firstLine="0"/>
        <w:jc w:val="left"/>
      </w:pPr>
      <w:bookmarkStart w:id="1152" w:name="bookmark1152"/>
      <w:bookmarkStart w:id="1153" w:name="bookmark1153"/>
      <w:bookmarkStart w:id="1154" w:name="bookmark11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152"/>
      <w:bookmarkEnd w:id="1153"/>
      <w:bookmarkEnd w:id="1154"/>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预收房租款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2,654,035.67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2,230,063.69</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2,654,035.67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2,230,063.69</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2</w:t>
      </w:r>
      <w:bookmarkEnd w:id="1157"/>
      <w:r>
        <w:rPr>
          <w:rFonts w:ascii="Times New Roman" w:eastAsia="Times New Roman" w:hAnsi="Times New Roman" w:cs="Times New Roman"/>
          <w:color w:val="000000"/>
          <w:spacing w:val="0"/>
          <w:w w:val="100"/>
          <w:position w:val="0"/>
        </w:rPr>
        <w:t>4</w:t>
      </w:r>
      <w:r>
        <w:rPr>
          <w:color w:val="000000"/>
          <w:spacing w:val="0"/>
          <w:w w:val="100"/>
          <w:position w:val="0"/>
        </w:rPr>
        <w:t>、合同负债</w:t>
      </w:r>
      <w:bookmarkEnd w:id="1155"/>
      <w:bookmarkEnd w:id="1156"/>
      <w:bookmarkEnd w:id="1158"/>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237,963,401.45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266,438,938.51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237,963,401.45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266,438,938.51</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2</w:t>
      </w:r>
      <w:bookmarkEnd w:id="1161"/>
      <w:r>
        <w:rPr>
          <w:rFonts w:ascii="Times New Roman" w:eastAsia="Times New Roman" w:hAnsi="Times New Roman" w:cs="Times New Roman"/>
          <w:color w:val="000000"/>
          <w:spacing w:val="0"/>
          <w:w w:val="100"/>
          <w:position w:val="0"/>
        </w:rPr>
        <w:t>5</w:t>
      </w:r>
      <w:r>
        <w:rPr>
          <w:color w:val="000000"/>
          <w:spacing w:val="0"/>
          <w:w w:val="100"/>
          <w:position w:val="0"/>
        </w:rPr>
        <w:t>、应付职工薪酬</w:t>
      </w:r>
      <w:bookmarkEnd w:id="1159"/>
      <w:bookmarkEnd w:id="1160"/>
      <w:bookmarkEnd w:id="1162"/>
    </w:p>
    <w:p>
      <w:pPr>
        <w:pStyle w:val="Style36"/>
        <w:keepNext/>
        <w:keepLines/>
        <w:widowControl w:val="0"/>
        <w:shd w:val="clear" w:color="auto" w:fill="auto"/>
        <w:bidi w:val="0"/>
        <w:spacing w:before="0" w:after="360" w:line="240" w:lineRule="auto"/>
        <w:ind w:left="0" w:right="0" w:firstLine="0"/>
        <w:jc w:val="left"/>
      </w:pPr>
      <w:bookmarkStart w:id="1163" w:name="bookmark1163"/>
      <w:bookmarkStart w:id="1164" w:name="bookmark1164"/>
      <w:bookmarkStart w:id="1165" w:name="bookmark11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163"/>
      <w:bookmarkEnd w:id="1164"/>
      <w:bookmarkEnd w:id="116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55,082,412.45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219,728,438.59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213,126,473.44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61,684,377.60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12,185,685.17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12,185,693.55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55,082,420.83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231,914,123.76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225,312,166.99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61,684,377.60</w:t>
            </w:r>
          </w:p>
        </w:tc>
      </w:tr>
    </w:tbl>
    <w:p>
      <w:pPr>
        <w:widowControl w:val="0"/>
        <w:spacing w:after="319" w:line="1" w:lineRule="exact"/>
      </w:pPr>
    </w:p>
    <w:p>
      <w:pPr>
        <w:pStyle w:val="Style36"/>
        <w:keepNext/>
        <w:keepLines/>
        <w:widowControl w:val="0"/>
        <w:shd w:val="clear" w:color="auto" w:fill="auto"/>
        <w:bidi w:val="0"/>
        <w:spacing w:before="0" w:after="360" w:line="240" w:lineRule="auto"/>
        <w:ind w:left="0" w:right="0" w:firstLine="0"/>
        <w:jc w:val="left"/>
      </w:pPr>
      <w:bookmarkStart w:id="1166" w:name="bookmark1166"/>
      <w:bookmarkStart w:id="1167" w:name="bookmark1167"/>
      <w:bookmarkStart w:id="1168" w:name="bookmark116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166"/>
      <w:bookmarkEnd w:id="1167"/>
      <w:bookmarkEnd w:id="116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27,836,403.00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183,023,005.64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178,316,273.53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32,543,135.11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8,622,496.95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8,622,496.95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15,305,376.49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15,305,376.49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14,891,152.34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14,891,152.34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326,446.75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326,446.75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87,777.40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87,777.40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6,926,278.65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6,926,278.65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 经费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27,246,009.45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5,851,280.86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3,956,047.82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29,141,242.49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55,082,412.45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219,728,438.59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213,126,473.44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61,684,377.60</w:t>
            </w:r>
          </w:p>
        </w:tc>
      </w:tr>
    </w:tbl>
    <w:p>
      <w:pPr>
        <w:widowControl w:val="0"/>
        <w:spacing w:after="319" w:line="1" w:lineRule="exact"/>
      </w:pPr>
    </w:p>
    <w:p>
      <w:pPr>
        <w:pStyle w:val="Style36"/>
        <w:keepNext/>
        <w:keepLines/>
        <w:widowControl w:val="0"/>
        <w:shd w:val="clear" w:color="auto" w:fill="auto"/>
        <w:bidi w:val="0"/>
        <w:spacing w:before="0" w:after="360" w:line="240" w:lineRule="auto"/>
        <w:ind w:left="0" w:right="0" w:firstLine="0"/>
        <w:jc w:val="left"/>
      </w:pPr>
      <w:bookmarkStart w:id="1169" w:name="bookmark1169"/>
      <w:bookmarkStart w:id="1170" w:name="bookmark1170"/>
      <w:bookmarkStart w:id="1171" w:name="bookmark1171"/>
      <w:bookmarkStart w:id="1172" w:name="bookmark1172"/>
      <w:r>
        <w:rPr>
          <w:color w:val="000000"/>
          <w:spacing w:val="0"/>
          <w:w w:val="100"/>
          <w:position w:val="0"/>
        </w:rPr>
        <w:t>（</w:t>
      </w:r>
      <w:bookmarkEnd w:id="1171"/>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169"/>
      <w:bookmarkEnd w:id="1170"/>
      <w:bookmarkEnd w:id="117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11,734,055.19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11,734,055.19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451,629.98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451,638.36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12,185,685.17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12,185,693.55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173" w:name="bookmark1173"/>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2</w:t>
      </w:r>
      <w:bookmarkEnd w:id="1175"/>
      <w:r>
        <w:rPr>
          <w:rFonts w:ascii="Times New Roman" w:eastAsia="Times New Roman" w:hAnsi="Times New Roman" w:cs="Times New Roman"/>
          <w:color w:val="000000"/>
          <w:spacing w:val="0"/>
          <w:w w:val="100"/>
          <w:position w:val="0"/>
        </w:rPr>
        <w:t>6</w:t>
      </w:r>
      <w:r>
        <w:rPr>
          <w:color w:val="000000"/>
          <w:spacing w:val="0"/>
          <w:w w:val="100"/>
          <w:position w:val="0"/>
        </w:rPr>
        <w:t>、应交税费</w:t>
      </w:r>
      <w:bookmarkEnd w:id="1173"/>
      <w:bookmarkEnd w:id="1174"/>
      <w:bookmarkEnd w:id="1176"/>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22,038,258.24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14,384,920.50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4,196,623.23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2,257,717.16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217,399.33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2,200,296.29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1,329,352.74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941,994.29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1,629,188.59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1,587,141.82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651,927.78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716,441.24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518,346.12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359,207.85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255,970.23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162,799.90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水利基金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36,830.08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环保税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3,725.78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30,840,792.04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22,647,349.13</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2</w:t>
      </w:r>
      <w:bookmarkEnd w:id="1179"/>
      <w:r>
        <w:rPr>
          <w:rFonts w:ascii="Times New Roman" w:eastAsia="Times New Roman" w:hAnsi="Times New Roman" w:cs="Times New Roman"/>
          <w:color w:val="000000"/>
          <w:spacing w:val="0"/>
          <w:w w:val="100"/>
          <w:position w:val="0"/>
        </w:rPr>
        <w:t>7</w:t>
      </w:r>
      <w:r>
        <w:rPr>
          <w:color w:val="000000"/>
          <w:spacing w:val="0"/>
          <w:w w:val="100"/>
          <w:position w:val="0"/>
        </w:rPr>
        <w:t>、其他应付款</w:t>
      </w:r>
      <w:bookmarkEnd w:id="1177"/>
      <w:bookmarkEnd w:id="1178"/>
      <w:bookmarkEnd w:id="1180"/>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54,732,266.04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56,297,725.55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54,732,266.04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56,297,725.55</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181" w:name="bookmark1181"/>
      <w:bookmarkStart w:id="1182" w:name="bookmark1182"/>
      <w:bookmarkStart w:id="1183" w:name="bookmark11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181"/>
      <w:bookmarkEnd w:id="1182"/>
      <w:bookmarkEnd w:id="1183"/>
    </w:p>
    <w:p>
      <w:pPr>
        <w:pStyle w:val="Style57"/>
        <w:keepNext/>
        <w:keepLines/>
        <w:widowControl w:val="0"/>
        <w:shd w:val="clear" w:color="auto" w:fill="auto"/>
        <w:bidi w:val="0"/>
        <w:spacing w:before="0" w:line="240" w:lineRule="auto"/>
        <w:ind w:left="0" w:right="0" w:firstLine="0"/>
        <w:jc w:val="left"/>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1</w:t>
      </w:r>
      <w:bookmarkEnd w:id="1186"/>
      <w:r>
        <w:rPr>
          <w:color w:val="000000"/>
          <w:spacing w:val="0"/>
          <w:w w:val="100"/>
          <w:position w:val="0"/>
        </w:rPr>
        <w:t>）按款项性质列示其他应付款</w:t>
      </w:r>
      <w:bookmarkEnd w:id="1184"/>
      <w:bookmarkEnd w:id="1185"/>
      <w:bookmarkEnd w:id="1187"/>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14,491,024.70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31,941,582.83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3,861,977.95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10,395,491.44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7,035,528.08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5,190,396.18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color w:val="000000"/>
                <w:spacing w:val="0"/>
                <w:w w:val="100"/>
                <w:position w:val="0"/>
              </w:rPr>
              <w:t>836,484.00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707,362.53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设备款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554,295.89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674,416.89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7,952,955.42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7,388,475.68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土地补偿款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54,732,266.04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56,297,725.55</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2</w:t>
      </w:r>
      <w:bookmarkEnd w:id="1190"/>
      <w:r>
        <w:rPr>
          <w:rFonts w:ascii="Times New Roman" w:eastAsia="Times New Roman" w:hAnsi="Times New Roman" w:cs="Times New Roman"/>
          <w:color w:val="000000"/>
          <w:spacing w:val="0"/>
          <w:w w:val="100"/>
          <w:position w:val="0"/>
        </w:rPr>
        <w:t>8</w:t>
      </w:r>
      <w:r>
        <w:rPr>
          <w:color w:val="000000"/>
          <w:spacing w:val="0"/>
          <w:w w:val="100"/>
          <w:position w:val="0"/>
        </w:rPr>
        <w:t>、一年内到期的非流动负债</w:t>
      </w:r>
      <w:bookmarkEnd w:id="1188"/>
      <w:bookmarkEnd w:id="1189"/>
      <w:bookmarkEnd w:id="1191"/>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11,196,610.15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5,458,397.40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11,196,610.15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5,458,397.40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2</w:t>
      </w:r>
      <w:bookmarkEnd w:id="1194"/>
      <w:r>
        <w:rPr>
          <w:rFonts w:ascii="Times New Roman" w:eastAsia="Times New Roman" w:hAnsi="Times New Roman" w:cs="Times New Roman"/>
          <w:color w:val="000000"/>
          <w:spacing w:val="0"/>
          <w:w w:val="100"/>
          <w:position w:val="0"/>
        </w:rPr>
        <w:t>9</w:t>
      </w:r>
      <w:r>
        <w:rPr>
          <w:color w:val="000000"/>
          <w:spacing w:val="0"/>
          <w:w w:val="100"/>
          <w:position w:val="0"/>
        </w:rPr>
        <w:t>、其他流动负债</w:t>
      </w:r>
      <w:bookmarkEnd w:id="1192"/>
      <w:bookmarkEnd w:id="1193"/>
      <w:bookmarkEnd w:id="1195"/>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待转销项税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590,762.99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563,485.22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590,762.99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563,485.22</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3</w:t>
      </w:r>
      <w:bookmarkEnd w:id="1198"/>
      <w:r>
        <w:rPr>
          <w:rFonts w:ascii="Times New Roman" w:eastAsia="Times New Roman" w:hAnsi="Times New Roman" w:cs="Times New Roman"/>
          <w:color w:val="000000"/>
          <w:spacing w:val="0"/>
          <w:w w:val="100"/>
          <w:position w:val="0"/>
        </w:rPr>
        <w:t>0</w:t>
      </w:r>
      <w:r>
        <w:rPr>
          <w:color w:val="000000"/>
          <w:spacing w:val="0"/>
          <w:w w:val="100"/>
          <w:position w:val="0"/>
        </w:rPr>
        <w:t>、租赁负债</w:t>
      </w:r>
      <w:bookmarkEnd w:id="1196"/>
      <w:bookmarkEnd w:id="1197"/>
      <w:bookmarkEnd w:id="1199"/>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租赁付款额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32,987,301.15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14,551,852.97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-2,530,629.42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-946,291.58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一年内到期部分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-11,196,610.16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-5,458,397.40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19,260,061.57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8,147,163.99</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3</w:t>
      </w:r>
      <w:bookmarkEnd w:id="1202"/>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200"/>
      <w:bookmarkEnd w:id="1201"/>
      <w:bookmarkEnd w:id="1203"/>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6,329,204.32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1,278,037.00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5,051,167.32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6,329,204.32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1,278,037.00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5,051,167.32</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本期新增补 助金额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本期计入营 业外收入金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本期计入其</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他收益金额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本期冲减成</w:t>
            </w:r>
          </w:p>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本费用金额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上海市闵行 区财政局重 点技改项目 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5,780,384.32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1,156,077.00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4,624,307.32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山东省自主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548,820.00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121,960.00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426,860.00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bl>
    <w:p>
      <w:pPr>
        <w:spacing w:lineRule="exact" w:line="1"/>
        <w:rPr>
          <w:sz w:val="2"/>
          <w:szCs w:val="2"/>
        </w:rPr>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98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创新及成果</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转化专项资</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6,329,204.32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1,278,037.00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5,051,167.32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3</w:t>
      </w:r>
      <w:bookmarkEnd w:id="1206"/>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204"/>
      <w:bookmarkEnd w:id="1205"/>
      <w:bookmarkEnd w:id="1207"/>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一次性收取的应在未来期间确认的租赁 及技术服务收入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12,747,464.11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21,212,906.83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12,747,464.11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21,212,906.83</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33</w:t>
      </w:r>
      <w:r>
        <w:rPr>
          <w:color w:val="000000"/>
          <w:spacing w:val="0"/>
          <w:w w:val="100"/>
          <w:position w:val="0"/>
        </w:rPr>
        <w:t>、股本</w:t>
      </w:r>
      <w:bookmarkEnd w:id="1208"/>
      <w:bookmarkEnd w:id="1209"/>
      <w:bookmarkEnd w:id="121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545,666,421.00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545,666,421.00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34</w:t>
      </w:r>
      <w:r>
        <w:rPr>
          <w:color w:val="000000"/>
          <w:spacing w:val="0"/>
          <w:w w:val="100"/>
          <w:position w:val="0"/>
        </w:rPr>
        <w:t>、资本公积</w:t>
      </w:r>
      <w:bookmarkEnd w:id="1211"/>
      <w:bookmarkEnd w:id="1212"/>
      <w:bookmarkEnd w:id="121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229,697,882.71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15,133,263.70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244,831,146.41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20,084,827.50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20,084,827.50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249,782,710.21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15,133,263.70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264,915,973.91</w:t>
            </w:r>
          </w:p>
        </w:tc>
      </w:tr>
    </w:tbl>
    <w:p>
      <w:pPr>
        <w:pStyle w:val="Style1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注：上海云鑫创业投资有限公司以人民币</w:t>
      </w:r>
      <w:r>
        <w:rPr>
          <w:rFonts w:ascii="Times New Roman" w:eastAsia="Times New Roman" w:hAnsi="Times New Roman" w:cs="Times New Roman"/>
          <w:color w:val="000000"/>
          <w:spacing w:val="0"/>
          <w:w w:val="100"/>
          <w:position w:val="0"/>
          <w:sz w:val="18"/>
          <w:szCs w:val="18"/>
        </w:rPr>
        <w:t>25,000,000.00</w:t>
      </w:r>
      <w:r>
        <w:rPr>
          <w:color w:val="000000"/>
          <w:spacing w:val="0"/>
          <w:w w:val="100"/>
          <w:position w:val="0"/>
        </w:rPr>
        <w:t>元对本公司之子公司北京东港瑞宏科技有限公司（以下简称“北京 东港瑞宏公司”）增资</w:t>
      </w:r>
      <w:r>
        <w:rPr>
          <w:rFonts w:ascii="Times New Roman" w:eastAsia="Times New Roman" w:hAnsi="Times New Roman" w:cs="Times New Roman"/>
          <w:color w:val="000000"/>
          <w:spacing w:val="0"/>
          <w:w w:val="100"/>
          <w:position w:val="0"/>
          <w:sz w:val="18"/>
          <w:szCs w:val="18"/>
        </w:rPr>
        <w:t>3,333,333.00</w:t>
      </w:r>
      <w:r>
        <w:rPr>
          <w:color w:val="000000"/>
          <w:spacing w:val="0"/>
          <w:w w:val="100"/>
          <w:position w:val="0"/>
        </w:rPr>
        <w:t>元，增资后本公司持有北京东港瑞宏公司股权由</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下降至</w:t>
      </w:r>
      <w:r>
        <w:rPr>
          <w:rFonts w:ascii="Times New Roman" w:eastAsia="Times New Roman" w:hAnsi="Times New Roman" w:cs="Times New Roman"/>
          <w:color w:val="000000"/>
          <w:spacing w:val="0"/>
          <w:w w:val="100"/>
          <w:position w:val="0"/>
          <w:sz w:val="18"/>
          <w:szCs w:val="18"/>
        </w:rPr>
        <w:t>77.14%</w:t>
      </w:r>
      <w:r>
        <w:rPr>
          <w:color w:val="000000"/>
          <w:spacing w:val="0"/>
          <w:w w:val="100"/>
          <w:position w:val="0"/>
        </w:rPr>
        <w:t>，本公司按持股比例 计算的净资产增加</w:t>
      </w:r>
      <w:r>
        <w:rPr>
          <w:rFonts w:ascii="Times New Roman" w:eastAsia="Times New Roman" w:hAnsi="Times New Roman" w:cs="Times New Roman"/>
          <w:color w:val="000000"/>
          <w:spacing w:val="0"/>
          <w:w w:val="100"/>
          <w:position w:val="0"/>
          <w:sz w:val="18"/>
          <w:szCs w:val="18"/>
        </w:rPr>
        <w:t>15,133,263.70</w:t>
      </w:r>
      <w:r>
        <w:rPr>
          <w:color w:val="000000"/>
          <w:spacing w:val="0"/>
          <w:w w:val="100"/>
          <w:position w:val="0"/>
        </w:rPr>
        <w:t>元计入资本公积。</w:t>
      </w:r>
    </w:p>
    <w:p>
      <w:pPr>
        <w:pStyle w:val="Style32"/>
        <w:keepNext/>
        <w:keepLines/>
        <w:widowControl w:val="0"/>
        <w:shd w:val="clear" w:color="auto" w:fill="auto"/>
        <w:bidi w:val="0"/>
        <w:spacing w:before="0" w:line="240" w:lineRule="auto"/>
        <w:ind w:left="0" w:right="0" w:firstLine="0"/>
        <w:jc w:val="left"/>
      </w:pPr>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35</w:t>
      </w:r>
      <w:r>
        <w:rPr>
          <w:color w:val="000000"/>
          <w:spacing w:val="0"/>
          <w:w w:val="100"/>
          <w:position w:val="0"/>
        </w:rPr>
        <w:t>、盈余公积</w:t>
      </w:r>
      <w:bookmarkEnd w:id="1214"/>
      <w:bookmarkEnd w:id="1215"/>
      <w:bookmarkEnd w:id="1216"/>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207,567,153.79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16,430,865.10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223,998,018.89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任意盈余公积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93,422,987.97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93,422,987.97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300,990,141.76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16,430,865.10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317,421,006.86</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3</w:t>
      </w:r>
      <w:bookmarkEnd w:id="1219"/>
      <w:r>
        <w:rPr>
          <w:rFonts w:ascii="Times New Roman" w:eastAsia="Times New Roman" w:hAnsi="Times New Roman" w:cs="Times New Roman"/>
          <w:color w:val="000000"/>
          <w:spacing w:val="0"/>
          <w:w w:val="100"/>
          <w:position w:val="0"/>
        </w:rPr>
        <w:t>6</w:t>
      </w:r>
      <w:r>
        <w:rPr>
          <w:color w:val="000000"/>
          <w:spacing w:val="0"/>
          <w:w w:val="100"/>
          <w:position w:val="0"/>
        </w:rPr>
        <w:t>、未分配利润</w:t>
      </w:r>
      <w:bookmarkEnd w:id="1217"/>
      <w:bookmarkEnd w:id="1218"/>
      <w:bookmarkEnd w:id="1220"/>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pPr>
            <w:r>
              <w:rPr>
                <w:color w:val="000000"/>
                <w:spacing w:val="0"/>
                <w:w w:val="100"/>
                <w:position w:val="0"/>
              </w:rPr>
              <w:t>487,333,691.60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both"/>
            </w:pPr>
            <w:r>
              <w:rPr>
                <w:color w:val="000000"/>
                <w:spacing w:val="0"/>
                <w:w w:val="100"/>
                <w:position w:val="0"/>
              </w:rPr>
              <w:t>562,991,326.83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pPr>
            <w:r>
              <w:rPr>
                <w:color w:val="000000"/>
                <w:spacing w:val="0"/>
                <w:w w:val="100"/>
                <w:position w:val="0"/>
              </w:rPr>
              <w:t>487,333,691.60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both"/>
            </w:pPr>
            <w:r>
              <w:rPr>
                <w:color w:val="000000"/>
                <w:spacing w:val="0"/>
                <w:w w:val="100"/>
                <w:position w:val="0"/>
              </w:rPr>
              <w:t>562,991,326.83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186,488,504.09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163,330,111.01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16,430,865.10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20,721,177.84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218,266,568.40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both"/>
            </w:pPr>
            <w:r>
              <w:rPr>
                <w:color w:val="000000"/>
                <w:spacing w:val="0"/>
                <w:w w:val="100"/>
                <w:position w:val="0"/>
              </w:rPr>
              <w:t>218,266,568.40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pPr>
            <w:r>
              <w:rPr>
                <w:color w:val="000000"/>
                <w:spacing w:val="0"/>
                <w:w w:val="100"/>
                <w:position w:val="0"/>
              </w:rPr>
              <w:t>439,124,762.19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both"/>
            </w:pPr>
            <w:r>
              <w:rPr>
                <w:color w:val="000000"/>
                <w:spacing w:val="0"/>
                <w:w w:val="100"/>
                <w:position w:val="0"/>
              </w:rPr>
              <w:t>487,333,691.60</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18"/>
        <w:keepNext w:val="0"/>
        <w:keepLines w:val="0"/>
        <w:widowControl w:val="0"/>
        <w:shd w:val="clear" w:color="auto" w:fill="auto"/>
        <w:tabs>
          <w:tab w:pos="330" w:val="left"/>
        </w:tabs>
        <w:bidi w:val="0"/>
        <w:spacing w:before="0" w:after="120" w:line="240" w:lineRule="auto"/>
        <w:ind w:left="0" w:right="0" w:firstLine="0"/>
        <w:jc w:val="left"/>
      </w:pPr>
      <w:bookmarkStart w:id="1221" w:name="bookmark1221"/>
      <w:r>
        <w:rPr>
          <w:rFonts w:ascii="Times New Roman" w:eastAsia="Times New Roman" w:hAnsi="Times New Roman" w:cs="Times New Roman"/>
          <w:color w:val="000000"/>
          <w:spacing w:val="0"/>
          <w:w w:val="100"/>
          <w:position w:val="0"/>
          <w:sz w:val="18"/>
          <w:szCs w:val="18"/>
        </w:rPr>
        <w:t>1</w:t>
      </w:r>
      <w:bookmarkEnd w:id="122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8"/>
        <w:keepNext w:val="0"/>
        <w:keepLines w:val="0"/>
        <w:widowControl w:val="0"/>
        <w:shd w:val="clear" w:color="auto" w:fill="auto"/>
        <w:tabs>
          <w:tab w:pos="349" w:val="left"/>
        </w:tabs>
        <w:bidi w:val="0"/>
        <w:spacing w:before="0" w:after="120" w:line="240" w:lineRule="auto"/>
        <w:ind w:left="0" w:right="0" w:firstLine="0"/>
        <w:jc w:val="left"/>
      </w:pPr>
      <w:bookmarkStart w:id="1222" w:name="bookmark1222"/>
      <w:r>
        <w:rPr>
          <w:rFonts w:ascii="Times New Roman" w:eastAsia="Times New Roman" w:hAnsi="Times New Roman" w:cs="Times New Roman"/>
          <w:color w:val="000000"/>
          <w:spacing w:val="0"/>
          <w:w w:val="100"/>
          <w:position w:val="0"/>
          <w:sz w:val="18"/>
          <w:szCs w:val="18"/>
        </w:rPr>
        <w:t>2</w:t>
      </w:r>
      <w:bookmarkEnd w:id="122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8"/>
        <w:keepNext w:val="0"/>
        <w:keepLines w:val="0"/>
        <w:widowControl w:val="0"/>
        <w:shd w:val="clear" w:color="auto" w:fill="auto"/>
        <w:tabs>
          <w:tab w:pos="349" w:val="left"/>
        </w:tabs>
        <w:bidi w:val="0"/>
        <w:spacing w:before="0" w:after="120" w:line="240" w:lineRule="auto"/>
        <w:ind w:left="0" w:right="0" w:firstLine="0"/>
        <w:jc w:val="left"/>
      </w:pPr>
      <w:bookmarkStart w:id="1223" w:name="bookmark1223"/>
      <w:r>
        <w:rPr>
          <w:rFonts w:ascii="Times New Roman" w:eastAsia="Times New Roman" w:hAnsi="Times New Roman" w:cs="Times New Roman"/>
          <w:color w:val="000000"/>
          <w:spacing w:val="0"/>
          <w:w w:val="100"/>
          <w:position w:val="0"/>
          <w:sz w:val="18"/>
          <w:szCs w:val="18"/>
        </w:rPr>
        <w:t>3</w:t>
      </w:r>
      <w:bookmarkEnd w:id="122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8"/>
        <w:keepNext w:val="0"/>
        <w:keepLines w:val="0"/>
        <w:widowControl w:val="0"/>
        <w:shd w:val="clear" w:color="auto" w:fill="auto"/>
        <w:tabs>
          <w:tab w:pos="349" w:val="left"/>
        </w:tabs>
        <w:bidi w:val="0"/>
        <w:spacing w:before="0" w:after="120" w:line="240" w:lineRule="auto"/>
        <w:ind w:left="0" w:right="0" w:firstLine="0"/>
        <w:jc w:val="left"/>
      </w:pPr>
      <w:bookmarkStart w:id="1224" w:name="bookmark1224"/>
      <w:r>
        <w:rPr>
          <w:rFonts w:ascii="Times New Roman" w:eastAsia="Times New Roman" w:hAnsi="Times New Roman" w:cs="Times New Roman"/>
          <w:color w:val="000000"/>
          <w:spacing w:val="0"/>
          <w:w w:val="100"/>
          <w:position w:val="0"/>
          <w:sz w:val="18"/>
          <w:szCs w:val="18"/>
        </w:rPr>
        <w:t>4</w:t>
      </w:r>
      <w:bookmarkEnd w:id="122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8"/>
        <w:keepNext w:val="0"/>
        <w:keepLines w:val="0"/>
        <w:widowControl w:val="0"/>
        <w:shd w:val="clear" w:color="auto" w:fill="auto"/>
        <w:tabs>
          <w:tab w:pos="349" w:val="left"/>
        </w:tabs>
        <w:bidi w:val="0"/>
        <w:spacing w:before="0" w:after="380" w:line="240" w:lineRule="auto"/>
        <w:ind w:left="0" w:right="0" w:firstLine="0"/>
        <w:jc w:val="left"/>
      </w:pPr>
      <w:bookmarkStart w:id="1225" w:name="bookmark1225"/>
      <w:r>
        <w:rPr>
          <w:rFonts w:ascii="Times New Roman" w:eastAsia="Times New Roman" w:hAnsi="Times New Roman" w:cs="Times New Roman"/>
          <w:color w:val="000000"/>
          <w:spacing w:val="0"/>
          <w:w w:val="100"/>
          <w:position w:val="0"/>
          <w:sz w:val="18"/>
          <w:szCs w:val="18"/>
        </w:rPr>
        <w:t>5</w:t>
      </w:r>
      <w:bookmarkEnd w:id="122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keepLines/>
        <w:widowControl w:val="0"/>
        <w:shd w:val="clear" w:color="auto" w:fill="auto"/>
        <w:bidi w:val="0"/>
        <w:spacing w:before="0" w:line="240" w:lineRule="auto"/>
        <w:ind w:left="0" w:right="0" w:firstLine="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3</w:t>
      </w:r>
      <w:bookmarkEnd w:id="1228"/>
      <w:r>
        <w:rPr>
          <w:rFonts w:ascii="Times New Roman" w:eastAsia="Times New Roman" w:hAnsi="Times New Roman" w:cs="Times New Roman"/>
          <w:color w:val="000000"/>
          <w:spacing w:val="0"/>
          <w:w w:val="100"/>
          <w:position w:val="0"/>
        </w:rPr>
        <w:t>7</w:t>
      </w:r>
      <w:r>
        <w:rPr>
          <w:color w:val="000000"/>
          <w:spacing w:val="0"/>
          <w:w w:val="100"/>
          <w:position w:val="0"/>
        </w:rPr>
        <w:t>、营业收入和营业成本</w:t>
      </w:r>
      <w:bookmarkEnd w:id="1226"/>
      <w:bookmarkEnd w:id="1227"/>
      <w:bookmarkEnd w:id="1229"/>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1,171,402,833.38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727,117,208.78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1,154,849,387.86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725,919,589.37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29,538,677.56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13,438,068.72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26,009,871.95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12,022,013.71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1,200,941,510.94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740,555,277.50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1,180,859,259.81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737,941,603.08</w:t>
            </w:r>
          </w:p>
        </w:tc>
      </w:tr>
    </w:tbl>
    <w:p>
      <w:pPr>
        <w:pStyle w:val="Style18"/>
        <w:keepNext w:val="0"/>
        <w:keepLines w:val="0"/>
        <w:widowControl w:val="0"/>
        <w:shd w:val="clear" w:color="auto" w:fill="auto"/>
        <w:bidi w:val="0"/>
        <w:spacing w:before="0" w:after="120" w:line="307" w:lineRule="exact"/>
        <w:ind w:left="0" w:right="0" w:firstLine="0"/>
        <w:jc w:val="left"/>
      </w:pPr>
      <w:r>
        <w:rPr>
          <w:color w:val="000000"/>
          <w:spacing w:val="0"/>
          <w:w w:val="100"/>
          <w:position w:val="0"/>
        </w:rPr>
        <w:t>经审计扣除非经常损益前后净利润孰低是否为负值</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与分摊至剩余履约义务的交易价格相关的信息：</w:t>
      </w:r>
    </w:p>
    <w:p>
      <w:pPr>
        <w:pStyle w:val="Style18"/>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元预计将于年度 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元预计将于年度确认收入，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元预计将于年度确认收入。</w:t>
      </w:r>
    </w:p>
    <w:p>
      <w:pPr>
        <w:pStyle w:val="Style32"/>
        <w:keepNext/>
        <w:keepLines/>
        <w:widowControl w:val="0"/>
        <w:shd w:val="clear" w:color="auto" w:fill="auto"/>
        <w:bidi w:val="0"/>
        <w:spacing w:before="0" w:line="240" w:lineRule="auto"/>
        <w:ind w:left="0" w:right="0" w:firstLine="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3</w:t>
      </w:r>
      <w:bookmarkEnd w:id="1232"/>
      <w:r>
        <w:rPr>
          <w:rFonts w:ascii="Times New Roman" w:eastAsia="Times New Roman" w:hAnsi="Times New Roman" w:cs="Times New Roman"/>
          <w:color w:val="000000"/>
          <w:spacing w:val="0"/>
          <w:w w:val="100"/>
          <w:position w:val="0"/>
        </w:rPr>
        <w:t>8</w:t>
      </w:r>
      <w:r>
        <w:rPr>
          <w:color w:val="000000"/>
          <w:spacing w:val="0"/>
          <w:w w:val="100"/>
          <w:position w:val="0"/>
        </w:rPr>
        <w:t>、税金及附加</w:t>
      </w:r>
      <w:bookmarkEnd w:id="1230"/>
      <w:bookmarkEnd w:id="1231"/>
      <w:bookmarkEnd w:id="1233"/>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3,546,196.00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4,590,693.92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1,677,746.88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2,069,274.79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8,667,768.99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8,080,326.99</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226,783.38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2,739,545.57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40" w:right="0" w:firstLine="0"/>
              <w:jc w:val="both"/>
            </w:pPr>
            <w:r>
              <w:rPr>
                <w:color w:val="000000"/>
                <w:spacing w:val="0"/>
                <w:w w:val="100"/>
                <w:position w:val="0"/>
              </w:rPr>
              <w:t>40,939.26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40" w:right="0" w:firstLine="0"/>
              <w:jc w:val="both"/>
            </w:pPr>
            <w:r>
              <w:rPr>
                <w:color w:val="000000"/>
                <w:spacing w:val="0"/>
                <w:w w:val="100"/>
                <w:position w:val="0"/>
              </w:rPr>
              <w:t>43,472.88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1,380,268.30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1,584,591.97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1,089,602.10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1,379,516.75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环境保护税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40" w:right="0" w:firstLine="0"/>
              <w:jc w:val="both"/>
            </w:pPr>
            <w:r>
              <w:rPr>
                <w:color w:val="000000"/>
                <w:spacing w:val="0"/>
                <w:w w:val="100"/>
                <w:position w:val="0"/>
              </w:rPr>
              <w:t>19,240.77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40" w:right="0" w:firstLine="0"/>
              <w:jc w:val="both"/>
            </w:pPr>
            <w:r>
              <w:rPr>
                <w:color w:val="000000"/>
                <w:spacing w:val="0"/>
                <w:w w:val="100"/>
                <w:position w:val="0"/>
              </w:rPr>
              <w:t>31,956.44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水利基金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155,330.81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16,648,545.68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20,674,710.12</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3</w:t>
      </w:r>
      <w:bookmarkEnd w:id="1236"/>
      <w:r>
        <w:rPr>
          <w:rFonts w:ascii="Times New Roman" w:eastAsia="Times New Roman" w:hAnsi="Times New Roman" w:cs="Times New Roman"/>
          <w:color w:val="000000"/>
          <w:spacing w:val="0"/>
          <w:w w:val="100"/>
          <w:position w:val="0"/>
        </w:rPr>
        <w:t>9</w:t>
      </w:r>
      <w:r>
        <w:rPr>
          <w:color w:val="000000"/>
          <w:spacing w:val="0"/>
          <w:w w:val="100"/>
          <w:position w:val="0"/>
        </w:rPr>
        <w:t>、销售费用</w:t>
      </w:r>
      <w:bookmarkEnd w:id="1234"/>
      <w:bookmarkEnd w:id="1235"/>
      <w:bookmarkEnd w:id="1237"/>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工资及福利费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56,537,451.92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26,496,000.79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12,350,635.05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22,795,031.45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7,150,632.40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10,787,869.12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交通费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4,401,363.08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11,100,362.97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折旧与摊销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1,924,249.97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2,078,027.69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住宿费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1,456,728.91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2,728,168.62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287,753.06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1,072,483.11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电话邮政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268,316.73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314,053.07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3,744,170.36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3,516,526.72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88,121,301.48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80,888,523.54</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4</w:t>
      </w:r>
      <w:bookmarkEnd w:id="1240"/>
      <w:r>
        <w:rPr>
          <w:rFonts w:ascii="Times New Roman" w:eastAsia="Times New Roman" w:hAnsi="Times New Roman" w:cs="Times New Roman"/>
          <w:color w:val="000000"/>
          <w:spacing w:val="0"/>
          <w:w w:val="100"/>
          <w:position w:val="0"/>
        </w:rPr>
        <w:t>0</w:t>
      </w:r>
      <w:r>
        <w:rPr>
          <w:color w:val="000000"/>
          <w:spacing w:val="0"/>
          <w:w w:val="100"/>
          <w:position w:val="0"/>
        </w:rPr>
        <w:t>、管理费用</w:t>
      </w:r>
      <w:bookmarkEnd w:id="1238"/>
      <w:bookmarkEnd w:id="1239"/>
      <w:bookmarkEnd w:id="1241"/>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37,719,714.66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29,753,323.19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11,968,516.53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12,497,054.48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10,064,729.76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13,564,901.33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8,642,689.41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7,652,993.03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5,532,310.48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5,182,784.84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维修费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4,903,591.06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4,648,058.62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3,458,851.35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1,853,593.83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1,788,437.98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2,395,671.48</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1,453,267.06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4,156,091.44</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交通费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color w:val="000000"/>
                <w:spacing w:val="0"/>
                <w:w w:val="100"/>
                <w:position w:val="0"/>
              </w:rPr>
              <w:t>859,915.59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1,515,747.81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578,837.06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400,187.57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流动资产处置损失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149,615.57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498,888.61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6,860,616.35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7,481,109.36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93,981,092.86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91,600,405.59</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4</w:t>
      </w:r>
      <w:bookmarkEnd w:id="1244"/>
      <w:r>
        <w:rPr>
          <w:rFonts w:ascii="Times New Roman" w:eastAsia="Times New Roman" w:hAnsi="Times New Roman" w:cs="Times New Roman"/>
          <w:color w:val="000000"/>
          <w:spacing w:val="0"/>
          <w:w w:val="100"/>
          <w:position w:val="0"/>
        </w:rPr>
        <w:t>1</w:t>
      </w:r>
      <w:r>
        <w:rPr>
          <w:color w:val="000000"/>
          <w:spacing w:val="0"/>
          <w:w w:val="100"/>
          <w:position w:val="0"/>
        </w:rPr>
        <w:t>、研发费用</w:t>
      </w:r>
      <w:bookmarkEnd w:id="1242"/>
      <w:bookmarkEnd w:id="1243"/>
      <w:bookmarkEnd w:id="1245"/>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41,619,733.28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49,238,035.21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直接投入费用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16,565,569.28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27,260,011.07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折旧和摊销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12,404,156.01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21,047,756.09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其他相关费用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3,411,052.86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2,502,105.94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74,000,511.43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100,047,908.31</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4</w:t>
      </w:r>
      <w:bookmarkEnd w:id="1248"/>
      <w:r>
        <w:rPr>
          <w:rFonts w:ascii="Times New Roman" w:eastAsia="Times New Roman" w:hAnsi="Times New Roman" w:cs="Times New Roman"/>
          <w:color w:val="000000"/>
          <w:spacing w:val="0"/>
          <w:w w:val="100"/>
          <w:position w:val="0"/>
        </w:rPr>
        <w:t>2</w:t>
      </w:r>
      <w:r>
        <w:rPr>
          <w:color w:val="000000"/>
          <w:spacing w:val="0"/>
          <w:w w:val="100"/>
          <w:position w:val="0"/>
        </w:rPr>
        <w:t>、财务费用</w:t>
      </w:r>
      <w:bookmarkEnd w:id="1246"/>
      <w:bookmarkEnd w:id="1247"/>
      <w:bookmarkEnd w:id="1249"/>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1,145,053.05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988,648.82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628,786.27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加：汇兑损失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2,225.49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-23,117.58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265,210.59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285,350.42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423,840.31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-366,553.43</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4</w:t>
      </w:r>
      <w:bookmarkEnd w:id="1252"/>
      <w:r>
        <w:rPr>
          <w:rFonts w:ascii="Times New Roman" w:eastAsia="Times New Roman" w:hAnsi="Times New Roman" w:cs="Times New Roman"/>
          <w:color w:val="000000"/>
          <w:spacing w:val="0"/>
          <w:w w:val="100"/>
          <w:position w:val="0"/>
        </w:rPr>
        <w:t>3</w:t>
      </w:r>
      <w:r>
        <w:rPr>
          <w:color w:val="000000"/>
          <w:spacing w:val="0"/>
          <w:w w:val="100"/>
          <w:position w:val="0"/>
        </w:rPr>
        <w:t>、其他收益</w:t>
      </w:r>
      <w:bookmarkEnd w:id="1250"/>
      <w:bookmarkEnd w:id="1251"/>
      <w:bookmarkEnd w:id="1253"/>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费用补贴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11,140,229.75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4,924,487.14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1,960,037.00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1,873,224.00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税收返还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color w:val="000000"/>
                <w:spacing w:val="0"/>
                <w:w w:val="100"/>
                <w:position w:val="0"/>
              </w:rPr>
              <w:t>896,359.08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513,810.24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手续费返还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245,482.43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500,706.91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研发经费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211,500.00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180,631.58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2,325,514.85</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专利补助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39,010.00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39,840.00</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4</w:t>
      </w:r>
      <w:bookmarkEnd w:id="1256"/>
      <w:r>
        <w:rPr>
          <w:rFonts w:ascii="Times New Roman" w:eastAsia="Times New Roman" w:hAnsi="Times New Roman" w:cs="Times New Roman"/>
          <w:color w:val="000000"/>
          <w:spacing w:val="0"/>
          <w:w w:val="100"/>
          <w:position w:val="0"/>
        </w:rPr>
        <w:t>4</w:t>
      </w:r>
      <w:r>
        <w:rPr>
          <w:color w:val="000000"/>
          <w:spacing w:val="0"/>
          <w:w w:val="100"/>
          <w:position w:val="0"/>
        </w:rPr>
        <w:t>、投资收益</w:t>
      </w:r>
      <w:bookmarkEnd w:id="1254"/>
      <w:bookmarkEnd w:id="1255"/>
      <w:bookmarkEnd w:id="125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理财产品投资收益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22,213,677.96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22,691,863.45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22,213,677.96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22,691,863.45</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4</w:t>
      </w:r>
      <w:bookmarkEnd w:id="1260"/>
      <w:r>
        <w:rPr>
          <w:rFonts w:ascii="Times New Roman" w:eastAsia="Times New Roman" w:hAnsi="Times New Roman" w:cs="Times New Roman"/>
          <w:color w:val="000000"/>
          <w:spacing w:val="0"/>
          <w:w w:val="100"/>
          <w:position w:val="0"/>
        </w:rPr>
        <w:t>5</w:t>
      </w:r>
      <w:r>
        <w:rPr>
          <w:color w:val="000000"/>
          <w:spacing w:val="0"/>
          <w:w w:val="100"/>
          <w:position w:val="0"/>
        </w:rPr>
        <w:t>、公允价值变动收益</w:t>
      </w:r>
      <w:bookmarkEnd w:id="1258"/>
      <w:bookmarkEnd w:id="1259"/>
      <w:bookmarkEnd w:id="126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549,145.86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549,145.86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4</w:t>
      </w:r>
      <w:bookmarkEnd w:id="1264"/>
      <w:r>
        <w:rPr>
          <w:rFonts w:ascii="Times New Roman" w:eastAsia="Times New Roman" w:hAnsi="Times New Roman" w:cs="Times New Roman"/>
          <w:color w:val="000000"/>
          <w:spacing w:val="0"/>
          <w:w w:val="100"/>
          <w:position w:val="0"/>
        </w:rPr>
        <w:t>6</w:t>
      </w:r>
      <w:r>
        <w:rPr>
          <w:color w:val="000000"/>
          <w:spacing w:val="0"/>
          <w:w w:val="100"/>
          <w:position w:val="0"/>
        </w:rPr>
        <w:t>、信用减值损失</w:t>
      </w:r>
      <w:bookmarkEnd w:id="1262"/>
      <w:bookmarkEnd w:id="1263"/>
      <w:bookmarkEnd w:id="126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-1,232,266.71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837,677.75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应收票据坏账损失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20,948.73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-34,758.96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应收账款坏账损失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1,550,832.46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1,785,945.63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339,514.48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2,588,864.42</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4</w:t>
      </w:r>
      <w:bookmarkEnd w:id="1268"/>
      <w:r>
        <w:rPr>
          <w:rFonts w:ascii="Times New Roman" w:eastAsia="Times New Roman" w:hAnsi="Times New Roman" w:cs="Times New Roman"/>
          <w:color w:val="000000"/>
          <w:spacing w:val="0"/>
          <w:w w:val="100"/>
          <w:position w:val="0"/>
        </w:rPr>
        <w:t>7</w:t>
      </w:r>
      <w:r>
        <w:rPr>
          <w:color w:val="000000"/>
          <w:spacing w:val="0"/>
          <w:w w:val="100"/>
          <w:position w:val="0"/>
        </w:rPr>
        <w:t>、资产减值损失</w:t>
      </w:r>
      <w:bookmarkEnd w:id="1266"/>
      <w:bookmarkEnd w:id="1267"/>
      <w:bookmarkEnd w:id="126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十二、合同资产减值损失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-542,310.01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-387,722.11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十三、其他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-104,061.26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-646,371.27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-387,722.11</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4</w:t>
      </w:r>
      <w:bookmarkEnd w:id="1272"/>
      <w:r>
        <w:rPr>
          <w:rFonts w:ascii="Times New Roman" w:eastAsia="Times New Roman" w:hAnsi="Times New Roman" w:cs="Times New Roman"/>
          <w:color w:val="000000"/>
          <w:spacing w:val="0"/>
          <w:w w:val="100"/>
          <w:position w:val="0"/>
        </w:rPr>
        <w:t>8</w:t>
      </w:r>
      <w:r>
        <w:rPr>
          <w:color w:val="000000"/>
          <w:spacing w:val="0"/>
          <w:w w:val="100"/>
          <w:position w:val="0"/>
        </w:rPr>
        <w:t>、资产处置收益</w:t>
      </w:r>
      <w:bookmarkEnd w:id="1270"/>
      <w:bookmarkEnd w:id="1271"/>
      <w:bookmarkEnd w:id="127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-673,690.95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161,520.21</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4</w:t>
      </w:r>
      <w:bookmarkEnd w:id="1276"/>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274"/>
      <w:bookmarkEnd w:id="1275"/>
      <w:bookmarkEnd w:id="127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与企业日常活动无关的政府 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罚款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77,164.22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210,073.70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77,164.22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296,613.53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576,949.38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296,613.53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375,527.75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787,023.08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375,527.75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发放原因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补贴是否影</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响当年盈亏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是否特殊补 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本期发生金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上期发生金 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5</w:t>
      </w:r>
      <w:bookmarkEnd w:id="1280"/>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278"/>
      <w:bookmarkEnd w:id="1279"/>
      <w:bookmarkEnd w:id="128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非流动资产毁损报废损失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214,504.65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452,839.11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214,504.65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2,088,987.28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2,606,204.26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2,088,987.28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2,323,491.93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3,109,043.37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2,323,491.93</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5</w:t>
      </w:r>
      <w:bookmarkEnd w:id="1284"/>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282"/>
      <w:bookmarkEnd w:id="1283"/>
      <w:bookmarkEnd w:id="1285"/>
    </w:p>
    <w:p>
      <w:pPr>
        <w:pStyle w:val="Style36"/>
        <w:keepNext/>
        <w:keepLines/>
        <w:widowControl w:val="0"/>
        <w:shd w:val="clear" w:color="auto" w:fill="auto"/>
        <w:bidi w:val="0"/>
        <w:spacing w:before="0" w:line="240" w:lineRule="auto"/>
        <w:ind w:left="0" w:right="0" w:firstLine="0"/>
        <w:jc w:val="left"/>
      </w:pPr>
      <w:bookmarkStart w:id="1286" w:name="bookmark1286"/>
      <w:bookmarkStart w:id="1287" w:name="bookmark1287"/>
      <w:bookmarkStart w:id="1288" w:name="bookmark12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286"/>
      <w:bookmarkEnd w:id="1287"/>
      <w:bookmarkEnd w:id="1288"/>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33,809,694.21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17,600,676.25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-766,188.27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755,762.30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33,043,505.94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18,356,438.55</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289" w:name="bookmark1289"/>
      <w:bookmarkStart w:id="1290" w:name="bookmark1290"/>
      <w:bookmarkStart w:id="1291" w:name="bookmark12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289"/>
      <w:bookmarkEnd w:id="1290"/>
      <w:bookmarkEnd w:id="1291"/>
    </w:p>
    <w:p>
      <w:pPr>
        <w:pStyle w:val="Style18"/>
        <w:keepNext w:val="0"/>
        <w:keepLines w:val="0"/>
        <w:widowControl w:val="0"/>
        <w:shd w:val="clear" w:color="auto" w:fill="auto"/>
        <w:bidi w:val="0"/>
        <w:spacing w:before="0" w:after="3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221,718,503.42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33,257,775.51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-92,731.56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20" w:right="0" w:firstLine="0"/>
              <w:jc w:val="both"/>
            </w:pPr>
            <w:r>
              <w:rPr>
                <w:color w:val="000000"/>
                <w:spacing w:val="0"/>
                <w:w w:val="100"/>
                <w:position w:val="0"/>
              </w:rPr>
              <w:t>7,951,479.95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20" w:right="0" w:firstLine="0"/>
              <w:jc w:val="both"/>
            </w:pPr>
            <w:r>
              <w:rPr>
                <w:color w:val="000000"/>
                <w:spacing w:val="0"/>
                <w:w w:val="100"/>
                <w:position w:val="0"/>
              </w:rPr>
              <w:t>1,053,042.08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20" w:right="0" w:firstLine="0"/>
              <w:jc w:val="both"/>
            </w:pPr>
            <w:r>
              <w:rPr>
                <w:color w:val="000000"/>
                <w:spacing w:val="0"/>
                <w:w w:val="100"/>
                <w:position w:val="0"/>
              </w:rPr>
              <w:t>1,416,852.79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研发支出加计扣除</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-10,542,912.83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33,043,505.94</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5</w:t>
      </w:r>
      <w:bookmarkEnd w:id="1294"/>
      <w:r>
        <w:rPr>
          <w:rFonts w:ascii="Times New Roman" w:eastAsia="Times New Roman" w:hAnsi="Times New Roman" w:cs="Times New Roman"/>
          <w:color w:val="000000"/>
          <w:spacing w:val="0"/>
          <w:w w:val="100"/>
          <w:position w:val="0"/>
        </w:rPr>
        <w:t>3</w:t>
      </w:r>
      <w:r>
        <w:rPr>
          <w:color w:val="000000"/>
          <w:spacing w:val="0"/>
          <w:w w:val="100"/>
          <w:position w:val="0"/>
        </w:rPr>
        <w:t>、现金流量表项目</w:t>
      </w:r>
      <w:bookmarkEnd w:id="1292"/>
      <w:bookmarkEnd w:id="1293"/>
      <w:bookmarkEnd w:id="1295"/>
    </w:p>
    <w:p>
      <w:pPr>
        <w:pStyle w:val="Style36"/>
        <w:keepNext/>
        <w:keepLines/>
        <w:widowControl w:val="0"/>
        <w:shd w:val="clear" w:color="auto" w:fill="auto"/>
        <w:bidi w:val="0"/>
        <w:spacing w:before="0" w:line="240" w:lineRule="auto"/>
        <w:ind w:left="0" w:right="0" w:firstLine="0"/>
        <w:jc w:val="left"/>
      </w:pPr>
      <w:bookmarkStart w:id="1296" w:name="bookmark1296"/>
      <w:bookmarkStart w:id="1297" w:name="bookmark1297"/>
      <w:bookmarkStart w:id="1298" w:name="bookmark12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296"/>
      <w:bookmarkEnd w:id="1297"/>
      <w:bookmarkEnd w:id="1298"/>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收代理商充值款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12,538,000.00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12,227,835.05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21,423,558.68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28,886,182.22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暂收款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54,244,801.96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33,958,531.75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收回备用金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20,969,420.88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14,863,022.63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补贴收入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12,210,564.58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7,822,664.55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代收彩民奖金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60,951,213.00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69,049,433.00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988,648.82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628,786.27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9,041,308.44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4,809,282.77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192,367,516.36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172,245,738.24</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299" w:name="bookmark1299"/>
      <w:bookmarkStart w:id="1300" w:name="bookmark1300"/>
      <w:bookmarkStart w:id="1301" w:name="bookmark13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299"/>
      <w:bookmarkEnd w:id="1300"/>
      <w:bookmarkEnd w:id="1301"/>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付现费用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56,466,874.34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86,286,603.26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支付彩民奖金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55,286,345.86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77,595,758.00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暂付款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85,394,153.11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69,603,783.28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25,854,318.24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34,340,933.06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34,874,384.28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19,794,475.94</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257,876,075.83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287,621,553.54</w:t>
            </w:r>
          </w:p>
        </w:tc>
      </w:tr>
    </w:tbl>
    <w:p>
      <w:pPr>
        <w:spacing w:lineRule="exact" w:line="1"/>
        <w:rPr>
          <w:sz w:val="2"/>
          <w:szCs w:val="2"/>
        </w:rPr>
      </w:pPr>
      <w:r>
        <w:br w:type="page"/>
      </w:r>
    </w:p>
    <w:p>
      <w:pPr>
        <w:pStyle w:val="Style36"/>
        <w:keepNext/>
        <w:keepLines/>
        <w:widowControl w:val="0"/>
        <w:shd w:val="clear" w:color="auto" w:fill="auto"/>
        <w:bidi w:val="0"/>
        <w:spacing w:before="0" w:line="240" w:lineRule="auto"/>
        <w:ind w:left="0" w:right="0" w:firstLine="0"/>
        <w:jc w:val="left"/>
      </w:pPr>
      <w:bookmarkStart w:id="1302" w:name="bookmark1302"/>
      <w:bookmarkStart w:id="1303" w:name="bookmark1303"/>
      <w:bookmarkStart w:id="1304" w:name="bookmark1304"/>
      <w:bookmarkStart w:id="1305" w:name="bookmark1305"/>
      <w:r>
        <w:rPr>
          <w:color w:val="000000"/>
          <w:spacing w:val="0"/>
          <w:w w:val="100"/>
          <w:position w:val="0"/>
        </w:rPr>
        <w:t>（</w:t>
      </w:r>
      <w:bookmarkEnd w:id="1304"/>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302"/>
      <w:bookmarkEnd w:id="1303"/>
      <w:bookmarkEnd w:id="1305"/>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票据保证金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left"/>
            </w:pPr>
            <w:r>
              <w:rPr>
                <w:color w:val="000000"/>
                <w:spacing w:val="0"/>
                <w:w w:val="100"/>
                <w:position w:val="0"/>
              </w:rPr>
              <w:t>707,579.50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1,113,896.81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left"/>
            </w:pPr>
            <w:r>
              <w:rPr>
                <w:color w:val="000000"/>
                <w:spacing w:val="0"/>
                <w:w w:val="100"/>
                <w:position w:val="0"/>
              </w:rPr>
              <w:t>707,579.50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1,113,896.81</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306" w:name="bookmark1306"/>
      <w:bookmarkStart w:id="1307" w:name="bookmark1307"/>
      <w:bookmarkStart w:id="1308" w:name="bookmark1308"/>
      <w:bookmarkStart w:id="1309" w:name="bookmark1309"/>
      <w:r>
        <w:rPr>
          <w:color w:val="000000"/>
          <w:spacing w:val="0"/>
          <w:w w:val="100"/>
          <w:position w:val="0"/>
        </w:rPr>
        <w:t>（</w:t>
      </w:r>
      <w:bookmarkEnd w:id="1308"/>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306"/>
      <w:bookmarkEnd w:id="1307"/>
      <w:bookmarkEnd w:id="1309"/>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购买少数股权支付给少数股东的现金对 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12,920,027.74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票据保证金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left"/>
            </w:pPr>
            <w:r>
              <w:rPr>
                <w:color w:val="000000"/>
                <w:spacing w:val="0"/>
                <w:w w:val="100"/>
                <w:position w:val="0"/>
              </w:rPr>
              <w:t>645,401.07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880,688.30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支付股利分配手续费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146,627.93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140,306.42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租赁负债支付价款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12,527,250.81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13,319,279.81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13,941,022.46</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5</w:t>
      </w:r>
      <w:bookmarkEnd w:id="1312"/>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310"/>
      <w:bookmarkEnd w:id="1311"/>
      <w:bookmarkEnd w:id="1313"/>
    </w:p>
    <w:p>
      <w:pPr>
        <w:pStyle w:val="Style36"/>
        <w:keepNext/>
        <w:keepLines/>
        <w:widowControl w:val="0"/>
        <w:shd w:val="clear" w:color="auto" w:fill="auto"/>
        <w:bidi w:val="0"/>
        <w:spacing w:before="0" w:line="240" w:lineRule="auto"/>
        <w:ind w:left="0" w:right="0" w:firstLine="0"/>
        <w:jc w:val="left"/>
      </w:pPr>
      <w:bookmarkStart w:id="1314" w:name="bookmark1314"/>
      <w:bookmarkStart w:id="1315" w:name="bookmark1315"/>
      <w:bookmarkStart w:id="1316" w:name="bookmark13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14"/>
      <w:bookmarkEnd w:id="1315"/>
      <w:bookmarkEnd w:id="1316"/>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188,674,997.48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164,626,312.87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646,371.27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387,722.11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信用减值损失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-339,514.48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-2,588,864.42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740"/>
              <w:jc w:val="both"/>
              <w:rPr>
                <w:sz w:val="17"/>
                <w:szCs w:val="17"/>
              </w:rPr>
            </w:pPr>
            <w:r>
              <w:rPr>
                <w:rFonts w:ascii="SimSun" w:eastAsia="SimSun" w:hAnsi="SimSun" w:cs="SimSun"/>
                <w:color w:val="000000"/>
                <w:spacing w:val="0"/>
                <w:w w:val="100"/>
                <w:position w:val="0"/>
                <w:sz w:val="17"/>
                <w:szCs w:val="17"/>
              </w:rPr>
              <w:t>固定资产折旧、油气资产折耗、 生产性生物资产折旧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57,405,145.86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66,098,330.21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使用权资产折旧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9,397,490.84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6,632,929.36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6,289,236.66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7,024,712.63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9,166,384.02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处置固定资产、无形资产和其他 长期资产的损失（收益以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673,690.95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-161,520.21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214,504.65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452,839.11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sz w:val="17"/>
                <w:szCs w:val="17"/>
              </w:rPr>
              <w:t>公允价值变动损失（收益以</w:t>
            </w:r>
            <w:r>
              <w:rPr>
                <w:color w:val="000000"/>
                <w:spacing w:val="0"/>
                <w:w w:val="100"/>
                <w:position w:val="0"/>
              </w:rPr>
              <w:t>“</w:t>
            </w:r>
            <w:r>
              <w:rPr>
                <w:rFonts w:ascii="SimSun" w:eastAsia="SimSun" w:hAnsi="SimSun" w:cs="SimSun"/>
                <w:color w:val="000000"/>
                <w:spacing w:val="0"/>
                <w:w w:val="100"/>
                <w:position w:val="0"/>
                <w:sz w:val="17"/>
                <w:szCs w:val="17"/>
              </w:rPr>
              <w:t>一</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-549,145.86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1,145,053.05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-22,213,677.96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-22,691,863.45</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740"/>
              <w:jc w:val="left"/>
              <w:rPr>
                <w:sz w:val="17"/>
                <w:szCs w:val="17"/>
              </w:rPr>
            </w:pPr>
            <w:r>
              <w:rPr>
                <w:rFonts w:ascii="SimSun" w:eastAsia="SimSun" w:hAnsi="SimSun" w:cs="SimSun"/>
                <w:color w:val="000000"/>
                <w:spacing w:val="0"/>
                <w:w w:val="100"/>
                <w:position w:val="0"/>
                <w:sz w:val="17"/>
                <w:szCs w:val="17"/>
              </w:rPr>
              <w:t xml:space="preserve">递延所得税资产减少（增加以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-766,188.27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755,762.30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740"/>
              <w:jc w:val="left"/>
              <w:rPr>
                <w:sz w:val="17"/>
                <w:szCs w:val="17"/>
              </w:rPr>
            </w:pPr>
            <w:r>
              <w:rPr>
                <w:rFonts w:ascii="SimSun" w:eastAsia="SimSun" w:hAnsi="SimSun" w:cs="SimSun"/>
                <w:color w:val="000000"/>
                <w:spacing w:val="0"/>
                <w:w w:val="100"/>
                <w:position w:val="0"/>
                <w:sz w:val="17"/>
                <w:szCs w:val="17"/>
              </w:rPr>
              <w:t xml:space="preserve">递延所得税负债增加（减少以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-38,245,718.01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-3,549,400.70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 xml:space="preserve">经营性应收项目的减少（增加以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-160,927,266.27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-86,896,334.78</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740"/>
              <w:jc w:val="left"/>
              <w:rPr>
                <w:sz w:val="17"/>
                <w:szCs w:val="17"/>
              </w:rPr>
            </w:pPr>
            <w:r>
              <w:rPr>
                <w:rFonts w:ascii="SimSun" w:eastAsia="SimSun" w:hAnsi="SimSun" w:cs="SimSun"/>
                <w:color w:val="000000"/>
                <w:spacing w:val="0"/>
                <w:w w:val="100"/>
                <w:position w:val="0"/>
                <w:sz w:val="17"/>
                <w:szCs w:val="17"/>
              </w:rPr>
              <w:t xml:space="preserve">经营性应付项目的增加（减少以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143,049,862.01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129,326,365.33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191,823,247.25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261,214,969.05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 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728,874,859.79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680,990,839.45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680,990,839.45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320,889,403.02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47,884,020.34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360,101,436.43</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317" w:name="bookmark1317"/>
      <w:bookmarkStart w:id="1318" w:name="bookmark1318"/>
      <w:bookmarkStart w:id="1319" w:name="bookmark13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317"/>
      <w:bookmarkEnd w:id="1318"/>
      <w:bookmarkEnd w:id="131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728,874,859.79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680,990,839.45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599,645.22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1,082,879.35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726,296,681.50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677,741,999.18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1,978,533.07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2,165,960.92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728,874,859.79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680,990,839.45</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5</w:t>
      </w:r>
      <w:bookmarkEnd w:id="1322"/>
      <w:r>
        <w:rPr>
          <w:rFonts w:ascii="Times New Roman" w:eastAsia="Times New Roman" w:hAnsi="Times New Roman" w:cs="Times New Roman"/>
          <w:color w:val="000000"/>
          <w:spacing w:val="0"/>
          <w:w w:val="100"/>
          <w:position w:val="0"/>
        </w:rPr>
        <w:t>5</w:t>
      </w:r>
      <w:r>
        <w:rPr>
          <w:color w:val="000000"/>
          <w:spacing w:val="0"/>
          <w:w w:val="100"/>
          <w:position w:val="0"/>
        </w:rPr>
        <w:t>、所有权或使用权受到限制的资产</w:t>
      </w:r>
      <w:bookmarkEnd w:id="1320"/>
      <w:bookmarkEnd w:id="1321"/>
      <w:bookmarkEnd w:id="132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26,026,490.36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银行承兑汇票保证金、保函保证金</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26,026,490.36</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0"/>
        <w:jc w:val="left"/>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5</w:t>
      </w:r>
      <w:bookmarkEnd w:id="1326"/>
      <w:r>
        <w:rPr>
          <w:rFonts w:ascii="Times New Roman" w:eastAsia="Times New Roman" w:hAnsi="Times New Roman" w:cs="Times New Roman"/>
          <w:color w:val="000000"/>
          <w:spacing w:val="0"/>
          <w:w w:val="100"/>
          <w:position w:val="0"/>
        </w:rPr>
        <w:t>6</w:t>
      </w:r>
      <w:r>
        <w:rPr>
          <w:color w:val="000000"/>
          <w:spacing w:val="0"/>
          <w:w w:val="100"/>
          <w:position w:val="0"/>
        </w:rPr>
        <w:t>、外币货币性项目</w:t>
      </w:r>
      <w:bookmarkEnd w:id="1324"/>
      <w:bookmarkEnd w:id="1325"/>
      <w:bookmarkEnd w:id="1327"/>
    </w:p>
    <w:p>
      <w:pPr>
        <w:pStyle w:val="Style36"/>
        <w:keepNext/>
        <w:keepLines/>
        <w:widowControl w:val="0"/>
        <w:shd w:val="clear" w:color="auto" w:fill="auto"/>
        <w:bidi w:val="0"/>
        <w:spacing w:before="0" w:line="240" w:lineRule="auto"/>
        <w:ind w:left="0" w:right="0" w:firstLine="0"/>
        <w:jc w:val="left"/>
      </w:pPr>
      <w:bookmarkStart w:id="1328" w:name="bookmark1328"/>
      <w:bookmarkStart w:id="1329" w:name="bookmark1329"/>
      <w:bookmarkStart w:id="1330" w:name="bookmark13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328"/>
      <w:bookmarkEnd w:id="1329"/>
      <w:bookmarkEnd w:id="1330"/>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pPr>
            <w:r>
              <w:rPr>
                <w:color w:val="000000"/>
                <w:spacing w:val="0"/>
                <w:w w:val="100"/>
                <w:position w:val="0"/>
              </w:rPr>
              <w:t>2,310.00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0.8176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1,888.66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pPr>
            <w:r>
              <w:rPr>
                <w:color w:val="000000"/>
                <w:spacing w:val="0"/>
                <w:w w:val="100"/>
                <w:position w:val="0"/>
              </w:rPr>
              <w:t>7,710.00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0.0554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427.13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澳元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4.622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3,558.94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36"/>
        <w:keepNext/>
        <w:keepLines/>
        <w:widowControl w:val="0"/>
        <w:shd w:val="clear" w:color="auto" w:fill="auto"/>
        <w:bidi w:val="0"/>
        <w:spacing w:before="0" w:line="326" w:lineRule="exact"/>
        <w:ind w:left="0" w:right="0" w:firstLine="0"/>
        <w:jc w:val="left"/>
      </w:pPr>
      <w:bookmarkStart w:id="1331" w:name="bookmark1331"/>
      <w:bookmarkStart w:id="1332" w:name="bookmark1332"/>
      <w:bookmarkStart w:id="1333" w:name="bookmark133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331"/>
      <w:bookmarkEnd w:id="1332"/>
      <w:bookmarkEnd w:id="1333"/>
    </w:p>
    <w:p>
      <w:pPr>
        <w:pStyle w:val="Style18"/>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00" w:line="326" w:lineRule="exact"/>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5</w:t>
      </w:r>
      <w:bookmarkEnd w:id="1336"/>
      <w:r>
        <w:rPr>
          <w:rFonts w:ascii="Times New Roman" w:eastAsia="Times New Roman" w:hAnsi="Times New Roman" w:cs="Times New Roman"/>
          <w:color w:val="000000"/>
          <w:spacing w:val="0"/>
          <w:w w:val="100"/>
          <w:position w:val="0"/>
        </w:rPr>
        <w:t>7</w:t>
      </w:r>
      <w:r>
        <w:rPr>
          <w:color w:val="000000"/>
          <w:spacing w:val="0"/>
          <w:w w:val="100"/>
          <w:position w:val="0"/>
        </w:rPr>
        <w:t>、政府补助</w:t>
      </w:r>
      <w:bookmarkEnd w:id="1334"/>
      <w:bookmarkEnd w:id="1335"/>
      <w:bookmarkEnd w:id="1337"/>
    </w:p>
    <w:p>
      <w:pPr>
        <w:pStyle w:val="Style36"/>
        <w:keepNext/>
        <w:keepLines/>
        <w:widowControl w:val="0"/>
        <w:shd w:val="clear" w:color="auto" w:fill="auto"/>
        <w:bidi w:val="0"/>
        <w:spacing w:before="0" w:line="326" w:lineRule="exact"/>
        <w:ind w:left="0" w:right="0" w:firstLine="0"/>
        <w:jc w:val="left"/>
      </w:pPr>
      <w:bookmarkStart w:id="1338" w:name="bookmark1338"/>
      <w:bookmarkStart w:id="1339" w:name="bookmark1339"/>
      <w:bookmarkStart w:id="1340" w:name="bookmark13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338"/>
      <w:bookmarkEnd w:id="1339"/>
      <w:bookmarkEnd w:id="1340"/>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列报项目</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计入当期损益的金额</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费用补贴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11,140,229.75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11,140,229.75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180,631.58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180,631.58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1,960,037.00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1,960,037.00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研发经费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211,500.00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211,500.00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专利补助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39,010.00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税收返还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896,359.08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896,359.08</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1,750.00</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1341" w:name="bookmark1341"/>
      <w:bookmarkStart w:id="1342" w:name="bookmark1342"/>
      <w:bookmarkStart w:id="1343" w:name="bookmark134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341"/>
      <w:bookmarkEnd w:id="1342"/>
      <w:bookmarkEnd w:id="1343"/>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1344" w:name="bookmark1344"/>
      <w:bookmarkStart w:id="1345" w:name="bookmark1345"/>
      <w:bookmarkStart w:id="1346" w:name="bookmark1346"/>
      <w:bookmarkStart w:id="1347" w:name="bookmark1347"/>
      <w:r>
        <w:rPr>
          <w:color w:val="000000"/>
          <w:spacing w:val="0"/>
          <w:w w:val="100"/>
          <w:position w:val="0"/>
        </w:rPr>
        <w:t>八</w:t>
      </w:r>
      <w:bookmarkEnd w:id="1346"/>
      <w:r>
        <w:rPr>
          <w:color w:val="000000"/>
          <w:spacing w:val="0"/>
          <w:w w:val="100"/>
          <w:position w:val="0"/>
        </w:rPr>
        <w:t>、在其他主体中的权益</w:t>
      </w:r>
      <w:bookmarkEnd w:id="1344"/>
      <w:bookmarkEnd w:id="1345"/>
      <w:bookmarkEnd w:id="1347"/>
    </w:p>
    <w:p>
      <w:pPr>
        <w:pStyle w:val="Style32"/>
        <w:keepNext/>
        <w:keepLines/>
        <w:widowControl w:val="0"/>
        <w:shd w:val="clear" w:color="auto" w:fill="auto"/>
        <w:bidi w:val="0"/>
        <w:spacing w:before="0" w:after="360" w:line="240" w:lineRule="auto"/>
        <w:ind w:left="0" w:right="0" w:firstLine="0"/>
        <w:jc w:val="left"/>
      </w:pPr>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348"/>
      <w:bookmarkEnd w:id="1349"/>
      <w:bookmarkEnd w:id="1350"/>
    </w:p>
    <w:p>
      <w:pPr>
        <w:pStyle w:val="Style36"/>
        <w:keepNext/>
        <w:keepLines/>
        <w:widowControl w:val="0"/>
        <w:shd w:val="clear" w:color="auto" w:fill="auto"/>
        <w:bidi w:val="0"/>
        <w:spacing w:before="0" w:after="360" w:line="240" w:lineRule="auto"/>
        <w:ind w:left="0" w:right="0" w:firstLine="0"/>
        <w:jc w:val="left"/>
      </w:pPr>
      <w:bookmarkStart w:id="1351" w:name="bookmark1351"/>
      <w:bookmarkStart w:id="1352" w:name="bookmark1352"/>
      <w:bookmarkStart w:id="1353" w:name="bookmark13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351"/>
      <w:bookmarkEnd w:id="1352"/>
      <w:bookmarkEnd w:id="1353"/>
    </w:p>
    <w:tbl>
      <w:tblPr>
        <w:tblOverlap w:val="never"/>
        <w:jc w:val="center"/>
        <w:tblLayout w:type="fixed"/>
      </w:tblPr>
      <w:tblGrid>
        <w:gridCol w:w="2986"/>
        <w:gridCol w:w="994"/>
        <w:gridCol w:w="850"/>
        <w:gridCol w:w="1133"/>
        <w:gridCol w:w="1277"/>
        <w:gridCol w:w="1070"/>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北京东港安全印刷有限公司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郑州东港安全印刷有限公司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新疆东港安全印刷有限公司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乌鲁木齐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乌鲁木齐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北京东港嘉华安全信息技术有限公司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广州东港安全印刷有限公司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上海东港安全印刷有限公司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上海东港数据处理有限公司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甘肃图腾印务有限公司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兰州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兰州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山东东港彩意网络科技有限公司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r>
    </w:tbl>
    <w:p>
      <w:pPr>
        <w:widowControl w:val="0"/>
        <w:spacing w:after="359" w:line="1" w:lineRule="exact"/>
      </w:pPr>
    </w:p>
    <w:p>
      <w:pPr>
        <w:pStyle w:val="Style23"/>
        <w:keepNext/>
        <w:keepLines/>
        <w:widowControl w:val="0"/>
        <w:shd w:val="clear" w:color="auto" w:fill="auto"/>
        <w:bidi w:val="0"/>
        <w:spacing w:before="0" w:line="240" w:lineRule="auto"/>
        <w:ind w:left="0" w:right="0" w:firstLine="0"/>
        <w:jc w:val="left"/>
      </w:pPr>
      <w:bookmarkStart w:id="1354" w:name="bookmark1354"/>
      <w:bookmarkStart w:id="1355" w:name="bookmark1355"/>
      <w:bookmarkStart w:id="1356" w:name="bookmark1356"/>
      <w:bookmarkStart w:id="1357" w:name="bookmark1357"/>
      <w:r>
        <w:rPr>
          <w:color w:val="000000"/>
          <w:spacing w:val="0"/>
          <w:w w:val="100"/>
          <w:position w:val="0"/>
        </w:rPr>
        <w:t>九</w:t>
      </w:r>
      <w:bookmarkEnd w:id="1356"/>
      <w:r>
        <w:rPr>
          <w:color w:val="000000"/>
          <w:spacing w:val="0"/>
          <w:w w:val="100"/>
          <w:position w:val="0"/>
        </w:rPr>
        <w:t>、关联方及关联交易</w:t>
      </w:r>
      <w:bookmarkEnd w:id="1354"/>
      <w:bookmarkEnd w:id="1355"/>
      <w:bookmarkEnd w:id="1357"/>
    </w:p>
    <w:p>
      <w:pPr>
        <w:pStyle w:val="Style32"/>
        <w:keepNext/>
        <w:keepLines/>
        <w:widowControl w:val="0"/>
        <w:shd w:val="clear" w:color="auto" w:fill="auto"/>
        <w:bidi w:val="0"/>
        <w:spacing w:before="0" w:after="360" w:line="240" w:lineRule="auto"/>
        <w:ind w:left="0" w:right="0" w:firstLine="0"/>
        <w:jc w:val="left"/>
      </w:pPr>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358"/>
      <w:bookmarkEnd w:id="1359"/>
      <w:bookmarkEnd w:id="1360"/>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本企业的母公司情况的说明</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本公司为无控股股东、无实际控制人企业。</w:t>
      </w:r>
    </w:p>
    <w:p>
      <w:pPr>
        <w:pStyle w:val="Style32"/>
        <w:keepNext/>
        <w:keepLines/>
        <w:widowControl w:val="0"/>
        <w:shd w:val="clear" w:color="auto" w:fill="auto"/>
        <w:tabs>
          <w:tab w:pos="378" w:val="left"/>
        </w:tabs>
        <w:bidi w:val="0"/>
        <w:spacing w:before="0" w:line="240" w:lineRule="auto"/>
        <w:ind w:left="0" w:right="0" w:firstLine="0"/>
        <w:jc w:val="left"/>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2</w:t>
      </w:r>
      <w:bookmarkEnd w:id="1363"/>
      <w:r>
        <w:rPr>
          <w:color w:val="000000"/>
          <w:spacing w:val="0"/>
          <w:w w:val="100"/>
          <w:position w:val="0"/>
        </w:rPr>
        <w:t>、</w:t>
        <w:tab/>
        <w:t>本企业的子公司情况</w:t>
      </w:r>
      <w:bookmarkEnd w:id="1361"/>
      <w:bookmarkEnd w:id="1362"/>
      <w:bookmarkEnd w:id="1364"/>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w:t>
      </w:r>
      <w:r>
        <w:rPr>
          <w:rFonts w:ascii="Times New Roman" w:eastAsia="Times New Roman" w:hAnsi="Times New Roman" w:cs="Times New Roman"/>
          <w:color w:val="000000"/>
          <w:spacing w:val="0"/>
          <w:w w:val="100"/>
          <w:position w:val="0"/>
          <w:sz w:val="18"/>
          <w:szCs w:val="18"/>
        </w:rPr>
        <w:t>1 .</w:t>
      </w:r>
      <w:r>
        <w:rPr>
          <w:color w:val="000000"/>
          <w:spacing w:val="0"/>
          <w:w w:val="100"/>
          <w:position w:val="0"/>
        </w:rPr>
        <w:t>在子公司中的权益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keepLines/>
        <w:widowControl w:val="0"/>
        <w:shd w:val="clear" w:color="auto" w:fill="auto"/>
        <w:tabs>
          <w:tab w:pos="378" w:val="left"/>
        </w:tabs>
        <w:bidi w:val="0"/>
        <w:spacing w:before="0" w:line="240" w:lineRule="auto"/>
        <w:ind w:left="0" w:right="0" w:firstLine="0"/>
        <w:jc w:val="left"/>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3</w:t>
      </w:r>
      <w:bookmarkEnd w:id="1367"/>
      <w:r>
        <w:rPr>
          <w:color w:val="000000"/>
          <w:spacing w:val="0"/>
          <w:w w:val="100"/>
          <w:position w:val="0"/>
        </w:rPr>
        <w:t>、</w:t>
        <w:tab/>
        <w:t>关联交易情况</w:t>
      </w:r>
      <w:bookmarkEnd w:id="1365"/>
      <w:bookmarkEnd w:id="1366"/>
      <w:bookmarkEnd w:id="1368"/>
    </w:p>
    <w:p>
      <w:pPr>
        <w:pStyle w:val="Style36"/>
        <w:keepNext/>
        <w:keepLines/>
        <w:widowControl w:val="0"/>
        <w:shd w:val="clear" w:color="auto" w:fill="auto"/>
        <w:bidi w:val="0"/>
        <w:spacing w:before="0" w:after="320" w:line="240" w:lineRule="auto"/>
        <w:ind w:left="0" w:right="0" w:firstLine="0"/>
        <w:jc w:val="left"/>
      </w:pPr>
      <w:bookmarkStart w:id="1369" w:name="bookmark1369"/>
      <w:bookmarkStart w:id="1370" w:name="bookmark1370"/>
      <w:bookmarkStart w:id="1371" w:name="bookmark13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）关键管理人员报酬</w:t>
      </w:r>
      <w:bookmarkEnd w:id="1369"/>
      <w:bookmarkEnd w:id="1370"/>
      <w:bookmarkEnd w:id="1371"/>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6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薪酬合计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6,498,400.00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6,505,700.00</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1372" w:name="bookmark1372"/>
      <w:bookmarkStart w:id="1373" w:name="bookmark1373"/>
      <w:bookmarkStart w:id="1374" w:name="bookmark1374"/>
      <w:r>
        <w:rPr>
          <w:color w:val="000000"/>
          <w:spacing w:val="0"/>
          <w:w w:val="100"/>
          <w:position w:val="0"/>
        </w:rPr>
        <w:t>十、承诺及或有事项</w:t>
      </w:r>
      <w:bookmarkEnd w:id="1372"/>
      <w:bookmarkEnd w:id="1373"/>
      <w:bookmarkEnd w:id="1374"/>
    </w:p>
    <w:p>
      <w:pPr>
        <w:pStyle w:val="Style32"/>
        <w:keepNext/>
        <w:keepLines/>
        <w:widowControl w:val="0"/>
        <w:shd w:val="clear" w:color="auto" w:fill="auto"/>
        <w:tabs>
          <w:tab w:pos="368" w:val="left"/>
        </w:tabs>
        <w:bidi w:val="0"/>
        <w:spacing w:before="0" w:line="240" w:lineRule="auto"/>
        <w:ind w:left="0" w:right="0" w:firstLine="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1</w:t>
      </w:r>
      <w:bookmarkEnd w:id="1377"/>
      <w:r>
        <w:rPr>
          <w:color w:val="000000"/>
          <w:spacing w:val="0"/>
          <w:w w:val="100"/>
          <w:position w:val="0"/>
        </w:rPr>
        <w:t>、</w:t>
        <w:tab/>
        <w:t>重要承诺事项</w:t>
      </w:r>
      <w:bookmarkEnd w:id="1375"/>
      <w:bookmarkEnd w:id="1376"/>
      <w:bookmarkEnd w:id="1378"/>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2</w:t>
      </w:r>
      <w:bookmarkEnd w:id="1381"/>
      <w:r>
        <w:rPr>
          <w:color w:val="000000"/>
          <w:spacing w:val="0"/>
          <w:w w:val="100"/>
          <w:position w:val="0"/>
        </w:rPr>
        <w:t>、</w:t>
        <w:tab/>
        <w:t>或有事项</w:t>
      </w:r>
      <w:bookmarkEnd w:id="1379"/>
      <w:bookmarkEnd w:id="1380"/>
      <w:bookmarkEnd w:id="1382"/>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1383" w:name="bookmark1383"/>
      <w:bookmarkStart w:id="1384" w:name="bookmark1384"/>
      <w:bookmarkStart w:id="1385" w:name="bookmark1385"/>
      <w:r>
        <w:rPr>
          <w:color w:val="000000"/>
          <w:spacing w:val="0"/>
          <w:w w:val="100"/>
          <w:position w:val="0"/>
        </w:rPr>
        <w:t>十四、资产负债表日后事项</w:t>
      </w:r>
      <w:bookmarkEnd w:id="1383"/>
      <w:bookmarkEnd w:id="1384"/>
      <w:bookmarkEnd w:id="1385"/>
    </w:p>
    <w:p>
      <w:pPr>
        <w:pStyle w:val="Style32"/>
        <w:keepNext/>
        <w:keepLines/>
        <w:widowControl w:val="0"/>
        <w:shd w:val="clear" w:color="auto" w:fill="auto"/>
        <w:tabs>
          <w:tab w:pos="368" w:val="left"/>
        </w:tabs>
        <w:bidi w:val="0"/>
        <w:spacing w:before="0" w:line="240" w:lineRule="auto"/>
        <w:ind w:left="0" w:right="0" w:firstLine="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1</w:t>
      </w:r>
      <w:bookmarkEnd w:id="1388"/>
      <w:r>
        <w:rPr>
          <w:color w:val="000000"/>
          <w:spacing w:val="0"/>
          <w:w w:val="100"/>
          <w:position w:val="0"/>
        </w:rPr>
        <w:t>、</w:t>
        <w:tab/>
        <w:t>重要的非调整事项</w:t>
      </w:r>
      <w:bookmarkEnd w:id="1386"/>
      <w:bookmarkEnd w:id="1387"/>
      <w:bookmarkEnd w:id="1389"/>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2</w:t>
      </w:r>
      <w:bookmarkEnd w:id="1392"/>
      <w:r>
        <w:rPr>
          <w:color w:val="000000"/>
          <w:spacing w:val="0"/>
          <w:w w:val="100"/>
          <w:position w:val="0"/>
        </w:rPr>
        <w:t>、</w:t>
        <w:tab/>
        <w:t>利润分配情况</w:t>
      </w:r>
      <w:bookmarkEnd w:id="1390"/>
      <w:bookmarkEnd w:id="1391"/>
      <w:bookmarkEnd w:id="139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拟分配的利润或股利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163,699,926.30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经审议批准宣告发放的利润或股利</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163,699,926.30</w:t>
            </w:r>
          </w:p>
        </w:tc>
      </w:tr>
    </w:tbl>
    <w:p>
      <w:pPr>
        <w:widowControl w:val="0"/>
        <w:spacing w:after="639" w:line="1" w:lineRule="exact"/>
      </w:pPr>
    </w:p>
    <w:p>
      <w:pPr>
        <w:pStyle w:val="Style23"/>
        <w:keepNext/>
        <w:keepLines/>
        <w:widowControl w:val="0"/>
        <w:shd w:val="clear" w:color="auto" w:fill="auto"/>
        <w:bidi w:val="0"/>
        <w:spacing w:before="0" w:after="380" w:line="240" w:lineRule="auto"/>
        <w:ind w:left="0" w:right="0" w:firstLine="0"/>
        <w:jc w:val="left"/>
      </w:pPr>
      <w:bookmarkStart w:id="1394" w:name="bookmark1394"/>
      <w:bookmarkStart w:id="1395" w:name="bookmark1395"/>
      <w:bookmarkStart w:id="1396" w:name="bookmark1396"/>
      <w:r>
        <w:rPr>
          <w:color w:val="000000"/>
          <w:spacing w:val="0"/>
          <w:w w:val="100"/>
          <w:position w:val="0"/>
        </w:rPr>
        <w:t>十六、母公司财务报表主要项目注释</w:t>
      </w:r>
      <w:bookmarkEnd w:id="1394"/>
      <w:bookmarkEnd w:id="1395"/>
      <w:bookmarkEnd w:id="1396"/>
    </w:p>
    <w:p>
      <w:pPr>
        <w:pStyle w:val="Style32"/>
        <w:keepNext/>
        <w:keepLines/>
        <w:widowControl w:val="0"/>
        <w:shd w:val="clear" w:color="auto" w:fill="auto"/>
        <w:bidi w:val="0"/>
        <w:spacing w:before="0" w:line="240" w:lineRule="auto"/>
        <w:ind w:left="0" w:right="0" w:firstLine="0"/>
        <w:jc w:val="left"/>
      </w:pPr>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397"/>
      <w:bookmarkEnd w:id="1398"/>
      <w:bookmarkEnd w:id="1399"/>
    </w:p>
    <w:p>
      <w:pPr>
        <w:pStyle w:val="Style36"/>
        <w:keepNext/>
        <w:keepLines/>
        <w:widowControl w:val="0"/>
        <w:shd w:val="clear" w:color="auto" w:fill="auto"/>
        <w:bidi w:val="0"/>
        <w:spacing w:before="0" w:line="240" w:lineRule="auto"/>
        <w:ind w:left="0" w:right="0" w:firstLine="0"/>
        <w:jc w:val="left"/>
      </w:pPr>
      <w:bookmarkStart w:id="1400" w:name="bookmark1400"/>
      <w:bookmarkStart w:id="1401" w:name="bookmark1401"/>
      <w:bookmarkStart w:id="1402" w:name="bookmark14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400"/>
      <w:bookmarkEnd w:id="1401"/>
      <w:bookmarkEnd w:id="140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1526"/>
        <w:gridCol w:w="1526"/>
        <w:gridCol w:w="787"/>
        <w:gridCol w:w="1574"/>
        <w:gridCol w:w="1589"/>
        <w:gridCol w:w="941"/>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账面价值</w:t>
            </w: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123,136,</w:t>
            </w:r>
          </w:p>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390.32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8,307,18</w:t>
            </w:r>
          </w:p>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9.26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6.75%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114,829,2</w:t>
            </w:r>
          </w:p>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01.06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153,517,0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9,144,305</w:t>
            </w:r>
          </w:p>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5.96%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144,372,77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以账龄特征为基础 的预期信用损失组 合的应收账款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123,136,</w:t>
            </w:r>
          </w:p>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390.32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8,307,18</w:t>
            </w:r>
          </w:p>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9.26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6.75%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114,829,2</w:t>
            </w:r>
          </w:p>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01.06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153,517,0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9,144,305</w:t>
            </w:r>
          </w:p>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5.96%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144,372,77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123,136,</w:t>
            </w:r>
          </w:p>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390.32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8,307,18</w:t>
            </w:r>
          </w:p>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9.26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6.75%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114,829,2</w:t>
            </w:r>
          </w:p>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01.06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153,517,0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9,144,305</w:t>
            </w:r>
          </w:p>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5.96%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144,372,77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按账龄披露</w:t>
      </w:r>
    </w:p>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104,763,319.68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12,479,400.44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3,752,506.23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2,141,163.97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953,289.20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526,595.32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661,279.45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123,136,390.32</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403" w:name="bookmark1403"/>
      <w:bookmarkStart w:id="1404" w:name="bookmark1404"/>
      <w:bookmarkStart w:id="1405" w:name="bookmark14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403"/>
      <w:bookmarkEnd w:id="1404"/>
      <w:bookmarkEnd w:id="1405"/>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应收账款坏账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9,144,305.58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837,116.32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8,307,189.26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9,144,305.58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837,116.32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8,307,189.26</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406" w:name="bookmark1406"/>
      <w:bookmarkStart w:id="1407" w:name="bookmark1407"/>
      <w:bookmarkStart w:id="1408" w:name="bookmark1408"/>
      <w:bookmarkStart w:id="1409" w:name="bookmark1409"/>
      <w:r>
        <w:rPr>
          <w:color w:val="000000"/>
          <w:spacing w:val="0"/>
          <w:w w:val="100"/>
          <w:position w:val="0"/>
        </w:rPr>
        <w:t>（</w:t>
      </w:r>
      <w:bookmarkEnd w:id="1408"/>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406"/>
      <w:bookmarkEnd w:id="1407"/>
      <w:bookmarkEnd w:id="1409"/>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占应收账款期末余额合计数 的比例</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坏账准备期末余额</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A</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11,373,229.27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568,661.46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B</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5,269,156.58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793,244.68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4,122,825.30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334,050.03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3,649,658.39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182,482.92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E</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3,466,814.94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173,340.75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27,881,684.48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22.65%</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both"/>
      </w:pPr>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410"/>
      <w:bookmarkEnd w:id="1411"/>
      <w:bookmarkEnd w:id="1412"/>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14,110,157.05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32,974,044.17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14,110,157.05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32,974,044.17</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413" w:name="bookmark1413"/>
      <w:bookmarkStart w:id="1414" w:name="bookmark1414"/>
      <w:bookmarkStart w:id="1415" w:name="bookmark14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413"/>
      <w:bookmarkEnd w:id="1414"/>
      <w:bookmarkEnd w:id="1415"/>
    </w:p>
    <w:p>
      <w:pPr>
        <w:pStyle w:val="Style57"/>
        <w:keepNext/>
        <w:keepLines/>
        <w:widowControl w:val="0"/>
        <w:shd w:val="clear" w:color="auto" w:fill="auto"/>
        <w:bidi w:val="0"/>
        <w:spacing w:before="0" w:line="240" w:lineRule="auto"/>
        <w:ind w:left="0" w:right="0" w:firstLine="0"/>
        <w:jc w:val="left"/>
      </w:pPr>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416"/>
      <w:bookmarkEnd w:id="1417"/>
      <w:bookmarkEnd w:id="1418"/>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19,498,337.54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14,846,603.79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13,765,088.47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2,004,763.36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2,032,432.81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251,100.12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330,196.60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17,102,467.27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35,626,055.42</w:t>
            </w:r>
          </w:p>
        </w:tc>
      </w:tr>
    </w:tbl>
    <w:p>
      <w:pPr>
        <w:widowControl w:val="0"/>
        <w:spacing w:after="339" w:line="1" w:lineRule="exact"/>
      </w:pPr>
    </w:p>
    <w:p>
      <w:pPr>
        <w:pStyle w:val="Style57"/>
        <w:keepNext/>
        <w:keepLines/>
        <w:widowControl w:val="0"/>
        <w:shd w:val="clear" w:color="auto" w:fill="auto"/>
        <w:bidi w:val="0"/>
        <w:spacing w:before="0" w:line="240" w:lineRule="auto"/>
        <w:ind w:left="0" w:right="0" w:firstLine="0"/>
        <w:jc w:val="left"/>
      </w:pPr>
      <w:bookmarkStart w:id="1419" w:name="bookmark1419"/>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2</w:t>
      </w:r>
      <w:bookmarkEnd w:id="1421"/>
      <w:r>
        <w:rPr>
          <w:color w:val="000000"/>
          <w:spacing w:val="0"/>
          <w:w w:val="100"/>
          <w:position w:val="0"/>
        </w:rPr>
        <w:t>）坏账准备计提情况</w:t>
      </w:r>
      <w:bookmarkEnd w:id="1419"/>
      <w:bookmarkEnd w:id="1420"/>
      <w:bookmarkEnd w:id="1422"/>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2,652,011.25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2,652,011.25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340,298.97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340,298.97</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2,992,310.22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2,992,310.22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损失准备本期变动金额重大的账面余额变动情况</w:t>
      </w:r>
      <w:r>
        <w:br w:type="page"/>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00" w:right="0" w:firstLine="0"/>
              <w:jc w:val="both"/>
            </w:pPr>
            <w:r>
              <w:rPr>
                <w:color w:val="000000"/>
                <w:spacing w:val="0"/>
                <w:w w:val="100"/>
                <w:position w:val="0"/>
              </w:rPr>
              <w:t>7,207,346.74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00" w:right="0" w:firstLine="0"/>
              <w:jc w:val="both"/>
            </w:pPr>
            <w:r>
              <w:rPr>
                <w:color w:val="000000"/>
                <w:spacing w:val="0"/>
                <w:w w:val="100"/>
                <w:position w:val="0"/>
              </w:rPr>
              <w:t>4,509,464.73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00" w:right="0" w:firstLine="0"/>
              <w:jc w:val="both"/>
            </w:pPr>
            <w:r>
              <w:rPr>
                <w:color w:val="000000"/>
                <w:spacing w:val="0"/>
                <w:w w:val="100"/>
                <w:position w:val="0"/>
              </w:rPr>
              <w:t>1,706,105.00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00" w:right="0" w:firstLine="0"/>
              <w:jc w:val="both"/>
            </w:pPr>
            <w:r>
              <w:rPr>
                <w:color w:val="000000"/>
                <w:spacing w:val="0"/>
                <w:w w:val="100"/>
                <w:position w:val="0"/>
              </w:rPr>
              <w:t>3,679,550.80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00" w:right="0" w:firstLine="0"/>
              <w:jc w:val="both"/>
            </w:pPr>
            <w:r>
              <w:rPr>
                <w:color w:val="000000"/>
                <w:spacing w:val="0"/>
                <w:w w:val="100"/>
                <w:position w:val="0"/>
              </w:rPr>
              <w:t>1,056,199.91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320,435.21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00" w:right="0" w:firstLine="0"/>
              <w:jc w:val="both"/>
            </w:pPr>
            <w:r>
              <w:rPr>
                <w:color w:val="000000"/>
                <w:spacing w:val="0"/>
                <w:w w:val="100"/>
                <w:position w:val="0"/>
              </w:rPr>
              <w:t>2,302,915.68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17,102,467.27</w:t>
            </w:r>
          </w:p>
        </w:tc>
      </w:tr>
    </w:tbl>
    <w:p>
      <w:pPr>
        <w:widowControl w:val="0"/>
        <w:spacing w:after="319" w:line="1" w:lineRule="exact"/>
      </w:pPr>
    </w:p>
    <w:p>
      <w:pPr>
        <w:pStyle w:val="Style57"/>
        <w:keepNext/>
        <w:keepLines/>
        <w:widowControl w:val="0"/>
        <w:shd w:val="clear" w:color="auto" w:fill="auto"/>
        <w:bidi w:val="0"/>
        <w:spacing w:before="0" w:line="240" w:lineRule="auto"/>
        <w:ind w:left="0" w:right="0" w:firstLine="0"/>
        <w:jc w:val="left"/>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3</w:t>
      </w:r>
      <w:bookmarkEnd w:id="1425"/>
      <w:r>
        <w:rPr>
          <w:color w:val="000000"/>
          <w:spacing w:val="0"/>
          <w:w w:val="100"/>
          <w:position w:val="0"/>
        </w:rPr>
        <w:t>）本期计提、收回或转回的坏账准备情况</w:t>
      </w:r>
      <w:bookmarkEnd w:id="1423"/>
      <w:bookmarkEnd w:id="1424"/>
      <w:bookmarkEnd w:id="1426"/>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330"/>
        <w:gridCol w:w="1090"/>
        <w:gridCol w:w="1574"/>
        <w:gridCol w:w="1584"/>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2,652,011.25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340,298.97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2,992,310.22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2,652,011.25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340,298.97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2,992,310.22</w:t>
            </w:r>
          </w:p>
        </w:tc>
      </w:tr>
    </w:tbl>
    <w:p>
      <w:pPr>
        <w:widowControl w:val="0"/>
        <w:spacing w:after="319" w:line="1" w:lineRule="exact"/>
      </w:pPr>
    </w:p>
    <w:p>
      <w:pPr>
        <w:pStyle w:val="Style57"/>
        <w:keepNext/>
        <w:keepLines/>
        <w:widowControl w:val="0"/>
        <w:shd w:val="clear" w:color="auto" w:fill="auto"/>
        <w:bidi w:val="0"/>
        <w:spacing w:before="0" w:line="240" w:lineRule="auto"/>
        <w:ind w:left="0" w:right="0" w:firstLine="0"/>
        <w:jc w:val="left"/>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5</w:t>
      </w:r>
      <w:bookmarkEnd w:id="1429"/>
      <w:r>
        <w:rPr>
          <w:color w:val="000000"/>
          <w:spacing w:val="0"/>
          <w:w w:val="100"/>
          <w:position w:val="0"/>
        </w:rPr>
        <w:t>）按欠款方归集的期末余额前五名的其他应收款情况</w:t>
      </w:r>
      <w:bookmarkEnd w:id="1427"/>
      <w:bookmarkEnd w:id="1428"/>
      <w:bookmarkEnd w:id="1430"/>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1109"/>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中国人民财产保险股份有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1,960,017.73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236,001.77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甘肃省体育彩票管理中心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1,389,325.40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99,266.27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四川省政府采购中心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1,341,120.00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670,560.00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新疆维吾尔自治区福利彩</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票发行中心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1,011,255.76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102,546.89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山东省体育彩票管理中心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686,400.00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343,200.00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6,388,118.89</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1,451,574.93</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3</w:t>
      </w:r>
      <w:bookmarkEnd w:id="1433"/>
      <w:r>
        <w:rPr>
          <w:color w:val="000000"/>
          <w:spacing w:val="0"/>
          <w:w w:val="100"/>
          <w:position w:val="0"/>
        </w:rPr>
        <w:t>、长期股权投资</w:t>
      </w:r>
      <w:bookmarkEnd w:id="1431"/>
      <w:bookmarkEnd w:id="1432"/>
      <w:bookmarkEnd w:id="143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611,226,791.39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611,226,791.39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583,226,791.39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583,226,791.39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611,226,791.39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611,226,791.39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583,226,791.39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583,226,791.39</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435" w:name="bookmark1435"/>
      <w:bookmarkStart w:id="1436" w:name="bookmark1436"/>
      <w:bookmarkStart w:id="1437" w:name="bookmark14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435"/>
      <w:bookmarkEnd w:id="1436"/>
      <w:bookmarkEnd w:id="143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期初余额</w:t>
            </w:r>
            <w:r>
              <w:rPr>
                <w:color w:val="000000"/>
                <w:spacing w:val="0"/>
                <w:w w:val="100"/>
                <w:position w:val="0"/>
              </w:rPr>
              <w:t>（</w:t>
            </w:r>
            <w:r>
              <w:rPr>
                <w:rFonts w:ascii="SimSun" w:eastAsia="SimSun" w:hAnsi="SimSun" w:cs="SimSun"/>
                <w:color w:val="000000"/>
                <w:spacing w:val="0"/>
                <w:w w:val="100"/>
                <w:position w:val="0"/>
                <w:sz w:val="17"/>
                <w:szCs w:val="17"/>
              </w:rPr>
              <w:t>账 面价值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期末余额</w:t>
            </w:r>
            <w:r>
              <w:rPr>
                <w:color w:val="000000"/>
                <w:spacing w:val="0"/>
                <w:w w:val="100"/>
                <w:position w:val="0"/>
              </w:rPr>
              <w:t>（</w:t>
            </w:r>
            <w:r>
              <w:rPr>
                <w:rFonts w:ascii="SimSun" w:eastAsia="SimSun" w:hAnsi="SimSun" w:cs="SimSun"/>
                <w:color w:val="000000"/>
                <w:spacing w:val="0"/>
                <w:w w:val="100"/>
                <w:position w:val="0"/>
                <w:sz w:val="17"/>
                <w:szCs w:val="17"/>
              </w:rPr>
              <w:t>账面 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上海东港数据</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130,000,000.0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北京东港安全</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126,325,000.0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154,325,000.00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北京东港嘉华</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安全信息技术</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87,696,712.50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87,696,712.50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广州东港安全 印刷有限公司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81,500,000.00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上海东港安全</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77,874,143.07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77,874,143.07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郑州东港安全</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45,318,835.82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45,318,835.82</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山东东港彩意 网络科技有限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新疆东港安全</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10,512,100.00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10,512,100.00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甘肃图腾印务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583,226,791.3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28,000,000.00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611,226,791.39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4</w:t>
      </w:r>
      <w:bookmarkEnd w:id="1440"/>
      <w:r>
        <w:rPr>
          <w:color w:val="000000"/>
          <w:spacing w:val="0"/>
          <w:w w:val="100"/>
          <w:position w:val="0"/>
        </w:rPr>
        <w:t>、营业收入和营业成本</w:t>
      </w:r>
      <w:bookmarkEnd w:id="1438"/>
      <w:bookmarkEnd w:id="1439"/>
      <w:bookmarkEnd w:id="1441"/>
    </w:p>
    <w:p>
      <w:pPr>
        <w:pStyle w:val="Style18"/>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844,524,478.83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635,258,719.76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853,082,106.76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673,671,193.36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17,189,697.75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13,383,884.61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19,436,183.41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15,763,959.29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861,714,176.58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648,642,604.37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872,518,290.17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689,435,152.65</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5</w:t>
      </w:r>
      <w:bookmarkEnd w:id="1444"/>
      <w:r>
        <w:rPr>
          <w:color w:val="000000"/>
          <w:spacing w:val="0"/>
          <w:w w:val="100"/>
          <w:position w:val="0"/>
        </w:rPr>
        <w:t>、投资收益</w:t>
      </w:r>
      <w:bookmarkEnd w:id="1442"/>
      <w:bookmarkEnd w:id="1443"/>
      <w:bookmarkEnd w:id="144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66,109,885.73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137,873,866.20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理财产品投资收益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22,213,677.96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22,691,863.45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88,323,563.69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160,565,729.65</w:t>
            </w:r>
          </w:p>
        </w:tc>
      </w:tr>
    </w:tbl>
    <w:p>
      <w:pPr>
        <w:widowControl w:val="0"/>
        <w:spacing w:after="339" w:line="1" w:lineRule="exact"/>
      </w:pPr>
    </w:p>
    <w:p>
      <w:pPr>
        <w:pStyle w:val="Style23"/>
        <w:keepNext/>
        <w:keepLines/>
        <w:widowControl w:val="0"/>
        <w:shd w:val="clear" w:color="auto" w:fill="auto"/>
        <w:bidi w:val="0"/>
        <w:spacing w:before="0" w:after="340" w:line="240" w:lineRule="auto"/>
        <w:ind w:left="0" w:right="0" w:firstLine="0"/>
        <w:jc w:val="left"/>
      </w:pPr>
      <w:bookmarkStart w:id="1446" w:name="bookmark1446"/>
      <w:bookmarkStart w:id="1447" w:name="bookmark1447"/>
      <w:bookmarkStart w:id="1448" w:name="bookmark1448"/>
      <w:r>
        <w:rPr>
          <w:color w:val="000000"/>
          <w:spacing w:val="0"/>
          <w:w w:val="100"/>
          <w:position w:val="0"/>
        </w:rPr>
        <w:t>十七、补充资料</w:t>
      </w:r>
      <w:bookmarkEnd w:id="1446"/>
      <w:bookmarkEnd w:id="1447"/>
      <w:bookmarkEnd w:id="1448"/>
    </w:p>
    <w:p>
      <w:pPr>
        <w:pStyle w:val="Style32"/>
        <w:keepNext/>
        <w:keepLines/>
        <w:widowControl w:val="0"/>
        <w:shd w:val="clear" w:color="auto" w:fill="auto"/>
        <w:bidi w:val="0"/>
        <w:spacing w:before="0" w:line="240" w:lineRule="auto"/>
        <w:ind w:left="0" w:right="0" w:firstLine="0"/>
        <w:jc w:val="left"/>
      </w:pPr>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449"/>
      <w:bookmarkEnd w:id="1450"/>
      <w:bookmarkEnd w:id="1451"/>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-888,195.60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14,429,517.41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22,762,823.82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-1,735,209.53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1,771,899.16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106,526.74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32,690,510.20</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其他符合非经常性损益定义的损益项目的具体情况：</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8"/>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2"/>
        <w:keepNext/>
        <w:keepLines/>
        <w:widowControl w:val="0"/>
        <w:shd w:val="clear" w:color="auto" w:fill="auto"/>
        <w:bidi w:val="0"/>
        <w:spacing w:before="0" w:after="320" w:line="240" w:lineRule="auto"/>
        <w:ind w:left="0" w:right="0" w:firstLine="0"/>
        <w:jc w:val="left"/>
      </w:pPr>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452"/>
      <w:bookmarkEnd w:id="1453"/>
      <w:bookmarkEnd w:id="1454"/>
    </w:p>
    <w:tbl>
      <w:tblPr>
        <w:tblOverlap w:val="never"/>
        <w:jc w:val="center"/>
        <w:tblLayout w:type="fixed"/>
      </w:tblPr>
      <w:tblGrid>
        <w:gridCol w:w="2669"/>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0.3418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0.3418</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0.2819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0.2819</w:t>
            </w:r>
          </w:p>
        </w:tc>
      </w:tr>
    </w:tbl>
    <w:p>
      <w:pPr>
        <w:widowControl w:val="0"/>
        <w:spacing w:after="1499" w:line="1" w:lineRule="exact"/>
      </w:pPr>
    </w:p>
    <w:p>
      <w:pPr>
        <w:pStyle w:val="Style18"/>
        <w:keepNext w:val="0"/>
        <w:keepLines w:val="0"/>
        <w:widowControl w:val="0"/>
        <w:shd w:val="clear" w:color="auto" w:fill="auto"/>
        <w:bidi w:val="0"/>
        <w:spacing w:before="0" w:after="420" w:line="240" w:lineRule="auto"/>
        <w:ind w:left="6940" w:right="0" w:firstLine="0"/>
        <w:jc w:val="left"/>
      </w:pPr>
      <w:r>
        <w:rPr>
          <w:color w:val="000000"/>
          <w:spacing w:val="0"/>
          <w:w w:val="100"/>
          <w:position w:val="0"/>
        </w:rPr>
        <w:t>东港股份有限公司</w:t>
      </w:r>
    </w:p>
    <w:p>
      <w:pPr>
        <w:pStyle w:val="Style18"/>
        <w:keepNext w:val="0"/>
        <w:keepLines w:val="0"/>
        <w:widowControl w:val="0"/>
        <w:shd w:val="clear" w:color="auto" w:fill="auto"/>
        <w:bidi w:val="0"/>
        <w:spacing w:before="0" w:after="420" w:line="240" w:lineRule="auto"/>
        <w:ind w:left="7020" w:right="0" w:firstLine="0"/>
        <w:jc w:val="left"/>
      </w:pPr>
      <w:r>
        <w:rPr>
          <w:color w:val="000000"/>
          <w:spacing w:val="0"/>
          <w:w w:val="100"/>
          <w:position w:val="0"/>
        </w:rPr>
        <w:t>法定代表人：史建中</w:t>
      </w:r>
    </w:p>
    <w:p>
      <w:pPr>
        <w:pStyle w:val="Style20"/>
        <w:keepNext w:val="0"/>
        <w:keepLines w:val="0"/>
        <w:widowControl w:val="0"/>
        <w:shd w:val="clear" w:color="auto" w:fill="auto"/>
        <w:bidi w:val="0"/>
        <w:spacing w:before="0" w:after="420" w:line="240" w:lineRule="auto"/>
        <w:ind w:left="7120" w:right="0" w:firstLine="0"/>
        <w:jc w:val="left"/>
        <w:rPr>
          <w:sz w:val="17"/>
          <w:szCs w:val="17"/>
        </w:rPr>
      </w:pPr>
      <w:r>
        <w:rPr>
          <w:rFonts w:ascii="Courier New" w:eastAsia="Courier New" w:hAnsi="Courier New" w:cs="Courier New"/>
          <w:color w:val="000000"/>
          <w:spacing w:val="0"/>
          <w:w w:val="100"/>
          <w:position w:val="0"/>
          <w:sz w:val="16"/>
          <w:szCs w:val="16"/>
        </w:rPr>
        <w:t>2022</w:t>
      </w:r>
      <w:r>
        <w:rPr>
          <w:rFonts w:ascii="SimSun" w:eastAsia="SimSun" w:hAnsi="SimSun" w:cs="SimSun"/>
          <w:color w:val="000000"/>
          <w:spacing w:val="0"/>
          <w:w w:val="100"/>
          <w:position w:val="0"/>
          <w:sz w:val="17"/>
          <w:szCs w:val="17"/>
        </w:rPr>
        <w:t>年</w:t>
      </w:r>
      <w:r>
        <w:rPr>
          <w:rFonts w:ascii="Courier New" w:eastAsia="Courier New" w:hAnsi="Courier New" w:cs="Courier New"/>
          <w:color w:val="000000"/>
          <w:spacing w:val="0"/>
          <w:w w:val="100"/>
          <w:position w:val="0"/>
          <w:sz w:val="16"/>
          <w:szCs w:val="16"/>
        </w:rPr>
        <w:t>4</w:t>
      </w:r>
      <w:r>
        <w:rPr>
          <w:rFonts w:ascii="SimSun" w:eastAsia="SimSun" w:hAnsi="SimSun" w:cs="SimSun"/>
          <w:color w:val="000000"/>
          <w:spacing w:val="0"/>
          <w:w w:val="100"/>
          <w:position w:val="0"/>
          <w:sz w:val="17"/>
          <w:szCs w:val="17"/>
        </w:rPr>
        <w:t>月</w:t>
      </w:r>
      <w:r>
        <w:rPr>
          <w:rFonts w:ascii="Courier New" w:eastAsia="Courier New" w:hAnsi="Courier New" w:cs="Courier New"/>
          <w:color w:val="000000"/>
          <w:spacing w:val="0"/>
          <w:w w:val="100"/>
          <w:position w:val="0"/>
          <w:sz w:val="16"/>
          <w:szCs w:val="16"/>
        </w:rPr>
        <w:t>7</w:t>
      </w:r>
      <w:r>
        <w:rPr>
          <w:rFonts w:ascii="SimSun" w:eastAsia="SimSun" w:hAnsi="SimSun" w:cs="SimSun"/>
          <w:color w:val="000000"/>
          <w:spacing w:val="0"/>
          <w:w w:val="100"/>
          <w:position w:val="0"/>
          <w:sz w:val="17"/>
          <w:szCs w:val="17"/>
        </w:rPr>
        <w:t>日</w:t>
      </w:r>
    </w:p>
    <w:sectPr>
      <w:footnotePr>
        <w:pos w:val="pageBottom"/>
        <w:numFmt w:val="decimal"/>
        <w:numRestart w:val="continuous"/>
      </w:footnotePr>
      <w:pgSz w:w="11900" w:h="16840"/>
      <w:pgMar w:top="1441" w:right="1121" w:bottom="1441" w:left="10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4)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Body text (3)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Body text (5)_"/>
    <w:basedOn w:val="DefaultParagraphFont"/>
    <w:link w:val="Style7"/>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1">
    <w:name w:val="Heading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 (2)_"/>
    <w:basedOn w:val="DefaultParagraphFont"/>
    <w:link w:val="Style12"/>
    <w:rPr>
      <w:rFonts w:ascii="SimSun" w:eastAsia="SimSun" w:hAnsi="SimSun" w:cs="SimSun"/>
      <w:b/>
      <w:bCs/>
      <w:i w:val="0"/>
      <w:iCs w:val="0"/>
      <w:smallCaps w:val="0"/>
      <w:strike w:val="0"/>
      <w:sz w:val="28"/>
      <w:szCs w:val="28"/>
      <w:u w:val="none"/>
      <w:shd w:val="clear" w:color="auto" w:fill="auto"/>
    </w:rPr>
  </w:style>
  <w:style w:type="character" w:customStyle="1" w:styleId="CharStyle16">
    <w:name w:val="Table of contents_"/>
    <w:basedOn w:val="DefaultParagraphFont"/>
    <w:link w:val="Style15"/>
    <w:rPr>
      <w:rFonts w:ascii="SimSun" w:eastAsia="SimSun" w:hAnsi="SimSun" w:cs="SimSun"/>
      <w:b w:val="0"/>
      <w:bCs w:val="0"/>
      <w:i w:val="0"/>
      <w:iCs w:val="0"/>
      <w:smallCaps w:val="0"/>
      <w:strike w:val="0"/>
      <w:sz w:val="28"/>
      <w:szCs w:val="28"/>
      <w:u w:val="none"/>
      <w:shd w:val="clear" w:color="auto" w:fill="auto"/>
    </w:rPr>
  </w:style>
  <w:style w:type="character" w:customStyle="1" w:styleId="CharStyle19">
    <w:name w:val="Body text_"/>
    <w:basedOn w:val="DefaultParagraphFont"/>
    <w:link w:val="Style18"/>
    <w:rPr>
      <w:rFonts w:ascii="SimSun" w:eastAsia="SimSun" w:hAnsi="SimSun" w:cs="SimSun"/>
      <w:b w:val="0"/>
      <w:bCs w:val="0"/>
      <w:i w:val="0"/>
      <w:iCs w:val="0"/>
      <w:smallCaps w:val="0"/>
      <w:strike w:val="0"/>
      <w:sz w:val="17"/>
      <w:szCs w:val="17"/>
      <w:u w:val="none"/>
      <w:shd w:val="clear" w:color="auto" w:fill="auto"/>
    </w:rPr>
  </w:style>
  <w:style w:type="character" w:customStyle="1" w:styleId="CharStyle21">
    <w:name w:val="Other_"/>
    <w:basedOn w:val="DefaultParagraphFont"/>
    <w:link w:val="Style20"/>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24">
    <w:name w:val="Heading #2_"/>
    <w:basedOn w:val="DefaultParagraphFont"/>
    <w:link w:val="Style23"/>
    <w:rPr>
      <w:rFonts w:ascii="SimSun" w:eastAsia="SimSun" w:hAnsi="SimSun" w:cs="SimSun"/>
      <w:b/>
      <w:bCs/>
      <w:i w:val="0"/>
      <w:iCs w:val="0"/>
      <w:smallCaps w:val="0"/>
      <w:strike w:val="0"/>
      <w:sz w:val="22"/>
      <w:szCs w:val="22"/>
      <w:u w:val="none"/>
      <w:shd w:val="clear" w:color="auto" w:fill="auto"/>
    </w:rPr>
  </w:style>
  <w:style w:type="character" w:customStyle="1" w:styleId="CharStyle26">
    <w:name w:val="Table caption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Body text (6)_"/>
    <w:basedOn w:val="DefaultParagraphFont"/>
    <w:link w:val="Style28"/>
    <w:rPr>
      <w:rFonts w:ascii="SimSun" w:eastAsia="SimSun" w:hAnsi="SimSun" w:cs="SimSun"/>
      <w:b w:val="0"/>
      <w:bCs w:val="0"/>
      <w:i/>
      <w:iCs/>
      <w:smallCaps w:val="0"/>
      <w:strike w:val="0"/>
      <w:sz w:val="19"/>
      <w:szCs w:val="19"/>
      <w:u w:val="none"/>
      <w:shd w:val="clear" w:color="auto" w:fill="auto"/>
    </w:rPr>
  </w:style>
  <w:style w:type="character" w:customStyle="1" w:styleId="CharStyle33">
    <w:name w:val="Heading #3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37">
    <w:name w:val="Heading #4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58">
    <w:name w:val="Heading #5_"/>
    <w:basedOn w:val="DefaultParagraphFont"/>
    <w:link w:val="Style57"/>
    <w:rPr>
      <w:rFonts w:ascii="SimSun" w:eastAsia="SimSun" w:hAnsi="SimSun" w:cs="SimSun"/>
      <w:b/>
      <w:bCs/>
      <w:i w:val="0"/>
      <w:iCs w:val="0"/>
      <w:smallCaps w:val="0"/>
      <w:strike w:val="0"/>
      <w:sz w:val="20"/>
      <w:szCs w:val="20"/>
      <w:u w:val="none"/>
      <w:shd w:val="clear" w:color="auto" w:fill="auto"/>
    </w:rPr>
  </w:style>
  <w:style w:type="paragraph" w:customStyle="1" w:styleId="Style2">
    <w:name w:val="Body text (4)"/>
    <w:basedOn w:val="Normal"/>
    <w:link w:val="CharStyle3"/>
    <w:pPr>
      <w:widowControl w:val="0"/>
      <w:shd w:val="clear" w:color="auto" w:fill="auto"/>
      <w:spacing w:after="103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Body text (3)"/>
    <w:basedOn w:val="Normal"/>
    <w:link w:val="CharStyle5"/>
    <w:pPr>
      <w:widowControl w:val="0"/>
      <w:shd w:val="clear" w:color="auto" w:fill="auto"/>
      <w:spacing w:after="8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7">
    <w:name w:val="Body text (5)"/>
    <w:basedOn w:val="Normal"/>
    <w:link w:val="CharStyle8"/>
    <w:pPr>
      <w:widowControl w:val="0"/>
      <w:shd w:val="clear" w:color="auto" w:fill="auto"/>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0">
    <w:name w:val="Heading #1"/>
    <w:basedOn w:val="Normal"/>
    <w:link w:val="CharStyle11"/>
    <w:pPr>
      <w:widowControl w:val="0"/>
      <w:shd w:val="clear" w:color="auto" w:fill="auto"/>
      <w:spacing w:before="230" w:after="52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Body text (2)"/>
    <w:basedOn w:val="Normal"/>
    <w:link w:val="CharStyle13"/>
    <w:pPr>
      <w:widowControl w:val="0"/>
      <w:shd w:val="clear" w:color="auto" w:fill="auto"/>
      <w:spacing w:after="100" w:line="625"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5">
    <w:name w:val="Table of contents"/>
    <w:basedOn w:val="Normal"/>
    <w:link w:val="CharStyle16"/>
    <w:pPr>
      <w:widowControl w:val="0"/>
      <w:shd w:val="clear" w:color="auto" w:fill="auto"/>
      <w:spacing w:after="340"/>
    </w:pPr>
    <w:rPr>
      <w:rFonts w:ascii="SimSun" w:eastAsia="SimSun" w:hAnsi="SimSun" w:cs="SimSun"/>
      <w:b w:val="0"/>
      <w:bCs w:val="0"/>
      <w:i w:val="0"/>
      <w:iCs w:val="0"/>
      <w:smallCaps w:val="0"/>
      <w:strike w:val="0"/>
      <w:sz w:val="28"/>
      <w:szCs w:val="28"/>
      <w:u w:val="none"/>
      <w:shd w:val="clear" w:color="auto" w:fill="auto"/>
    </w:rPr>
  </w:style>
  <w:style w:type="paragraph" w:styleId="Style18">
    <w:name w:val="Body text"/>
    <w:basedOn w:val="Normal"/>
    <w:link w:val="CharStyle19"/>
    <w:qFormat/>
    <w:pPr>
      <w:widowControl w:val="0"/>
      <w:shd w:val="clear" w:color="auto" w:fill="auto"/>
      <w:spacing w:after="40" w:line="382" w:lineRule="auto"/>
      <w:ind w:firstLine="360"/>
    </w:pPr>
    <w:rPr>
      <w:rFonts w:ascii="SimSun" w:eastAsia="SimSun" w:hAnsi="SimSun" w:cs="SimSun"/>
      <w:b w:val="0"/>
      <w:bCs w:val="0"/>
      <w:i w:val="0"/>
      <w:iCs w:val="0"/>
      <w:smallCaps w:val="0"/>
      <w:strike w:val="0"/>
      <w:sz w:val="17"/>
      <w:szCs w:val="17"/>
      <w:u w:val="none"/>
      <w:shd w:val="clear" w:color="auto" w:fill="auto"/>
    </w:rPr>
  </w:style>
  <w:style w:type="paragraph" w:customStyle="1" w:styleId="Style20">
    <w:name w:val="Other"/>
    <w:basedOn w:val="Normal"/>
    <w:link w:val="CharStyle21"/>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3">
    <w:name w:val="Heading #2"/>
    <w:basedOn w:val="Normal"/>
    <w:link w:val="CharStyle24"/>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5">
    <w:name w:val="Table caption"/>
    <w:basedOn w:val="Normal"/>
    <w:link w:val="CharStyle2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Body text (6)"/>
    <w:basedOn w:val="Normal"/>
    <w:link w:val="CharStyle29"/>
    <w:pPr>
      <w:widowControl w:val="0"/>
      <w:shd w:val="clear" w:color="auto" w:fill="auto"/>
      <w:spacing w:after="140"/>
    </w:pPr>
    <w:rPr>
      <w:rFonts w:ascii="SimSun" w:eastAsia="SimSun" w:hAnsi="SimSun" w:cs="SimSun"/>
      <w:b w:val="0"/>
      <w:bCs w:val="0"/>
      <w:i/>
      <w:iCs/>
      <w:smallCaps w:val="0"/>
      <w:strike w:val="0"/>
      <w:sz w:val="19"/>
      <w:szCs w:val="19"/>
      <w:u w:val="none"/>
      <w:shd w:val="clear" w:color="auto" w:fill="auto"/>
    </w:rPr>
  </w:style>
  <w:style w:type="paragraph" w:customStyle="1" w:styleId="Style32">
    <w:name w:val="Heading #3"/>
    <w:basedOn w:val="Normal"/>
    <w:link w:val="CharStyle33"/>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6">
    <w:name w:val="Heading #4"/>
    <w:basedOn w:val="Normal"/>
    <w:link w:val="CharStyle37"/>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7">
    <w:name w:val="Heading #5"/>
    <w:basedOn w:val="Normal"/>
    <w:link w:val="CharStyle58"/>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东港股份有限公司2021年年度报告全文</dc:title>
  <dc:subject/>
  <dc:creator>东港股份有限公司</dc:creator>
  <cp:keywords/>
</cp:coreProperties>
</file>